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38" w:line="223" w:lineRule="auto"/>
        <w:ind w:left="368"/>
        <w:outlineLvl w:val="0"/>
        <w:rPr>
          <w:rFonts w:ascii="宋体" w:hAnsi="宋体" w:eastAsia="宋体" w:cs="宋体"/>
          <w:sz w:val="33"/>
          <w:szCs w:val="33"/>
        </w:rPr>
      </w:pPr>
      <w:r>
        <w:rPr>
          <w:rFonts w:ascii="宋体" w:hAnsi="宋体" w:eastAsia="宋体" w:cs="宋体"/>
          <w:spacing w:val="8"/>
          <w:sz w:val="33"/>
          <w:szCs w:val="33"/>
          <w14:textOutline w14:w="6174" w14:cap="sq" w14:cmpd="sng">
            <w14:solidFill>
              <w14:srgbClr w14:val="000000"/>
            </w14:solidFill>
            <w14:prstDash w14:val="solid"/>
            <w14:bevel/>
          </w14:textOutline>
        </w:rPr>
        <w:t>鄂尔多斯市昊华国泰化工有限公司危险化学品重点县专家指导服务核查问题及整改建议汇总表</w:t>
      </w:r>
    </w:p>
    <w:p>
      <w:pPr>
        <w:spacing w:line="60" w:lineRule="exact"/>
      </w:pPr>
    </w:p>
    <w:tbl>
      <w:tblPr>
        <w:tblStyle w:val="5"/>
        <w:tblW w:w="1472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626"/>
        <w:gridCol w:w="1062"/>
        <w:gridCol w:w="4114"/>
        <w:gridCol w:w="3719"/>
        <w:gridCol w:w="1041"/>
        <w:gridCol w:w="1189"/>
        <w:gridCol w:w="937"/>
        <w:gridCol w:w="1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3" w:hRule="atLeast"/>
        </w:trPr>
        <w:tc>
          <w:tcPr>
            <w:tcW w:w="591" w:type="dxa"/>
            <w:vMerge w:val="restart"/>
            <w:tcBorders>
              <w:bottom w:val="nil"/>
            </w:tcBorders>
            <w:vAlign w:val="top"/>
          </w:tcPr>
          <w:p>
            <w:pPr>
              <w:pStyle w:val="6"/>
              <w:spacing w:before="265" w:line="225" w:lineRule="auto"/>
              <w:ind w:left="117"/>
            </w:pPr>
            <w:r>
              <w:rPr>
                <w:spacing w:val="3"/>
                <w14:textOutline w14:w="3210" w14:cap="sq" w14:cmpd="sng">
                  <w14:solidFill>
                    <w14:srgbClr w14:val="000000"/>
                  </w14:solidFill>
                  <w14:prstDash w14:val="solid"/>
                  <w14:bevel/>
                </w14:textOutline>
              </w:rPr>
              <w:t>专业</w:t>
            </w:r>
          </w:p>
        </w:tc>
        <w:tc>
          <w:tcPr>
            <w:tcW w:w="626" w:type="dxa"/>
            <w:vMerge w:val="restart"/>
            <w:tcBorders>
              <w:bottom w:val="nil"/>
            </w:tcBorders>
            <w:vAlign w:val="top"/>
          </w:tcPr>
          <w:p>
            <w:pPr>
              <w:pStyle w:val="6"/>
              <w:spacing w:before="265" w:line="226" w:lineRule="auto"/>
              <w:ind w:left="129"/>
            </w:pPr>
            <w:r>
              <w:rPr>
                <w:spacing w:val="4"/>
                <w14:textOutline w14:w="3210" w14:cap="sq" w14:cmpd="sng">
                  <w14:solidFill>
                    <w14:srgbClr w14:val="000000"/>
                  </w14:solidFill>
                  <w14:prstDash w14:val="solid"/>
                  <w14:bevel/>
                </w14:textOutline>
              </w:rPr>
              <w:t>序号</w:t>
            </w:r>
          </w:p>
        </w:tc>
        <w:tc>
          <w:tcPr>
            <w:tcW w:w="1062" w:type="dxa"/>
            <w:vMerge w:val="restart"/>
            <w:tcBorders>
              <w:bottom w:val="nil"/>
            </w:tcBorders>
            <w:vAlign w:val="top"/>
          </w:tcPr>
          <w:p>
            <w:pPr>
              <w:pStyle w:val="6"/>
              <w:spacing w:before="155" w:line="232" w:lineRule="auto"/>
              <w:ind w:left="80" w:right="81"/>
            </w:pPr>
            <w:r>
              <w:rPr>
                <w:spacing w:val="6"/>
                <w14:textOutline w14:w="3210" w14:cap="sq" w14:cmpd="sng">
                  <w14:solidFill>
                    <w14:srgbClr w14:val="000000"/>
                  </w14:solidFill>
                  <w14:prstDash w14:val="solid"/>
                  <w14:bevel/>
                </w14:textOutline>
              </w:rPr>
              <w:t>核查表中检</w:t>
            </w:r>
            <w:r>
              <w:rPr>
                <w:spacing w:val="3"/>
              </w:rPr>
              <w:t xml:space="preserve"> </w:t>
            </w:r>
            <w:r>
              <w:rPr>
                <w:spacing w:val="6"/>
                <w14:textOutline w14:w="3210" w14:cap="sq" w14:cmpd="sng">
                  <w14:solidFill>
                    <w14:srgbClr w14:val="000000"/>
                  </w14:solidFill>
                  <w14:prstDash w14:val="solid"/>
                  <w14:bevel/>
                </w14:textOutline>
              </w:rPr>
              <w:t>查内容序号</w:t>
            </w:r>
          </w:p>
        </w:tc>
        <w:tc>
          <w:tcPr>
            <w:tcW w:w="4114" w:type="dxa"/>
            <w:vMerge w:val="restart"/>
            <w:tcBorders>
              <w:bottom w:val="nil"/>
            </w:tcBorders>
            <w:vAlign w:val="top"/>
          </w:tcPr>
          <w:p>
            <w:pPr>
              <w:pStyle w:val="6"/>
              <w:spacing w:before="265" w:line="227" w:lineRule="auto"/>
              <w:ind w:left="1716"/>
            </w:pPr>
            <w:r>
              <w:rPr>
                <w:spacing w:val="1"/>
                <w14:textOutline w14:w="3210" w14:cap="sq" w14:cmpd="sng">
                  <w14:solidFill>
                    <w14:srgbClr w14:val="000000"/>
                  </w14:solidFill>
                  <w14:prstDash w14:val="solid"/>
                  <w14:bevel/>
                </w14:textOutline>
              </w:rPr>
              <w:t>问题描述</w:t>
            </w:r>
          </w:p>
        </w:tc>
        <w:tc>
          <w:tcPr>
            <w:tcW w:w="3719" w:type="dxa"/>
            <w:vMerge w:val="restart"/>
            <w:tcBorders>
              <w:bottom w:val="nil"/>
            </w:tcBorders>
            <w:vAlign w:val="top"/>
          </w:tcPr>
          <w:p>
            <w:pPr>
              <w:pStyle w:val="6"/>
              <w:spacing w:before="265" w:line="224" w:lineRule="auto"/>
              <w:ind w:left="1503"/>
            </w:pPr>
            <w:r>
              <w:rPr>
                <w:spacing w:val="6"/>
                <w14:textOutline w14:w="3210" w14:cap="sq" w14:cmpd="sng">
                  <w14:solidFill>
                    <w14:srgbClr w14:val="000000"/>
                  </w14:solidFill>
                  <w14:prstDash w14:val="solid"/>
                  <w14:bevel/>
                </w14:textOutline>
              </w:rPr>
              <w:t>整改建议</w:t>
            </w:r>
          </w:p>
        </w:tc>
        <w:tc>
          <w:tcPr>
            <w:tcW w:w="3167" w:type="dxa"/>
            <w:gridSpan w:val="3"/>
            <w:vAlign w:val="top"/>
          </w:tcPr>
          <w:p>
            <w:pPr>
              <w:pStyle w:val="6"/>
              <w:spacing w:before="35" w:line="193" w:lineRule="auto"/>
              <w:ind w:left="1329"/>
            </w:pPr>
            <w:r>
              <w:rPr>
                <w14:textOutline w14:w="3210" w14:cap="sq" w14:cmpd="sng">
                  <w14:solidFill>
                    <w14:srgbClr w14:val="000000"/>
                  </w14:solidFill>
                  <w14:prstDash w14:val="solid"/>
                  <w14:bevel/>
                </w14:textOutline>
              </w:rPr>
              <w:t>归属</w:t>
            </w:r>
            <w:r>
              <w:rPr>
                <w:spacing w:val="-27"/>
              </w:rPr>
              <w:t xml:space="preserve"> </w:t>
            </w:r>
            <w:r>
              <w:rPr>
                <w14:textOutline w14:w="3210" w14:cap="sq" w14:cmpd="sng">
                  <w14:solidFill>
                    <w14:srgbClr w14:val="000000"/>
                  </w14:solidFill>
                  <w14:prstDash w14:val="solid"/>
                  <w14:bevel/>
                </w14:textOutline>
              </w:rPr>
              <w:t>√</w:t>
            </w:r>
          </w:p>
        </w:tc>
        <w:tc>
          <w:tcPr>
            <w:tcW w:w="1444" w:type="dxa"/>
            <w:vMerge w:val="restart"/>
            <w:tcBorders>
              <w:bottom w:val="nil"/>
            </w:tcBorders>
            <w:vAlign w:val="top"/>
          </w:tcPr>
          <w:p>
            <w:pPr>
              <w:pStyle w:val="6"/>
              <w:spacing w:before="30" w:line="225" w:lineRule="auto"/>
              <w:ind w:left="72"/>
              <w:rPr>
                <w:sz w:val="18"/>
                <w:szCs w:val="18"/>
              </w:rPr>
            </w:pPr>
            <w:r>
              <w:rPr>
                <w:spacing w:val="5"/>
                <w:sz w:val="18"/>
                <w:szCs w:val="18"/>
                <w14:textOutline w14:w="3396" w14:cap="sq" w14:cmpd="sng">
                  <w14:solidFill>
                    <w14:srgbClr w14:val="000000"/>
                  </w14:solidFill>
                  <w14:prstDash w14:val="solid"/>
                  <w14:bevel/>
                </w14:textOutline>
              </w:rPr>
              <w:t>是否构成重大隐</w:t>
            </w:r>
          </w:p>
          <w:p>
            <w:pPr>
              <w:pStyle w:val="6"/>
              <w:spacing w:before="9" w:line="230" w:lineRule="auto"/>
              <w:ind w:left="646"/>
              <w:rPr>
                <w:sz w:val="18"/>
                <w:szCs w:val="18"/>
              </w:rPr>
            </w:pPr>
            <w:r>
              <w:rPr>
                <w:sz w:val="18"/>
                <w:szCs w:val="18"/>
                <w14:textOutline w14:w="3396" w14:cap="sq" w14:cmpd="sng">
                  <w14:solidFill>
                    <w14:srgbClr w14:val="000000"/>
                  </w14:solidFill>
                  <w14:prstDash w14:val="solid"/>
                  <w14:bevel/>
                </w14:textOutline>
              </w:rPr>
              <w:t>患</w:t>
            </w:r>
          </w:p>
          <w:p>
            <w:pPr>
              <w:pStyle w:val="6"/>
              <w:spacing w:before="5" w:line="188" w:lineRule="auto"/>
              <w:ind w:left="683"/>
              <w:rPr>
                <w:sz w:val="18"/>
                <w:szCs w:val="18"/>
              </w:rPr>
            </w:pPr>
            <w:r>
              <w:rPr>
                <w:sz w:val="18"/>
                <w:szCs w:val="18"/>
                <w14:textOutline w14:w="3396"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591" w:type="dxa"/>
            <w:vMerge w:val="continue"/>
            <w:tcBorders>
              <w:top w:val="nil"/>
            </w:tcBorders>
            <w:vAlign w:val="top"/>
          </w:tcPr>
          <w:p>
            <w:pPr>
              <w:rPr>
                <w:rFonts w:ascii="Arial"/>
                <w:sz w:val="21"/>
              </w:rPr>
            </w:pPr>
          </w:p>
        </w:tc>
        <w:tc>
          <w:tcPr>
            <w:tcW w:w="626" w:type="dxa"/>
            <w:vMerge w:val="continue"/>
            <w:tcBorders>
              <w:top w:val="nil"/>
            </w:tcBorders>
            <w:vAlign w:val="top"/>
          </w:tcPr>
          <w:p>
            <w:pPr>
              <w:rPr>
                <w:rFonts w:ascii="Arial"/>
                <w:sz w:val="21"/>
              </w:rPr>
            </w:pPr>
          </w:p>
        </w:tc>
        <w:tc>
          <w:tcPr>
            <w:tcW w:w="1062" w:type="dxa"/>
            <w:vMerge w:val="continue"/>
            <w:tcBorders>
              <w:top w:val="nil"/>
            </w:tcBorders>
            <w:vAlign w:val="top"/>
          </w:tcPr>
          <w:p>
            <w:pPr>
              <w:rPr>
                <w:rFonts w:ascii="Arial"/>
                <w:sz w:val="21"/>
              </w:rPr>
            </w:pPr>
          </w:p>
        </w:tc>
        <w:tc>
          <w:tcPr>
            <w:tcW w:w="4114" w:type="dxa"/>
            <w:vMerge w:val="continue"/>
            <w:tcBorders>
              <w:top w:val="nil"/>
            </w:tcBorders>
            <w:vAlign w:val="top"/>
          </w:tcPr>
          <w:p>
            <w:pPr>
              <w:rPr>
                <w:rFonts w:ascii="Arial"/>
                <w:sz w:val="21"/>
              </w:rPr>
            </w:pPr>
          </w:p>
        </w:tc>
        <w:tc>
          <w:tcPr>
            <w:tcW w:w="3719" w:type="dxa"/>
            <w:vMerge w:val="continue"/>
            <w:tcBorders>
              <w:top w:val="nil"/>
            </w:tcBorders>
            <w:vAlign w:val="top"/>
          </w:tcPr>
          <w:p>
            <w:pPr>
              <w:rPr>
                <w:rFonts w:ascii="Arial"/>
                <w:sz w:val="21"/>
              </w:rPr>
            </w:pPr>
          </w:p>
        </w:tc>
        <w:tc>
          <w:tcPr>
            <w:tcW w:w="1041" w:type="dxa"/>
            <w:vAlign w:val="top"/>
          </w:tcPr>
          <w:p>
            <w:pPr>
              <w:pStyle w:val="6"/>
              <w:spacing w:before="33" w:line="218" w:lineRule="auto"/>
              <w:ind w:left="439" w:right="58" w:hanging="363"/>
              <w:jc w:val="center"/>
              <w:rPr>
                <w:rFonts w:hint="eastAsia"/>
                <w:spacing w:val="8"/>
                <w:lang w:eastAsia="zh-CN"/>
                <w14:textOutline w14:w="3210" w14:cap="sq" w14:cmpd="sng">
                  <w14:solidFill>
                    <w14:srgbClr w14:val="000000"/>
                  </w14:solidFill>
                  <w14:prstDash w14:val="solid"/>
                  <w14:bevel/>
                </w14:textOutline>
              </w:rPr>
            </w:pPr>
            <w:r>
              <w:rPr>
                <w:spacing w:val="8"/>
                <w14:textOutline w14:w="3210" w14:cap="sq" w14:cmpd="sng">
                  <w14:solidFill>
                    <w14:srgbClr w14:val="000000"/>
                  </w14:solidFill>
                  <w14:prstDash w14:val="solid"/>
                  <w14:bevel/>
                </w14:textOutline>
              </w:rPr>
              <w:t>文件</w:t>
            </w:r>
            <w:r>
              <w:rPr>
                <w:rFonts w:hint="eastAsia"/>
                <w:spacing w:val="8"/>
                <w:lang w:eastAsia="zh-CN"/>
                <w14:textOutline w14:w="3210" w14:cap="sq" w14:cmpd="sng">
                  <w14:solidFill>
                    <w14:srgbClr w14:val="000000"/>
                  </w14:solidFill>
                  <w14:prstDash w14:val="solid"/>
                  <w14:bevel/>
                </w14:textOutline>
              </w:rPr>
              <w:t>类</w:t>
            </w:r>
          </w:p>
          <w:p>
            <w:pPr>
              <w:pStyle w:val="6"/>
              <w:spacing w:before="33" w:line="218" w:lineRule="auto"/>
              <w:ind w:left="439" w:right="58" w:hanging="363"/>
              <w:jc w:val="center"/>
            </w:pPr>
            <w:r>
              <w:rPr>
                <w:spacing w:val="8"/>
                <w14:textOutline w14:w="3210" w14:cap="sq" w14:cmpd="sng">
                  <w14:solidFill>
                    <w14:srgbClr w14:val="000000"/>
                  </w14:solidFill>
                  <w14:prstDash w14:val="solid"/>
                  <w14:bevel/>
                </w14:textOutline>
              </w:rPr>
              <w:t>资料</w:t>
            </w:r>
            <w:r>
              <w:rPr>
                <w14:textOutline w14:w="3210" w14:cap="sq" w14:cmpd="sng">
                  <w14:solidFill>
                    <w14:srgbClr w14:val="000000"/>
                  </w14:solidFill>
                  <w14:prstDash w14:val="solid"/>
                  <w14:bevel/>
                </w14:textOutline>
              </w:rPr>
              <w:t>类</w:t>
            </w:r>
          </w:p>
        </w:tc>
        <w:tc>
          <w:tcPr>
            <w:tcW w:w="1189" w:type="dxa"/>
            <w:vAlign w:val="top"/>
          </w:tcPr>
          <w:p>
            <w:pPr>
              <w:pStyle w:val="6"/>
              <w:spacing w:before="142" w:line="224" w:lineRule="auto"/>
              <w:ind w:left="332"/>
            </w:pPr>
            <w:r>
              <w:rPr>
                <w:spacing w:val="5"/>
                <w14:textOutline w14:w="3210" w14:cap="sq" w14:cmpd="sng">
                  <w14:solidFill>
                    <w14:srgbClr w14:val="000000"/>
                  </w14:solidFill>
                  <w14:prstDash w14:val="solid"/>
                  <w14:bevel/>
                </w14:textOutline>
              </w:rPr>
              <w:t>执行类</w:t>
            </w:r>
          </w:p>
        </w:tc>
        <w:tc>
          <w:tcPr>
            <w:tcW w:w="937" w:type="dxa"/>
            <w:vAlign w:val="top"/>
          </w:tcPr>
          <w:p>
            <w:pPr>
              <w:pStyle w:val="6"/>
              <w:spacing w:before="142" w:line="224" w:lineRule="auto"/>
              <w:ind w:left="210"/>
            </w:pPr>
            <w:r>
              <w:rPr>
                <w:spacing w:val="5"/>
                <w14:textOutline w14:w="3210" w14:cap="sq" w14:cmpd="sng">
                  <w14:solidFill>
                    <w14:srgbClr w14:val="000000"/>
                  </w14:solidFill>
                  <w14:prstDash w14:val="solid"/>
                  <w14:bevel/>
                </w14:textOutline>
              </w:rPr>
              <w:t>现场类</w:t>
            </w:r>
          </w:p>
        </w:tc>
        <w:tc>
          <w:tcPr>
            <w:tcW w:w="1444" w:type="dxa"/>
            <w:vMerge w:val="continue"/>
            <w:tcBorders>
              <w:top w:val="nil"/>
            </w:tcBorders>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5" w:hRule="atLeast"/>
        </w:trPr>
        <w:tc>
          <w:tcPr>
            <w:tcW w:w="591" w:type="dxa"/>
            <w:vAlign w:val="top"/>
          </w:tcPr>
          <w:p>
            <w:pPr>
              <w:pStyle w:val="6"/>
              <w:spacing w:before="54" w:line="163" w:lineRule="auto"/>
              <w:ind w:left="265"/>
            </w:pPr>
            <w:r>
              <w:rPr>
                <w14:textOutline w14:w="3210" w14:cap="sq" w14:cmpd="sng">
                  <w14:solidFill>
                    <w14:srgbClr w14:val="000000"/>
                  </w14:solidFill>
                  <w14:prstDash w14:val="solid"/>
                  <w14:bevel/>
                </w14:textOutline>
              </w:rPr>
              <w:t>1</w:t>
            </w:r>
          </w:p>
        </w:tc>
        <w:tc>
          <w:tcPr>
            <w:tcW w:w="626" w:type="dxa"/>
            <w:vAlign w:val="top"/>
          </w:tcPr>
          <w:p>
            <w:pPr>
              <w:pStyle w:val="6"/>
              <w:spacing w:before="54" w:line="163" w:lineRule="auto"/>
              <w:ind w:left="282"/>
            </w:pPr>
            <w:r>
              <w:t>1</w:t>
            </w:r>
          </w:p>
        </w:tc>
        <w:tc>
          <w:tcPr>
            <w:tcW w:w="1062" w:type="dxa"/>
            <w:vAlign w:val="top"/>
          </w:tcPr>
          <w:p>
            <w:pPr>
              <w:spacing w:line="205" w:lineRule="exact"/>
              <w:rPr>
                <w:rFonts w:ascii="Arial"/>
                <w:sz w:val="17"/>
              </w:rPr>
            </w:pPr>
          </w:p>
        </w:tc>
        <w:tc>
          <w:tcPr>
            <w:tcW w:w="4114" w:type="dxa"/>
            <w:vAlign w:val="top"/>
          </w:tcPr>
          <w:p>
            <w:pPr>
              <w:pStyle w:val="6"/>
              <w:spacing w:before="55" w:line="162" w:lineRule="auto"/>
              <w:ind w:left="2015"/>
            </w:pPr>
            <w:r>
              <w:rPr>
                <w14:textOutline w14:w="3210" w14:cap="sq" w14:cmpd="sng">
                  <w14:solidFill>
                    <w14:srgbClr w14:val="000000"/>
                  </w14:solidFill>
                  <w14:prstDash w14:val="solid"/>
                  <w14:bevel/>
                </w14:textOutline>
              </w:rPr>
              <w:t>4</w:t>
            </w:r>
          </w:p>
        </w:tc>
        <w:tc>
          <w:tcPr>
            <w:tcW w:w="3719" w:type="dxa"/>
            <w:vAlign w:val="top"/>
          </w:tcPr>
          <w:p>
            <w:pPr>
              <w:pStyle w:val="6"/>
              <w:spacing w:before="56" w:line="161" w:lineRule="auto"/>
              <w:ind w:left="1824"/>
            </w:pPr>
            <w:r>
              <w:rPr>
                <w14:textOutline w14:w="3210" w14:cap="sq" w14:cmpd="sng">
                  <w14:solidFill>
                    <w14:srgbClr w14:val="000000"/>
                  </w14:solidFill>
                  <w14:prstDash w14:val="solid"/>
                  <w14:bevel/>
                </w14:textOutline>
              </w:rPr>
              <w:t>5</w:t>
            </w:r>
          </w:p>
        </w:tc>
        <w:tc>
          <w:tcPr>
            <w:tcW w:w="1041" w:type="dxa"/>
            <w:vAlign w:val="top"/>
          </w:tcPr>
          <w:p>
            <w:pPr>
              <w:pStyle w:val="6"/>
              <w:spacing w:before="55" w:line="162" w:lineRule="auto"/>
              <w:ind w:left="486"/>
            </w:pPr>
            <w:r>
              <w:rPr>
                <w14:textOutline w14:w="3210" w14:cap="sq" w14:cmpd="sng">
                  <w14:solidFill>
                    <w14:srgbClr w14:val="000000"/>
                  </w14:solidFill>
                  <w14:prstDash w14:val="solid"/>
                  <w14:bevel/>
                </w14:textOutline>
              </w:rPr>
              <w:t>6</w:t>
            </w:r>
          </w:p>
        </w:tc>
        <w:tc>
          <w:tcPr>
            <w:tcW w:w="1189" w:type="dxa"/>
            <w:vAlign w:val="top"/>
          </w:tcPr>
          <w:p>
            <w:pPr>
              <w:pStyle w:val="6"/>
              <w:spacing w:before="56" w:line="161" w:lineRule="auto"/>
              <w:ind w:left="564"/>
            </w:pPr>
            <w:r>
              <w:rPr>
                <w14:textOutline w14:w="3210" w14:cap="sq" w14:cmpd="sng">
                  <w14:solidFill>
                    <w14:srgbClr w14:val="000000"/>
                  </w14:solidFill>
                  <w14:prstDash w14:val="solid"/>
                  <w14:bevel/>
                </w14:textOutline>
              </w:rPr>
              <w:t>7</w:t>
            </w:r>
          </w:p>
        </w:tc>
        <w:tc>
          <w:tcPr>
            <w:tcW w:w="937" w:type="dxa"/>
            <w:vAlign w:val="top"/>
          </w:tcPr>
          <w:p>
            <w:pPr>
              <w:pStyle w:val="6"/>
              <w:spacing w:before="55" w:line="162" w:lineRule="auto"/>
              <w:ind w:left="435"/>
            </w:pPr>
            <w:r>
              <w:rPr>
                <w14:textOutline w14:w="3210" w14:cap="sq" w14:cmpd="sng">
                  <w14:solidFill>
                    <w14:srgbClr w14:val="000000"/>
                  </w14:solidFill>
                  <w14:prstDash w14:val="solid"/>
                  <w14:bevel/>
                </w14:textOutline>
              </w:rPr>
              <w:t>8</w:t>
            </w:r>
          </w:p>
        </w:tc>
        <w:tc>
          <w:tcPr>
            <w:tcW w:w="1444" w:type="dxa"/>
            <w:vAlign w:val="top"/>
          </w:tcPr>
          <w:p>
            <w:pPr>
              <w:pStyle w:val="6"/>
              <w:spacing w:before="55" w:line="162" w:lineRule="auto"/>
              <w:ind w:left="686"/>
            </w:pPr>
            <w:r>
              <w:rPr>
                <w14:textOutline w14:w="3210" w14:cap="sq" w14:cmpd="sng">
                  <w14:solidFill>
                    <w14:srgbClr w14:val="000000"/>
                  </w14:solidFill>
                  <w14:prstDash w14:val="solid"/>
                  <w14:bevel/>
                </w14:textOutline>
              </w:rPr>
              <w:t>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591"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6"/>
              <w:spacing w:before="55" w:line="235" w:lineRule="auto"/>
              <w:ind w:left="119" w:right="111" w:hanging="2"/>
              <w:jc w:val="both"/>
            </w:pPr>
            <w:r>
              <w:rPr>
                <w:spacing w:val="3"/>
                <w14:textOutline w14:w="3210" w14:cap="sq" w14:cmpd="sng">
                  <w14:solidFill>
                    <w14:srgbClr w14:val="000000"/>
                  </w14:solidFill>
                  <w14:prstDash w14:val="solid"/>
                  <w14:bevel/>
                </w14:textOutline>
              </w:rPr>
              <w:t>作业</w:t>
            </w:r>
            <w:r>
              <w:t xml:space="preserve"> </w:t>
            </w:r>
            <w:r>
              <w:rPr>
                <w:spacing w:val="2"/>
                <w14:textOutline w14:w="3210" w14:cap="sq" w14:cmpd="sng">
                  <w14:solidFill>
                    <w14:srgbClr w14:val="000000"/>
                  </w14:solidFill>
                  <w14:prstDash w14:val="solid"/>
                  <w14:bevel/>
                </w14:textOutline>
              </w:rPr>
              <w:t>安全</w:t>
            </w:r>
            <w:r>
              <w:t xml:space="preserve"> </w:t>
            </w:r>
            <w:r>
              <w:rPr>
                <w:spacing w:val="2"/>
                <w14:textOutline w14:w="3210" w14:cap="sq" w14:cmpd="sng">
                  <w14:solidFill>
                    <w14:srgbClr w14:val="000000"/>
                  </w14:solidFill>
                  <w14:prstDash w14:val="solid"/>
                  <w14:bevel/>
                </w14:textOutline>
              </w:rPr>
              <w:t>管理</w:t>
            </w:r>
          </w:p>
        </w:tc>
        <w:tc>
          <w:tcPr>
            <w:tcW w:w="626" w:type="dxa"/>
            <w:vAlign w:val="top"/>
          </w:tcPr>
          <w:p>
            <w:pPr>
              <w:pStyle w:val="6"/>
              <w:spacing w:before="286" w:line="187" w:lineRule="auto"/>
              <w:ind w:left="271"/>
            </w:pPr>
            <w:r>
              <w:t>2</w:t>
            </w:r>
          </w:p>
        </w:tc>
        <w:tc>
          <w:tcPr>
            <w:tcW w:w="1062" w:type="dxa"/>
            <w:vAlign w:val="top"/>
          </w:tcPr>
          <w:p>
            <w:pPr>
              <w:pStyle w:val="6"/>
              <w:spacing w:before="286" w:line="187" w:lineRule="auto"/>
              <w:ind w:left="318"/>
            </w:pPr>
            <w:r>
              <w:rPr>
                <w:spacing w:val="3"/>
              </w:rPr>
              <w:t>1.1.1</w:t>
            </w:r>
          </w:p>
        </w:tc>
        <w:tc>
          <w:tcPr>
            <w:tcW w:w="4114" w:type="dxa"/>
            <w:vAlign w:val="top"/>
          </w:tcPr>
          <w:p>
            <w:pPr>
              <w:pStyle w:val="6"/>
              <w:spacing w:before="40" w:line="226" w:lineRule="auto"/>
              <w:ind w:left="32" w:right="132" w:firstLine="3"/>
              <w:jc w:val="both"/>
            </w:pPr>
            <w:r>
              <w:rPr>
                <w:spacing w:val="5"/>
              </w:rPr>
              <w:t>《盲板抽堵作业管理制度</w:t>
            </w:r>
            <w:r>
              <w:rPr>
                <w:spacing w:val="-26"/>
              </w:rPr>
              <w:t xml:space="preserve"> </w:t>
            </w:r>
            <w:r>
              <w:rPr>
                <w:spacing w:val="5"/>
              </w:rPr>
              <w:t>》中未明确纸质作业票证</w:t>
            </w:r>
            <w:r>
              <w:rPr>
                <w:spacing w:val="6"/>
              </w:rPr>
              <w:t>的开票情形（已运行特殊作业电子信息化系统</w:t>
            </w:r>
            <w:r>
              <w:rPr>
                <w:spacing w:val="-24"/>
              </w:rPr>
              <w:t xml:space="preserve"> </w:t>
            </w:r>
            <w:r>
              <w:rPr>
                <w:spacing w:val="6"/>
              </w:rPr>
              <w:t>，存</w:t>
            </w:r>
            <w:r>
              <w:t xml:space="preserve"> </w:t>
            </w:r>
            <w:r>
              <w:rPr>
                <w:spacing w:val="3"/>
              </w:rPr>
              <w:t>在开纸质作业票的情况</w:t>
            </w:r>
            <w:r>
              <w:rPr>
                <w:spacing w:val="-34"/>
              </w:rPr>
              <w:t xml:space="preserve"> </w:t>
            </w:r>
            <w:r>
              <w:rPr>
                <w:spacing w:val="3"/>
              </w:rPr>
              <w:t>）。</w:t>
            </w:r>
          </w:p>
        </w:tc>
        <w:tc>
          <w:tcPr>
            <w:tcW w:w="3719" w:type="dxa"/>
            <w:vAlign w:val="top"/>
          </w:tcPr>
          <w:p>
            <w:pPr>
              <w:pStyle w:val="6"/>
              <w:spacing w:before="150" w:line="236" w:lineRule="auto"/>
              <w:ind w:left="47" w:right="110" w:hanging="5"/>
            </w:pPr>
            <w:r>
              <w:rPr>
                <w:spacing w:val="5"/>
              </w:rPr>
              <w:t>结合企业实际，修订《盲板抽堵作业管理制度</w:t>
            </w:r>
            <w:r>
              <w:rPr>
                <w:spacing w:val="-8"/>
              </w:rPr>
              <w:t>》。</w:t>
            </w:r>
          </w:p>
        </w:tc>
        <w:tc>
          <w:tcPr>
            <w:tcW w:w="1041" w:type="dxa"/>
            <w:vAlign w:val="top"/>
          </w:tcPr>
          <w:p>
            <w:pPr>
              <w:rPr>
                <w:rFonts w:ascii="Arial"/>
                <w:sz w:val="21"/>
              </w:rPr>
            </w:pPr>
          </w:p>
        </w:tc>
        <w:tc>
          <w:tcPr>
            <w:tcW w:w="1189" w:type="dxa"/>
            <w:vAlign w:val="top"/>
          </w:tcPr>
          <w:p>
            <w:pPr>
              <w:pStyle w:val="6"/>
              <w:spacing w:before="258"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87"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6" w:line="187" w:lineRule="auto"/>
              <w:ind w:left="273"/>
            </w:pPr>
            <w:r>
              <w:t>3</w:t>
            </w:r>
          </w:p>
        </w:tc>
        <w:tc>
          <w:tcPr>
            <w:tcW w:w="1062"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6" w:line="187" w:lineRule="auto"/>
              <w:ind w:left="318"/>
            </w:pPr>
            <w:r>
              <w:rPr>
                <w:spacing w:val="-1"/>
              </w:rPr>
              <w:t>1.1.2</w:t>
            </w:r>
          </w:p>
        </w:tc>
        <w:tc>
          <w:tcPr>
            <w:tcW w:w="4114" w:type="dxa"/>
            <w:vAlign w:val="top"/>
          </w:tcPr>
          <w:p>
            <w:pPr>
              <w:spacing w:line="352" w:lineRule="auto"/>
              <w:rPr>
                <w:rFonts w:ascii="Arial"/>
                <w:sz w:val="21"/>
              </w:rPr>
            </w:pPr>
          </w:p>
          <w:p>
            <w:pPr>
              <w:pStyle w:val="6"/>
              <w:spacing w:before="55" w:line="236" w:lineRule="auto"/>
              <w:ind w:left="34" w:firstLine="1"/>
            </w:pPr>
            <w:r>
              <w:rPr>
                <w:spacing w:val="6"/>
              </w:rPr>
              <w:t>2024年1月5日气化车间气化炉B炉内“搭设脚手架”受限空间作业票（编号：20240105-006），涉及高处作业，关联其他特殊作业栏填写“无 ”；仅有1名作业人员，作业时间16时42分至17时00分（仅18分钟），视频显示16时51分人员正在进入气化炉，尚未开展作业（未提供其他搭设脚手架的受限空间 、高处作业票），作业时间与作业量不符合常理。</w:t>
            </w:r>
          </w:p>
        </w:tc>
        <w:tc>
          <w:tcPr>
            <w:tcW w:w="3719"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14" w:line="231" w:lineRule="auto"/>
              <w:ind w:left="37" w:right="91" w:firstLine="7"/>
            </w:pPr>
            <w:r>
              <w:rPr>
                <w:spacing w:val="6"/>
              </w:rPr>
              <w:t>按照</w:t>
            </w:r>
            <w:r>
              <w:rPr>
                <w:rFonts w:hint="eastAsia"/>
                <w:spacing w:val="6"/>
              </w:rPr>
              <w:t>《危险化学品企业特殊作业安全规范 》（GB 30871-2022）第4.6条的要求，严格履行特殊作业审批手续。</w:t>
            </w:r>
          </w:p>
        </w:tc>
        <w:tc>
          <w:tcPr>
            <w:tcW w:w="1041" w:type="dxa"/>
            <w:vAlign w:val="top"/>
          </w:tcPr>
          <w:p>
            <w:pPr>
              <w:rPr>
                <w:rFonts w:ascii="Arial"/>
                <w:sz w:val="21"/>
              </w:rPr>
            </w:pPr>
          </w:p>
        </w:tc>
        <w:tc>
          <w:tcPr>
            <w:tcW w:w="1189" w:type="dxa"/>
            <w:vAlign w:val="top"/>
          </w:tcPr>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56" w:line="223"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46" w:lineRule="auto"/>
              <w:rPr>
                <w:rFonts w:ascii="Arial"/>
                <w:sz w:val="21"/>
              </w:rPr>
            </w:pPr>
          </w:p>
          <w:p>
            <w:pPr>
              <w:spacing w:line="347" w:lineRule="auto"/>
              <w:rPr>
                <w:rFonts w:ascii="Arial"/>
                <w:sz w:val="21"/>
              </w:rPr>
            </w:pPr>
          </w:p>
          <w:p>
            <w:pPr>
              <w:pStyle w:val="6"/>
              <w:spacing w:before="55" w:line="187" w:lineRule="auto"/>
              <w:ind w:left="269"/>
            </w:pPr>
            <w:r>
              <w:t>4</w:t>
            </w:r>
          </w:p>
        </w:tc>
        <w:tc>
          <w:tcPr>
            <w:tcW w:w="1062" w:type="dxa"/>
            <w:vAlign w:val="top"/>
          </w:tcPr>
          <w:p>
            <w:pPr>
              <w:spacing w:line="346" w:lineRule="auto"/>
              <w:rPr>
                <w:rFonts w:ascii="Arial"/>
                <w:sz w:val="21"/>
              </w:rPr>
            </w:pPr>
          </w:p>
          <w:p>
            <w:pPr>
              <w:spacing w:line="347" w:lineRule="auto"/>
              <w:rPr>
                <w:rFonts w:ascii="Arial"/>
                <w:sz w:val="21"/>
              </w:rPr>
            </w:pPr>
          </w:p>
          <w:p>
            <w:pPr>
              <w:pStyle w:val="6"/>
              <w:spacing w:before="55" w:line="187" w:lineRule="auto"/>
              <w:ind w:left="318"/>
            </w:pPr>
            <w:r>
              <w:rPr>
                <w:spacing w:val="-1"/>
              </w:rPr>
              <w:t>1.1.4</w:t>
            </w:r>
          </w:p>
        </w:tc>
        <w:tc>
          <w:tcPr>
            <w:tcW w:w="4114" w:type="dxa"/>
            <w:vAlign w:val="top"/>
          </w:tcPr>
          <w:p>
            <w:pPr>
              <w:pStyle w:val="6"/>
              <w:spacing w:before="287" w:line="236" w:lineRule="auto"/>
              <w:ind w:left="36" w:hanging="1"/>
            </w:pPr>
            <w:r>
              <w:rPr>
                <w:spacing w:val="6"/>
              </w:rPr>
              <w:t>2024年1月5日气化车间气化炉B炉内“搭设脚手架 ”受限空间作业票（编号：20240105-006），作业时间1月5日16：42分至1月6日10时52分，1月6日受限空间气体取样分析时间10时36分，关联受限空间高处作业安全确认时间10时20分，时间逻辑错误。</w:t>
            </w:r>
          </w:p>
        </w:tc>
        <w:tc>
          <w:tcPr>
            <w:tcW w:w="3719" w:type="dxa"/>
            <w:vAlign w:val="top"/>
          </w:tcPr>
          <w:p>
            <w:pPr>
              <w:spacing w:line="447" w:lineRule="auto"/>
              <w:rPr>
                <w:rFonts w:ascii="Arial"/>
                <w:sz w:val="21"/>
              </w:rPr>
            </w:pPr>
          </w:p>
          <w:p>
            <w:pPr>
              <w:pStyle w:val="6"/>
              <w:spacing w:before="13" w:line="232" w:lineRule="auto"/>
              <w:ind w:left="37" w:right="93" w:firstLine="7"/>
            </w:pPr>
            <w:r>
              <w:rPr>
                <w:rFonts w:hint="eastAsia"/>
                <w:spacing w:val="6"/>
              </w:rPr>
              <w:t>按照《危险化学品企业特殊作业安全规范 》（GB 30871-2022）第6条的要求，规范电子作业信息化系统的管理。</w:t>
            </w:r>
          </w:p>
        </w:tc>
        <w:tc>
          <w:tcPr>
            <w:tcW w:w="1041" w:type="dxa"/>
            <w:vAlign w:val="top"/>
          </w:tcPr>
          <w:p>
            <w:pPr>
              <w:rPr>
                <w:rFonts w:ascii="Arial"/>
                <w:sz w:val="21"/>
              </w:rPr>
            </w:pPr>
          </w:p>
        </w:tc>
        <w:tc>
          <w:tcPr>
            <w:tcW w:w="1189" w:type="dxa"/>
            <w:vAlign w:val="top"/>
          </w:tcPr>
          <w:p>
            <w:pPr>
              <w:spacing w:line="333" w:lineRule="auto"/>
              <w:rPr>
                <w:rFonts w:ascii="Arial"/>
                <w:sz w:val="21"/>
              </w:rPr>
            </w:pPr>
          </w:p>
          <w:p>
            <w:pPr>
              <w:spacing w:line="333" w:lineRule="auto"/>
              <w:rPr>
                <w:rFonts w:ascii="Arial"/>
                <w:sz w:val="21"/>
              </w:rPr>
            </w:pPr>
          </w:p>
          <w:p>
            <w:pPr>
              <w:pStyle w:val="6"/>
              <w:spacing w:before="55"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75" w:hRule="atLeast"/>
        </w:trPr>
        <w:tc>
          <w:tcPr>
            <w:tcW w:w="591" w:type="dxa"/>
            <w:vMerge w:val="continue"/>
            <w:tcBorders>
              <w:top w:val="nil"/>
              <w:bottom w:val="nil"/>
            </w:tcBorders>
            <w:vAlign w:val="top"/>
          </w:tcPr>
          <w:p>
            <w:pPr>
              <w:rPr>
                <w:rFonts w:ascii="Arial"/>
                <w:sz w:val="21"/>
              </w:rPr>
            </w:pPr>
          </w:p>
        </w:tc>
        <w:tc>
          <w:tcPr>
            <w:tcW w:w="626" w:type="dxa"/>
            <w:vAlign w:val="top"/>
          </w:tcPr>
          <w:p>
            <w:pPr>
              <w:pStyle w:val="6"/>
              <w:spacing w:before="296" w:line="185" w:lineRule="auto"/>
              <w:ind w:left="273"/>
            </w:pPr>
            <w:r>
              <w:t>5</w:t>
            </w:r>
          </w:p>
        </w:tc>
        <w:tc>
          <w:tcPr>
            <w:tcW w:w="1062" w:type="dxa"/>
            <w:vAlign w:val="top"/>
          </w:tcPr>
          <w:p>
            <w:pPr>
              <w:pStyle w:val="6"/>
              <w:spacing w:before="294" w:line="187" w:lineRule="auto"/>
              <w:ind w:left="321"/>
            </w:pPr>
            <w:r>
              <w:rPr>
                <w:spacing w:val="-1"/>
              </w:rPr>
              <w:t>1.1.8</w:t>
            </w:r>
          </w:p>
        </w:tc>
        <w:tc>
          <w:tcPr>
            <w:tcW w:w="4114" w:type="dxa"/>
            <w:vAlign w:val="top"/>
          </w:tcPr>
          <w:p>
            <w:pPr>
              <w:pStyle w:val="6"/>
              <w:spacing w:before="267" w:line="224" w:lineRule="auto"/>
              <w:ind w:left="36"/>
            </w:pPr>
            <w:r>
              <w:rPr>
                <w:spacing w:val="8"/>
              </w:rPr>
              <w:t>未建立管线（设备）首次打开危险作业管理制度。</w:t>
            </w:r>
          </w:p>
        </w:tc>
        <w:tc>
          <w:tcPr>
            <w:tcW w:w="3719" w:type="dxa"/>
            <w:vAlign w:val="top"/>
          </w:tcPr>
          <w:p>
            <w:pPr>
              <w:pStyle w:val="6"/>
              <w:spacing w:before="159" w:line="231" w:lineRule="auto"/>
              <w:ind w:left="39" w:right="103" w:hanging="2"/>
            </w:pPr>
            <w:r>
              <w:rPr>
                <w:rFonts w:hint="eastAsia"/>
                <w:spacing w:val="6"/>
              </w:rPr>
              <w:t>基于风险及已发生的事故，建立管线（设备）首次打开危险作业管理制度。</w:t>
            </w:r>
          </w:p>
        </w:tc>
        <w:tc>
          <w:tcPr>
            <w:tcW w:w="1041" w:type="dxa"/>
            <w:vAlign w:val="top"/>
          </w:tcPr>
          <w:p>
            <w:pPr>
              <w:pStyle w:val="6"/>
              <w:spacing w:before="267" w:line="224" w:lineRule="exact"/>
              <w:ind w:left="482"/>
            </w:pPr>
            <w:r>
              <w:t>√</w:t>
            </w:r>
          </w:p>
        </w:tc>
        <w:tc>
          <w:tcPr>
            <w:tcW w:w="1189" w:type="dxa"/>
            <w:vAlign w:val="top"/>
          </w:tcPr>
          <w:p>
            <w:pPr>
              <w:rPr>
                <w:rFonts w:ascii="Arial"/>
                <w:sz w:val="21"/>
              </w:rPr>
            </w:pP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5" w:hRule="atLeast"/>
        </w:trPr>
        <w:tc>
          <w:tcPr>
            <w:tcW w:w="591" w:type="dxa"/>
            <w:vMerge w:val="continue"/>
            <w:tcBorders>
              <w:top w:val="nil"/>
            </w:tcBorders>
            <w:vAlign w:val="top"/>
          </w:tcPr>
          <w:p>
            <w:pPr>
              <w:rPr>
                <w:rFonts w:ascii="Arial"/>
                <w:sz w:val="21"/>
              </w:rPr>
            </w:pPr>
          </w:p>
        </w:tc>
        <w:tc>
          <w:tcPr>
            <w:tcW w:w="626" w:type="dxa"/>
            <w:vAlign w:val="top"/>
          </w:tcPr>
          <w:p>
            <w:pPr>
              <w:spacing w:line="353" w:lineRule="auto"/>
              <w:rPr>
                <w:rFonts w:ascii="Arial"/>
                <w:sz w:val="21"/>
              </w:rPr>
            </w:pPr>
          </w:p>
          <w:p>
            <w:pPr>
              <w:pStyle w:val="6"/>
              <w:spacing w:before="56" w:line="187" w:lineRule="auto"/>
              <w:ind w:left="271"/>
            </w:pPr>
            <w:r>
              <w:t>6</w:t>
            </w:r>
          </w:p>
        </w:tc>
        <w:tc>
          <w:tcPr>
            <w:tcW w:w="1062" w:type="dxa"/>
            <w:vAlign w:val="top"/>
          </w:tcPr>
          <w:p>
            <w:pPr>
              <w:spacing w:line="353" w:lineRule="auto"/>
              <w:rPr>
                <w:rFonts w:ascii="Arial"/>
                <w:sz w:val="21"/>
              </w:rPr>
            </w:pPr>
          </w:p>
          <w:p>
            <w:pPr>
              <w:pStyle w:val="6"/>
              <w:spacing w:before="56" w:line="187" w:lineRule="auto"/>
              <w:ind w:left="275"/>
            </w:pPr>
            <w:r>
              <w:t>1.1.13</w:t>
            </w:r>
          </w:p>
        </w:tc>
        <w:tc>
          <w:tcPr>
            <w:tcW w:w="4114" w:type="dxa"/>
            <w:vAlign w:val="top"/>
          </w:tcPr>
          <w:p>
            <w:pPr>
              <w:pStyle w:val="6"/>
              <w:spacing w:before="273" w:line="232" w:lineRule="auto"/>
              <w:ind w:left="34" w:right="175" w:hanging="1"/>
            </w:pPr>
            <w:r>
              <w:rPr>
                <w:spacing w:val="8"/>
              </w:rPr>
              <w:t>相关管理制度中未明确安全风险较大的设备检修、维修等危险作业的范围。</w:t>
            </w:r>
          </w:p>
        </w:tc>
        <w:tc>
          <w:tcPr>
            <w:tcW w:w="3719" w:type="dxa"/>
            <w:vAlign w:val="top"/>
          </w:tcPr>
          <w:p>
            <w:pPr>
              <w:pStyle w:val="6"/>
              <w:spacing w:before="164" w:line="234" w:lineRule="auto"/>
              <w:ind w:left="37" w:right="93" w:firstLine="1"/>
              <w:jc w:val="both"/>
            </w:pPr>
            <w:r>
              <w:rPr>
                <w:rFonts w:hint="eastAsia"/>
                <w:spacing w:val="6"/>
              </w:rPr>
              <w:t>按照《危险化学品企业安全风险隐患排查治理 导则》（应急〔2019〕78号）的要求，明确安全风险较大的设备检维修等危险作业的范围。</w:t>
            </w:r>
          </w:p>
        </w:tc>
        <w:tc>
          <w:tcPr>
            <w:tcW w:w="1041" w:type="dxa"/>
            <w:vAlign w:val="top"/>
          </w:tcPr>
          <w:p>
            <w:pPr>
              <w:spacing w:line="326" w:lineRule="auto"/>
              <w:rPr>
                <w:rFonts w:ascii="Arial"/>
                <w:sz w:val="21"/>
              </w:rPr>
            </w:pPr>
          </w:p>
          <w:p>
            <w:pPr>
              <w:pStyle w:val="6"/>
              <w:spacing w:before="56" w:line="223" w:lineRule="exact"/>
              <w:ind w:left="482"/>
            </w:pPr>
            <w:r>
              <w:t>√</w:t>
            </w:r>
          </w:p>
        </w:tc>
        <w:tc>
          <w:tcPr>
            <w:tcW w:w="1189" w:type="dxa"/>
            <w:vAlign w:val="top"/>
          </w:tcPr>
          <w:p>
            <w:pPr>
              <w:rPr>
                <w:rFonts w:ascii="Arial"/>
                <w:sz w:val="21"/>
              </w:rPr>
            </w:pP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43" w:hRule="atLeast"/>
        </w:trPr>
        <w:tc>
          <w:tcPr>
            <w:tcW w:w="591" w:type="dxa"/>
            <w:tcBorders>
              <w:bottom w:val="nil"/>
            </w:tcBorders>
            <w:vAlign w:val="top"/>
          </w:tcPr>
          <w:p>
            <w:pPr>
              <w:rPr>
                <w:rFonts w:ascii="Arial"/>
                <w:sz w:val="21"/>
              </w:rPr>
            </w:pPr>
          </w:p>
        </w:tc>
        <w:tc>
          <w:tcPr>
            <w:tcW w:w="626" w:type="dxa"/>
            <w:vAlign w:val="top"/>
          </w:tcPr>
          <w:p>
            <w:pPr>
              <w:spacing w:line="471" w:lineRule="auto"/>
              <w:rPr>
                <w:rFonts w:ascii="Arial"/>
                <w:sz w:val="21"/>
              </w:rPr>
            </w:pPr>
          </w:p>
          <w:p>
            <w:pPr>
              <w:pStyle w:val="6"/>
              <w:spacing w:before="55" w:line="185" w:lineRule="auto"/>
              <w:ind w:left="273"/>
            </w:pPr>
            <w:r>
              <w:t>7</w:t>
            </w:r>
          </w:p>
        </w:tc>
        <w:tc>
          <w:tcPr>
            <w:tcW w:w="1062" w:type="dxa"/>
            <w:vAlign w:val="top"/>
          </w:tcPr>
          <w:p>
            <w:pPr>
              <w:spacing w:line="469" w:lineRule="auto"/>
              <w:rPr>
                <w:rFonts w:ascii="Arial"/>
                <w:sz w:val="21"/>
              </w:rPr>
            </w:pPr>
          </w:p>
          <w:p>
            <w:pPr>
              <w:pStyle w:val="6"/>
              <w:spacing w:before="55" w:line="187" w:lineRule="auto"/>
              <w:ind w:left="318"/>
            </w:pPr>
            <w:r>
              <w:rPr>
                <w:spacing w:val="-1"/>
              </w:rPr>
              <w:t>1.3.3</w:t>
            </w:r>
          </w:p>
        </w:tc>
        <w:tc>
          <w:tcPr>
            <w:tcW w:w="4114" w:type="dxa"/>
            <w:vAlign w:val="top"/>
          </w:tcPr>
          <w:p>
            <w:pPr>
              <w:spacing w:line="333" w:lineRule="auto"/>
              <w:rPr>
                <w:rFonts w:ascii="Arial"/>
                <w:sz w:val="21"/>
              </w:rPr>
            </w:pPr>
          </w:p>
          <w:p>
            <w:pPr>
              <w:pStyle w:val="6"/>
              <w:spacing w:before="55" w:line="232" w:lineRule="auto"/>
              <w:ind w:left="33" w:right="129" w:firstLine="2"/>
            </w:pPr>
            <w:r>
              <w:rPr>
                <w:spacing w:val="8"/>
              </w:rPr>
              <w:t>2023年11月14日火灾处置及疏散演练记录中，无具体演练过程记录。</w:t>
            </w:r>
          </w:p>
        </w:tc>
        <w:tc>
          <w:tcPr>
            <w:tcW w:w="3719" w:type="dxa"/>
            <w:vAlign w:val="top"/>
          </w:tcPr>
          <w:p>
            <w:pPr>
              <w:pStyle w:val="6"/>
              <w:spacing w:before="11" w:line="235" w:lineRule="auto"/>
              <w:ind w:left="37" w:right="96" w:firstLine="7"/>
            </w:pPr>
            <w:r>
              <w:rPr>
                <w:rFonts w:hint="eastAsia"/>
                <w:spacing w:val="6"/>
              </w:rPr>
              <w:t>按照《生产安全事故应急演练基本规范 》（AQ/T 9007-2019）第7.5条的要求，演练实施过程中，安排专门人员采用文字、照片和音像手段记录演练过程。</w:t>
            </w:r>
          </w:p>
        </w:tc>
        <w:tc>
          <w:tcPr>
            <w:tcW w:w="1041" w:type="dxa"/>
            <w:vAlign w:val="top"/>
          </w:tcPr>
          <w:p>
            <w:pPr>
              <w:rPr>
                <w:rFonts w:ascii="Arial"/>
                <w:sz w:val="21"/>
              </w:rPr>
            </w:pPr>
          </w:p>
        </w:tc>
        <w:tc>
          <w:tcPr>
            <w:tcW w:w="1189" w:type="dxa"/>
            <w:vAlign w:val="top"/>
          </w:tcPr>
          <w:p>
            <w:pPr>
              <w:spacing w:line="442" w:lineRule="auto"/>
              <w:rPr>
                <w:rFonts w:ascii="Arial"/>
                <w:sz w:val="21"/>
              </w:rPr>
            </w:pPr>
          </w:p>
          <w:p>
            <w:pPr>
              <w:pStyle w:val="6"/>
              <w:spacing w:before="55"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11" w:right="1088" w:bottom="0" w:left="1010" w:header="0" w:footer="0" w:gutter="0"/>
          <w:cols w:space="720" w:num="1"/>
        </w:sectPr>
      </w:pPr>
    </w:p>
    <w:tbl>
      <w:tblPr>
        <w:tblStyle w:val="5"/>
        <w:tblW w:w="1472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626"/>
        <w:gridCol w:w="1062"/>
        <w:gridCol w:w="4114"/>
        <w:gridCol w:w="3719"/>
        <w:gridCol w:w="1041"/>
        <w:gridCol w:w="1189"/>
        <w:gridCol w:w="937"/>
        <w:gridCol w:w="1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591" w:type="dxa"/>
            <w:tcBorders>
              <w:top w:val="nil"/>
            </w:tcBorders>
            <w:vAlign w:val="top"/>
          </w:tcPr>
          <w:p>
            <w:pPr>
              <w:pStyle w:val="6"/>
              <w:spacing w:before="95" w:line="225" w:lineRule="auto"/>
              <w:ind w:left="117"/>
            </w:pPr>
            <w:r>
              <w:rPr>
                <w:spacing w:val="3"/>
                <w14:textOutline w14:w="3210" w14:cap="sq" w14:cmpd="sng">
                  <w14:solidFill>
                    <w14:srgbClr w14:val="000000"/>
                  </w14:solidFill>
                  <w14:prstDash w14:val="solid"/>
                  <w14:bevel/>
                </w14:textOutline>
              </w:rPr>
              <w:t>专业</w:t>
            </w:r>
          </w:p>
        </w:tc>
        <w:tc>
          <w:tcPr>
            <w:tcW w:w="626" w:type="dxa"/>
            <w:tcBorders>
              <w:top w:val="nil"/>
            </w:tcBorders>
            <w:vAlign w:val="top"/>
          </w:tcPr>
          <w:p>
            <w:pPr>
              <w:pStyle w:val="6"/>
              <w:spacing w:before="95" w:line="226" w:lineRule="auto"/>
              <w:ind w:left="129"/>
            </w:pPr>
            <w:r>
              <w:rPr>
                <w:spacing w:val="4"/>
                <w14:textOutline w14:w="3210" w14:cap="sq" w14:cmpd="sng">
                  <w14:solidFill>
                    <w14:srgbClr w14:val="000000"/>
                  </w14:solidFill>
                  <w14:prstDash w14:val="solid"/>
                  <w14:bevel/>
                </w14:textOutline>
              </w:rPr>
              <w:t>序号</w:t>
            </w:r>
          </w:p>
        </w:tc>
        <w:tc>
          <w:tcPr>
            <w:tcW w:w="1062" w:type="dxa"/>
            <w:tcBorders>
              <w:top w:val="nil"/>
            </w:tcBorders>
            <w:vAlign w:val="top"/>
          </w:tcPr>
          <w:p>
            <w:pPr>
              <w:pStyle w:val="6"/>
              <w:spacing w:line="224" w:lineRule="auto"/>
              <w:ind w:left="80" w:right="81"/>
            </w:pPr>
            <w:r>
              <w:rPr>
                <w:spacing w:val="6"/>
                <w14:textOutline w14:w="3210" w14:cap="sq" w14:cmpd="sng">
                  <w14:solidFill>
                    <w14:srgbClr w14:val="000000"/>
                  </w14:solidFill>
                  <w14:prstDash w14:val="solid"/>
                  <w14:bevel/>
                </w14:textOutline>
              </w:rPr>
              <w:t>核查表中检</w:t>
            </w:r>
            <w:r>
              <w:rPr>
                <w:spacing w:val="3"/>
              </w:rPr>
              <w:t xml:space="preserve"> </w:t>
            </w:r>
            <w:r>
              <w:rPr>
                <w:spacing w:val="6"/>
                <w14:textOutline w14:w="3210" w14:cap="sq" w14:cmpd="sng">
                  <w14:solidFill>
                    <w14:srgbClr w14:val="000000"/>
                  </w14:solidFill>
                  <w14:prstDash w14:val="solid"/>
                  <w14:bevel/>
                </w14:textOutline>
              </w:rPr>
              <w:t>查内容序号</w:t>
            </w:r>
          </w:p>
        </w:tc>
        <w:tc>
          <w:tcPr>
            <w:tcW w:w="4114" w:type="dxa"/>
            <w:tcBorders>
              <w:top w:val="nil"/>
            </w:tcBorders>
            <w:vAlign w:val="top"/>
          </w:tcPr>
          <w:p>
            <w:pPr>
              <w:pStyle w:val="6"/>
              <w:spacing w:before="95" w:line="227" w:lineRule="auto"/>
              <w:ind w:left="1716"/>
            </w:pPr>
            <w:r>
              <w:rPr>
                <w:spacing w:val="1"/>
                <w14:textOutline w14:w="3210" w14:cap="sq" w14:cmpd="sng">
                  <w14:solidFill>
                    <w14:srgbClr w14:val="000000"/>
                  </w14:solidFill>
                  <w14:prstDash w14:val="solid"/>
                  <w14:bevel/>
                </w14:textOutline>
              </w:rPr>
              <w:t>问题描述</w:t>
            </w:r>
          </w:p>
        </w:tc>
        <w:tc>
          <w:tcPr>
            <w:tcW w:w="3719" w:type="dxa"/>
            <w:tcBorders>
              <w:top w:val="nil"/>
            </w:tcBorders>
            <w:vAlign w:val="top"/>
          </w:tcPr>
          <w:p>
            <w:pPr>
              <w:pStyle w:val="6"/>
              <w:spacing w:before="95" w:line="224" w:lineRule="auto"/>
              <w:ind w:left="1503"/>
            </w:pPr>
            <w:r>
              <w:rPr>
                <w:spacing w:val="6"/>
                <w14:textOutline w14:w="3210" w14:cap="sq" w14:cmpd="sng">
                  <w14:solidFill>
                    <w14:srgbClr w14:val="000000"/>
                  </w14:solidFill>
                  <w14:prstDash w14:val="solid"/>
                  <w14:bevel/>
                </w14:textOutline>
              </w:rPr>
              <w:t>整改建议</w:t>
            </w:r>
          </w:p>
        </w:tc>
        <w:tc>
          <w:tcPr>
            <w:tcW w:w="1041" w:type="dxa"/>
            <w:vAlign w:val="top"/>
          </w:tcPr>
          <w:p>
            <w:pPr>
              <w:pStyle w:val="6"/>
              <w:spacing w:before="33" w:line="218" w:lineRule="auto"/>
              <w:ind w:left="439" w:right="58" w:hanging="363"/>
              <w:jc w:val="center"/>
              <w:rPr>
                <w:rFonts w:hint="eastAsia"/>
                <w:spacing w:val="8"/>
                <w:lang w:eastAsia="zh-CN"/>
                <w14:textOutline w14:w="3210" w14:cap="sq" w14:cmpd="sng">
                  <w14:solidFill>
                    <w14:srgbClr w14:val="000000"/>
                  </w14:solidFill>
                  <w14:prstDash w14:val="solid"/>
                  <w14:bevel/>
                </w14:textOutline>
              </w:rPr>
            </w:pPr>
            <w:r>
              <w:rPr>
                <w:spacing w:val="8"/>
                <w14:textOutline w14:w="3210" w14:cap="sq" w14:cmpd="sng">
                  <w14:solidFill>
                    <w14:srgbClr w14:val="000000"/>
                  </w14:solidFill>
                  <w14:prstDash w14:val="solid"/>
                  <w14:bevel/>
                </w14:textOutline>
              </w:rPr>
              <w:t>文件</w:t>
            </w:r>
            <w:r>
              <w:rPr>
                <w:rFonts w:hint="eastAsia"/>
                <w:spacing w:val="8"/>
                <w:lang w:eastAsia="zh-CN"/>
                <w14:textOutline w14:w="3210" w14:cap="sq" w14:cmpd="sng">
                  <w14:solidFill>
                    <w14:srgbClr w14:val="000000"/>
                  </w14:solidFill>
                  <w14:prstDash w14:val="solid"/>
                  <w14:bevel/>
                </w14:textOutline>
              </w:rPr>
              <w:t>类</w:t>
            </w:r>
          </w:p>
          <w:p>
            <w:pPr>
              <w:pStyle w:val="6"/>
              <w:spacing w:before="33" w:line="218" w:lineRule="auto"/>
              <w:ind w:left="439" w:right="58" w:hanging="363"/>
              <w:jc w:val="center"/>
            </w:pPr>
            <w:r>
              <w:rPr>
                <w:spacing w:val="8"/>
                <w14:textOutline w14:w="3210" w14:cap="sq" w14:cmpd="sng">
                  <w14:solidFill>
                    <w14:srgbClr w14:val="000000"/>
                  </w14:solidFill>
                  <w14:prstDash w14:val="solid"/>
                  <w14:bevel/>
                </w14:textOutline>
              </w:rPr>
              <w:t>资料</w:t>
            </w:r>
            <w:r>
              <w:rPr>
                <w14:textOutline w14:w="3210" w14:cap="sq" w14:cmpd="sng">
                  <w14:solidFill>
                    <w14:srgbClr w14:val="000000"/>
                  </w14:solidFill>
                  <w14:prstDash w14:val="solid"/>
                  <w14:bevel/>
                </w14:textOutline>
              </w:rPr>
              <w:t>类</w:t>
            </w:r>
          </w:p>
        </w:tc>
        <w:tc>
          <w:tcPr>
            <w:tcW w:w="1189" w:type="dxa"/>
            <w:vAlign w:val="top"/>
          </w:tcPr>
          <w:p>
            <w:pPr>
              <w:pStyle w:val="6"/>
              <w:spacing w:before="210" w:line="224" w:lineRule="auto"/>
              <w:ind w:left="332"/>
            </w:pPr>
            <w:r>
              <w:rPr>
                <w:spacing w:val="5"/>
                <w14:textOutline w14:w="3210" w14:cap="sq" w14:cmpd="sng">
                  <w14:solidFill>
                    <w14:srgbClr w14:val="000000"/>
                  </w14:solidFill>
                  <w14:prstDash w14:val="solid"/>
                  <w14:bevel/>
                </w14:textOutline>
              </w:rPr>
              <w:t>执行类</w:t>
            </w:r>
          </w:p>
        </w:tc>
        <w:tc>
          <w:tcPr>
            <w:tcW w:w="937" w:type="dxa"/>
            <w:vAlign w:val="top"/>
          </w:tcPr>
          <w:p>
            <w:pPr>
              <w:pStyle w:val="6"/>
              <w:spacing w:before="210" w:line="224" w:lineRule="auto"/>
              <w:ind w:left="210"/>
            </w:pPr>
            <w:r>
              <w:rPr>
                <w:spacing w:val="5"/>
                <w14:textOutline w14:w="3210" w14:cap="sq" w14:cmpd="sng">
                  <w14:solidFill>
                    <w14:srgbClr w14:val="000000"/>
                  </w14:solidFill>
                  <w14:prstDash w14:val="solid"/>
                  <w14:bevel/>
                </w14:textOutline>
              </w:rPr>
              <w:t>现场类</w:t>
            </w:r>
          </w:p>
        </w:tc>
        <w:tc>
          <w:tcPr>
            <w:tcW w:w="1444" w:type="dxa"/>
            <w:tcBorders>
              <w:top w:val="nil"/>
            </w:tcBorders>
            <w:vAlign w:val="top"/>
          </w:tcPr>
          <w:p>
            <w:pPr>
              <w:pStyle w:val="6"/>
              <w:spacing w:before="89" w:line="236" w:lineRule="auto"/>
              <w:ind w:left="646"/>
              <w:rPr>
                <w:sz w:val="18"/>
                <w:szCs w:val="18"/>
              </w:rPr>
            </w:pPr>
            <w:r>
              <w:rPr>
                <w:sz w:val="18"/>
                <w:szCs w:val="18"/>
                <w14:textOutline w14:w="3396" w14:cap="sq" w14:cmpd="sng">
                  <w14:solidFill>
                    <w14:srgbClr w14:val="000000"/>
                  </w14:solidFill>
                  <w14:prstDash w14:val="solid"/>
                  <w14:bevel/>
                </w14:textOutline>
              </w:rPr>
              <w:t>患</w:t>
            </w:r>
          </w:p>
          <w:p>
            <w:pPr>
              <w:pStyle w:val="6"/>
              <w:spacing w:line="189" w:lineRule="auto"/>
              <w:ind w:left="683"/>
              <w:rPr>
                <w:sz w:val="18"/>
                <w:szCs w:val="18"/>
              </w:rPr>
            </w:pPr>
            <w:r>
              <w:rPr>
                <w:sz w:val="18"/>
                <w:szCs w:val="18"/>
                <w14:textOutline w14:w="3396"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591" w:type="dxa"/>
            <w:vMerge w:val="restart"/>
            <w:tcBorders>
              <w:bottom w:val="nil"/>
            </w:tcBorders>
            <w:vAlign w:val="top"/>
          </w:tcPr>
          <w:p>
            <w:pPr>
              <w:pStyle w:val="6"/>
              <w:spacing w:before="275" w:line="235" w:lineRule="auto"/>
              <w:ind w:left="117" w:right="111"/>
              <w:jc w:val="both"/>
            </w:pPr>
            <w:r>
              <w:rPr>
                <w:spacing w:val="3"/>
                <w14:textOutline w14:w="3210" w14:cap="sq" w14:cmpd="sng">
                  <w14:solidFill>
                    <w14:srgbClr w14:val="000000"/>
                  </w14:solidFill>
                  <w14:prstDash w14:val="solid"/>
                  <w14:bevel/>
                </w14:textOutline>
              </w:rPr>
              <w:t>其他</w:t>
            </w:r>
            <w:r>
              <w:t xml:space="preserve"> </w:t>
            </w:r>
            <w:r>
              <w:rPr>
                <w:spacing w:val="3"/>
                <w14:textOutline w14:w="3210" w14:cap="sq" w14:cmpd="sng">
                  <w14:solidFill>
                    <w14:srgbClr w14:val="000000"/>
                  </w14:solidFill>
                  <w14:prstDash w14:val="solid"/>
                  <w14:bevel/>
                </w14:textOutline>
              </w:rPr>
              <w:t>安全</w:t>
            </w:r>
            <w:r>
              <w:t xml:space="preserve"> </w:t>
            </w:r>
            <w:r>
              <w:rPr>
                <w:spacing w:val="3"/>
                <w14:textOutline w14:w="3210" w14:cap="sq" w14:cmpd="sng">
                  <w14:solidFill>
                    <w14:srgbClr w14:val="000000"/>
                  </w14:solidFill>
                  <w14:prstDash w14:val="solid"/>
                  <w14:bevel/>
                </w14:textOutline>
              </w:rPr>
              <w:t>基础</w:t>
            </w:r>
            <w:r>
              <w:t xml:space="preserve"> </w:t>
            </w:r>
            <w:r>
              <w:rPr>
                <w:spacing w:val="3"/>
                <w14:textOutline w14:w="3210" w14:cap="sq" w14:cmpd="sng">
                  <w14:solidFill>
                    <w14:srgbClr w14:val="000000"/>
                  </w14:solidFill>
                  <w14:prstDash w14:val="solid"/>
                  <w14:bevel/>
                </w14:textOutline>
              </w:rPr>
              <w:t>管理</w:t>
            </w:r>
          </w:p>
        </w:tc>
        <w:tc>
          <w:tcPr>
            <w:tcW w:w="626" w:type="dxa"/>
            <w:vAlign w:val="top"/>
          </w:tcPr>
          <w:p>
            <w:pPr>
              <w:spacing w:line="457" w:lineRule="auto"/>
              <w:rPr>
                <w:rFonts w:ascii="Arial"/>
                <w:sz w:val="21"/>
              </w:rPr>
            </w:pPr>
          </w:p>
          <w:p>
            <w:pPr>
              <w:pStyle w:val="6"/>
              <w:spacing w:before="55" w:line="187" w:lineRule="auto"/>
              <w:ind w:left="270"/>
            </w:pPr>
            <w:r>
              <w:t>8</w:t>
            </w:r>
          </w:p>
        </w:tc>
        <w:tc>
          <w:tcPr>
            <w:tcW w:w="1062" w:type="dxa"/>
            <w:vAlign w:val="top"/>
          </w:tcPr>
          <w:p>
            <w:pPr>
              <w:spacing w:line="457" w:lineRule="auto"/>
              <w:rPr>
                <w:rFonts w:ascii="Arial"/>
                <w:sz w:val="21"/>
              </w:rPr>
            </w:pPr>
          </w:p>
          <w:p>
            <w:pPr>
              <w:pStyle w:val="6"/>
              <w:spacing w:before="55" w:line="187" w:lineRule="auto"/>
              <w:ind w:left="318"/>
            </w:pPr>
            <w:r>
              <w:rPr>
                <w:spacing w:val="-1"/>
              </w:rPr>
              <w:t>1.5.6</w:t>
            </w:r>
          </w:p>
        </w:tc>
        <w:tc>
          <w:tcPr>
            <w:tcW w:w="4114" w:type="dxa"/>
            <w:vAlign w:val="top"/>
          </w:tcPr>
          <w:p>
            <w:pPr>
              <w:spacing w:line="322" w:lineRule="auto"/>
              <w:rPr>
                <w:rFonts w:ascii="Arial"/>
                <w:sz w:val="21"/>
              </w:rPr>
            </w:pPr>
          </w:p>
          <w:p>
            <w:pPr>
              <w:pStyle w:val="6"/>
              <w:spacing w:before="55" w:line="231" w:lineRule="auto"/>
              <w:ind w:left="33" w:right="175"/>
            </w:pPr>
            <w:r>
              <w:rPr>
                <w:spacing w:val="6"/>
              </w:rPr>
              <w:t>相关管理制度中未明确主要负责人每月带队对本单位开展一次重大事故隐患排查的管理要求。</w:t>
            </w:r>
          </w:p>
        </w:tc>
        <w:tc>
          <w:tcPr>
            <w:tcW w:w="3719" w:type="dxa"/>
            <w:vAlign w:val="top"/>
          </w:tcPr>
          <w:p>
            <w:pPr>
              <w:pStyle w:val="6"/>
              <w:spacing w:before="14" w:line="234" w:lineRule="auto"/>
              <w:ind w:left="39" w:right="81" w:firstLine="5"/>
            </w:pPr>
            <w:r>
              <w:rPr>
                <w:spacing w:val="6"/>
              </w:rPr>
              <w:t>按照《安全生产治本攻坚三年行动方案（2024-2026年）》（安委〔2024〕2号）第4条的要求，修订相关管理制度，主要负责人每月带队对本单位重大事故隐患情况进行检查。</w:t>
            </w:r>
          </w:p>
        </w:tc>
        <w:tc>
          <w:tcPr>
            <w:tcW w:w="1041" w:type="dxa"/>
            <w:vAlign w:val="top"/>
          </w:tcPr>
          <w:p>
            <w:pPr>
              <w:spacing w:line="429" w:lineRule="auto"/>
              <w:rPr>
                <w:rFonts w:ascii="Arial"/>
                <w:sz w:val="21"/>
              </w:rPr>
            </w:pPr>
          </w:p>
          <w:p>
            <w:pPr>
              <w:pStyle w:val="6"/>
              <w:spacing w:before="56" w:line="224" w:lineRule="exact"/>
              <w:ind w:left="482"/>
            </w:pPr>
            <w:r>
              <w:t>√</w:t>
            </w:r>
          </w:p>
        </w:tc>
        <w:tc>
          <w:tcPr>
            <w:tcW w:w="1189" w:type="dxa"/>
            <w:vAlign w:val="top"/>
          </w:tcPr>
          <w:p>
            <w:pPr>
              <w:rPr>
                <w:rFonts w:ascii="Arial"/>
                <w:sz w:val="21"/>
              </w:rPr>
            </w:pP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trPr>
        <w:tc>
          <w:tcPr>
            <w:tcW w:w="591" w:type="dxa"/>
            <w:vMerge w:val="continue"/>
            <w:tcBorders>
              <w:top w:val="nil"/>
            </w:tcBorders>
            <w:vAlign w:val="top"/>
          </w:tcPr>
          <w:p>
            <w:pPr>
              <w:rPr>
                <w:rFonts w:ascii="Arial"/>
                <w:sz w:val="21"/>
              </w:rPr>
            </w:pPr>
          </w:p>
        </w:tc>
        <w:tc>
          <w:tcPr>
            <w:tcW w:w="626" w:type="dxa"/>
            <w:vAlign w:val="top"/>
          </w:tcPr>
          <w:p>
            <w:pPr>
              <w:spacing w:line="286" w:lineRule="auto"/>
              <w:rPr>
                <w:rFonts w:ascii="Arial"/>
                <w:sz w:val="21"/>
              </w:rPr>
            </w:pPr>
          </w:p>
          <w:p>
            <w:pPr>
              <w:spacing w:line="287" w:lineRule="auto"/>
              <w:rPr>
                <w:rFonts w:ascii="Arial"/>
                <w:sz w:val="21"/>
              </w:rPr>
            </w:pPr>
          </w:p>
          <w:p>
            <w:pPr>
              <w:pStyle w:val="6"/>
              <w:spacing w:before="55" w:line="187" w:lineRule="auto"/>
              <w:ind w:left="270"/>
            </w:pPr>
            <w:r>
              <w:t>9</w:t>
            </w:r>
          </w:p>
        </w:tc>
        <w:tc>
          <w:tcPr>
            <w:tcW w:w="1062" w:type="dxa"/>
            <w:vAlign w:val="top"/>
          </w:tcPr>
          <w:p>
            <w:pPr>
              <w:spacing w:line="286" w:lineRule="auto"/>
              <w:rPr>
                <w:rFonts w:ascii="Arial"/>
                <w:sz w:val="21"/>
              </w:rPr>
            </w:pPr>
          </w:p>
          <w:p>
            <w:pPr>
              <w:spacing w:line="287" w:lineRule="auto"/>
              <w:rPr>
                <w:rFonts w:ascii="Arial"/>
                <w:sz w:val="21"/>
              </w:rPr>
            </w:pPr>
          </w:p>
          <w:p>
            <w:pPr>
              <w:pStyle w:val="6"/>
              <w:spacing w:before="55" w:line="187" w:lineRule="auto"/>
              <w:ind w:left="318"/>
            </w:pPr>
            <w:r>
              <w:rPr>
                <w:spacing w:val="-1"/>
              </w:rPr>
              <w:t>1.5.9</w:t>
            </w:r>
          </w:p>
        </w:tc>
        <w:tc>
          <w:tcPr>
            <w:tcW w:w="4114" w:type="dxa"/>
            <w:vAlign w:val="top"/>
          </w:tcPr>
          <w:p>
            <w:pPr>
              <w:spacing w:line="437" w:lineRule="auto"/>
              <w:rPr>
                <w:rFonts w:ascii="Arial"/>
                <w:sz w:val="21"/>
              </w:rPr>
            </w:pPr>
          </w:p>
          <w:p>
            <w:pPr>
              <w:pStyle w:val="6"/>
              <w:spacing w:before="55" w:line="232" w:lineRule="auto"/>
              <w:ind w:left="34" w:right="146" w:firstLine="2"/>
            </w:pPr>
            <w:r>
              <w:rPr>
                <w:spacing w:val="6"/>
              </w:rPr>
              <w:t>企业安全信息化系统中无仪表、设备等专业人员的专业性、日常隐患排查任务及排查记录。</w:t>
            </w:r>
          </w:p>
        </w:tc>
        <w:tc>
          <w:tcPr>
            <w:tcW w:w="3719" w:type="dxa"/>
            <w:vAlign w:val="top"/>
          </w:tcPr>
          <w:p>
            <w:pPr>
              <w:pStyle w:val="6"/>
              <w:spacing w:before="165" w:line="236" w:lineRule="auto"/>
              <w:ind w:left="37" w:right="110" w:firstLine="1"/>
              <w:jc w:val="both"/>
            </w:pPr>
            <w:r>
              <w:rPr>
                <w:spacing w:val="6"/>
              </w:rPr>
              <w:t>按照《危险化学品企业安全风险隐患排查治理 导则》（应急〔2019〕78号）第3.1条、《危 险化学品企业双重预防机制数字化建设工作指 南》的要求，将仪表、设备等专业性检查纳入双重预防机制数字化系统。</w:t>
            </w:r>
          </w:p>
        </w:tc>
        <w:tc>
          <w:tcPr>
            <w:tcW w:w="1041" w:type="dxa"/>
            <w:vAlign w:val="top"/>
          </w:tcPr>
          <w:p>
            <w:pPr>
              <w:spacing w:line="273" w:lineRule="auto"/>
              <w:rPr>
                <w:rFonts w:ascii="Arial"/>
                <w:sz w:val="21"/>
              </w:rPr>
            </w:pPr>
          </w:p>
          <w:p>
            <w:pPr>
              <w:spacing w:line="273" w:lineRule="auto"/>
              <w:rPr>
                <w:rFonts w:ascii="Arial"/>
                <w:sz w:val="21"/>
              </w:rPr>
            </w:pPr>
          </w:p>
          <w:p>
            <w:pPr>
              <w:pStyle w:val="6"/>
              <w:spacing w:before="55" w:line="224" w:lineRule="exact"/>
              <w:ind w:left="482"/>
            </w:pPr>
            <w:r>
              <w:t>√</w:t>
            </w:r>
          </w:p>
        </w:tc>
        <w:tc>
          <w:tcPr>
            <w:tcW w:w="1189" w:type="dxa"/>
            <w:vAlign w:val="top"/>
          </w:tcPr>
          <w:p>
            <w:pPr>
              <w:rPr>
                <w:rFonts w:ascii="Arial"/>
                <w:sz w:val="21"/>
              </w:rPr>
            </w:pP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25" w:hRule="atLeast"/>
        </w:trPr>
        <w:tc>
          <w:tcPr>
            <w:tcW w:w="591" w:type="dxa"/>
            <w:vAlign w:val="top"/>
          </w:tcPr>
          <w:p>
            <w:pPr>
              <w:spacing w:line="280" w:lineRule="auto"/>
              <w:rPr>
                <w:rFonts w:ascii="Arial"/>
                <w:sz w:val="21"/>
              </w:rPr>
            </w:pPr>
          </w:p>
          <w:p>
            <w:pPr>
              <w:spacing w:line="280" w:lineRule="auto"/>
              <w:rPr>
                <w:rFonts w:ascii="Arial"/>
                <w:sz w:val="21"/>
              </w:rPr>
            </w:pPr>
          </w:p>
          <w:p>
            <w:pPr>
              <w:pStyle w:val="6"/>
              <w:spacing w:before="55" w:line="226" w:lineRule="auto"/>
              <w:ind w:left="119"/>
            </w:pPr>
            <w:r>
              <w:rPr>
                <w:spacing w:val="2"/>
                <w14:textOutline w14:w="3210" w14:cap="sq" w14:cmpd="sng">
                  <w14:solidFill>
                    <w14:srgbClr w14:val="000000"/>
                  </w14:solidFill>
                  <w14:prstDash w14:val="solid"/>
                  <w14:bevel/>
                </w14:textOutline>
              </w:rPr>
              <w:t>设计</w:t>
            </w:r>
          </w:p>
          <w:p>
            <w:pPr>
              <w:pStyle w:val="6"/>
              <w:spacing w:before="10" w:line="227" w:lineRule="auto"/>
              <w:ind w:left="120"/>
            </w:pPr>
            <w:r>
              <w:rPr>
                <w:spacing w:val="2"/>
                <w14:textOutline w14:w="3210" w14:cap="sq" w14:cmpd="sng">
                  <w14:solidFill>
                    <w14:srgbClr w14:val="000000"/>
                  </w14:solidFill>
                  <w14:prstDash w14:val="solid"/>
                  <w14:bevel/>
                </w14:textOutline>
              </w:rPr>
              <w:t>与总</w:t>
            </w:r>
          </w:p>
          <w:p>
            <w:pPr>
              <w:pStyle w:val="6"/>
              <w:spacing w:before="12" w:line="226" w:lineRule="auto"/>
              <w:ind w:left="225"/>
            </w:pPr>
            <w:r>
              <w:rPr>
                <w14:textOutline w14:w="3210" w14:cap="sq" w14:cmpd="sng">
                  <w14:solidFill>
                    <w14:srgbClr w14:val="000000"/>
                  </w14:solidFill>
                  <w14:prstDash w14:val="solid"/>
                  <w14:bevel/>
                </w14:textOutline>
              </w:rPr>
              <w:t>图</w:t>
            </w:r>
          </w:p>
        </w:tc>
        <w:tc>
          <w:tcPr>
            <w:tcW w:w="626"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6"/>
              <w:spacing w:before="55" w:line="187" w:lineRule="auto"/>
              <w:ind w:left="236"/>
            </w:pPr>
            <w:r>
              <w:rPr>
                <w:spacing w:val="-7"/>
              </w:rPr>
              <w:t>10</w:t>
            </w:r>
          </w:p>
        </w:tc>
        <w:tc>
          <w:tcPr>
            <w:tcW w:w="1062" w:type="dxa"/>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pStyle w:val="6"/>
              <w:spacing w:before="56" w:line="187" w:lineRule="auto"/>
              <w:ind w:left="308"/>
            </w:pPr>
            <w:r>
              <w:rPr>
                <w:spacing w:val="5"/>
              </w:rPr>
              <w:t>2.2.1</w:t>
            </w:r>
          </w:p>
        </w:tc>
        <w:tc>
          <w:tcPr>
            <w:tcW w:w="4114"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1.2023年4月总平面布置图（天津晨力工程设计有限 公司）中未标识综合维修车间旁3个气瓶棚库（氧气 、乙炔、氢气）。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2.固定动火区设置在综合维修车间内 ，固定动火区未以实体防火墙与疏散出口处氧气、乙炔、氢气瓶棚库隔开（检查时有28瓶氢气实瓶）。</w:t>
            </w:r>
          </w:p>
          <w:p>
            <w:pPr>
              <w:pStyle w:val="6"/>
              <w:spacing w:before="13" w:line="234" w:lineRule="auto"/>
              <w:ind w:left="33" w:right="137" w:firstLine="2"/>
              <w:jc w:val="both"/>
            </w:pPr>
          </w:p>
        </w:tc>
        <w:tc>
          <w:tcPr>
            <w:tcW w:w="3719" w:type="dxa"/>
            <w:vAlign w:val="top"/>
          </w:tcPr>
          <w:p>
            <w:pPr>
              <w:spacing w:line="259" w:lineRule="auto"/>
              <w:rPr>
                <w:rFonts w:ascii="Arial"/>
                <w:sz w:val="21"/>
              </w:rPr>
            </w:pPr>
          </w:p>
          <w:p>
            <w:pPr>
              <w:spacing w:line="259" w:lineRule="auto"/>
              <w:rPr>
                <w:rFonts w:ascii="Arial"/>
                <w:sz w:val="21"/>
              </w:rPr>
            </w:pPr>
          </w:p>
          <w:p>
            <w:pPr>
              <w:spacing w:line="260" w:lineRule="auto"/>
              <w:rPr>
                <w:rFonts w:ascii="Arial"/>
                <w:sz w:val="21"/>
              </w:rPr>
            </w:pPr>
          </w:p>
          <w:p>
            <w:pPr>
              <w:pStyle w:val="6"/>
              <w:spacing w:before="55" w:line="224" w:lineRule="auto"/>
              <w:ind w:left="50"/>
            </w:pPr>
            <w:r>
              <w:rPr>
                <w:spacing w:val="6"/>
              </w:rPr>
              <w:t>1～2.联系设计单位整改。</w:t>
            </w:r>
          </w:p>
        </w:tc>
        <w:tc>
          <w:tcPr>
            <w:tcW w:w="1041" w:type="dxa"/>
            <w:vAlign w:val="top"/>
          </w:tcPr>
          <w:p>
            <w:pPr>
              <w:rPr>
                <w:rFonts w:ascii="Arial"/>
                <w:sz w:val="21"/>
              </w:rPr>
            </w:pPr>
          </w:p>
        </w:tc>
        <w:tc>
          <w:tcPr>
            <w:tcW w:w="1189"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55"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trPr>
        <w:tc>
          <w:tcPr>
            <w:tcW w:w="591"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55" w:line="233" w:lineRule="auto"/>
              <w:ind w:left="117" w:right="111"/>
            </w:pPr>
            <w:r>
              <w:rPr>
                <w:spacing w:val="3"/>
                <w14:textOutline w14:w="3210" w14:cap="sq" w14:cmpd="sng">
                  <w14:solidFill>
                    <w14:srgbClr w14:val="000000"/>
                  </w14:solidFill>
                  <w14:prstDash w14:val="solid"/>
                  <w14:bevel/>
                </w14:textOutline>
              </w:rPr>
              <w:t>装置</w:t>
            </w:r>
            <w:r>
              <w:t xml:space="preserve"> </w:t>
            </w:r>
            <w:r>
              <w:rPr>
                <w:spacing w:val="3"/>
                <w14:textOutline w14:w="3210" w14:cap="sq" w14:cmpd="sng">
                  <w14:solidFill>
                    <w14:srgbClr w14:val="000000"/>
                  </w14:solidFill>
                  <w14:prstDash w14:val="solid"/>
                  <w14:bevel/>
                </w14:textOutline>
              </w:rPr>
              <w:t>运行</w:t>
            </w:r>
          </w:p>
        </w:tc>
        <w:tc>
          <w:tcPr>
            <w:tcW w:w="626" w:type="dxa"/>
            <w:vAlign w:val="top"/>
          </w:tcPr>
          <w:p>
            <w:pPr>
              <w:spacing w:line="289" w:lineRule="auto"/>
              <w:rPr>
                <w:rFonts w:ascii="Arial"/>
                <w:sz w:val="21"/>
              </w:rPr>
            </w:pPr>
          </w:p>
          <w:p>
            <w:pPr>
              <w:spacing w:line="290" w:lineRule="auto"/>
              <w:rPr>
                <w:rFonts w:ascii="Arial"/>
                <w:sz w:val="21"/>
              </w:rPr>
            </w:pPr>
          </w:p>
          <w:p>
            <w:pPr>
              <w:pStyle w:val="6"/>
              <w:spacing w:before="55" w:line="187" w:lineRule="auto"/>
              <w:ind w:left="236"/>
            </w:pPr>
            <w:r>
              <w:rPr>
                <w:spacing w:val="-7"/>
              </w:rPr>
              <w:t>11</w:t>
            </w:r>
          </w:p>
        </w:tc>
        <w:tc>
          <w:tcPr>
            <w:tcW w:w="1062" w:type="dxa"/>
            <w:vAlign w:val="top"/>
          </w:tcPr>
          <w:p>
            <w:pPr>
              <w:spacing w:line="289" w:lineRule="auto"/>
              <w:rPr>
                <w:rFonts w:ascii="Arial"/>
                <w:sz w:val="21"/>
              </w:rPr>
            </w:pPr>
          </w:p>
          <w:p>
            <w:pPr>
              <w:spacing w:line="290" w:lineRule="auto"/>
              <w:rPr>
                <w:rFonts w:ascii="Arial"/>
                <w:sz w:val="21"/>
              </w:rPr>
            </w:pPr>
          </w:p>
          <w:p>
            <w:pPr>
              <w:pStyle w:val="6"/>
              <w:spacing w:before="55" w:line="187" w:lineRule="auto"/>
              <w:ind w:left="311"/>
            </w:pPr>
            <w:r>
              <w:rPr>
                <w:spacing w:val="5"/>
              </w:rPr>
              <w:t>3.1.1</w:t>
            </w:r>
          </w:p>
        </w:tc>
        <w:tc>
          <w:tcPr>
            <w:tcW w:w="4114" w:type="dxa"/>
            <w:vAlign w:val="top"/>
          </w:tcPr>
          <w:p>
            <w:pPr>
              <w:pStyle w:val="6"/>
              <w:spacing w:before="16" w:line="235" w:lineRule="auto"/>
              <w:ind w:left="33" w:right="61" w:firstLine="2"/>
            </w:pPr>
            <w:r>
              <w:rPr>
                <w:rFonts w:hint="eastAsia" w:ascii="宋体" w:hAnsi="宋体" w:eastAsia="宋体" w:cs="宋体"/>
                <w:snapToGrid w:val="0"/>
                <w:color w:val="000000"/>
                <w:spacing w:val="6"/>
                <w:kern w:val="0"/>
                <w:sz w:val="17"/>
                <w:szCs w:val="17"/>
                <w:lang w:val="en-US" w:eastAsia="en-US" w:bidi="ar-SA"/>
              </w:rPr>
              <w:t>气化装置HAZOP分析报告（2023.09） ，N004气化炉，对压力过高偏离，认为无特别关注，未分析原因和后果。2023年2月15日企业发生过一次气化炉出口阀门HV1302误操作关闭，导致气化炉超压停车的事故事件。</w:t>
            </w:r>
          </w:p>
        </w:tc>
        <w:tc>
          <w:tcPr>
            <w:tcW w:w="3719" w:type="dxa"/>
            <w:vAlign w:val="top"/>
          </w:tcPr>
          <w:p>
            <w:pPr>
              <w:spacing w:line="335" w:lineRule="auto"/>
              <w:rPr>
                <w:rFonts w:ascii="Arial"/>
                <w:sz w:val="21"/>
              </w:rPr>
            </w:pPr>
          </w:p>
          <w:p>
            <w:pPr>
              <w:pStyle w:val="6"/>
              <w:spacing w:before="55" w:line="233" w:lineRule="auto"/>
              <w:ind w:left="39" w:right="179"/>
              <w:jc w:val="both"/>
            </w:pPr>
            <w:r>
              <w:rPr>
                <w:rFonts w:hint="eastAsia" w:ascii="宋体" w:hAnsi="宋体" w:eastAsia="宋体" w:cs="宋体"/>
                <w:snapToGrid w:val="0"/>
                <w:color w:val="000000"/>
                <w:spacing w:val="6"/>
                <w:kern w:val="0"/>
                <w:sz w:val="17"/>
                <w:szCs w:val="17"/>
                <w:lang w:val="en-US" w:eastAsia="en-US" w:bidi="ar-SA"/>
              </w:rPr>
              <w:t>按照《危险与可操作性分析（HAZOP分析）应用指南》 （GB/T 35320-2017）第6.5条的要求，完善HAZOP分析报告。</w:t>
            </w:r>
          </w:p>
        </w:tc>
        <w:tc>
          <w:tcPr>
            <w:tcW w:w="1041" w:type="dxa"/>
            <w:vAlign w:val="top"/>
          </w:tcPr>
          <w:p>
            <w:pPr>
              <w:rPr>
                <w:rFonts w:ascii="Arial"/>
                <w:sz w:val="21"/>
              </w:rPr>
            </w:pPr>
          </w:p>
        </w:tc>
        <w:tc>
          <w:tcPr>
            <w:tcW w:w="1189" w:type="dxa"/>
            <w:vAlign w:val="top"/>
          </w:tcPr>
          <w:p>
            <w:pPr>
              <w:spacing w:line="276" w:lineRule="auto"/>
              <w:rPr>
                <w:rFonts w:ascii="Arial"/>
                <w:sz w:val="21"/>
              </w:rPr>
            </w:pPr>
          </w:p>
          <w:p>
            <w:pPr>
              <w:spacing w:line="276" w:lineRule="auto"/>
              <w:rPr>
                <w:rFonts w:ascii="Arial"/>
                <w:sz w:val="21"/>
              </w:rPr>
            </w:pPr>
          </w:p>
          <w:p>
            <w:pPr>
              <w:pStyle w:val="6"/>
              <w:spacing w:before="55"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52" w:lineRule="auto"/>
              <w:rPr>
                <w:rFonts w:ascii="Arial"/>
                <w:sz w:val="21"/>
              </w:rPr>
            </w:pPr>
          </w:p>
          <w:p>
            <w:pPr>
              <w:pStyle w:val="6"/>
              <w:spacing w:before="55" w:line="187" w:lineRule="auto"/>
              <w:ind w:left="236"/>
            </w:pPr>
            <w:r>
              <w:rPr>
                <w:spacing w:val="-7"/>
              </w:rPr>
              <w:t>12</w:t>
            </w:r>
          </w:p>
        </w:tc>
        <w:tc>
          <w:tcPr>
            <w:tcW w:w="1062" w:type="dxa"/>
            <w:vAlign w:val="top"/>
          </w:tcPr>
          <w:p>
            <w:pPr>
              <w:spacing w:line="352" w:lineRule="auto"/>
              <w:rPr>
                <w:rFonts w:ascii="Arial"/>
                <w:sz w:val="21"/>
              </w:rPr>
            </w:pPr>
          </w:p>
          <w:p>
            <w:pPr>
              <w:pStyle w:val="6"/>
              <w:spacing w:before="55" w:line="187" w:lineRule="auto"/>
              <w:ind w:left="311"/>
            </w:pPr>
            <w:r>
              <w:rPr>
                <w:spacing w:val="1"/>
              </w:rPr>
              <w:t>3.3.4</w:t>
            </w:r>
          </w:p>
        </w:tc>
        <w:tc>
          <w:tcPr>
            <w:tcW w:w="4114" w:type="dxa"/>
            <w:vAlign w:val="top"/>
          </w:tcPr>
          <w:p>
            <w:pPr>
              <w:pStyle w:val="6"/>
              <w:spacing w:before="164" w:line="234" w:lineRule="auto"/>
              <w:ind w:left="33" w:right="49" w:firstLine="4"/>
              <w:jc w:val="both"/>
            </w:pPr>
            <w:r>
              <w:rPr>
                <w:rFonts w:hint="eastAsia" w:ascii="宋体" w:hAnsi="宋体" w:eastAsia="宋体" w:cs="宋体"/>
                <w:snapToGrid w:val="0"/>
                <w:color w:val="000000"/>
                <w:spacing w:val="6"/>
                <w:kern w:val="0"/>
                <w:sz w:val="17"/>
                <w:szCs w:val="17"/>
                <w:lang w:val="en-US" w:eastAsia="en-US" w:bidi="ar-SA"/>
              </w:rPr>
              <w:t>高压火炬、酸性火炬PLC系统长明灯火焰检测共6个检测仪表，仅1个显示正常，其余未显示；现场长明灯3条燃料管线阀门处于关闭状态，未投用。</w:t>
            </w:r>
          </w:p>
        </w:tc>
        <w:tc>
          <w:tcPr>
            <w:tcW w:w="3719" w:type="dxa"/>
            <w:vAlign w:val="top"/>
          </w:tcPr>
          <w:p>
            <w:pPr>
              <w:spacing w:line="325" w:lineRule="auto"/>
              <w:rPr>
                <w:rFonts w:ascii="Arial"/>
                <w:sz w:val="21"/>
              </w:rPr>
            </w:pPr>
          </w:p>
          <w:p>
            <w:pPr>
              <w:pStyle w:val="6"/>
              <w:spacing w:before="56" w:line="224" w:lineRule="auto"/>
              <w:ind w:left="37"/>
            </w:pPr>
            <w:r>
              <w:rPr>
                <w:rFonts w:hint="eastAsia" w:ascii="宋体" w:hAnsi="宋体" w:eastAsia="宋体" w:cs="宋体"/>
                <w:snapToGrid w:val="0"/>
                <w:color w:val="000000"/>
                <w:spacing w:val="6"/>
                <w:kern w:val="0"/>
                <w:sz w:val="17"/>
                <w:szCs w:val="17"/>
                <w:lang w:val="en-US" w:eastAsia="en-US" w:bidi="ar-SA"/>
              </w:rPr>
              <w:t>及时投用和修复。</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25"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291" w:lineRule="auto"/>
              <w:rPr>
                <w:rFonts w:ascii="Arial"/>
                <w:sz w:val="21"/>
              </w:rPr>
            </w:pPr>
          </w:p>
          <w:p>
            <w:pPr>
              <w:spacing w:line="291" w:lineRule="auto"/>
              <w:rPr>
                <w:rFonts w:ascii="Arial"/>
                <w:sz w:val="21"/>
              </w:rPr>
            </w:pPr>
          </w:p>
          <w:p>
            <w:pPr>
              <w:pStyle w:val="6"/>
              <w:spacing w:before="56" w:line="187" w:lineRule="auto"/>
              <w:ind w:left="236"/>
            </w:pPr>
            <w:r>
              <w:rPr>
                <w:spacing w:val="-7"/>
              </w:rPr>
              <w:t>13</w:t>
            </w:r>
          </w:p>
        </w:tc>
        <w:tc>
          <w:tcPr>
            <w:tcW w:w="1062" w:type="dxa"/>
            <w:vAlign w:val="top"/>
          </w:tcPr>
          <w:p>
            <w:pPr>
              <w:spacing w:line="291" w:lineRule="auto"/>
              <w:rPr>
                <w:rFonts w:ascii="Arial"/>
                <w:sz w:val="21"/>
              </w:rPr>
            </w:pPr>
          </w:p>
          <w:p>
            <w:pPr>
              <w:spacing w:line="291" w:lineRule="auto"/>
              <w:rPr>
                <w:rFonts w:ascii="Arial"/>
                <w:sz w:val="21"/>
              </w:rPr>
            </w:pPr>
          </w:p>
          <w:p>
            <w:pPr>
              <w:pStyle w:val="6"/>
              <w:spacing w:before="56" w:line="187" w:lineRule="auto"/>
              <w:ind w:left="311"/>
            </w:pPr>
            <w:r>
              <w:rPr>
                <w:spacing w:val="5"/>
              </w:rPr>
              <w:t>3.4.1</w:t>
            </w:r>
          </w:p>
        </w:tc>
        <w:tc>
          <w:tcPr>
            <w:tcW w:w="4114" w:type="dxa"/>
            <w:vAlign w:val="top"/>
          </w:tcPr>
          <w:p>
            <w:pPr>
              <w:spacing w:line="339" w:lineRule="auto"/>
              <w:rPr>
                <w:rFonts w:ascii="Arial"/>
                <w:sz w:val="21"/>
              </w:rPr>
            </w:pPr>
          </w:p>
          <w:p>
            <w:pPr>
              <w:pStyle w:val="6"/>
              <w:spacing w:before="55" w:line="229" w:lineRule="auto"/>
              <w:ind w:left="35" w:right="44" w:hanging="1"/>
            </w:pPr>
            <w:r>
              <w:rPr>
                <w:spacing w:val="8"/>
              </w:rPr>
              <w:t>气化炉A出口温度</w:t>
            </w:r>
            <w:r>
              <w:t>TI</w:t>
            </w:r>
            <w:r>
              <w:rPr>
                <w:spacing w:val="8"/>
              </w:rPr>
              <w:t>1315</w:t>
            </w:r>
            <w:r>
              <w:t>AA</w:t>
            </w:r>
            <w:r>
              <w:rPr>
                <w:spacing w:val="8"/>
              </w:rPr>
              <w:t>报警值（</w:t>
            </w:r>
            <w:r>
              <w:t>DCS</w:t>
            </w:r>
            <w:r>
              <w:rPr>
                <w:spacing w:val="8"/>
              </w:rPr>
              <w:t>）设置为H：</w:t>
            </w:r>
            <w:r>
              <w:rPr>
                <w:spacing w:val="18"/>
              </w:rPr>
              <w:t xml:space="preserve"> </w:t>
            </w:r>
            <w:r>
              <w:rPr>
                <w:spacing w:val="1"/>
              </w:rPr>
              <w:t>265℃</w:t>
            </w:r>
            <w:r>
              <w:rPr>
                <w:spacing w:val="-45"/>
              </w:rPr>
              <w:t xml:space="preserve"> </w:t>
            </w:r>
            <w:r>
              <w:rPr>
                <w:spacing w:val="1"/>
              </w:rPr>
              <w:t>,</w:t>
            </w:r>
            <w:r>
              <w:rPr>
                <w:spacing w:val="50"/>
              </w:rPr>
              <w:t xml:space="preserve"> </w:t>
            </w:r>
            <w:r>
              <w:t>HH</w:t>
            </w:r>
            <w:r>
              <w:rPr>
                <w:spacing w:val="1"/>
              </w:rPr>
              <w:t>：270℃</w:t>
            </w:r>
            <w:r>
              <w:rPr>
                <w:spacing w:val="-59"/>
              </w:rPr>
              <w:t xml:space="preserve"> </w:t>
            </w:r>
            <w:r>
              <w:rPr>
                <w:spacing w:val="1"/>
              </w:rPr>
              <w:t>,</w:t>
            </w:r>
            <w:r>
              <w:rPr>
                <w:spacing w:val="50"/>
                <w:w w:val="101"/>
              </w:rPr>
              <w:t xml:space="preserve"> </w:t>
            </w:r>
            <w:r>
              <w:rPr>
                <w:spacing w:val="1"/>
              </w:rPr>
              <w:t>P&amp;</w:t>
            </w:r>
            <w:r>
              <w:t>ID</w:t>
            </w:r>
            <w:r>
              <w:rPr>
                <w:spacing w:val="1"/>
              </w:rPr>
              <w:t>原设计为H/L，两者不一致</w:t>
            </w:r>
          </w:p>
          <w:p>
            <w:pPr>
              <w:pStyle w:val="6"/>
              <w:spacing w:before="129" w:line="87" w:lineRule="exact"/>
              <w:ind w:left="50"/>
            </w:pPr>
            <w:r>
              <w:rPr>
                <w:position w:val="1"/>
              </w:rPr>
              <w:t>。</w:t>
            </w:r>
          </w:p>
        </w:tc>
        <w:tc>
          <w:tcPr>
            <w:tcW w:w="3719" w:type="dxa"/>
            <w:vAlign w:val="top"/>
          </w:tcPr>
          <w:p>
            <w:pPr>
              <w:pStyle w:val="6"/>
              <w:spacing w:before="13" w:line="236" w:lineRule="auto"/>
              <w:ind w:left="39" w:right="88" w:hanging="2"/>
            </w:pPr>
            <w:r>
              <w:rPr>
                <w:rFonts w:hint="eastAsia" w:ascii="宋体" w:hAnsi="宋体" w:eastAsia="宋体" w:cs="宋体"/>
                <w:snapToGrid w:val="0"/>
                <w:color w:val="000000"/>
                <w:spacing w:val="6"/>
                <w:kern w:val="0"/>
                <w:sz w:val="17"/>
                <w:szCs w:val="17"/>
                <w:lang w:val="en-US" w:eastAsia="en-US" w:bidi="ar-SA"/>
              </w:rPr>
              <w:t>参照《过程工业报警系统管理 》（GB/T41261-2022） 、《化工企业工艺报警管理实施 指南》（TCCSAS 012—2022）的要求，依据工艺设计资料，设置合适的设定值，加强报警管理，及时处置。</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277" w:lineRule="auto"/>
              <w:rPr>
                <w:rFonts w:ascii="Arial"/>
                <w:sz w:val="21"/>
              </w:rPr>
            </w:pPr>
          </w:p>
          <w:p>
            <w:pPr>
              <w:spacing w:line="278" w:lineRule="auto"/>
              <w:rPr>
                <w:rFonts w:ascii="Arial"/>
                <w:sz w:val="21"/>
              </w:rPr>
            </w:pPr>
          </w:p>
          <w:p>
            <w:pPr>
              <w:pStyle w:val="6"/>
              <w:spacing w:before="56"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8" w:hRule="atLeast"/>
        </w:trPr>
        <w:tc>
          <w:tcPr>
            <w:tcW w:w="591" w:type="dxa"/>
            <w:vMerge w:val="continue"/>
            <w:tcBorders>
              <w:top w:val="nil"/>
              <w:bottom w:val="nil"/>
            </w:tcBorders>
            <w:vAlign w:val="top"/>
          </w:tcPr>
          <w:p>
            <w:pPr>
              <w:rPr>
                <w:rFonts w:ascii="Arial"/>
                <w:sz w:val="21"/>
              </w:rPr>
            </w:pPr>
          </w:p>
        </w:tc>
        <w:tc>
          <w:tcPr>
            <w:tcW w:w="626" w:type="dxa"/>
            <w:vAlign w:val="top"/>
          </w:tcPr>
          <w:p>
            <w:pPr>
              <w:pStyle w:val="6"/>
              <w:spacing w:before="281" w:line="187" w:lineRule="auto"/>
              <w:ind w:left="236"/>
            </w:pPr>
            <w:r>
              <w:rPr>
                <w:spacing w:val="-7"/>
              </w:rPr>
              <w:t>14</w:t>
            </w:r>
          </w:p>
        </w:tc>
        <w:tc>
          <w:tcPr>
            <w:tcW w:w="1062" w:type="dxa"/>
            <w:vAlign w:val="top"/>
          </w:tcPr>
          <w:p>
            <w:pPr>
              <w:pStyle w:val="6"/>
              <w:spacing w:before="281" w:line="187" w:lineRule="auto"/>
              <w:ind w:left="311"/>
            </w:pPr>
            <w:r>
              <w:rPr>
                <w:spacing w:val="1"/>
              </w:rPr>
              <w:t>3.4.2</w:t>
            </w:r>
          </w:p>
        </w:tc>
        <w:tc>
          <w:tcPr>
            <w:tcW w:w="4114" w:type="dxa"/>
            <w:vAlign w:val="top"/>
          </w:tcPr>
          <w:p>
            <w:pPr>
              <w:pStyle w:val="6"/>
              <w:spacing w:before="143" w:line="233" w:lineRule="auto"/>
              <w:ind w:left="32" w:right="35" w:firstLine="2"/>
            </w:pPr>
            <w:r>
              <w:rPr>
                <w:rFonts w:hint="eastAsia" w:ascii="宋体" w:hAnsi="宋体" w:eastAsia="宋体" w:cs="宋体"/>
                <w:snapToGrid w:val="0"/>
                <w:color w:val="000000"/>
                <w:spacing w:val="6"/>
                <w:kern w:val="0"/>
                <w:sz w:val="17"/>
                <w:szCs w:val="17"/>
                <w:lang w:val="en-US" w:eastAsia="en-US" w:bidi="ar-SA"/>
              </w:rPr>
              <w:t>可燃气体报警器GI_1384为5.01%LEL，零点漂移，未及时标定。</w:t>
            </w:r>
          </w:p>
        </w:tc>
        <w:tc>
          <w:tcPr>
            <w:tcW w:w="3719" w:type="dxa"/>
            <w:vAlign w:val="top"/>
          </w:tcPr>
          <w:p>
            <w:pPr>
              <w:pStyle w:val="6"/>
              <w:spacing w:before="143" w:line="233" w:lineRule="auto"/>
              <w:ind w:left="39" w:right="444"/>
            </w:pPr>
            <w:r>
              <w:rPr>
                <w:rFonts w:hint="eastAsia" w:ascii="宋体" w:hAnsi="宋体" w:eastAsia="宋体" w:cs="宋体"/>
                <w:snapToGrid w:val="0"/>
                <w:color w:val="000000"/>
                <w:spacing w:val="6"/>
                <w:kern w:val="0"/>
                <w:sz w:val="17"/>
                <w:szCs w:val="17"/>
                <w:lang w:val="en-US" w:eastAsia="en-US" w:bidi="ar-SA"/>
              </w:rPr>
              <w:t>按照《可燃气体检测报警器 》（JJG 693- 2011）表3的要求，及时标定。</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pStyle w:val="6"/>
              <w:spacing w:before="254" w:line="224" w:lineRule="exact"/>
              <w:ind w:left="434"/>
            </w:pPr>
            <w:r>
              <w:t>√</w:t>
            </w:r>
          </w:p>
        </w:tc>
        <w:tc>
          <w:tcPr>
            <w:tcW w:w="1444"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07" w:right="1088" w:bottom="0" w:left="1010" w:header="0" w:footer="0" w:gutter="0"/>
          <w:cols w:space="720" w:num="1"/>
        </w:sectPr>
      </w:pPr>
    </w:p>
    <w:tbl>
      <w:tblPr>
        <w:tblStyle w:val="5"/>
        <w:tblW w:w="1472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626"/>
        <w:gridCol w:w="1062"/>
        <w:gridCol w:w="4114"/>
        <w:gridCol w:w="3719"/>
        <w:gridCol w:w="1041"/>
        <w:gridCol w:w="1189"/>
        <w:gridCol w:w="937"/>
        <w:gridCol w:w="1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4" w:hRule="atLeast"/>
        </w:trPr>
        <w:tc>
          <w:tcPr>
            <w:tcW w:w="591" w:type="dxa"/>
            <w:tcBorders>
              <w:top w:val="nil"/>
            </w:tcBorders>
            <w:vAlign w:val="top"/>
          </w:tcPr>
          <w:p>
            <w:pPr>
              <w:pStyle w:val="6"/>
              <w:spacing w:before="95" w:line="225" w:lineRule="auto"/>
              <w:ind w:left="117"/>
            </w:pPr>
            <w:r>
              <w:rPr>
                <w:spacing w:val="3"/>
                <w14:textOutline w14:w="3210" w14:cap="sq" w14:cmpd="sng">
                  <w14:solidFill>
                    <w14:srgbClr w14:val="000000"/>
                  </w14:solidFill>
                  <w14:prstDash w14:val="solid"/>
                  <w14:bevel/>
                </w14:textOutline>
              </w:rPr>
              <w:t>专业</w:t>
            </w:r>
          </w:p>
        </w:tc>
        <w:tc>
          <w:tcPr>
            <w:tcW w:w="626" w:type="dxa"/>
            <w:tcBorders>
              <w:top w:val="nil"/>
            </w:tcBorders>
            <w:vAlign w:val="top"/>
          </w:tcPr>
          <w:p>
            <w:pPr>
              <w:pStyle w:val="6"/>
              <w:spacing w:before="95" w:line="226" w:lineRule="auto"/>
              <w:ind w:left="129"/>
            </w:pPr>
            <w:r>
              <w:rPr>
                <w:spacing w:val="4"/>
                <w14:textOutline w14:w="3210" w14:cap="sq" w14:cmpd="sng">
                  <w14:solidFill>
                    <w14:srgbClr w14:val="000000"/>
                  </w14:solidFill>
                  <w14:prstDash w14:val="solid"/>
                  <w14:bevel/>
                </w14:textOutline>
              </w:rPr>
              <w:t>序号</w:t>
            </w:r>
          </w:p>
        </w:tc>
        <w:tc>
          <w:tcPr>
            <w:tcW w:w="1062" w:type="dxa"/>
            <w:tcBorders>
              <w:top w:val="nil"/>
            </w:tcBorders>
            <w:vAlign w:val="top"/>
          </w:tcPr>
          <w:p>
            <w:pPr>
              <w:pStyle w:val="6"/>
              <w:spacing w:line="224" w:lineRule="auto"/>
              <w:ind w:left="80" w:right="81"/>
            </w:pPr>
            <w:r>
              <w:rPr>
                <w:spacing w:val="6"/>
                <w14:textOutline w14:w="3210" w14:cap="sq" w14:cmpd="sng">
                  <w14:solidFill>
                    <w14:srgbClr w14:val="000000"/>
                  </w14:solidFill>
                  <w14:prstDash w14:val="solid"/>
                  <w14:bevel/>
                </w14:textOutline>
              </w:rPr>
              <w:t>核查表中检</w:t>
            </w:r>
            <w:r>
              <w:rPr>
                <w:spacing w:val="3"/>
              </w:rPr>
              <w:t xml:space="preserve"> </w:t>
            </w:r>
            <w:r>
              <w:rPr>
                <w:spacing w:val="6"/>
                <w14:textOutline w14:w="3210" w14:cap="sq" w14:cmpd="sng">
                  <w14:solidFill>
                    <w14:srgbClr w14:val="000000"/>
                  </w14:solidFill>
                  <w14:prstDash w14:val="solid"/>
                  <w14:bevel/>
                </w14:textOutline>
              </w:rPr>
              <w:t>查内容序号</w:t>
            </w:r>
          </w:p>
        </w:tc>
        <w:tc>
          <w:tcPr>
            <w:tcW w:w="4114" w:type="dxa"/>
            <w:tcBorders>
              <w:top w:val="nil"/>
            </w:tcBorders>
            <w:vAlign w:val="top"/>
          </w:tcPr>
          <w:p>
            <w:pPr>
              <w:pStyle w:val="6"/>
              <w:spacing w:before="95" w:line="227" w:lineRule="auto"/>
              <w:ind w:left="1716"/>
            </w:pPr>
            <w:r>
              <w:rPr>
                <w:spacing w:val="1"/>
                <w14:textOutline w14:w="3210" w14:cap="sq" w14:cmpd="sng">
                  <w14:solidFill>
                    <w14:srgbClr w14:val="000000"/>
                  </w14:solidFill>
                  <w14:prstDash w14:val="solid"/>
                  <w14:bevel/>
                </w14:textOutline>
              </w:rPr>
              <w:t>问题描述</w:t>
            </w:r>
          </w:p>
        </w:tc>
        <w:tc>
          <w:tcPr>
            <w:tcW w:w="3719" w:type="dxa"/>
            <w:tcBorders>
              <w:top w:val="nil"/>
            </w:tcBorders>
            <w:vAlign w:val="top"/>
          </w:tcPr>
          <w:p>
            <w:pPr>
              <w:pStyle w:val="6"/>
              <w:spacing w:before="95" w:line="224" w:lineRule="auto"/>
              <w:ind w:left="1503"/>
            </w:pPr>
            <w:r>
              <w:rPr>
                <w:spacing w:val="6"/>
                <w14:textOutline w14:w="3210" w14:cap="sq" w14:cmpd="sng">
                  <w14:solidFill>
                    <w14:srgbClr w14:val="000000"/>
                  </w14:solidFill>
                  <w14:prstDash w14:val="solid"/>
                  <w14:bevel/>
                </w14:textOutline>
              </w:rPr>
              <w:t>整改建议</w:t>
            </w:r>
          </w:p>
        </w:tc>
        <w:tc>
          <w:tcPr>
            <w:tcW w:w="1041" w:type="dxa"/>
            <w:vAlign w:val="top"/>
          </w:tcPr>
          <w:p>
            <w:pPr>
              <w:pStyle w:val="6"/>
              <w:spacing w:before="33" w:line="218" w:lineRule="auto"/>
              <w:ind w:left="439" w:right="58" w:hanging="363"/>
              <w:jc w:val="center"/>
              <w:rPr>
                <w:rFonts w:hint="eastAsia"/>
                <w:spacing w:val="8"/>
                <w:lang w:eastAsia="zh-CN"/>
                <w14:textOutline w14:w="3210" w14:cap="sq" w14:cmpd="sng">
                  <w14:solidFill>
                    <w14:srgbClr w14:val="000000"/>
                  </w14:solidFill>
                  <w14:prstDash w14:val="solid"/>
                  <w14:bevel/>
                </w14:textOutline>
              </w:rPr>
            </w:pPr>
            <w:r>
              <w:rPr>
                <w:spacing w:val="8"/>
                <w14:textOutline w14:w="3210" w14:cap="sq" w14:cmpd="sng">
                  <w14:solidFill>
                    <w14:srgbClr w14:val="000000"/>
                  </w14:solidFill>
                  <w14:prstDash w14:val="solid"/>
                  <w14:bevel/>
                </w14:textOutline>
              </w:rPr>
              <w:t>文件</w:t>
            </w:r>
            <w:r>
              <w:rPr>
                <w:rFonts w:hint="eastAsia"/>
                <w:spacing w:val="8"/>
                <w:lang w:eastAsia="zh-CN"/>
                <w14:textOutline w14:w="3210" w14:cap="sq" w14:cmpd="sng">
                  <w14:solidFill>
                    <w14:srgbClr w14:val="000000"/>
                  </w14:solidFill>
                  <w14:prstDash w14:val="solid"/>
                  <w14:bevel/>
                </w14:textOutline>
              </w:rPr>
              <w:t>类</w:t>
            </w:r>
          </w:p>
          <w:p>
            <w:pPr>
              <w:pStyle w:val="6"/>
              <w:spacing w:before="33" w:line="218" w:lineRule="auto"/>
              <w:ind w:left="439" w:right="58" w:hanging="363"/>
              <w:jc w:val="center"/>
            </w:pPr>
            <w:r>
              <w:rPr>
                <w:spacing w:val="8"/>
                <w14:textOutline w14:w="3210" w14:cap="sq" w14:cmpd="sng">
                  <w14:solidFill>
                    <w14:srgbClr w14:val="000000"/>
                  </w14:solidFill>
                  <w14:prstDash w14:val="solid"/>
                  <w14:bevel/>
                </w14:textOutline>
              </w:rPr>
              <w:t>资料</w:t>
            </w:r>
            <w:r>
              <w:rPr>
                <w14:textOutline w14:w="3210" w14:cap="sq" w14:cmpd="sng">
                  <w14:solidFill>
                    <w14:srgbClr w14:val="000000"/>
                  </w14:solidFill>
                  <w14:prstDash w14:val="solid"/>
                  <w14:bevel/>
                </w14:textOutline>
              </w:rPr>
              <w:t>类</w:t>
            </w:r>
          </w:p>
        </w:tc>
        <w:tc>
          <w:tcPr>
            <w:tcW w:w="1189" w:type="dxa"/>
            <w:vAlign w:val="top"/>
          </w:tcPr>
          <w:p>
            <w:pPr>
              <w:pStyle w:val="6"/>
              <w:spacing w:before="210" w:line="224" w:lineRule="auto"/>
              <w:ind w:left="332"/>
            </w:pPr>
            <w:r>
              <w:rPr>
                <w:spacing w:val="5"/>
                <w14:textOutline w14:w="3210" w14:cap="sq" w14:cmpd="sng">
                  <w14:solidFill>
                    <w14:srgbClr w14:val="000000"/>
                  </w14:solidFill>
                  <w14:prstDash w14:val="solid"/>
                  <w14:bevel/>
                </w14:textOutline>
              </w:rPr>
              <w:t>执行类</w:t>
            </w:r>
          </w:p>
        </w:tc>
        <w:tc>
          <w:tcPr>
            <w:tcW w:w="937" w:type="dxa"/>
            <w:vAlign w:val="top"/>
          </w:tcPr>
          <w:p>
            <w:pPr>
              <w:pStyle w:val="6"/>
              <w:spacing w:before="210" w:line="224" w:lineRule="auto"/>
              <w:ind w:left="210"/>
            </w:pPr>
            <w:r>
              <w:rPr>
                <w:spacing w:val="5"/>
                <w14:textOutline w14:w="3210" w14:cap="sq" w14:cmpd="sng">
                  <w14:solidFill>
                    <w14:srgbClr w14:val="000000"/>
                  </w14:solidFill>
                  <w14:prstDash w14:val="solid"/>
                  <w14:bevel/>
                </w14:textOutline>
              </w:rPr>
              <w:t>现场类</w:t>
            </w:r>
          </w:p>
        </w:tc>
        <w:tc>
          <w:tcPr>
            <w:tcW w:w="1444" w:type="dxa"/>
            <w:tcBorders>
              <w:top w:val="nil"/>
            </w:tcBorders>
            <w:vAlign w:val="top"/>
          </w:tcPr>
          <w:p>
            <w:pPr>
              <w:pStyle w:val="6"/>
              <w:spacing w:before="89" w:line="236" w:lineRule="auto"/>
              <w:ind w:left="646"/>
              <w:rPr>
                <w:sz w:val="18"/>
                <w:szCs w:val="18"/>
              </w:rPr>
            </w:pPr>
            <w:r>
              <w:rPr>
                <w:sz w:val="18"/>
                <w:szCs w:val="18"/>
                <w14:textOutline w14:w="3396" w14:cap="sq" w14:cmpd="sng">
                  <w14:solidFill>
                    <w14:srgbClr w14:val="000000"/>
                  </w14:solidFill>
                  <w14:prstDash w14:val="solid"/>
                  <w14:bevel/>
                </w14:textOutline>
              </w:rPr>
              <w:t>患</w:t>
            </w:r>
          </w:p>
          <w:p>
            <w:pPr>
              <w:pStyle w:val="6"/>
              <w:spacing w:line="189" w:lineRule="auto"/>
              <w:ind w:left="683"/>
              <w:rPr>
                <w:sz w:val="18"/>
                <w:szCs w:val="18"/>
              </w:rPr>
            </w:pPr>
            <w:r>
              <w:rPr>
                <w:sz w:val="18"/>
                <w:szCs w:val="18"/>
                <w14:textOutline w14:w="3396"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5" w:hRule="atLeast"/>
        </w:trPr>
        <w:tc>
          <w:tcPr>
            <w:tcW w:w="591" w:type="dxa"/>
            <w:vAlign w:val="top"/>
          </w:tcPr>
          <w:p>
            <w:pPr>
              <w:rPr>
                <w:rFonts w:ascii="Arial"/>
                <w:sz w:val="21"/>
              </w:rPr>
            </w:pPr>
          </w:p>
        </w:tc>
        <w:tc>
          <w:tcPr>
            <w:tcW w:w="626" w:type="dxa"/>
            <w:vAlign w:val="top"/>
          </w:tcPr>
          <w:p>
            <w:pPr>
              <w:spacing w:line="285" w:lineRule="auto"/>
              <w:rPr>
                <w:rFonts w:ascii="Arial"/>
                <w:sz w:val="21"/>
              </w:rPr>
            </w:pPr>
          </w:p>
          <w:p>
            <w:pPr>
              <w:spacing w:line="286" w:lineRule="auto"/>
              <w:rPr>
                <w:rFonts w:ascii="Arial"/>
                <w:sz w:val="21"/>
              </w:rPr>
            </w:pPr>
          </w:p>
          <w:p>
            <w:pPr>
              <w:pStyle w:val="6"/>
              <w:spacing w:before="56" w:line="187" w:lineRule="auto"/>
              <w:ind w:left="236"/>
            </w:pPr>
            <w:r>
              <w:rPr>
                <w:spacing w:val="-7"/>
              </w:rPr>
              <w:t>15</w:t>
            </w:r>
          </w:p>
        </w:tc>
        <w:tc>
          <w:tcPr>
            <w:tcW w:w="1062" w:type="dxa"/>
            <w:vAlign w:val="top"/>
          </w:tcPr>
          <w:p>
            <w:pPr>
              <w:spacing w:line="285" w:lineRule="auto"/>
              <w:rPr>
                <w:rFonts w:ascii="Arial"/>
                <w:sz w:val="21"/>
              </w:rPr>
            </w:pPr>
          </w:p>
          <w:p>
            <w:pPr>
              <w:spacing w:line="286" w:lineRule="auto"/>
              <w:rPr>
                <w:rFonts w:ascii="Arial"/>
                <w:sz w:val="21"/>
              </w:rPr>
            </w:pPr>
          </w:p>
          <w:p>
            <w:pPr>
              <w:pStyle w:val="6"/>
              <w:spacing w:before="56" w:line="187" w:lineRule="auto"/>
              <w:ind w:left="311"/>
            </w:pPr>
            <w:r>
              <w:rPr>
                <w:spacing w:val="1"/>
              </w:rPr>
              <w:t>3.6.2</w:t>
            </w:r>
          </w:p>
        </w:tc>
        <w:tc>
          <w:tcPr>
            <w:tcW w:w="4114" w:type="dxa"/>
            <w:vAlign w:val="top"/>
          </w:tcPr>
          <w:p>
            <w:pPr>
              <w:pStyle w:val="6"/>
              <w:spacing w:before="15" w:line="235" w:lineRule="auto"/>
              <w:ind w:left="34" w:right="35" w:firstLine="11"/>
            </w:pPr>
            <w:r>
              <w:rPr>
                <w:spacing w:val="6"/>
              </w:rPr>
              <w:t>2024年2月16日气化A炉调节阀进行回路测试（HV-1307A1） ，调取DCS趋势，</w:t>
            </w:r>
            <w:r>
              <w:rPr>
                <w:rFonts w:hint="eastAsia"/>
                <w:spacing w:val="6"/>
              </w:rPr>
              <w:t>未找到测试曲线；2024年2月16日气化车间SISA启动前联锁试验（气化炉出口 温度TT-1315A-A/B/C） ，调取SIS趋势，未找到测试曲线。</w:t>
            </w:r>
          </w:p>
        </w:tc>
        <w:tc>
          <w:tcPr>
            <w:tcW w:w="3719" w:type="dxa"/>
            <w:vAlign w:val="top"/>
          </w:tcPr>
          <w:p>
            <w:pPr>
              <w:spacing w:line="272" w:lineRule="auto"/>
              <w:rPr>
                <w:rFonts w:ascii="Arial"/>
                <w:sz w:val="21"/>
              </w:rPr>
            </w:pPr>
          </w:p>
          <w:p>
            <w:pPr>
              <w:spacing w:line="273" w:lineRule="auto"/>
              <w:rPr>
                <w:rFonts w:ascii="Arial"/>
                <w:sz w:val="21"/>
              </w:rPr>
            </w:pPr>
          </w:p>
          <w:p>
            <w:pPr>
              <w:pStyle w:val="6"/>
              <w:spacing w:before="55" w:line="224" w:lineRule="auto"/>
              <w:ind w:left="38"/>
            </w:pPr>
            <w:r>
              <w:rPr>
                <w:rFonts w:hint="eastAsia"/>
                <w:spacing w:val="6"/>
              </w:rPr>
              <w:t>严格工艺纪律，开展联锁测试 ，并做好监督。</w:t>
            </w:r>
          </w:p>
        </w:tc>
        <w:tc>
          <w:tcPr>
            <w:tcW w:w="1041" w:type="dxa"/>
            <w:vAlign w:val="top"/>
          </w:tcPr>
          <w:p>
            <w:pPr>
              <w:rPr>
                <w:rFonts w:ascii="Arial"/>
                <w:sz w:val="21"/>
              </w:rPr>
            </w:pPr>
          </w:p>
        </w:tc>
        <w:tc>
          <w:tcPr>
            <w:tcW w:w="1189" w:type="dxa"/>
            <w:vAlign w:val="top"/>
          </w:tcPr>
          <w:p>
            <w:pPr>
              <w:spacing w:line="272" w:lineRule="auto"/>
              <w:rPr>
                <w:rFonts w:ascii="Arial"/>
                <w:sz w:val="21"/>
              </w:rPr>
            </w:pPr>
          </w:p>
          <w:p>
            <w:pPr>
              <w:spacing w:line="272" w:lineRule="auto"/>
              <w:rPr>
                <w:rFonts w:ascii="Arial"/>
                <w:sz w:val="21"/>
              </w:rPr>
            </w:pPr>
          </w:p>
          <w:p>
            <w:pPr>
              <w:pStyle w:val="6"/>
              <w:spacing w:before="56"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6" w:hRule="atLeast"/>
        </w:trPr>
        <w:tc>
          <w:tcPr>
            <w:tcW w:w="591" w:type="dxa"/>
            <w:vMerge w:val="restart"/>
            <w:tcBorders>
              <w:bottom w:val="nil"/>
            </w:tcBorders>
            <w:vAlign w:val="top"/>
          </w:tcPr>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55" w:line="231" w:lineRule="auto"/>
              <w:ind w:left="120" w:right="111" w:hanging="1"/>
            </w:pPr>
            <w:r>
              <w:rPr>
                <w:spacing w:val="2"/>
                <w14:textOutline w14:w="3210" w14:cap="sq" w14:cmpd="sng">
                  <w14:solidFill>
                    <w14:srgbClr w14:val="000000"/>
                  </w14:solidFill>
                  <w14:prstDash w14:val="solid"/>
                  <w14:bevel/>
                </w14:textOutline>
              </w:rPr>
              <w:t>设备</w:t>
            </w:r>
            <w:r>
              <w:t xml:space="preserve"> </w:t>
            </w:r>
            <w:r>
              <w:rPr>
                <w:spacing w:val="1"/>
                <w14:textOutline w14:w="3210" w14:cap="sq" w14:cmpd="sng">
                  <w14:solidFill>
                    <w14:srgbClr w14:val="000000"/>
                  </w14:solidFill>
                  <w14:prstDash w14:val="solid"/>
                  <w14:bevel/>
                </w14:textOutline>
              </w:rPr>
              <w:t>管理</w:t>
            </w:r>
          </w:p>
        </w:tc>
        <w:tc>
          <w:tcPr>
            <w:tcW w:w="626" w:type="dxa"/>
            <w:vAlign w:val="top"/>
          </w:tcPr>
          <w:p>
            <w:pPr>
              <w:spacing w:line="277" w:lineRule="auto"/>
              <w:rPr>
                <w:rFonts w:ascii="Arial"/>
                <w:sz w:val="21"/>
              </w:rPr>
            </w:pPr>
          </w:p>
          <w:p>
            <w:pPr>
              <w:spacing w:line="277" w:lineRule="auto"/>
              <w:rPr>
                <w:rFonts w:ascii="Arial"/>
                <w:sz w:val="21"/>
              </w:rPr>
            </w:pPr>
          </w:p>
          <w:p>
            <w:pPr>
              <w:pStyle w:val="6"/>
              <w:spacing w:before="55" w:line="187" w:lineRule="auto"/>
              <w:ind w:left="236"/>
            </w:pPr>
            <w:r>
              <w:rPr>
                <w:spacing w:val="-7"/>
              </w:rPr>
              <w:t>16</w:t>
            </w:r>
          </w:p>
        </w:tc>
        <w:tc>
          <w:tcPr>
            <w:tcW w:w="1062" w:type="dxa"/>
            <w:vAlign w:val="top"/>
          </w:tcPr>
          <w:p>
            <w:pPr>
              <w:spacing w:line="277" w:lineRule="auto"/>
              <w:rPr>
                <w:rFonts w:ascii="Arial"/>
                <w:sz w:val="21"/>
              </w:rPr>
            </w:pPr>
          </w:p>
          <w:p>
            <w:pPr>
              <w:spacing w:line="277" w:lineRule="auto"/>
              <w:rPr>
                <w:rFonts w:ascii="Arial"/>
                <w:sz w:val="21"/>
              </w:rPr>
            </w:pPr>
          </w:p>
          <w:p>
            <w:pPr>
              <w:pStyle w:val="6"/>
              <w:spacing w:before="55" w:line="187" w:lineRule="auto"/>
              <w:ind w:left="307"/>
            </w:pPr>
            <w:r>
              <w:rPr>
                <w:spacing w:val="2"/>
              </w:rPr>
              <w:t>4.2.5</w:t>
            </w:r>
          </w:p>
        </w:tc>
        <w:tc>
          <w:tcPr>
            <w:tcW w:w="4114" w:type="dxa"/>
            <w:vAlign w:val="top"/>
          </w:tcPr>
          <w:p>
            <w:pPr>
              <w:spacing w:line="420" w:lineRule="auto"/>
              <w:rPr>
                <w:rFonts w:ascii="Arial"/>
                <w:sz w:val="21"/>
              </w:rPr>
            </w:pPr>
          </w:p>
          <w:p>
            <w:pPr>
              <w:pStyle w:val="6"/>
              <w:spacing w:before="55" w:line="230" w:lineRule="auto"/>
              <w:ind w:left="36" w:right="152" w:hanging="2"/>
            </w:pPr>
            <w:r>
              <w:rPr>
                <w:rFonts w:hint="eastAsia"/>
                <w:spacing w:val="6"/>
              </w:rPr>
              <w:t>罐区LPG储罐（V4403）出料管道上氮气吹扫连接点处单向阀设在双阀下游，双阀间未设导淋。</w:t>
            </w:r>
          </w:p>
        </w:tc>
        <w:tc>
          <w:tcPr>
            <w:tcW w:w="3719" w:type="dxa"/>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按照《化工企业液化烃储罐区安全管理规范 》 （AQ 3059-2023）第6.1.7条的要求，液化烃管线上用于吹扫和置换的永久性连接点应设双阀，双阀间同时应设置单向阀、导淋和盲板。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257" w:line="235" w:lineRule="auto"/>
              <w:ind w:left="41" w:right="98" w:hanging="2"/>
              <w:jc w:val="both"/>
            </w:pP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263" w:lineRule="auto"/>
              <w:rPr>
                <w:rFonts w:ascii="Arial"/>
                <w:sz w:val="21"/>
              </w:rPr>
            </w:pPr>
          </w:p>
          <w:p>
            <w:pPr>
              <w:spacing w:line="264"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462" w:lineRule="auto"/>
              <w:rPr>
                <w:rFonts w:ascii="Arial"/>
                <w:sz w:val="21"/>
              </w:rPr>
            </w:pPr>
          </w:p>
          <w:p>
            <w:pPr>
              <w:pStyle w:val="6"/>
              <w:spacing w:before="56" w:line="187" w:lineRule="auto"/>
              <w:ind w:left="236"/>
            </w:pPr>
            <w:r>
              <w:rPr>
                <w:spacing w:val="-7"/>
              </w:rPr>
              <w:t>17</w:t>
            </w:r>
          </w:p>
        </w:tc>
        <w:tc>
          <w:tcPr>
            <w:tcW w:w="1062" w:type="dxa"/>
            <w:vAlign w:val="top"/>
          </w:tcPr>
          <w:p>
            <w:pPr>
              <w:spacing w:line="462" w:lineRule="auto"/>
              <w:rPr>
                <w:rFonts w:ascii="Arial"/>
                <w:sz w:val="21"/>
              </w:rPr>
            </w:pPr>
          </w:p>
          <w:p>
            <w:pPr>
              <w:pStyle w:val="6"/>
              <w:spacing w:before="56" w:line="187" w:lineRule="auto"/>
              <w:ind w:left="307"/>
            </w:pPr>
            <w:r>
              <w:rPr>
                <w:spacing w:val="2"/>
              </w:rPr>
              <w:t>4.2.7</w:t>
            </w:r>
          </w:p>
        </w:tc>
        <w:tc>
          <w:tcPr>
            <w:tcW w:w="4114" w:type="dxa"/>
            <w:vAlign w:val="top"/>
          </w:tcPr>
          <w:p>
            <w:pPr>
              <w:pStyle w:val="6"/>
              <w:spacing w:before="15" w:line="231" w:lineRule="auto"/>
              <w:ind w:left="33" w:right="141" w:firstLine="7"/>
            </w:pPr>
            <w:r>
              <w:rPr>
                <w:rFonts w:hint="eastAsia"/>
                <w:spacing w:val="6"/>
              </w:rPr>
              <w:t>合成单元富氢气压缩机（C4102）一级分离器（V4125） 、二级分离器（V4126）液位计连通阀法兰使用六角头螺栓，不符合要求。</w:t>
            </w:r>
          </w:p>
        </w:tc>
        <w:tc>
          <w:tcPr>
            <w:tcW w:w="3719" w:type="dxa"/>
            <w:vAlign w:val="top"/>
          </w:tcPr>
          <w:p>
            <w:pPr>
              <w:pStyle w:val="6"/>
              <w:spacing w:before="10" w:line="235" w:lineRule="auto"/>
              <w:ind w:left="40" w:right="91" w:firstLine="4"/>
            </w:pPr>
            <w:r>
              <w:rPr>
                <w:rFonts w:hint="eastAsia"/>
                <w:spacing w:val="6"/>
              </w:rPr>
              <w:t>按照《钢制管法兰用紧固件（PN系列） 》（HG/T 20613-2009）第5条的要求，选用专用级全螺纹螺栓和Ⅱ型六角螺母，落实安全条件下或检维修更换。</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435" w:lineRule="auto"/>
              <w:rPr>
                <w:rFonts w:ascii="Arial"/>
                <w:sz w:val="21"/>
              </w:rPr>
            </w:pPr>
          </w:p>
          <w:p>
            <w:pPr>
              <w:pStyle w:val="6"/>
              <w:spacing w:before="56" w:line="223"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64"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31" w:lineRule="auto"/>
              <w:rPr>
                <w:rFonts w:ascii="Arial"/>
                <w:sz w:val="21"/>
              </w:rPr>
            </w:pPr>
          </w:p>
          <w:p>
            <w:pPr>
              <w:pStyle w:val="6"/>
              <w:spacing w:before="55" w:line="187" w:lineRule="auto"/>
              <w:ind w:left="236"/>
            </w:pPr>
            <w:r>
              <w:rPr>
                <w:spacing w:val="-7"/>
              </w:rPr>
              <w:t>18</w:t>
            </w:r>
          </w:p>
        </w:tc>
        <w:tc>
          <w:tcPr>
            <w:tcW w:w="1062" w:type="dxa"/>
            <w:vAlign w:val="top"/>
          </w:tcPr>
          <w:p>
            <w:pPr>
              <w:spacing w:line="331" w:lineRule="auto"/>
              <w:rPr>
                <w:rFonts w:ascii="Arial"/>
                <w:sz w:val="21"/>
              </w:rPr>
            </w:pPr>
          </w:p>
          <w:p>
            <w:pPr>
              <w:pStyle w:val="6"/>
              <w:spacing w:before="55" w:line="187" w:lineRule="auto"/>
              <w:ind w:left="307"/>
            </w:pPr>
            <w:r>
              <w:rPr>
                <w:spacing w:val="2"/>
              </w:rPr>
              <w:t>4.2.9</w:t>
            </w:r>
          </w:p>
        </w:tc>
        <w:tc>
          <w:tcPr>
            <w:tcW w:w="4114" w:type="dxa"/>
            <w:vAlign w:val="top"/>
          </w:tcPr>
          <w:p>
            <w:pPr>
              <w:pStyle w:val="6"/>
              <w:spacing w:before="250" w:line="231" w:lineRule="auto"/>
              <w:ind w:left="40" w:right="321" w:hanging="7"/>
            </w:pPr>
            <w:r>
              <w:rPr>
                <w:rFonts w:hint="eastAsia"/>
                <w:spacing w:val="6"/>
              </w:rPr>
              <w:t>变换装置内多处管道法兰未保温，如变换反应器（R2101）出口管道阀门法兰。</w:t>
            </w:r>
          </w:p>
        </w:tc>
        <w:tc>
          <w:tcPr>
            <w:tcW w:w="3719" w:type="dxa"/>
            <w:vAlign w:val="top"/>
          </w:tcPr>
          <w:p>
            <w:pPr>
              <w:pStyle w:val="6"/>
              <w:spacing w:before="14" w:line="231" w:lineRule="auto"/>
              <w:ind w:left="39" w:right="86" w:firstLine="5"/>
            </w:pPr>
            <w:r>
              <w:rPr>
                <w:rFonts w:hint="eastAsia"/>
                <w:spacing w:val="6"/>
              </w:rPr>
              <w:t>按照《工业设备及管道绝热工程设计规范 》（GB 50264-2013）第3.0.1条的要求，设置保温或防烫措施。</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04"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466" w:lineRule="auto"/>
              <w:rPr>
                <w:rFonts w:ascii="Arial"/>
                <w:sz w:val="21"/>
              </w:rPr>
            </w:pPr>
          </w:p>
          <w:p>
            <w:pPr>
              <w:pStyle w:val="6"/>
              <w:spacing w:before="55" w:line="187" w:lineRule="auto"/>
              <w:ind w:left="236"/>
            </w:pPr>
            <w:r>
              <w:rPr>
                <w:spacing w:val="-7"/>
              </w:rPr>
              <w:t>19</w:t>
            </w:r>
          </w:p>
        </w:tc>
        <w:tc>
          <w:tcPr>
            <w:tcW w:w="1062" w:type="dxa"/>
            <w:vAlign w:val="top"/>
          </w:tcPr>
          <w:p>
            <w:pPr>
              <w:spacing w:line="466" w:lineRule="auto"/>
              <w:rPr>
                <w:rFonts w:ascii="Arial"/>
                <w:sz w:val="21"/>
              </w:rPr>
            </w:pPr>
          </w:p>
          <w:p>
            <w:pPr>
              <w:pStyle w:val="6"/>
              <w:spacing w:before="55" w:line="187" w:lineRule="auto"/>
              <w:ind w:left="307"/>
            </w:pPr>
            <w:r>
              <w:rPr>
                <w:spacing w:val="5"/>
              </w:rPr>
              <w:t>4.3.1</w:t>
            </w:r>
          </w:p>
        </w:tc>
        <w:tc>
          <w:tcPr>
            <w:tcW w:w="4114" w:type="dxa"/>
            <w:vAlign w:val="top"/>
          </w:tcPr>
          <w:p>
            <w:pPr>
              <w:spacing w:line="331" w:lineRule="auto"/>
              <w:rPr>
                <w:rFonts w:ascii="Arial"/>
                <w:sz w:val="21"/>
              </w:rPr>
            </w:pPr>
          </w:p>
          <w:p>
            <w:pPr>
              <w:pStyle w:val="6"/>
              <w:spacing w:before="55" w:line="231" w:lineRule="auto"/>
              <w:ind w:left="35" w:right="134" w:hanging="2"/>
            </w:pPr>
            <w:r>
              <w:rPr>
                <w:rFonts w:hint="eastAsia"/>
                <w:spacing w:val="6"/>
              </w:rPr>
              <w:t>变换泵房内变换高温冷凝液泵（P2101A）机封冷却水转子流量计指针在量程外。</w:t>
            </w:r>
          </w:p>
        </w:tc>
        <w:tc>
          <w:tcPr>
            <w:tcW w:w="3719" w:type="dxa"/>
            <w:vAlign w:val="top"/>
          </w:tcPr>
          <w:p>
            <w:pPr>
              <w:pStyle w:val="6"/>
              <w:spacing w:before="167" w:line="234" w:lineRule="auto"/>
              <w:ind w:left="47" w:right="88" w:hanging="8"/>
            </w:pPr>
            <w:r>
              <w:rPr>
                <w:spacing w:val="7"/>
              </w:rPr>
              <w:t>按照《关于加强化工过程安全管理的指导意见</w:t>
            </w:r>
            <w:r>
              <w:t xml:space="preserve"> </w:t>
            </w:r>
            <w:r>
              <w:rPr>
                <w:spacing w:val="7"/>
              </w:rPr>
              <w:t>》（安监总管三〔2013〕88号）第（十六）条</w:t>
            </w:r>
            <w:r>
              <w:rPr>
                <w:spacing w:val="6"/>
              </w:rPr>
              <w:t xml:space="preserve"> </w:t>
            </w:r>
            <w:r>
              <w:rPr>
                <w:spacing w:val="7"/>
              </w:rPr>
              <w:t>的要求，定期监（检）测生产装置动静密封</w:t>
            </w:r>
          </w:p>
          <w:p>
            <w:pPr>
              <w:pStyle w:val="6"/>
              <w:spacing w:before="15" w:line="225" w:lineRule="auto"/>
              <w:ind w:left="46"/>
            </w:pPr>
            <w:r>
              <w:rPr>
                <w:spacing w:val="7"/>
              </w:rPr>
              <w:t>点，发现问题，分析原因，及时处理。</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439"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02"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15" w:lineRule="auto"/>
              <w:rPr>
                <w:rFonts w:ascii="Arial"/>
                <w:sz w:val="21"/>
              </w:rPr>
            </w:pPr>
          </w:p>
          <w:p>
            <w:pPr>
              <w:spacing w:line="315" w:lineRule="auto"/>
              <w:rPr>
                <w:rFonts w:ascii="Arial"/>
                <w:sz w:val="21"/>
              </w:rPr>
            </w:pPr>
          </w:p>
          <w:p>
            <w:pPr>
              <w:spacing w:line="315" w:lineRule="auto"/>
              <w:rPr>
                <w:rFonts w:ascii="Arial"/>
                <w:sz w:val="21"/>
              </w:rPr>
            </w:pPr>
          </w:p>
          <w:p>
            <w:pPr>
              <w:pStyle w:val="6"/>
              <w:spacing w:before="55" w:line="187" w:lineRule="auto"/>
              <w:ind w:left="225"/>
            </w:pPr>
            <w:r>
              <w:rPr>
                <w:spacing w:val="-2"/>
              </w:rPr>
              <w:t>20</w:t>
            </w:r>
          </w:p>
        </w:tc>
        <w:tc>
          <w:tcPr>
            <w:tcW w:w="1062" w:type="dxa"/>
            <w:vAlign w:val="top"/>
          </w:tcPr>
          <w:p>
            <w:pPr>
              <w:spacing w:line="315" w:lineRule="auto"/>
              <w:rPr>
                <w:rFonts w:ascii="Arial"/>
                <w:sz w:val="21"/>
              </w:rPr>
            </w:pPr>
          </w:p>
          <w:p>
            <w:pPr>
              <w:spacing w:line="315" w:lineRule="auto"/>
              <w:rPr>
                <w:rFonts w:ascii="Arial"/>
                <w:sz w:val="21"/>
              </w:rPr>
            </w:pPr>
          </w:p>
          <w:p>
            <w:pPr>
              <w:spacing w:line="315" w:lineRule="auto"/>
              <w:rPr>
                <w:rFonts w:ascii="Arial"/>
                <w:sz w:val="21"/>
              </w:rPr>
            </w:pPr>
          </w:p>
          <w:p>
            <w:pPr>
              <w:pStyle w:val="6"/>
              <w:spacing w:before="55" w:line="187" w:lineRule="auto"/>
              <w:ind w:left="307"/>
            </w:pPr>
            <w:r>
              <w:rPr>
                <w:spacing w:val="5"/>
              </w:rPr>
              <w:t>4.4.1</w:t>
            </w:r>
          </w:p>
        </w:tc>
        <w:tc>
          <w:tcPr>
            <w:tcW w:w="4114" w:type="dxa"/>
            <w:vAlign w:val="top"/>
          </w:tcPr>
          <w:p>
            <w:pPr>
              <w:spacing w:line="350" w:lineRule="auto"/>
              <w:rPr>
                <w:rFonts w:ascii="Arial"/>
                <w:sz w:val="21"/>
              </w:rPr>
            </w:pPr>
          </w:p>
          <w:p>
            <w:pPr>
              <w:spacing w:line="351"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1</w:t>
            </w:r>
            <w:r>
              <w:rPr>
                <w:rFonts w:hint="eastAsia" w:ascii="宋体" w:hAnsi="宋体" w:eastAsia="宋体" w:cs="宋体"/>
                <w:snapToGrid w:val="0"/>
                <w:color w:val="000000"/>
                <w:spacing w:val="6"/>
                <w:kern w:val="0"/>
                <w:sz w:val="17"/>
                <w:szCs w:val="17"/>
                <w:lang w:val="en-US" w:eastAsia="en-US" w:bidi="ar-SA"/>
              </w:rPr>
              <w:t>.中间罐区精甲醇储罐（V4302A）设有氮封，未设事故泄压设施。（企业已自查出）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snapToGrid w:val="0"/>
                <w:color w:val="000000"/>
                <w:spacing w:val="6"/>
                <w:kern w:val="0"/>
                <w:sz w:val="17"/>
                <w:szCs w:val="17"/>
                <w:lang w:val="en-US" w:eastAsia="en-US" w:bidi="ar-SA"/>
              </w:rPr>
              <w:t>2.中间罐区地下槽氮封管线上未安装止回阀。</w:t>
            </w:r>
          </w:p>
          <w:p>
            <w:pPr>
              <w:pStyle w:val="6"/>
              <w:spacing w:before="13" w:line="224" w:lineRule="auto"/>
              <w:ind w:left="35"/>
            </w:pPr>
          </w:p>
        </w:tc>
        <w:tc>
          <w:tcPr>
            <w:tcW w:w="3719" w:type="dxa"/>
            <w:vAlign w:val="top"/>
          </w:tcPr>
          <w:p>
            <w:pPr>
              <w:spacing w:line="262"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7"/>
                <w:kern w:val="0"/>
                <w:sz w:val="17"/>
                <w:szCs w:val="17"/>
                <w:lang w:val="en-US" w:eastAsia="en-US" w:bidi="ar-SA"/>
              </w:rPr>
            </w:pPr>
            <w:r>
              <w:rPr>
                <w:rFonts w:hint="eastAsia" w:ascii="宋体" w:hAnsi="宋体" w:eastAsia="宋体" w:cs="宋体"/>
                <w:snapToGrid w:val="0"/>
                <w:color w:val="000000"/>
                <w:spacing w:val="7"/>
                <w:kern w:val="0"/>
                <w:sz w:val="17"/>
                <w:szCs w:val="17"/>
                <w:lang w:val="en-US" w:eastAsia="en-US" w:bidi="ar-SA"/>
              </w:rPr>
              <w:t>1.按照《石油化工企业设计防火标准（2018年 版）》（GB 50160-2008）第6.2.19条的要求，对于采用氮气或其他气体气封的甲B、乙类液体的储罐，应设置事故泄压设备。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snapToGrid w:val="0"/>
                <w:color w:val="000000"/>
                <w:spacing w:val="7"/>
                <w:kern w:val="0"/>
                <w:sz w:val="17"/>
                <w:szCs w:val="17"/>
                <w:lang w:val="en-US" w:eastAsia="en-US" w:bidi="ar-SA"/>
              </w:rPr>
              <w:t>2.按照《阀门的设置》 （HG/T 20570.18-95） 第2.0.7条的要求，对需做惰性气体保护的容器和储</w:t>
            </w:r>
            <w:r>
              <w:rPr>
                <w:rFonts w:hint="eastAsia" w:ascii="宋体" w:hAnsi="宋体" w:eastAsia="宋体" w:cs="宋体"/>
                <w:snapToGrid w:val="0"/>
                <w:color w:val="000000"/>
                <w:spacing w:val="7"/>
                <w:kern w:val="0"/>
                <w:sz w:val="17"/>
                <w:szCs w:val="17"/>
                <w:lang w:val="en-US" w:eastAsia="en-US" w:bidi="ar-SA"/>
              </w:rPr>
              <w:t>槽，应设自力式控制阀并串接止回阀。</w:t>
            </w:r>
          </w:p>
          <w:p>
            <w:pPr>
              <w:pStyle w:val="6"/>
              <w:spacing w:before="14" w:line="234" w:lineRule="auto"/>
              <w:ind w:left="37" w:right="96" w:firstLine="2"/>
              <w:jc w:val="both"/>
            </w:pP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07" w:right="1088" w:bottom="0" w:left="1010" w:header="0" w:footer="0" w:gutter="0"/>
          <w:cols w:space="720" w:num="1"/>
        </w:sectPr>
      </w:pPr>
    </w:p>
    <w:tbl>
      <w:tblPr>
        <w:tblStyle w:val="5"/>
        <w:tblW w:w="1472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626"/>
        <w:gridCol w:w="1062"/>
        <w:gridCol w:w="4114"/>
        <w:gridCol w:w="3719"/>
        <w:gridCol w:w="1041"/>
        <w:gridCol w:w="1189"/>
        <w:gridCol w:w="937"/>
        <w:gridCol w:w="1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4" w:hRule="atLeast"/>
        </w:trPr>
        <w:tc>
          <w:tcPr>
            <w:tcW w:w="591" w:type="dxa"/>
            <w:tcBorders>
              <w:top w:val="nil"/>
            </w:tcBorders>
            <w:vAlign w:val="top"/>
          </w:tcPr>
          <w:p>
            <w:pPr>
              <w:pStyle w:val="6"/>
              <w:spacing w:before="95" w:line="225" w:lineRule="auto"/>
              <w:ind w:left="117"/>
            </w:pPr>
            <w:r>
              <w:rPr>
                <w:spacing w:val="3"/>
                <w14:textOutline w14:w="3210" w14:cap="sq" w14:cmpd="sng">
                  <w14:solidFill>
                    <w14:srgbClr w14:val="000000"/>
                  </w14:solidFill>
                  <w14:prstDash w14:val="solid"/>
                  <w14:bevel/>
                </w14:textOutline>
              </w:rPr>
              <w:t>专业</w:t>
            </w:r>
          </w:p>
        </w:tc>
        <w:tc>
          <w:tcPr>
            <w:tcW w:w="626" w:type="dxa"/>
            <w:tcBorders>
              <w:top w:val="nil"/>
            </w:tcBorders>
            <w:vAlign w:val="top"/>
          </w:tcPr>
          <w:p>
            <w:pPr>
              <w:pStyle w:val="6"/>
              <w:spacing w:before="95" w:line="226" w:lineRule="auto"/>
              <w:ind w:left="129"/>
            </w:pPr>
            <w:r>
              <w:rPr>
                <w:spacing w:val="4"/>
                <w14:textOutline w14:w="3210" w14:cap="sq" w14:cmpd="sng">
                  <w14:solidFill>
                    <w14:srgbClr w14:val="000000"/>
                  </w14:solidFill>
                  <w14:prstDash w14:val="solid"/>
                  <w14:bevel/>
                </w14:textOutline>
              </w:rPr>
              <w:t>序号</w:t>
            </w:r>
          </w:p>
        </w:tc>
        <w:tc>
          <w:tcPr>
            <w:tcW w:w="1062" w:type="dxa"/>
            <w:tcBorders>
              <w:top w:val="nil"/>
            </w:tcBorders>
            <w:vAlign w:val="top"/>
          </w:tcPr>
          <w:p>
            <w:pPr>
              <w:pStyle w:val="6"/>
              <w:spacing w:line="224" w:lineRule="auto"/>
              <w:ind w:left="80" w:right="81"/>
            </w:pPr>
            <w:r>
              <w:rPr>
                <w:spacing w:val="6"/>
                <w14:textOutline w14:w="3210" w14:cap="sq" w14:cmpd="sng">
                  <w14:solidFill>
                    <w14:srgbClr w14:val="000000"/>
                  </w14:solidFill>
                  <w14:prstDash w14:val="solid"/>
                  <w14:bevel/>
                </w14:textOutline>
              </w:rPr>
              <w:t>核查表中检</w:t>
            </w:r>
            <w:r>
              <w:rPr>
                <w:spacing w:val="3"/>
              </w:rPr>
              <w:t xml:space="preserve"> </w:t>
            </w:r>
            <w:r>
              <w:rPr>
                <w:spacing w:val="6"/>
                <w14:textOutline w14:w="3210" w14:cap="sq" w14:cmpd="sng">
                  <w14:solidFill>
                    <w14:srgbClr w14:val="000000"/>
                  </w14:solidFill>
                  <w14:prstDash w14:val="solid"/>
                  <w14:bevel/>
                </w14:textOutline>
              </w:rPr>
              <w:t>查内容序号</w:t>
            </w:r>
          </w:p>
        </w:tc>
        <w:tc>
          <w:tcPr>
            <w:tcW w:w="4114" w:type="dxa"/>
            <w:tcBorders>
              <w:top w:val="nil"/>
            </w:tcBorders>
            <w:vAlign w:val="top"/>
          </w:tcPr>
          <w:p>
            <w:pPr>
              <w:pStyle w:val="6"/>
              <w:spacing w:before="95" w:line="227" w:lineRule="auto"/>
              <w:ind w:left="1716"/>
            </w:pPr>
            <w:r>
              <w:rPr>
                <w:spacing w:val="1"/>
                <w14:textOutline w14:w="3210" w14:cap="sq" w14:cmpd="sng">
                  <w14:solidFill>
                    <w14:srgbClr w14:val="000000"/>
                  </w14:solidFill>
                  <w14:prstDash w14:val="solid"/>
                  <w14:bevel/>
                </w14:textOutline>
              </w:rPr>
              <w:t>问题描述</w:t>
            </w:r>
          </w:p>
        </w:tc>
        <w:tc>
          <w:tcPr>
            <w:tcW w:w="3719" w:type="dxa"/>
            <w:tcBorders>
              <w:top w:val="nil"/>
            </w:tcBorders>
            <w:vAlign w:val="top"/>
          </w:tcPr>
          <w:p>
            <w:pPr>
              <w:pStyle w:val="6"/>
              <w:spacing w:before="95" w:line="224" w:lineRule="auto"/>
              <w:ind w:left="1503"/>
            </w:pPr>
            <w:r>
              <w:rPr>
                <w:spacing w:val="6"/>
                <w14:textOutline w14:w="3210" w14:cap="sq" w14:cmpd="sng">
                  <w14:solidFill>
                    <w14:srgbClr w14:val="000000"/>
                  </w14:solidFill>
                  <w14:prstDash w14:val="solid"/>
                  <w14:bevel/>
                </w14:textOutline>
              </w:rPr>
              <w:t>整改建议</w:t>
            </w:r>
          </w:p>
        </w:tc>
        <w:tc>
          <w:tcPr>
            <w:tcW w:w="1041" w:type="dxa"/>
            <w:vAlign w:val="top"/>
          </w:tcPr>
          <w:p>
            <w:pPr>
              <w:pStyle w:val="6"/>
              <w:spacing w:before="33" w:line="218" w:lineRule="auto"/>
              <w:ind w:left="439" w:right="58" w:hanging="363"/>
              <w:jc w:val="center"/>
              <w:rPr>
                <w:rFonts w:hint="eastAsia"/>
                <w:spacing w:val="8"/>
                <w:lang w:eastAsia="zh-CN"/>
                <w14:textOutline w14:w="3210" w14:cap="sq" w14:cmpd="sng">
                  <w14:solidFill>
                    <w14:srgbClr w14:val="000000"/>
                  </w14:solidFill>
                  <w14:prstDash w14:val="solid"/>
                  <w14:bevel/>
                </w14:textOutline>
              </w:rPr>
            </w:pPr>
            <w:r>
              <w:rPr>
                <w:spacing w:val="8"/>
                <w14:textOutline w14:w="3210" w14:cap="sq" w14:cmpd="sng">
                  <w14:solidFill>
                    <w14:srgbClr w14:val="000000"/>
                  </w14:solidFill>
                  <w14:prstDash w14:val="solid"/>
                  <w14:bevel/>
                </w14:textOutline>
              </w:rPr>
              <w:t>文件</w:t>
            </w:r>
            <w:r>
              <w:rPr>
                <w:rFonts w:hint="eastAsia"/>
                <w:spacing w:val="8"/>
                <w:lang w:eastAsia="zh-CN"/>
                <w14:textOutline w14:w="3210" w14:cap="sq" w14:cmpd="sng">
                  <w14:solidFill>
                    <w14:srgbClr w14:val="000000"/>
                  </w14:solidFill>
                  <w14:prstDash w14:val="solid"/>
                  <w14:bevel/>
                </w14:textOutline>
              </w:rPr>
              <w:t>类</w:t>
            </w:r>
          </w:p>
          <w:p>
            <w:pPr>
              <w:pStyle w:val="6"/>
              <w:spacing w:before="33" w:line="218" w:lineRule="auto"/>
              <w:ind w:left="439" w:right="58" w:hanging="363"/>
              <w:jc w:val="center"/>
            </w:pPr>
            <w:r>
              <w:rPr>
                <w:spacing w:val="8"/>
                <w14:textOutline w14:w="3210" w14:cap="sq" w14:cmpd="sng">
                  <w14:solidFill>
                    <w14:srgbClr w14:val="000000"/>
                  </w14:solidFill>
                  <w14:prstDash w14:val="solid"/>
                  <w14:bevel/>
                </w14:textOutline>
              </w:rPr>
              <w:t>资料</w:t>
            </w:r>
            <w:r>
              <w:rPr>
                <w14:textOutline w14:w="3210" w14:cap="sq" w14:cmpd="sng">
                  <w14:solidFill>
                    <w14:srgbClr w14:val="000000"/>
                  </w14:solidFill>
                  <w14:prstDash w14:val="solid"/>
                  <w14:bevel/>
                </w14:textOutline>
              </w:rPr>
              <w:t>类</w:t>
            </w:r>
          </w:p>
        </w:tc>
        <w:tc>
          <w:tcPr>
            <w:tcW w:w="1189" w:type="dxa"/>
            <w:vAlign w:val="top"/>
          </w:tcPr>
          <w:p>
            <w:pPr>
              <w:pStyle w:val="6"/>
              <w:spacing w:before="210" w:line="224" w:lineRule="auto"/>
              <w:ind w:left="332"/>
            </w:pPr>
            <w:r>
              <w:rPr>
                <w:spacing w:val="5"/>
                <w14:textOutline w14:w="3210" w14:cap="sq" w14:cmpd="sng">
                  <w14:solidFill>
                    <w14:srgbClr w14:val="000000"/>
                  </w14:solidFill>
                  <w14:prstDash w14:val="solid"/>
                  <w14:bevel/>
                </w14:textOutline>
              </w:rPr>
              <w:t>执行类</w:t>
            </w:r>
          </w:p>
        </w:tc>
        <w:tc>
          <w:tcPr>
            <w:tcW w:w="937" w:type="dxa"/>
            <w:vAlign w:val="top"/>
          </w:tcPr>
          <w:p>
            <w:pPr>
              <w:pStyle w:val="6"/>
              <w:spacing w:before="210" w:line="224" w:lineRule="auto"/>
              <w:ind w:left="210"/>
            </w:pPr>
            <w:r>
              <w:rPr>
                <w:spacing w:val="5"/>
                <w14:textOutline w14:w="3210" w14:cap="sq" w14:cmpd="sng">
                  <w14:solidFill>
                    <w14:srgbClr w14:val="000000"/>
                  </w14:solidFill>
                  <w14:prstDash w14:val="solid"/>
                  <w14:bevel/>
                </w14:textOutline>
              </w:rPr>
              <w:t>现场类</w:t>
            </w:r>
          </w:p>
        </w:tc>
        <w:tc>
          <w:tcPr>
            <w:tcW w:w="1444" w:type="dxa"/>
            <w:tcBorders>
              <w:top w:val="nil"/>
            </w:tcBorders>
            <w:vAlign w:val="top"/>
          </w:tcPr>
          <w:p>
            <w:pPr>
              <w:pStyle w:val="6"/>
              <w:spacing w:before="89" w:line="236" w:lineRule="auto"/>
              <w:ind w:left="646"/>
              <w:rPr>
                <w:sz w:val="18"/>
                <w:szCs w:val="18"/>
              </w:rPr>
            </w:pPr>
            <w:r>
              <w:rPr>
                <w:sz w:val="18"/>
                <w:szCs w:val="18"/>
                <w14:textOutline w14:w="3396" w14:cap="sq" w14:cmpd="sng">
                  <w14:solidFill>
                    <w14:srgbClr w14:val="000000"/>
                  </w14:solidFill>
                  <w14:prstDash w14:val="solid"/>
                  <w14:bevel/>
                </w14:textOutline>
              </w:rPr>
              <w:t>患</w:t>
            </w:r>
          </w:p>
          <w:p>
            <w:pPr>
              <w:pStyle w:val="6"/>
              <w:spacing w:line="189" w:lineRule="auto"/>
              <w:ind w:left="683"/>
              <w:rPr>
                <w:sz w:val="18"/>
                <w:szCs w:val="18"/>
              </w:rPr>
            </w:pPr>
            <w:r>
              <w:rPr>
                <w:sz w:val="18"/>
                <w:szCs w:val="18"/>
                <w14:textOutline w14:w="3396"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0" w:hRule="atLeast"/>
        </w:trPr>
        <w:tc>
          <w:tcPr>
            <w:tcW w:w="591" w:type="dxa"/>
            <w:vMerge w:val="restart"/>
            <w:tcBorders>
              <w:bottom w:val="nil"/>
            </w:tcBorders>
            <w:vAlign w:val="top"/>
          </w:tcPr>
          <w:p>
            <w:pPr>
              <w:rPr>
                <w:rFonts w:ascii="Arial"/>
                <w:sz w:val="21"/>
              </w:rPr>
            </w:pPr>
          </w:p>
        </w:tc>
        <w:tc>
          <w:tcPr>
            <w:tcW w:w="626" w:type="dxa"/>
            <w:vAlign w:val="top"/>
          </w:tcPr>
          <w:p>
            <w:pPr>
              <w:spacing w:line="332" w:lineRule="auto"/>
              <w:rPr>
                <w:rFonts w:ascii="Arial"/>
                <w:sz w:val="21"/>
              </w:rPr>
            </w:pPr>
          </w:p>
          <w:p>
            <w:pPr>
              <w:spacing w:line="332" w:lineRule="auto"/>
              <w:rPr>
                <w:rFonts w:ascii="Arial"/>
                <w:sz w:val="21"/>
              </w:rPr>
            </w:pPr>
          </w:p>
          <w:p>
            <w:pPr>
              <w:pStyle w:val="6"/>
              <w:spacing w:before="56" w:line="187" w:lineRule="auto"/>
              <w:ind w:left="225"/>
            </w:pPr>
            <w:r>
              <w:rPr>
                <w:spacing w:val="-2"/>
              </w:rPr>
              <w:t>21</w:t>
            </w:r>
          </w:p>
        </w:tc>
        <w:tc>
          <w:tcPr>
            <w:tcW w:w="1062" w:type="dxa"/>
            <w:vAlign w:val="top"/>
          </w:tcPr>
          <w:p>
            <w:pPr>
              <w:spacing w:line="332" w:lineRule="auto"/>
              <w:rPr>
                <w:rFonts w:ascii="Arial"/>
                <w:sz w:val="21"/>
              </w:rPr>
            </w:pPr>
          </w:p>
          <w:p>
            <w:pPr>
              <w:spacing w:line="332" w:lineRule="auto"/>
              <w:rPr>
                <w:rFonts w:ascii="Arial"/>
                <w:sz w:val="21"/>
              </w:rPr>
            </w:pPr>
          </w:p>
          <w:p>
            <w:pPr>
              <w:pStyle w:val="6"/>
              <w:spacing w:before="56" w:line="187" w:lineRule="auto"/>
              <w:ind w:left="307"/>
            </w:pPr>
            <w:r>
              <w:rPr>
                <w:spacing w:val="5"/>
              </w:rPr>
              <w:t>4.5.1</w:t>
            </w:r>
          </w:p>
        </w:tc>
        <w:tc>
          <w:tcPr>
            <w:tcW w:w="4114" w:type="dxa"/>
            <w:vAlign w:val="top"/>
          </w:tcPr>
          <w:p>
            <w:pPr>
              <w:spacing w:line="264" w:lineRule="auto"/>
              <w:rPr>
                <w:rFonts w:ascii="Arial"/>
                <w:sz w:val="21"/>
              </w:rPr>
            </w:pPr>
          </w:p>
          <w:p>
            <w:pPr>
              <w:spacing w:line="264" w:lineRule="auto"/>
              <w:rPr>
                <w:rFonts w:ascii="Arial"/>
                <w:sz w:val="21"/>
              </w:rPr>
            </w:pPr>
          </w:p>
          <w:p>
            <w:pPr>
              <w:pStyle w:val="6"/>
              <w:spacing w:before="55" w:line="232" w:lineRule="auto"/>
              <w:ind w:left="34" w:right="352"/>
            </w:pPr>
            <w:r>
              <w:rPr>
                <w:spacing w:val="5"/>
              </w:rPr>
              <w:t>合成装置北侧减温减压中压蒸汽安全阀排放口向上，排放管底部无排液孔和疏水管。</w:t>
            </w:r>
          </w:p>
        </w:tc>
        <w:tc>
          <w:tcPr>
            <w:tcW w:w="3719" w:type="dxa"/>
            <w:vAlign w:val="top"/>
          </w:tcPr>
          <w:p>
            <w:pPr>
              <w:pStyle w:val="6"/>
              <w:spacing w:before="258" w:line="236" w:lineRule="auto"/>
              <w:ind w:left="37" w:right="88" w:firstLine="1"/>
            </w:pPr>
            <w:r>
              <w:rPr>
                <w:spacing w:val="8"/>
              </w:rPr>
              <w:t>按照《石油化工金属管道布置设计规范 》（SH 3012-2011）第10.2.9条的要求，直接向上排至大气的安全阀出口管道，应在该管下端弯头附近开一个Φ6mm~Φ10mm的排液孔；对于蒸汽管道上的排液孔 ，应引至安全位置。</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18" w:lineRule="auto"/>
              <w:rPr>
                <w:rFonts w:ascii="Arial"/>
                <w:sz w:val="21"/>
              </w:rPr>
            </w:pPr>
          </w:p>
          <w:p>
            <w:pPr>
              <w:spacing w:line="319" w:lineRule="auto"/>
              <w:rPr>
                <w:rFonts w:ascii="Arial"/>
                <w:sz w:val="21"/>
              </w:rPr>
            </w:pPr>
          </w:p>
          <w:p>
            <w:pPr>
              <w:pStyle w:val="6"/>
              <w:spacing w:before="56"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5" w:hRule="atLeast"/>
        </w:trPr>
        <w:tc>
          <w:tcPr>
            <w:tcW w:w="591" w:type="dxa"/>
            <w:vMerge w:val="continue"/>
            <w:tcBorders>
              <w:top w:val="nil"/>
            </w:tcBorders>
            <w:vAlign w:val="top"/>
          </w:tcPr>
          <w:p>
            <w:pPr>
              <w:rPr>
                <w:rFonts w:ascii="Arial"/>
                <w:sz w:val="21"/>
              </w:rPr>
            </w:pPr>
          </w:p>
        </w:tc>
        <w:tc>
          <w:tcPr>
            <w:tcW w:w="626" w:type="dxa"/>
            <w:vAlign w:val="top"/>
          </w:tcPr>
          <w:p>
            <w:pPr>
              <w:spacing w:line="344" w:lineRule="auto"/>
              <w:rPr>
                <w:rFonts w:ascii="Arial"/>
                <w:sz w:val="21"/>
              </w:rPr>
            </w:pPr>
          </w:p>
          <w:p>
            <w:pPr>
              <w:pStyle w:val="6"/>
              <w:spacing w:before="55" w:line="187" w:lineRule="auto"/>
              <w:ind w:left="225"/>
            </w:pPr>
            <w:r>
              <w:rPr>
                <w:spacing w:val="-2"/>
              </w:rPr>
              <w:t>22</w:t>
            </w:r>
          </w:p>
        </w:tc>
        <w:tc>
          <w:tcPr>
            <w:tcW w:w="1062" w:type="dxa"/>
            <w:vAlign w:val="top"/>
          </w:tcPr>
          <w:p>
            <w:pPr>
              <w:spacing w:line="344" w:lineRule="auto"/>
              <w:rPr>
                <w:rFonts w:ascii="Arial"/>
                <w:sz w:val="21"/>
              </w:rPr>
            </w:pPr>
          </w:p>
          <w:p>
            <w:pPr>
              <w:pStyle w:val="6"/>
              <w:spacing w:before="55" w:line="187" w:lineRule="auto"/>
              <w:ind w:left="307"/>
            </w:pPr>
            <w:r>
              <w:rPr>
                <w:spacing w:val="5"/>
              </w:rPr>
              <w:t>4.6.1</w:t>
            </w:r>
          </w:p>
        </w:tc>
        <w:tc>
          <w:tcPr>
            <w:tcW w:w="4114" w:type="dxa"/>
            <w:vAlign w:val="top"/>
          </w:tcPr>
          <w:p>
            <w:pPr>
              <w:spacing w:line="317" w:lineRule="auto"/>
              <w:rPr>
                <w:rFonts w:ascii="Arial"/>
                <w:sz w:val="21"/>
              </w:rPr>
            </w:pPr>
          </w:p>
          <w:p>
            <w:pPr>
              <w:pStyle w:val="6"/>
              <w:spacing w:before="56" w:line="224" w:lineRule="auto"/>
              <w:ind w:left="34"/>
            </w:pPr>
            <w:r>
              <w:rPr>
                <w:spacing w:val="5"/>
              </w:rPr>
              <w:t>测试罐区甲醇装</w:t>
            </w:r>
            <w:r>
              <w:rPr>
                <w:rFonts w:hint="eastAsia"/>
                <w:spacing w:val="5"/>
              </w:rPr>
              <w:t>车站12#鹤位南侧消防炮，未出水。</w:t>
            </w:r>
          </w:p>
        </w:tc>
        <w:tc>
          <w:tcPr>
            <w:tcW w:w="3719" w:type="dxa"/>
            <w:vAlign w:val="top"/>
          </w:tcPr>
          <w:p>
            <w:pPr>
              <w:pStyle w:val="6"/>
              <w:spacing w:before="42" w:line="235" w:lineRule="auto"/>
              <w:ind w:left="37" w:right="90" w:firstLine="1"/>
            </w:pPr>
            <w:r>
              <w:rPr>
                <w:spacing w:val="6"/>
              </w:rPr>
              <w:t>按照《企业安全生产标准化基本规范</w:t>
            </w:r>
            <w:r>
              <w:rPr>
                <w:spacing w:val="-32"/>
              </w:rPr>
              <w:t xml:space="preserve"> </w:t>
            </w:r>
            <w:r>
              <w:rPr>
                <w:spacing w:val="6"/>
              </w:rPr>
              <w:t>》（</w:t>
            </w:r>
            <w:r>
              <w:t>GB</w:t>
            </w:r>
            <w:r>
              <w:rPr>
                <w:spacing w:val="6"/>
              </w:rPr>
              <w:t>/T</w:t>
            </w:r>
            <w:r>
              <w:t xml:space="preserve"> </w:t>
            </w:r>
            <w:r>
              <w:rPr>
                <w:spacing w:val="6"/>
              </w:rPr>
              <w:t>33000-2016）第5.6.1.3条的要求，应急设施</w:t>
            </w:r>
            <w:r>
              <w:rPr>
                <w:spacing w:val="8"/>
              </w:rPr>
              <w:t>应定期检查、维护、保养，确保其完好、可靠</w:t>
            </w:r>
          </w:p>
          <w:p>
            <w:pPr>
              <w:pStyle w:val="6"/>
              <w:spacing w:before="127" w:line="76" w:lineRule="exact"/>
            </w:pPr>
            <w:r>
              <w:rPr>
                <w:position w:val="1"/>
              </w:rPr>
              <w:t>。</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17"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5" w:hRule="atLeast"/>
        </w:trPr>
        <w:tc>
          <w:tcPr>
            <w:tcW w:w="591" w:type="dxa"/>
            <w:vMerge w:val="restart"/>
            <w:tcBorders>
              <w:bottom w:val="nil"/>
            </w:tcBorders>
            <w:vAlign w:val="top"/>
          </w:tcPr>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55" w:line="232" w:lineRule="auto"/>
              <w:ind w:left="117" w:right="111" w:firstLine="19"/>
            </w:pPr>
            <w:r>
              <w:rPr>
                <w:spacing w:val="-7"/>
                <w14:textOutline w14:w="3210" w14:cap="sq" w14:cmpd="sng">
                  <w14:solidFill>
                    <w14:srgbClr w14:val="000000"/>
                  </w14:solidFill>
                  <w14:prstDash w14:val="solid"/>
                  <w14:bevel/>
                </w14:textOutline>
              </w:rPr>
              <w:t>电气</w:t>
            </w:r>
            <w:r>
              <w:t xml:space="preserve"> </w:t>
            </w:r>
            <w:r>
              <w:rPr>
                <w:spacing w:val="3"/>
                <w14:textOutline w14:w="3210" w14:cap="sq" w14:cmpd="sng">
                  <w14:solidFill>
                    <w14:srgbClr w14:val="000000"/>
                  </w14:solidFill>
                  <w14:prstDash w14:val="solid"/>
                  <w14:bevel/>
                </w14:textOutline>
              </w:rPr>
              <w:t>仪表</w:t>
            </w:r>
          </w:p>
        </w:tc>
        <w:tc>
          <w:tcPr>
            <w:tcW w:w="626" w:type="dxa"/>
            <w:vAlign w:val="top"/>
          </w:tcPr>
          <w:p>
            <w:pPr>
              <w:spacing w:line="348" w:lineRule="auto"/>
              <w:rPr>
                <w:rFonts w:ascii="Arial"/>
                <w:sz w:val="21"/>
              </w:rPr>
            </w:pPr>
          </w:p>
          <w:p>
            <w:pPr>
              <w:pStyle w:val="6"/>
              <w:spacing w:before="55" w:line="187" w:lineRule="auto"/>
              <w:ind w:left="225"/>
            </w:pPr>
            <w:r>
              <w:rPr>
                <w:spacing w:val="-2"/>
              </w:rPr>
              <w:t>23</w:t>
            </w:r>
          </w:p>
        </w:tc>
        <w:tc>
          <w:tcPr>
            <w:tcW w:w="1062" w:type="dxa"/>
            <w:vAlign w:val="top"/>
          </w:tcPr>
          <w:p>
            <w:pPr>
              <w:spacing w:line="348" w:lineRule="auto"/>
              <w:rPr>
                <w:rFonts w:ascii="Arial"/>
                <w:sz w:val="21"/>
              </w:rPr>
            </w:pPr>
          </w:p>
          <w:p>
            <w:pPr>
              <w:pStyle w:val="6"/>
              <w:spacing w:before="55" w:line="187" w:lineRule="auto"/>
              <w:ind w:left="311"/>
            </w:pPr>
            <w:r>
              <w:rPr>
                <w:spacing w:val="5"/>
              </w:rPr>
              <w:t>5.1.1</w:t>
            </w:r>
          </w:p>
        </w:tc>
        <w:tc>
          <w:tcPr>
            <w:tcW w:w="4114" w:type="dxa"/>
            <w:vAlign w:val="top"/>
          </w:tcPr>
          <w:p>
            <w:pPr>
              <w:spacing w:line="321" w:lineRule="auto"/>
              <w:rPr>
                <w:rFonts w:ascii="Arial"/>
                <w:sz w:val="21"/>
              </w:rPr>
            </w:pPr>
          </w:p>
          <w:p>
            <w:pPr>
              <w:pStyle w:val="6"/>
              <w:spacing w:before="56" w:line="224" w:lineRule="auto"/>
              <w:ind w:left="34"/>
            </w:pPr>
            <w:r>
              <w:rPr>
                <w:rFonts w:hint="eastAsia"/>
                <w:spacing w:val="5"/>
              </w:rPr>
              <w:t>仪表管理制度中缺少对仪表电源、气源的管理要求。</w:t>
            </w:r>
          </w:p>
        </w:tc>
        <w:tc>
          <w:tcPr>
            <w:tcW w:w="3719" w:type="dxa"/>
            <w:vAlign w:val="top"/>
          </w:tcPr>
          <w:p>
            <w:pPr>
              <w:pStyle w:val="6"/>
              <w:spacing w:before="157" w:line="234" w:lineRule="auto"/>
              <w:ind w:left="47" w:right="88" w:hanging="8"/>
              <w:jc w:val="both"/>
            </w:pPr>
            <w:r>
              <w:rPr>
                <w:spacing w:val="7"/>
              </w:rPr>
              <w:t>按照《关于加强化工过程安全管理的指导意见</w:t>
            </w:r>
            <w:r>
              <w:t xml:space="preserve"> </w:t>
            </w:r>
            <w:r>
              <w:rPr>
                <w:spacing w:val="7"/>
              </w:rPr>
              <w:t>》（安监总管三〔2013〕88号）第（十六）条</w:t>
            </w:r>
            <w:r>
              <w:rPr>
                <w:spacing w:val="6"/>
              </w:rPr>
              <w:t xml:space="preserve"> </w:t>
            </w:r>
            <w:r>
              <w:rPr>
                <w:spacing w:val="8"/>
              </w:rPr>
              <w:t>的要求，补充仪表电源、气源相关管理要求。</w:t>
            </w:r>
          </w:p>
        </w:tc>
        <w:tc>
          <w:tcPr>
            <w:tcW w:w="1041" w:type="dxa"/>
            <w:vAlign w:val="top"/>
          </w:tcPr>
          <w:p>
            <w:pPr>
              <w:spacing w:line="321" w:lineRule="auto"/>
              <w:rPr>
                <w:rFonts w:ascii="Arial"/>
                <w:sz w:val="21"/>
              </w:rPr>
            </w:pPr>
          </w:p>
          <w:p>
            <w:pPr>
              <w:pStyle w:val="6"/>
              <w:spacing w:before="55" w:line="224" w:lineRule="exact"/>
              <w:ind w:left="482"/>
            </w:pPr>
            <w:r>
              <w:t>√</w:t>
            </w:r>
          </w:p>
        </w:tc>
        <w:tc>
          <w:tcPr>
            <w:tcW w:w="1189" w:type="dxa"/>
            <w:vAlign w:val="top"/>
          </w:tcPr>
          <w:p>
            <w:pPr>
              <w:rPr>
                <w:rFonts w:ascii="Arial"/>
                <w:sz w:val="21"/>
              </w:rPr>
            </w:pP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45" w:lineRule="auto"/>
              <w:rPr>
                <w:rFonts w:ascii="Arial"/>
                <w:sz w:val="21"/>
              </w:rPr>
            </w:pPr>
          </w:p>
          <w:p>
            <w:pPr>
              <w:spacing w:line="346" w:lineRule="auto"/>
              <w:rPr>
                <w:rFonts w:ascii="Arial"/>
                <w:sz w:val="21"/>
              </w:rPr>
            </w:pPr>
          </w:p>
          <w:p>
            <w:pPr>
              <w:pStyle w:val="6"/>
              <w:spacing w:before="55" w:line="187" w:lineRule="auto"/>
              <w:ind w:left="225"/>
            </w:pPr>
            <w:r>
              <w:rPr>
                <w:spacing w:val="-2"/>
              </w:rPr>
              <w:t>24</w:t>
            </w:r>
          </w:p>
        </w:tc>
        <w:tc>
          <w:tcPr>
            <w:tcW w:w="1062" w:type="dxa"/>
            <w:vAlign w:val="top"/>
          </w:tcPr>
          <w:p>
            <w:pPr>
              <w:spacing w:line="345" w:lineRule="auto"/>
              <w:rPr>
                <w:rFonts w:ascii="Arial"/>
                <w:sz w:val="21"/>
              </w:rPr>
            </w:pPr>
          </w:p>
          <w:p>
            <w:pPr>
              <w:spacing w:line="346" w:lineRule="auto"/>
              <w:rPr>
                <w:rFonts w:ascii="Arial"/>
                <w:sz w:val="21"/>
              </w:rPr>
            </w:pPr>
          </w:p>
          <w:p>
            <w:pPr>
              <w:pStyle w:val="6"/>
              <w:spacing w:before="55" w:line="187" w:lineRule="auto"/>
              <w:ind w:left="311"/>
            </w:pPr>
            <w:r>
              <w:rPr>
                <w:spacing w:val="1"/>
              </w:rPr>
              <w:t>5.2.3</w:t>
            </w:r>
          </w:p>
        </w:tc>
        <w:tc>
          <w:tcPr>
            <w:tcW w:w="4114" w:type="dxa"/>
            <w:vAlign w:val="top"/>
          </w:tcPr>
          <w:p>
            <w:pPr>
              <w:spacing w:line="278" w:lineRule="auto"/>
              <w:rPr>
                <w:rFonts w:ascii="Arial"/>
                <w:sz w:val="21"/>
              </w:rPr>
            </w:pPr>
          </w:p>
          <w:p>
            <w:pPr>
              <w:spacing w:line="279" w:lineRule="auto"/>
              <w:rPr>
                <w:rFonts w:ascii="Arial"/>
                <w:sz w:val="21"/>
              </w:rPr>
            </w:pPr>
          </w:p>
          <w:p>
            <w:pPr>
              <w:pStyle w:val="6"/>
              <w:spacing w:before="55" w:line="230" w:lineRule="auto"/>
              <w:ind w:left="48" w:right="132" w:firstLine="7"/>
            </w:pPr>
            <w:r>
              <w:rPr>
                <w:rFonts w:hint="eastAsia"/>
                <w:spacing w:val="5"/>
              </w:rPr>
              <w:t>甲醇合成装置循环气压缩机厂房内1台消防输入/输出模块为非防爆设备。</w:t>
            </w:r>
          </w:p>
        </w:tc>
        <w:tc>
          <w:tcPr>
            <w:tcW w:w="3719" w:type="dxa"/>
            <w:vAlign w:val="top"/>
          </w:tcPr>
          <w:p>
            <w:pPr>
              <w:pStyle w:val="6"/>
              <w:spacing w:before="63" w:line="236" w:lineRule="auto"/>
              <w:ind w:left="37" w:right="88" w:firstLine="1"/>
            </w:pPr>
            <w:r>
              <w:rPr>
                <w:spacing w:val="7"/>
              </w:rPr>
              <w:t>按照《爆炸危险环境电力装置设计规范 》（GB 50058-2014）第5.2.3条的要求和</w:t>
            </w:r>
            <w:r>
              <w:rPr>
                <w:rFonts w:hint="eastAsia"/>
                <w:spacing w:val="7"/>
              </w:rPr>
              <w:t>《危险场所电气防爆安全规范 》（AQ 3009-2007）第5.1条的要求，防爆电气设备应根据爆炸危险区域的等级和爆炸危险物质的类别、级别和组别选型，安装使用合格的防爆型电气设备 ，联系设 计整改。</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32" w:lineRule="auto"/>
              <w:rPr>
                <w:rFonts w:ascii="Arial"/>
                <w:sz w:val="21"/>
              </w:rPr>
            </w:pPr>
          </w:p>
          <w:p>
            <w:pPr>
              <w:spacing w:line="332"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595"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347" w:lineRule="auto"/>
              <w:rPr>
                <w:rFonts w:ascii="Arial"/>
                <w:sz w:val="21"/>
              </w:rPr>
            </w:pPr>
          </w:p>
          <w:p>
            <w:pPr>
              <w:spacing w:line="347" w:lineRule="auto"/>
              <w:rPr>
                <w:rFonts w:ascii="Arial"/>
                <w:sz w:val="21"/>
              </w:rPr>
            </w:pPr>
          </w:p>
          <w:p>
            <w:pPr>
              <w:pStyle w:val="6"/>
              <w:spacing w:before="55" w:line="187" w:lineRule="auto"/>
              <w:ind w:left="225"/>
            </w:pPr>
            <w:r>
              <w:rPr>
                <w:spacing w:val="-2"/>
              </w:rPr>
              <w:t>25</w:t>
            </w:r>
          </w:p>
        </w:tc>
        <w:tc>
          <w:tcPr>
            <w:tcW w:w="1062" w:type="dxa"/>
            <w:vAlign w:val="top"/>
          </w:tcPr>
          <w:p>
            <w:pPr>
              <w:spacing w:line="347" w:lineRule="auto"/>
              <w:rPr>
                <w:rFonts w:ascii="Arial"/>
                <w:sz w:val="21"/>
              </w:rPr>
            </w:pPr>
          </w:p>
          <w:p>
            <w:pPr>
              <w:spacing w:line="347" w:lineRule="auto"/>
              <w:rPr>
                <w:rFonts w:ascii="Arial"/>
                <w:sz w:val="21"/>
              </w:rPr>
            </w:pPr>
          </w:p>
          <w:p>
            <w:pPr>
              <w:pStyle w:val="6"/>
              <w:spacing w:before="55" w:line="187" w:lineRule="auto"/>
              <w:ind w:left="311"/>
            </w:pPr>
            <w:r>
              <w:rPr>
                <w:spacing w:val="1"/>
              </w:rPr>
              <w:t>5.2.3</w:t>
            </w:r>
          </w:p>
        </w:tc>
        <w:tc>
          <w:tcPr>
            <w:tcW w:w="4114" w:type="dxa"/>
            <w:vAlign w:val="top"/>
          </w:tcPr>
          <w:p>
            <w:pPr>
              <w:spacing w:line="446"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7"/>
                <w:szCs w:val="17"/>
                <w:lang w:val="en-US" w:eastAsia="en-US" w:bidi="ar-SA"/>
              </w:rPr>
            </w:pPr>
            <w:r>
              <w:rPr>
                <w:rFonts w:hint="eastAsia" w:ascii="宋体" w:hAnsi="宋体" w:eastAsia="宋体" w:cs="宋体"/>
                <w:snapToGrid w:val="0"/>
                <w:color w:val="000000"/>
                <w:spacing w:val="7"/>
                <w:kern w:val="0"/>
                <w:sz w:val="17"/>
                <w:szCs w:val="17"/>
                <w:lang w:val="en-US" w:eastAsia="en-US" w:bidi="ar-SA"/>
              </w:rPr>
              <w:t>1.甲醇合成装置循环气压缩机厂房内1台行车限位开 关为非防爆设备。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7"/>
                <w:kern w:val="0"/>
                <w:sz w:val="17"/>
                <w:szCs w:val="17"/>
                <w:lang w:val="en-US" w:eastAsia="en-US" w:bidi="ar-SA"/>
              </w:rPr>
            </w:pPr>
            <w:r>
              <w:rPr>
                <w:rFonts w:hint="eastAsia" w:ascii="宋体" w:hAnsi="宋体" w:eastAsia="宋体" w:cs="宋体"/>
                <w:snapToGrid w:val="0"/>
                <w:color w:val="000000"/>
                <w:spacing w:val="7"/>
                <w:kern w:val="0"/>
                <w:sz w:val="17"/>
                <w:szCs w:val="17"/>
                <w:lang w:val="en-US" w:eastAsia="en-US" w:bidi="ar-SA"/>
              </w:rPr>
              <w:t>2.气化装置一层3台涡轮流量计为非防爆设备。</w:t>
            </w:r>
          </w:p>
          <w:p>
            <w:pPr>
              <w:pStyle w:val="6"/>
              <w:spacing w:before="15" w:line="223" w:lineRule="auto"/>
              <w:ind w:left="35"/>
            </w:pPr>
          </w:p>
        </w:tc>
        <w:tc>
          <w:tcPr>
            <w:tcW w:w="3719" w:type="dxa"/>
            <w:vAlign w:val="top"/>
          </w:tcPr>
          <w:p>
            <w:pPr>
              <w:pStyle w:val="6"/>
              <w:spacing w:before="174" w:line="237" w:lineRule="auto"/>
              <w:ind w:left="39" w:right="88"/>
            </w:pPr>
            <w:r>
              <w:rPr>
                <w:rFonts w:hint="eastAsia"/>
                <w:spacing w:val="7"/>
              </w:rPr>
              <w:t>按照《爆炸危险环境电力装置设计规范 》（GB 50058-2014）第5.2.3条的要求和《危险场所电气防爆安全规范 》（AQ 3009-2007）第5.1条的要求，防爆电气设备应根据爆炸危险区域的等级和爆炸危险物质的类别、级别和组别选型，安装使用合格的防爆型电气设备 。</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33" w:lineRule="auto"/>
              <w:rPr>
                <w:rFonts w:ascii="Arial"/>
                <w:sz w:val="21"/>
              </w:rPr>
            </w:pPr>
          </w:p>
          <w:p>
            <w:pPr>
              <w:spacing w:line="334" w:lineRule="auto"/>
              <w:rPr>
                <w:rFonts w:ascii="Arial"/>
                <w:sz w:val="21"/>
              </w:rPr>
            </w:pPr>
          </w:p>
          <w:p>
            <w:pPr>
              <w:pStyle w:val="6"/>
              <w:spacing w:before="55" w:line="224" w:lineRule="exact"/>
              <w:ind w:left="434"/>
            </w:pPr>
            <w:r>
              <w:t>√</w:t>
            </w:r>
          </w:p>
        </w:tc>
        <w:tc>
          <w:tcPr>
            <w:tcW w:w="1444" w:type="dxa"/>
            <w:vAlign w:val="top"/>
          </w:tcPr>
          <w:p>
            <w:pPr>
              <w:spacing w:line="333" w:lineRule="auto"/>
              <w:rPr>
                <w:rFonts w:ascii="Arial"/>
                <w:sz w:val="21"/>
              </w:rPr>
            </w:pPr>
          </w:p>
          <w:p>
            <w:pPr>
              <w:spacing w:line="334" w:lineRule="auto"/>
              <w:rPr>
                <w:rFonts w:ascii="Arial"/>
                <w:sz w:val="21"/>
              </w:rPr>
            </w:pPr>
          </w:p>
          <w:p>
            <w:pPr>
              <w:pStyle w:val="6"/>
              <w:spacing w:before="55" w:line="224" w:lineRule="exact"/>
              <w:ind w:left="684"/>
            </w:pP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trPr>
        <w:tc>
          <w:tcPr>
            <w:tcW w:w="591" w:type="dxa"/>
            <w:vMerge w:val="continue"/>
            <w:tcBorders>
              <w:top w:val="nil"/>
              <w:bottom w:val="nil"/>
            </w:tcBorders>
            <w:vAlign w:val="top"/>
          </w:tcPr>
          <w:p>
            <w:pPr>
              <w:rPr>
                <w:rFonts w:ascii="Arial"/>
                <w:sz w:val="21"/>
              </w:rPr>
            </w:pPr>
          </w:p>
        </w:tc>
        <w:tc>
          <w:tcPr>
            <w:tcW w:w="626" w:type="dxa"/>
            <w:vAlign w:val="top"/>
          </w:tcPr>
          <w:p>
            <w:pPr>
              <w:pStyle w:val="6"/>
              <w:spacing w:before="182" w:line="187" w:lineRule="auto"/>
              <w:ind w:left="225"/>
            </w:pPr>
            <w:r>
              <w:rPr>
                <w:spacing w:val="-2"/>
              </w:rPr>
              <w:t>26</w:t>
            </w:r>
          </w:p>
        </w:tc>
        <w:tc>
          <w:tcPr>
            <w:tcW w:w="1062" w:type="dxa"/>
            <w:vAlign w:val="top"/>
          </w:tcPr>
          <w:p>
            <w:pPr>
              <w:pStyle w:val="6"/>
              <w:spacing w:before="182" w:line="187" w:lineRule="auto"/>
              <w:ind w:left="311"/>
            </w:pPr>
            <w:r>
              <w:rPr>
                <w:spacing w:val="1"/>
              </w:rPr>
              <w:t>5.2.3</w:t>
            </w:r>
          </w:p>
        </w:tc>
        <w:tc>
          <w:tcPr>
            <w:tcW w:w="4114" w:type="dxa"/>
            <w:vAlign w:val="top"/>
          </w:tcPr>
          <w:p>
            <w:pPr>
              <w:pStyle w:val="6"/>
              <w:spacing w:before="44" w:line="212" w:lineRule="auto"/>
              <w:ind w:left="43" w:right="222" w:firstLine="12"/>
            </w:pPr>
            <w:r>
              <w:rPr>
                <w:rFonts w:hint="eastAsia" w:ascii="宋体" w:hAnsi="宋体" w:eastAsia="宋体" w:cs="宋体"/>
                <w:snapToGrid w:val="0"/>
                <w:color w:val="000000"/>
                <w:spacing w:val="7"/>
                <w:kern w:val="0"/>
                <w:sz w:val="17"/>
                <w:szCs w:val="17"/>
                <w:lang w:val="en-US" w:eastAsia="en-US" w:bidi="ar-SA"/>
              </w:rPr>
              <w:t>甲醇合成装置空冷风机振动开关防爆等级为CLASS I,GROUPC&amp;D，不符合设计要求。</w:t>
            </w:r>
          </w:p>
        </w:tc>
        <w:tc>
          <w:tcPr>
            <w:tcW w:w="3719" w:type="dxa"/>
            <w:vAlign w:val="top"/>
          </w:tcPr>
          <w:p>
            <w:pPr>
              <w:pStyle w:val="6"/>
              <w:spacing w:before="155" w:line="225" w:lineRule="auto"/>
              <w:ind w:left="38"/>
            </w:pPr>
            <w:r>
              <w:rPr>
                <w:rFonts w:hint="eastAsia"/>
                <w:spacing w:val="7"/>
              </w:rPr>
              <w:t>联系设计院，核实设计图纸。</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pStyle w:val="6"/>
              <w:spacing w:before="1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83" w:hRule="atLeast"/>
        </w:trPr>
        <w:tc>
          <w:tcPr>
            <w:tcW w:w="591" w:type="dxa"/>
            <w:vMerge w:val="continue"/>
            <w:tcBorders>
              <w:top w:val="nil"/>
              <w:bottom w:val="nil"/>
            </w:tcBorders>
            <w:vAlign w:val="top"/>
          </w:tcPr>
          <w:p>
            <w:pPr>
              <w:rPr>
                <w:rFonts w:ascii="Arial"/>
                <w:sz w:val="21"/>
              </w:rPr>
            </w:pPr>
          </w:p>
        </w:tc>
        <w:tc>
          <w:tcPr>
            <w:tcW w:w="626"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56" w:line="187" w:lineRule="auto"/>
              <w:ind w:left="225"/>
            </w:pPr>
            <w:r>
              <w:rPr>
                <w:spacing w:val="-2"/>
              </w:rPr>
              <w:t>27</w:t>
            </w:r>
          </w:p>
        </w:tc>
        <w:tc>
          <w:tcPr>
            <w:tcW w:w="1062" w:type="dxa"/>
            <w:vAlign w:val="top"/>
          </w:tcPr>
          <w:p>
            <w:pPr>
              <w:spacing w:line="262" w:lineRule="auto"/>
              <w:rPr>
                <w:rFonts w:ascii="Arial"/>
                <w:sz w:val="21"/>
              </w:rPr>
            </w:pPr>
          </w:p>
          <w:p>
            <w:pPr>
              <w:spacing w:line="263" w:lineRule="auto"/>
              <w:rPr>
                <w:rFonts w:ascii="Arial"/>
                <w:sz w:val="21"/>
              </w:rPr>
            </w:pPr>
          </w:p>
          <w:p>
            <w:pPr>
              <w:spacing w:line="263" w:lineRule="auto"/>
              <w:rPr>
                <w:rFonts w:ascii="Arial"/>
                <w:sz w:val="21"/>
              </w:rPr>
            </w:pPr>
          </w:p>
          <w:p>
            <w:pPr>
              <w:pStyle w:val="6"/>
              <w:spacing w:before="56" w:line="187" w:lineRule="auto"/>
              <w:ind w:left="311"/>
            </w:pPr>
            <w:r>
              <w:rPr>
                <w:spacing w:val="1"/>
              </w:rPr>
              <w:t>5.4.2</w:t>
            </w:r>
          </w:p>
        </w:tc>
        <w:tc>
          <w:tcPr>
            <w:tcW w:w="4114" w:type="dxa"/>
            <w:vAlign w:val="top"/>
          </w:tcPr>
          <w:p>
            <w:pPr>
              <w:spacing w:line="326" w:lineRule="auto"/>
              <w:rPr>
                <w:rFonts w:ascii="Arial"/>
                <w:sz w:val="21"/>
              </w:rPr>
            </w:pPr>
          </w:p>
          <w:p>
            <w:pPr>
              <w:spacing w:line="326" w:lineRule="auto"/>
              <w:rPr>
                <w:rFonts w:ascii="Arial"/>
                <w:sz w:val="21"/>
              </w:rPr>
            </w:pPr>
          </w:p>
          <w:p>
            <w:pPr>
              <w:pStyle w:val="6"/>
              <w:spacing w:before="55" w:line="231" w:lineRule="auto"/>
              <w:ind w:left="34" w:right="69"/>
            </w:pPr>
            <w:r>
              <w:rPr>
                <w:rFonts w:hint="eastAsia" w:ascii="宋体" w:hAnsi="宋体" w:eastAsia="宋体" w:cs="宋体"/>
                <w:snapToGrid w:val="0"/>
                <w:color w:val="000000"/>
                <w:spacing w:val="7"/>
                <w:kern w:val="0"/>
                <w:sz w:val="17"/>
                <w:szCs w:val="17"/>
                <w:lang w:val="en-US" w:eastAsia="en-US" w:bidi="ar-SA"/>
              </w:rPr>
              <w:t>气化装置四层北侧1台卷帘门操作手柄设备铭牌上缺少防爆等级信息。</w:t>
            </w:r>
          </w:p>
        </w:tc>
        <w:tc>
          <w:tcPr>
            <w:tcW w:w="3719" w:type="dxa"/>
            <w:vAlign w:val="top"/>
          </w:tcPr>
          <w:p>
            <w:pPr>
              <w:pStyle w:val="6"/>
              <w:spacing w:before="272" w:line="236" w:lineRule="auto"/>
              <w:ind w:left="39" w:right="88"/>
            </w:pPr>
            <w:r>
              <w:rPr>
                <w:rFonts w:hint="eastAsia" w:ascii="宋体" w:hAnsi="宋体" w:eastAsia="宋体" w:cs="宋体"/>
                <w:snapToGrid w:val="0"/>
                <w:color w:val="000000"/>
                <w:spacing w:val="7"/>
                <w:kern w:val="0"/>
                <w:sz w:val="17"/>
                <w:szCs w:val="17"/>
                <w:lang w:val="en-US" w:eastAsia="en-US" w:bidi="ar-SA"/>
              </w:rPr>
              <w:t>按照《爆炸危险环境电力装置设计规范 》（GB 50058-2014）第5.2.3条的要求和《危险场所电气防爆安全规范 》（AQ 3009-2007）第5.1条的要求，防爆电气设备应根据爆炸危险区域的等级和爆炸危险物质的类别、级别和组别选型，安装使用合格的防爆型电气设备 。</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56" w:line="223" w:lineRule="exact"/>
              <w:ind w:left="434"/>
            </w:pPr>
            <w:r>
              <w:t>√</w:t>
            </w:r>
          </w:p>
        </w:tc>
        <w:tc>
          <w:tcPr>
            <w:tcW w:w="1444" w:type="dxa"/>
            <w:vAlign w:val="top"/>
          </w:tcPr>
          <w:p>
            <w:pPr>
              <w:rPr>
                <w:rFonts w:ascii="Arial"/>
                <w:sz w:val="21"/>
              </w:rPr>
            </w:pPr>
          </w:p>
        </w:tc>
      </w:tr>
    </w:tbl>
    <w:p>
      <w:pPr>
        <w:rPr>
          <w:rFonts w:ascii="Arial"/>
          <w:sz w:val="21"/>
        </w:rPr>
      </w:pPr>
    </w:p>
    <w:p>
      <w:pPr>
        <w:rPr>
          <w:rFonts w:ascii="Arial" w:hAnsi="Arial" w:eastAsia="Arial" w:cs="Arial"/>
          <w:sz w:val="21"/>
          <w:szCs w:val="21"/>
        </w:rPr>
        <w:sectPr>
          <w:pgSz w:w="16837" w:h="11905"/>
          <w:pgMar w:top="1007" w:right="1088" w:bottom="0" w:left="1010" w:header="0" w:footer="0" w:gutter="0"/>
          <w:cols w:space="720" w:num="1"/>
        </w:sectPr>
      </w:pPr>
    </w:p>
    <w:tbl>
      <w:tblPr>
        <w:tblStyle w:val="5"/>
        <w:tblW w:w="1472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1"/>
        <w:gridCol w:w="626"/>
        <w:gridCol w:w="1062"/>
        <w:gridCol w:w="4114"/>
        <w:gridCol w:w="3719"/>
        <w:gridCol w:w="1041"/>
        <w:gridCol w:w="1189"/>
        <w:gridCol w:w="937"/>
        <w:gridCol w:w="14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3" w:hRule="atLeast"/>
        </w:trPr>
        <w:tc>
          <w:tcPr>
            <w:tcW w:w="591" w:type="dxa"/>
            <w:tcBorders>
              <w:top w:val="nil"/>
            </w:tcBorders>
            <w:vAlign w:val="top"/>
          </w:tcPr>
          <w:p>
            <w:pPr>
              <w:pStyle w:val="6"/>
              <w:spacing w:before="95" w:line="225" w:lineRule="auto"/>
              <w:ind w:left="117"/>
            </w:pPr>
            <w:r>
              <w:rPr>
                <w:spacing w:val="3"/>
                <w14:textOutline w14:w="3210" w14:cap="sq" w14:cmpd="sng">
                  <w14:solidFill>
                    <w14:srgbClr w14:val="000000"/>
                  </w14:solidFill>
                  <w14:prstDash w14:val="solid"/>
                  <w14:bevel/>
                </w14:textOutline>
              </w:rPr>
              <w:t>专业</w:t>
            </w:r>
          </w:p>
        </w:tc>
        <w:tc>
          <w:tcPr>
            <w:tcW w:w="626" w:type="dxa"/>
            <w:tcBorders>
              <w:top w:val="nil"/>
            </w:tcBorders>
            <w:vAlign w:val="top"/>
          </w:tcPr>
          <w:p>
            <w:pPr>
              <w:pStyle w:val="6"/>
              <w:spacing w:before="95" w:line="226" w:lineRule="auto"/>
              <w:ind w:left="129"/>
            </w:pPr>
            <w:r>
              <w:rPr>
                <w:spacing w:val="4"/>
                <w14:textOutline w14:w="3210" w14:cap="sq" w14:cmpd="sng">
                  <w14:solidFill>
                    <w14:srgbClr w14:val="000000"/>
                  </w14:solidFill>
                  <w14:prstDash w14:val="solid"/>
                  <w14:bevel/>
                </w14:textOutline>
              </w:rPr>
              <w:t>序号</w:t>
            </w:r>
          </w:p>
        </w:tc>
        <w:tc>
          <w:tcPr>
            <w:tcW w:w="1062" w:type="dxa"/>
            <w:tcBorders>
              <w:top w:val="nil"/>
            </w:tcBorders>
            <w:vAlign w:val="top"/>
          </w:tcPr>
          <w:p>
            <w:pPr>
              <w:pStyle w:val="6"/>
              <w:spacing w:line="224" w:lineRule="auto"/>
              <w:ind w:left="80" w:right="81"/>
            </w:pPr>
            <w:r>
              <w:rPr>
                <w:spacing w:val="6"/>
                <w14:textOutline w14:w="3210" w14:cap="sq" w14:cmpd="sng">
                  <w14:solidFill>
                    <w14:srgbClr w14:val="000000"/>
                  </w14:solidFill>
                  <w14:prstDash w14:val="solid"/>
                  <w14:bevel/>
                </w14:textOutline>
              </w:rPr>
              <w:t>核查表中检</w:t>
            </w:r>
            <w:r>
              <w:rPr>
                <w:spacing w:val="3"/>
              </w:rPr>
              <w:t xml:space="preserve"> </w:t>
            </w:r>
            <w:r>
              <w:rPr>
                <w:spacing w:val="6"/>
                <w14:textOutline w14:w="3210" w14:cap="sq" w14:cmpd="sng">
                  <w14:solidFill>
                    <w14:srgbClr w14:val="000000"/>
                  </w14:solidFill>
                  <w14:prstDash w14:val="solid"/>
                  <w14:bevel/>
                </w14:textOutline>
              </w:rPr>
              <w:t>查内容序号</w:t>
            </w:r>
          </w:p>
        </w:tc>
        <w:tc>
          <w:tcPr>
            <w:tcW w:w="4114" w:type="dxa"/>
            <w:tcBorders>
              <w:top w:val="nil"/>
            </w:tcBorders>
            <w:vAlign w:val="top"/>
          </w:tcPr>
          <w:p>
            <w:pPr>
              <w:pStyle w:val="6"/>
              <w:spacing w:before="95" w:line="227" w:lineRule="auto"/>
              <w:ind w:left="1716"/>
            </w:pPr>
            <w:r>
              <w:rPr>
                <w:spacing w:val="1"/>
                <w14:textOutline w14:w="3210" w14:cap="sq" w14:cmpd="sng">
                  <w14:solidFill>
                    <w14:srgbClr w14:val="000000"/>
                  </w14:solidFill>
                  <w14:prstDash w14:val="solid"/>
                  <w14:bevel/>
                </w14:textOutline>
              </w:rPr>
              <w:t>问题描述</w:t>
            </w:r>
          </w:p>
        </w:tc>
        <w:tc>
          <w:tcPr>
            <w:tcW w:w="3719" w:type="dxa"/>
            <w:tcBorders>
              <w:top w:val="nil"/>
            </w:tcBorders>
            <w:vAlign w:val="top"/>
          </w:tcPr>
          <w:p>
            <w:pPr>
              <w:pStyle w:val="6"/>
              <w:spacing w:before="95" w:line="224" w:lineRule="auto"/>
              <w:ind w:left="1503"/>
            </w:pPr>
            <w:r>
              <w:rPr>
                <w:spacing w:val="6"/>
                <w14:textOutline w14:w="3210" w14:cap="sq" w14:cmpd="sng">
                  <w14:solidFill>
                    <w14:srgbClr w14:val="000000"/>
                  </w14:solidFill>
                  <w14:prstDash w14:val="solid"/>
                  <w14:bevel/>
                </w14:textOutline>
              </w:rPr>
              <w:t>整改建议</w:t>
            </w:r>
          </w:p>
        </w:tc>
        <w:tc>
          <w:tcPr>
            <w:tcW w:w="1041" w:type="dxa"/>
            <w:vAlign w:val="top"/>
          </w:tcPr>
          <w:p>
            <w:pPr>
              <w:pStyle w:val="6"/>
              <w:spacing w:before="33" w:line="218" w:lineRule="auto"/>
              <w:ind w:left="439" w:right="58" w:hanging="363"/>
              <w:jc w:val="center"/>
              <w:rPr>
                <w:rFonts w:hint="eastAsia"/>
                <w:spacing w:val="8"/>
                <w:lang w:eastAsia="zh-CN"/>
                <w14:textOutline w14:w="3210" w14:cap="sq" w14:cmpd="sng">
                  <w14:solidFill>
                    <w14:srgbClr w14:val="000000"/>
                  </w14:solidFill>
                  <w14:prstDash w14:val="solid"/>
                  <w14:bevel/>
                </w14:textOutline>
              </w:rPr>
            </w:pPr>
            <w:r>
              <w:rPr>
                <w:spacing w:val="8"/>
                <w14:textOutline w14:w="3210" w14:cap="sq" w14:cmpd="sng">
                  <w14:solidFill>
                    <w14:srgbClr w14:val="000000"/>
                  </w14:solidFill>
                  <w14:prstDash w14:val="solid"/>
                  <w14:bevel/>
                </w14:textOutline>
              </w:rPr>
              <w:t>文件</w:t>
            </w:r>
            <w:r>
              <w:rPr>
                <w:rFonts w:hint="eastAsia"/>
                <w:spacing w:val="8"/>
                <w:lang w:eastAsia="zh-CN"/>
                <w14:textOutline w14:w="3210" w14:cap="sq" w14:cmpd="sng">
                  <w14:solidFill>
                    <w14:srgbClr w14:val="000000"/>
                  </w14:solidFill>
                  <w14:prstDash w14:val="solid"/>
                  <w14:bevel/>
                </w14:textOutline>
              </w:rPr>
              <w:t>类</w:t>
            </w:r>
          </w:p>
          <w:p>
            <w:pPr>
              <w:pStyle w:val="6"/>
              <w:spacing w:before="33" w:line="218" w:lineRule="auto"/>
              <w:ind w:left="439" w:right="58" w:hanging="363"/>
              <w:jc w:val="center"/>
            </w:pPr>
            <w:bookmarkStart w:id="0" w:name="_GoBack"/>
            <w:bookmarkEnd w:id="0"/>
            <w:r>
              <w:rPr>
                <w:spacing w:val="8"/>
                <w14:textOutline w14:w="3210" w14:cap="sq" w14:cmpd="sng">
                  <w14:solidFill>
                    <w14:srgbClr w14:val="000000"/>
                  </w14:solidFill>
                  <w14:prstDash w14:val="solid"/>
                  <w14:bevel/>
                </w14:textOutline>
              </w:rPr>
              <w:t>资料</w:t>
            </w:r>
            <w:r>
              <w:rPr>
                <w14:textOutline w14:w="3210" w14:cap="sq" w14:cmpd="sng">
                  <w14:solidFill>
                    <w14:srgbClr w14:val="000000"/>
                  </w14:solidFill>
                  <w14:prstDash w14:val="solid"/>
                  <w14:bevel/>
                </w14:textOutline>
              </w:rPr>
              <w:t>类</w:t>
            </w:r>
          </w:p>
        </w:tc>
        <w:tc>
          <w:tcPr>
            <w:tcW w:w="1189" w:type="dxa"/>
            <w:vAlign w:val="top"/>
          </w:tcPr>
          <w:p>
            <w:pPr>
              <w:pStyle w:val="6"/>
              <w:spacing w:before="210" w:line="224" w:lineRule="auto"/>
              <w:ind w:left="332"/>
            </w:pPr>
            <w:r>
              <w:rPr>
                <w:spacing w:val="5"/>
                <w14:textOutline w14:w="3210" w14:cap="sq" w14:cmpd="sng">
                  <w14:solidFill>
                    <w14:srgbClr w14:val="000000"/>
                  </w14:solidFill>
                  <w14:prstDash w14:val="solid"/>
                  <w14:bevel/>
                </w14:textOutline>
              </w:rPr>
              <w:t>执行类</w:t>
            </w:r>
          </w:p>
        </w:tc>
        <w:tc>
          <w:tcPr>
            <w:tcW w:w="937" w:type="dxa"/>
            <w:vAlign w:val="top"/>
          </w:tcPr>
          <w:p>
            <w:pPr>
              <w:pStyle w:val="6"/>
              <w:spacing w:before="210" w:line="224" w:lineRule="auto"/>
              <w:ind w:left="210"/>
            </w:pPr>
            <w:r>
              <w:rPr>
                <w:spacing w:val="5"/>
                <w14:textOutline w14:w="3210" w14:cap="sq" w14:cmpd="sng">
                  <w14:solidFill>
                    <w14:srgbClr w14:val="000000"/>
                  </w14:solidFill>
                  <w14:prstDash w14:val="solid"/>
                  <w14:bevel/>
                </w14:textOutline>
              </w:rPr>
              <w:t>现场类</w:t>
            </w:r>
          </w:p>
        </w:tc>
        <w:tc>
          <w:tcPr>
            <w:tcW w:w="1444" w:type="dxa"/>
            <w:tcBorders>
              <w:top w:val="nil"/>
            </w:tcBorders>
            <w:vAlign w:val="top"/>
          </w:tcPr>
          <w:p>
            <w:pPr>
              <w:pStyle w:val="6"/>
              <w:spacing w:before="89" w:line="235" w:lineRule="auto"/>
              <w:ind w:left="646"/>
              <w:rPr>
                <w:sz w:val="18"/>
                <w:szCs w:val="18"/>
              </w:rPr>
            </w:pPr>
            <w:r>
              <w:rPr>
                <w:sz w:val="18"/>
                <w:szCs w:val="18"/>
                <w14:textOutline w14:w="3396" w14:cap="sq" w14:cmpd="sng">
                  <w14:solidFill>
                    <w14:srgbClr w14:val="000000"/>
                  </w14:solidFill>
                  <w14:prstDash w14:val="solid"/>
                  <w14:bevel/>
                </w14:textOutline>
              </w:rPr>
              <w:t>患</w:t>
            </w:r>
          </w:p>
          <w:p>
            <w:pPr>
              <w:pStyle w:val="6"/>
              <w:spacing w:line="188" w:lineRule="auto"/>
              <w:ind w:left="683"/>
              <w:rPr>
                <w:sz w:val="18"/>
                <w:szCs w:val="18"/>
              </w:rPr>
            </w:pPr>
            <w:r>
              <w:rPr>
                <w:sz w:val="18"/>
                <w:szCs w:val="18"/>
                <w14:textOutline w14:w="3396" w14:cap="sq" w14:cmpd="sng">
                  <w14:solidFill>
                    <w14:srgbClr w14:val="000000"/>
                  </w14:solidFill>
                  <w14:prstDash w14:val="solid"/>
                  <w14:bevel/>
                </w14:textOutli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5" w:hRule="atLeast"/>
        </w:trPr>
        <w:tc>
          <w:tcPr>
            <w:tcW w:w="591" w:type="dxa"/>
            <w:vAlign w:val="top"/>
          </w:tcPr>
          <w:p>
            <w:pPr>
              <w:rPr>
                <w:rFonts w:ascii="Arial"/>
                <w:sz w:val="21"/>
              </w:rPr>
            </w:pPr>
          </w:p>
        </w:tc>
        <w:tc>
          <w:tcPr>
            <w:tcW w:w="626" w:type="dxa"/>
            <w:vAlign w:val="top"/>
          </w:tcPr>
          <w:p>
            <w:pPr>
              <w:spacing w:line="458" w:lineRule="auto"/>
              <w:rPr>
                <w:rFonts w:ascii="Arial"/>
                <w:sz w:val="21"/>
              </w:rPr>
            </w:pPr>
          </w:p>
          <w:p>
            <w:pPr>
              <w:pStyle w:val="6"/>
              <w:spacing w:before="55" w:line="187" w:lineRule="auto"/>
              <w:ind w:left="225"/>
            </w:pPr>
            <w:r>
              <w:rPr>
                <w:spacing w:val="-2"/>
              </w:rPr>
              <w:t>28</w:t>
            </w:r>
          </w:p>
        </w:tc>
        <w:tc>
          <w:tcPr>
            <w:tcW w:w="1062" w:type="dxa"/>
            <w:vAlign w:val="top"/>
          </w:tcPr>
          <w:p>
            <w:pPr>
              <w:spacing w:line="458" w:lineRule="auto"/>
              <w:rPr>
                <w:rFonts w:ascii="Arial"/>
                <w:sz w:val="21"/>
              </w:rPr>
            </w:pPr>
          </w:p>
          <w:p>
            <w:pPr>
              <w:pStyle w:val="6"/>
              <w:spacing w:before="55" w:line="187" w:lineRule="auto"/>
              <w:ind w:left="311"/>
            </w:pPr>
            <w:r>
              <w:rPr>
                <w:spacing w:val="1"/>
              </w:rPr>
              <w:t>5.4.3</w:t>
            </w:r>
          </w:p>
        </w:tc>
        <w:tc>
          <w:tcPr>
            <w:tcW w:w="4114" w:type="dxa"/>
            <w:vAlign w:val="top"/>
          </w:tcPr>
          <w:p>
            <w:pPr>
              <w:spacing w:line="324" w:lineRule="auto"/>
              <w:rPr>
                <w:rFonts w:ascii="Arial"/>
                <w:sz w:val="21"/>
              </w:rPr>
            </w:pPr>
          </w:p>
          <w:p>
            <w:pPr>
              <w:pStyle w:val="6"/>
              <w:spacing w:before="55" w:line="231" w:lineRule="auto"/>
              <w:ind w:left="42" w:right="144" w:hanging="8"/>
            </w:pPr>
            <w:r>
              <w:rPr>
                <w:spacing w:val="7"/>
              </w:rPr>
              <w:t>气化装置五层破渣机（X1304B）油加热器外壳接地</w:t>
            </w:r>
            <w:r>
              <w:rPr>
                <w:spacing w:val="4"/>
              </w:rPr>
              <w:t xml:space="preserve"> 点未进行保护接地。</w:t>
            </w:r>
          </w:p>
        </w:tc>
        <w:tc>
          <w:tcPr>
            <w:tcW w:w="3719" w:type="dxa"/>
            <w:vAlign w:val="top"/>
          </w:tcPr>
          <w:p>
            <w:pPr>
              <w:pStyle w:val="6"/>
              <w:spacing w:before="158" w:line="236" w:lineRule="auto"/>
              <w:ind w:left="38" w:right="110"/>
            </w:pPr>
            <w:r>
              <w:rPr>
                <w:spacing w:val="6"/>
              </w:rPr>
              <w:t>按照《电气装置安装工程接地装置施工及验收 规范》（GB 50169-2016）第3.0.4条的要求，电气设备的金属底座、框架及外壳和传动装置均必须接地。</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430" w:lineRule="auto"/>
              <w:rPr>
                <w:rFonts w:ascii="Arial"/>
                <w:sz w:val="21"/>
              </w:rPr>
            </w:pPr>
          </w:p>
          <w:p>
            <w:pPr>
              <w:pStyle w:val="6"/>
              <w:spacing w:before="56"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4" w:hRule="atLeast"/>
        </w:trPr>
        <w:tc>
          <w:tcPr>
            <w:tcW w:w="591" w:type="dxa"/>
            <w:vMerge w:val="restart"/>
            <w:tcBorders>
              <w:bottom w:val="nil"/>
            </w:tcBorders>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55" w:line="235" w:lineRule="auto"/>
              <w:ind w:left="117" w:right="111"/>
              <w:jc w:val="both"/>
            </w:pPr>
            <w:r>
              <w:rPr>
                <w:spacing w:val="3"/>
                <w14:textOutline w14:w="3210" w14:cap="sq" w14:cmpd="sng">
                  <w14:solidFill>
                    <w14:srgbClr w14:val="000000"/>
                  </w14:solidFill>
                  <w14:prstDash w14:val="solid"/>
                  <w14:bevel/>
                </w14:textOutline>
              </w:rPr>
              <w:t>三年</w:t>
            </w:r>
            <w:r>
              <w:t xml:space="preserve"> </w:t>
            </w:r>
            <w:r>
              <w:rPr>
                <w:spacing w:val="3"/>
                <w14:textOutline w14:w="3210" w14:cap="sq" w14:cmpd="sng">
                  <w14:solidFill>
                    <w14:srgbClr w14:val="000000"/>
                  </w14:solidFill>
                  <w14:prstDash w14:val="solid"/>
                  <w14:bevel/>
                </w14:textOutline>
              </w:rPr>
              <w:t>行动</w:t>
            </w:r>
            <w:r>
              <w:t xml:space="preserve"> </w:t>
            </w:r>
            <w:r>
              <w:rPr>
                <w:spacing w:val="3"/>
                <w14:textOutline w14:w="3210" w14:cap="sq" w14:cmpd="sng">
                  <w14:solidFill>
                    <w14:srgbClr w14:val="000000"/>
                  </w14:solidFill>
                  <w14:prstDash w14:val="solid"/>
                  <w14:bevel/>
                </w14:textOutline>
              </w:rPr>
              <w:t>清零</w:t>
            </w:r>
          </w:p>
        </w:tc>
        <w:tc>
          <w:tcPr>
            <w:tcW w:w="626" w:type="dxa"/>
            <w:vAlign w:val="top"/>
          </w:tcPr>
          <w:p>
            <w:pPr>
              <w:spacing w:line="344" w:lineRule="auto"/>
              <w:rPr>
                <w:rFonts w:ascii="Arial"/>
                <w:sz w:val="21"/>
              </w:rPr>
            </w:pPr>
          </w:p>
          <w:p>
            <w:pPr>
              <w:spacing w:line="344" w:lineRule="auto"/>
              <w:rPr>
                <w:rFonts w:ascii="Arial"/>
                <w:sz w:val="21"/>
              </w:rPr>
            </w:pPr>
          </w:p>
          <w:p>
            <w:pPr>
              <w:pStyle w:val="6"/>
              <w:spacing w:before="55" w:line="187" w:lineRule="auto"/>
              <w:ind w:left="225"/>
            </w:pPr>
            <w:r>
              <w:rPr>
                <w:spacing w:val="-2"/>
              </w:rPr>
              <w:t>29</w:t>
            </w:r>
          </w:p>
        </w:tc>
        <w:tc>
          <w:tcPr>
            <w:tcW w:w="1062" w:type="dxa"/>
            <w:vAlign w:val="top"/>
          </w:tcPr>
          <w:p>
            <w:pPr>
              <w:spacing w:line="344" w:lineRule="auto"/>
              <w:rPr>
                <w:rFonts w:ascii="Arial"/>
                <w:sz w:val="21"/>
              </w:rPr>
            </w:pPr>
          </w:p>
          <w:p>
            <w:pPr>
              <w:spacing w:line="344" w:lineRule="auto"/>
              <w:rPr>
                <w:rFonts w:ascii="Arial"/>
                <w:sz w:val="21"/>
              </w:rPr>
            </w:pPr>
          </w:p>
          <w:p>
            <w:pPr>
              <w:pStyle w:val="6"/>
              <w:spacing w:before="56" w:line="187" w:lineRule="auto"/>
              <w:ind w:left="309"/>
            </w:pPr>
            <w:r>
              <w:rPr>
                <w:spacing w:val="2"/>
              </w:rPr>
              <w:t>6.4.4</w:t>
            </w:r>
          </w:p>
        </w:tc>
        <w:tc>
          <w:tcPr>
            <w:tcW w:w="4114" w:type="dxa"/>
            <w:vAlign w:val="top"/>
          </w:tcPr>
          <w:p>
            <w:pPr>
              <w:pStyle w:val="6"/>
              <w:spacing w:before="282" w:line="236" w:lineRule="auto"/>
              <w:ind w:left="32" w:right="66" w:firstLine="2"/>
              <w:jc w:val="both"/>
            </w:pPr>
            <w:r>
              <w:rPr>
                <w:spacing w:val="6"/>
              </w:rPr>
              <w:t>2024年2月23日0时5分人员定位系统中有加氢岗位操作工樊某某在加氢装置的活动轨迹，安全信息化系统中有樊某某加氢装置2小时/次巡检任务，樊某某未取得加氢工艺操作证（师徒协议中导师为车间主任路某，未提供加氢工艺操作证 ）。</w:t>
            </w:r>
          </w:p>
        </w:tc>
        <w:tc>
          <w:tcPr>
            <w:tcW w:w="3719" w:type="dxa"/>
            <w:vAlign w:val="top"/>
          </w:tcPr>
          <w:p>
            <w:pPr>
              <w:pStyle w:val="6"/>
              <w:spacing w:before="14" w:line="235" w:lineRule="auto"/>
              <w:ind w:left="41" w:right="95" w:hanging="2"/>
            </w:pPr>
            <w:r>
              <w:rPr>
                <w:spacing w:val="6"/>
              </w:rPr>
              <w:t>按照《特种作业人员安全技术培训考核管理规 定》（</w:t>
            </w:r>
            <w:r>
              <w:rPr>
                <w:rFonts w:hint="eastAsia"/>
                <w:spacing w:val="6"/>
              </w:rPr>
              <w:t>国家安监总局令第30号）第五条的要求，特种作业人员必须经专门的安全技术培训并考核合格，取得特种作业操作证后，方可上岗作业。</w:t>
            </w:r>
          </w:p>
        </w:tc>
        <w:tc>
          <w:tcPr>
            <w:tcW w:w="1041" w:type="dxa"/>
            <w:vAlign w:val="top"/>
          </w:tcPr>
          <w:p>
            <w:pPr>
              <w:rPr>
                <w:rFonts w:ascii="Arial"/>
                <w:sz w:val="21"/>
              </w:rPr>
            </w:pPr>
          </w:p>
        </w:tc>
        <w:tc>
          <w:tcPr>
            <w:tcW w:w="1189" w:type="dxa"/>
            <w:vAlign w:val="top"/>
          </w:tcPr>
          <w:p>
            <w:pPr>
              <w:spacing w:line="330" w:lineRule="auto"/>
              <w:rPr>
                <w:rFonts w:ascii="Arial"/>
                <w:sz w:val="21"/>
              </w:rPr>
            </w:pPr>
          </w:p>
          <w:p>
            <w:pPr>
              <w:spacing w:line="331" w:lineRule="auto"/>
              <w:rPr>
                <w:rFonts w:ascii="Arial"/>
                <w:sz w:val="21"/>
              </w:rPr>
            </w:pPr>
          </w:p>
          <w:p>
            <w:pPr>
              <w:pStyle w:val="6"/>
              <w:spacing w:before="55" w:line="224" w:lineRule="exact"/>
              <w:ind w:left="557"/>
            </w:pPr>
            <w:r>
              <w:t>√</w:t>
            </w:r>
          </w:p>
        </w:tc>
        <w:tc>
          <w:tcPr>
            <w:tcW w:w="937" w:type="dxa"/>
            <w:vAlign w:val="top"/>
          </w:tcPr>
          <w:p>
            <w:pPr>
              <w:rPr>
                <w:rFonts w:ascii="Arial"/>
                <w:sz w:val="21"/>
              </w:rPr>
            </w:pP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5" w:hRule="atLeast"/>
        </w:trPr>
        <w:tc>
          <w:tcPr>
            <w:tcW w:w="591" w:type="dxa"/>
            <w:vMerge w:val="continue"/>
            <w:tcBorders>
              <w:top w:val="nil"/>
            </w:tcBorders>
            <w:vAlign w:val="top"/>
          </w:tcPr>
          <w:p>
            <w:pPr>
              <w:rPr>
                <w:rFonts w:ascii="Arial"/>
                <w:sz w:val="21"/>
              </w:rPr>
            </w:pPr>
          </w:p>
        </w:tc>
        <w:tc>
          <w:tcPr>
            <w:tcW w:w="626" w:type="dxa"/>
            <w:vAlign w:val="top"/>
          </w:tcPr>
          <w:p>
            <w:pPr>
              <w:spacing w:line="349" w:lineRule="auto"/>
              <w:rPr>
                <w:rFonts w:ascii="Arial"/>
                <w:sz w:val="21"/>
              </w:rPr>
            </w:pPr>
          </w:p>
          <w:p>
            <w:pPr>
              <w:pStyle w:val="6"/>
              <w:spacing w:before="55" w:line="187" w:lineRule="auto"/>
              <w:ind w:left="227"/>
            </w:pPr>
            <w:r>
              <w:rPr>
                <w:spacing w:val="-2"/>
              </w:rPr>
              <w:t>30</w:t>
            </w:r>
          </w:p>
        </w:tc>
        <w:tc>
          <w:tcPr>
            <w:tcW w:w="1062" w:type="dxa"/>
            <w:vAlign w:val="top"/>
          </w:tcPr>
          <w:p>
            <w:pPr>
              <w:spacing w:line="349" w:lineRule="auto"/>
              <w:rPr>
                <w:rFonts w:ascii="Arial"/>
                <w:sz w:val="21"/>
              </w:rPr>
            </w:pPr>
          </w:p>
          <w:p>
            <w:pPr>
              <w:pStyle w:val="6"/>
              <w:spacing w:before="55" w:line="187" w:lineRule="auto"/>
              <w:ind w:left="309"/>
            </w:pPr>
            <w:r>
              <w:rPr>
                <w:spacing w:val="5"/>
              </w:rPr>
              <w:t>6.3.1</w:t>
            </w:r>
          </w:p>
        </w:tc>
        <w:tc>
          <w:tcPr>
            <w:tcW w:w="4114" w:type="dxa"/>
            <w:vAlign w:val="top"/>
          </w:tcPr>
          <w:p>
            <w:pPr>
              <w:pStyle w:val="6"/>
              <w:spacing w:before="161" w:line="234" w:lineRule="auto"/>
              <w:ind w:left="33" w:right="135" w:firstLine="16"/>
              <w:jc w:val="both"/>
            </w:pPr>
            <w:r>
              <w:rPr>
                <w:spacing w:val="6"/>
              </w:rPr>
              <w:t>中央控制室面向易燃易爆场所设置有门窗，未考虑装置出现爆炸事故对控制室和办公楼的影响，无相应的防范措施。</w:t>
            </w:r>
          </w:p>
        </w:tc>
        <w:tc>
          <w:tcPr>
            <w:tcW w:w="3719" w:type="dxa"/>
            <w:vAlign w:val="top"/>
          </w:tcPr>
          <w:p>
            <w:pPr>
              <w:pStyle w:val="6"/>
              <w:spacing w:before="160" w:line="234" w:lineRule="auto"/>
              <w:ind w:left="37" w:right="104"/>
              <w:jc w:val="both"/>
            </w:pPr>
            <w:r>
              <w:rPr>
                <w:rFonts w:hint="eastAsia"/>
                <w:spacing w:val="6"/>
              </w:rPr>
              <w:t>联系设计单位重新计算装置爆炸对控制室和办公楼的影响，制定整改方案，防范装置爆炸玻 璃对员工的伤害。</w:t>
            </w: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322"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16" w:hRule="atLeast"/>
        </w:trPr>
        <w:tc>
          <w:tcPr>
            <w:tcW w:w="591"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6"/>
              <w:spacing w:before="56" w:line="225" w:lineRule="auto"/>
              <w:ind w:left="117"/>
            </w:pPr>
            <w:r>
              <w:rPr>
                <w:spacing w:val="3"/>
                <w14:textOutline w14:w="3210" w14:cap="sq" w14:cmpd="sng">
                  <w14:solidFill>
                    <w14:srgbClr w14:val="000000"/>
                  </w14:solidFill>
                  <w14:prstDash w14:val="solid"/>
                  <w14:bevel/>
                </w14:textOutline>
              </w:rPr>
              <w:t>其他</w:t>
            </w:r>
          </w:p>
        </w:tc>
        <w:tc>
          <w:tcPr>
            <w:tcW w:w="626" w:type="dxa"/>
            <w:vAlign w:val="top"/>
          </w:tcPr>
          <w:p>
            <w:pPr>
              <w:spacing w:line="288" w:lineRule="auto"/>
              <w:rPr>
                <w:rFonts w:ascii="Arial"/>
                <w:sz w:val="21"/>
              </w:rPr>
            </w:pPr>
          </w:p>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6"/>
              <w:spacing w:before="56" w:line="187" w:lineRule="auto"/>
              <w:ind w:left="227"/>
            </w:pPr>
            <w:r>
              <w:rPr>
                <w:spacing w:val="-2"/>
              </w:rPr>
              <w:t>31</w:t>
            </w:r>
          </w:p>
        </w:tc>
        <w:tc>
          <w:tcPr>
            <w:tcW w:w="1062" w:type="dxa"/>
            <w:vAlign w:val="top"/>
          </w:tcPr>
          <w:p>
            <w:pPr>
              <w:spacing w:line="288" w:lineRule="auto"/>
              <w:rPr>
                <w:rFonts w:ascii="Arial"/>
                <w:sz w:val="21"/>
              </w:rPr>
            </w:pPr>
          </w:p>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6"/>
              <w:spacing w:before="56" w:line="187" w:lineRule="auto"/>
              <w:ind w:left="275"/>
            </w:pPr>
            <w:r>
              <w:rPr>
                <w:spacing w:val="3"/>
              </w:rPr>
              <w:t>10.4.1</w:t>
            </w:r>
          </w:p>
        </w:tc>
        <w:tc>
          <w:tcPr>
            <w:tcW w:w="4114" w:type="dxa"/>
            <w:vAlign w:val="top"/>
          </w:tcPr>
          <w:p>
            <w:pPr>
              <w:spacing w:line="289" w:lineRule="auto"/>
              <w:rPr>
                <w:rFonts w:ascii="Arial"/>
                <w:sz w:val="21"/>
              </w:rPr>
            </w:pPr>
          </w:p>
          <w:p>
            <w:pPr>
              <w:spacing w:line="290"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1.甲醇合成装置氢回收膜分离系统1台操作柱缺少设备位号和名称标识。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2.甲醇合成装置合成小屋外1台氮气标气瓶标气已过期，有效期至2023年12月26日。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3.气化装置四层合成气管线差压流量计（FT- 1325A）低压侧排放口单阀无丝堵。</w:t>
            </w:r>
          </w:p>
          <w:p>
            <w:pPr>
              <w:pStyle w:val="6"/>
              <w:spacing w:before="14" w:line="232" w:lineRule="auto"/>
              <w:ind w:left="46" w:right="577" w:hanging="9"/>
            </w:pPr>
          </w:p>
        </w:tc>
        <w:tc>
          <w:tcPr>
            <w:tcW w:w="3719" w:type="dxa"/>
            <w:vAlign w:val="top"/>
          </w:tcPr>
          <w:p>
            <w:pPr>
              <w:spacing w:line="253" w:lineRule="auto"/>
              <w:rPr>
                <w:rFonts w:ascii="Arial"/>
                <w:sz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1.按照《自动化仪表工程施工及质量验收规范 》（GB 50093-2013）第6.1.11条的要求，仪表铭牌和仪表位号标识应齐全、牢固、清晰。 2.加强巡检，及时更换标准气瓶。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宋体" w:hAnsi="宋体" w:eastAsia="宋体" w:cs="宋体"/>
                <w:snapToGrid w:val="0"/>
                <w:color w:val="000000"/>
                <w:spacing w:val="6"/>
                <w:kern w:val="0"/>
                <w:sz w:val="17"/>
                <w:szCs w:val="17"/>
                <w:lang w:val="en-US" w:eastAsia="en-US" w:bidi="ar-SA"/>
              </w:rPr>
            </w:pPr>
            <w:r>
              <w:rPr>
                <w:rFonts w:hint="eastAsia" w:ascii="宋体" w:hAnsi="宋体" w:eastAsia="宋体" w:cs="宋体"/>
                <w:snapToGrid w:val="0"/>
                <w:color w:val="000000"/>
                <w:spacing w:val="6"/>
                <w:kern w:val="0"/>
                <w:sz w:val="17"/>
                <w:szCs w:val="17"/>
                <w:lang w:val="en-US" w:eastAsia="en-US" w:bidi="ar-SA"/>
              </w:rPr>
              <w:t>3.按照《关于加强化工企业泄漏管理的指导意 见》（安监总管三〔2014〕94 号）第（五）条的要求，在设备和管线的排放口、采样口等排放阀设计时，要通过加装盲板、丝堵、管帽、双阀等措施，减少泄漏的可能性。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6"/>
              <w:spacing w:before="12" w:line="235" w:lineRule="auto"/>
              <w:ind w:left="37" w:right="92" w:firstLine="1"/>
            </w:pPr>
          </w:p>
        </w:tc>
        <w:tc>
          <w:tcPr>
            <w:tcW w:w="1041" w:type="dxa"/>
            <w:vAlign w:val="top"/>
          </w:tcPr>
          <w:p>
            <w:pPr>
              <w:rPr>
                <w:rFonts w:ascii="Arial"/>
                <w:sz w:val="21"/>
              </w:rPr>
            </w:pPr>
          </w:p>
        </w:tc>
        <w:tc>
          <w:tcPr>
            <w:tcW w:w="1189" w:type="dxa"/>
            <w:vAlign w:val="top"/>
          </w:tcPr>
          <w:p>
            <w:pPr>
              <w:rPr>
                <w:rFonts w:ascii="Arial"/>
                <w:sz w:val="21"/>
              </w:rPr>
            </w:pPr>
          </w:p>
        </w:tc>
        <w:tc>
          <w:tcPr>
            <w:tcW w:w="937" w:type="dxa"/>
            <w:vAlign w:val="top"/>
          </w:tcPr>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6"/>
              <w:spacing w:before="55" w:line="224" w:lineRule="exact"/>
              <w:ind w:left="434"/>
            </w:pPr>
            <w:r>
              <w:t>√</w:t>
            </w:r>
          </w:p>
        </w:tc>
        <w:tc>
          <w:tcPr>
            <w:tcW w:w="1444" w:type="dxa"/>
            <w:vAlign w:val="top"/>
          </w:tcPr>
          <w:p>
            <w:pPr>
              <w:rPr>
                <w:rFonts w:ascii="Arial"/>
                <w:sz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3" w:hRule="atLeast"/>
        </w:trPr>
        <w:tc>
          <w:tcPr>
            <w:tcW w:w="591" w:type="dxa"/>
            <w:vAlign w:val="top"/>
          </w:tcPr>
          <w:p>
            <w:pPr>
              <w:pStyle w:val="6"/>
              <w:spacing w:before="43" w:line="184" w:lineRule="auto"/>
              <w:ind w:left="117"/>
            </w:pPr>
            <w:r>
              <w:rPr>
                <w:spacing w:val="3"/>
                <w14:textOutline w14:w="3210" w14:cap="sq" w14:cmpd="sng">
                  <w14:solidFill>
                    <w14:srgbClr w14:val="000000"/>
                  </w14:solidFill>
                  <w14:prstDash w14:val="solid"/>
                  <w14:bevel/>
                </w14:textOutline>
              </w:rPr>
              <w:t>合计</w:t>
            </w:r>
          </w:p>
        </w:tc>
        <w:tc>
          <w:tcPr>
            <w:tcW w:w="626" w:type="dxa"/>
            <w:vAlign w:val="top"/>
          </w:tcPr>
          <w:p>
            <w:pPr>
              <w:spacing w:line="212" w:lineRule="exact"/>
              <w:rPr>
                <w:rFonts w:ascii="Arial"/>
                <w:sz w:val="18"/>
              </w:rPr>
            </w:pPr>
          </w:p>
        </w:tc>
        <w:tc>
          <w:tcPr>
            <w:tcW w:w="1062" w:type="dxa"/>
            <w:vAlign w:val="top"/>
          </w:tcPr>
          <w:p>
            <w:pPr>
              <w:pStyle w:val="6"/>
              <w:spacing w:before="43" w:line="184" w:lineRule="auto"/>
              <w:ind w:left="487"/>
            </w:pPr>
            <w:r>
              <w:t>/</w:t>
            </w:r>
          </w:p>
        </w:tc>
        <w:tc>
          <w:tcPr>
            <w:tcW w:w="4114" w:type="dxa"/>
            <w:vAlign w:val="top"/>
          </w:tcPr>
          <w:p>
            <w:pPr>
              <w:pStyle w:val="6"/>
              <w:spacing w:before="43" w:line="184" w:lineRule="auto"/>
              <w:ind w:left="2015"/>
            </w:pPr>
            <w:r>
              <w:t>/</w:t>
            </w:r>
          </w:p>
        </w:tc>
        <w:tc>
          <w:tcPr>
            <w:tcW w:w="3719" w:type="dxa"/>
            <w:vAlign w:val="top"/>
          </w:tcPr>
          <w:p>
            <w:pPr>
              <w:pStyle w:val="6"/>
              <w:spacing w:before="43" w:line="184" w:lineRule="auto"/>
              <w:ind w:left="1822"/>
            </w:pPr>
            <w:r>
              <w:t>/</w:t>
            </w:r>
          </w:p>
        </w:tc>
        <w:tc>
          <w:tcPr>
            <w:tcW w:w="1041" w:type="dxa"/>
            <w:vAlign w:val="top"/>
          </w:tcPr>
          <w:p>
            <w:pPr>
              <w:pStyle w:val="6"/>
              <w:spacing w:before="67" w:line="145" w:lineRule="exact"/>
              <w:ind w:left="487"/>
              <w:rPr>
                <w:sz w:val="18"/>
                <w:szCs w:val="18"/>
              </w:rPr>
            </w:pPr>
            <w:r>
              <w:rPr>
                <w:position w:val="-2"/>
                <w:sz w:val="18"/>
                <w:szCs w:val="18"/>
              </w:rPr>
              <w:t>5</w:t>
            </w:r>
          </w:p>
        </w:tc>
        <w:tc>
          <w:tcPr>
            <w:tcW w:w="1189" w:type="dxa"/>
            <w:vAlign w:val="top"/>
          </w:tcPr>
          <w:p>
            <w:pPr>
              <w:pStyle w:val="6"/>
              <w:spacing w:before="66" w:line="146" w:lineRule="exact"/>
              <w:ind w:left="559"/>
              <w:rPr>
                <w:sz w:val="18"/>
                <w:szCs w:val="18"/>
              </w:rPr>
            </w:pPr>
            <w:r>
              <w:rPr>
                <w:position w:val="-2"/>
                <w:sz w:val="18"/>
                <w:szCs w:val="18"/>
              </w:rPr>
              <w:t>8</w:t>
            </w:r>
          </w:p>
        </w:tc>
        <w:tc>
          <w:tcPr>
            <w:tcW w:w="937" w:type="dxa"/>
            <w:vAlign w:val="top"/>
          </w:tcPr>
          <w:p>
            <w:pPr>
              <w:pStyle w:val="6"/>
              <w:spacing w:before="65" w:line="147" w:lineRule="exact"/>
              <w:ind w:left="403"/>
              <w:rPr>
                <w:sz w:val="18"/>
                <w:szCs w:val="18"/>
              </w:rPr>
            </w:pPr>
            <w:r>
              <w:rPr>
                <w:spacing w:val="-9"/>
                <w:position w:val="-2"/>
                <w:sz w:val="18"/>
                <w:szCs w:val="18"/>
              </w:rPr>
              <w:t>17</w:t>
            </w:r>
          </w:p>
        </w:tc>
        <w:tc>
          <w:tcPr>
            <w:tcW w:w="1444" w:type="dxa"/>
            <w:vAlign w:val="top"/>
          </w:tcPr>
          <w:p>
            <w:pPr>
              <w:pStyle w:val="6"/>
              <w:spacing w:before="65" w:line="147" w:lineRule="exact"/>
              <w:ind w:left="699"/>
              <w:rPr>
                <w:sz w:val="18"/>
                <w:szCs w:val="18"/>
              </w:rPr>
            </w:pPr>
            <w:r>
              <w:rPr>
                <w:position w:val="-2"/>
                <w:sz w:val="18"/>
                <w:szCs w:val="18"/>
              </w:rPr>
              <w:t>1</w:t>
            </w:r>
          </w:p>
        </w:tc>
      </w:tr>
    </w:tbl>
    <w:p>
      <w:pPr>
        <w:rPr>
          <w:rFonts w:ascii="Arial"/>
          <w:sz w:val="21"/>
        </w:rPr>
      </w:pPr>
    </w:p>
    <w:sectPr>
      <w:pgSz w:w="16837" w:h="11905"/>
      <w:pgMar w:top="1007" w:right="1088" w:bottom="0" w:left="101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M1MzQ5YjJjYTY4ZmZjN2I1YmFhNzM4MjFjYTdlY2IifQ=="/>
  </w:docVars>
  <w:rsids>
    <w:rsidRoot w:val="00000000"/>
    <w:rsid w:val="064F7F85"/>
    <w:rsid w:val="14B14C36"/>
    <w:rsid w:val="1CBD04AB"/>
    <w:rsid w:val="3A1009A8"/>
    <w:rsid w:val="3BAE5737"/>
    <w:rsid w:val="45AF6D23"/>
    <w:rsid w:val="4FA8004E"/>
    <w:rsid w:val="5C2E04A2"/>
    <w:rsid w:val="637644DD"/>
    <w:rsid w:val="661C136B"/>
    <w:rsid w:val="6FF47C37"/>
    <w:rsid w:val="702236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7"/>
      <w:szCs w:val="17"/>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Office_12.1.0.16412_F1E327BC-269C-435d-A152-05C5408002CA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2024-03-28T10:37:00Z</dcterms:created>
  <dc:creator>雨林木风</dc:creator>
  <cp:lastModifiedBy>火龙果</cp:lastModifiedBy>
  <dcterms:modified xsi:type="dcterms:W3CDTF">2024-03-28T09:25:35Z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2024-03-28T15:59:11Z</vt:filetime>
  </property>
  <property fmtid="{D5CDD505-2E9C-101B-9397-08002B2CF9AE}" pid="4" name="KSOProductBuildVer">
    <vt:lpwstr>2052-12.1.0.16412</vt:lpwstr>
  </property>
  <property fmtid="{D5CDD505-2E9C-101B-9397-08002B2CF9AE}" pid="5" name="ICV">
    <vt:lpwstr>FCB0F60557B94677B2DA50574A065258_12</vt:lpwstr>
  </property>
</Properties>
</file>