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70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1549"/>
        <w:gridCol w:w="1156"/>
        <w:gridCol w:w="2737"/>
        <w:gridCol w:w="1648"/>
        <w:gridCol w:w="1952"/>
        <w:gridCol w:w="3247"/>
        <w:gridCol w:w="2890"/>
      </w:tblGrid>
      <w:tr w14:paraId="5AC52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64" w:hRule="atLeast"/>
        </w:trPr>
        <w:tc>
          <w:tcPr>
            <w:tcW w:w="15707" w:type="dxa"/>
            <w:gridSpan w:val="8"/>
            <w:vAlign w:val="top"/>
          </w:tcPr>
          <w:p w14:paraId="495BCFD1">
            <w:pPr>
              <w:spacing w:before="161" w:line="220" w:lineRule="auto"/>
              <w:ind w:left="3824"/>
              <w:rPr>
                <w:rFonts w:ascii="宋体" w:hAnsi="宋体" w:eastAsia="宋体" w:cs="宋体"/>
                <w:sz w:val="38"/>
                <w:szCs w:val="38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38"/>
                <w:szCs w:val="38"/>
              </w:rPr>
              <w:t>全旗危险化学品生产企业“三违”行为曝光清单</w:t>
            </w:r>
          </w:p>
        </w:tc>
      </w:tr>
      <w:tr w14:paraId="47D54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528" w:type="dxa"/>
            <w:vAlign w:val="top"/>
          </w:tcPr>
          <w:p w14:paraId="26A8F38D">
            <w:pPr>
              <w:spacing w:before="148" w:line="228" w:lineRule="auto"/>
              <w:jc w:val="right"/>
              <w:rPr>
                <w:rFonts w:ascii="黑体" w:hAnsi="黑体" w:eastAsia="黑体" w:cs="黑体"/>
                <w:sz w:val="25"/>
                <w:szCs w:val="25"/>
              </w:rPr>
            </w:pPr>
            <w:r>
              <w:rPr>
                <w:rFonts w:ascii="黑体" w:hAnsi="黑体" w:eastAsia="黑体" w:cs="黑体"/>
                <w:sz w:val="25"/>
                <w:szCs w:val="25"/>
              </w:rPr>
              <w:t>序号</w:t>
            </w:r>
          </w:p>
        </w:tc>
        <w:tc>
          <w:tcPr>
            <w:tcW w:w="1549" w:type="dxa"/>
            <w:vAlign w:val="top"/>
          </w:tcPr>
          <w:p w14:paraId="7630EDDB">
            <w:pPr>
              <w:spacing w:before="148" w:line="226" w:lineRule="auto"/>
              <w:ind w:left="264"/>
              <w:rPr>
                <w:rFonts w:ascii="黑体" w:hAnsi="黑体" w:eastAsia="黑体" w:cs="黑体"/>
                <w:sz w:val="25"/>
                <w:szCs w:val="25"/>
              </w:rPr>
            </w:pPr>
            <w:r>
              <w:rPr>
                <w:rFonts w:ascii="黑体" w:hAnsi="黑体" w:eastAsia="黑体" w:cs="黑体"/>
                <w:spacing w:val="5"/>
                <w:sz w:val="25"/>
                <w:szCs w:val="25"/>
              </w:rPr>
              <w:t>企业名称</w:t>
            </w:r>
          </w:p>
        </w:tc>
        <w:tc>
          <w:tcPr>
            <w:tcW w:w="1156" w:type="dxa"/>
            <w:vAlign w:val="top"/>
          </w:tcPr>
          <w:p w14:paraId="1177DF18">
            <w:pPr>
              <w:spacing w:before="148" w:line="228" w:lineRule="auto"/>
              <w:ind w:left="67"/>
              <w:rPr>
                <w:rFonts w:ascii="黑体" w:hAnsi="黑体" w:eastAsia="黑体" w:cs="黑体"/>
                <w:sz w:val="25"/>
                <w:szCs w:val="25"/>
              </w:rPr>
            </w:pPr>
            <w:r>
              <w:rPr>
                <w:rFonts w:ascii="黑体" w:hAnsi="黑体" w:eastAsia="黑体" w:cs="黑体"/>
                <w:spacing w:val="5"/>
                <w:sz w:val="25"/>
                <w:szCs w:val="25"/>
              </w:rPr>
              <w:t>检查时间</w:t>
            </w:r>
          </w:p>
        </w:tc>
        <w:tc>
          <w:tcPr>
            <w:tcW w:w="2737" w:type="dxa"/>
            <w:vAlign w:val="top"/>
          </w:tcPr>
          <w:p w14:paraId="7F72DF75">
            <w:pPr>
              <w:spacing w:before="148" w:line="226" w:lineRule="auto"/>
              <w:ind w:left="613"/>
              <w:rPr>
                <w:rFonts w:ascii="黑体" w:hAnsi="黑体" w:eastAsia="黑体" w:cs="黑体"/>
                <w:sz w:val="25"/>
                <w:szCs w:val="25"/>
              </w:rPr>
            </w:pPr>
            <w:r>
              <w:rPr>
                <w:rFonts w:ascii="黑体" w:hAnsi="黑体" w:eastAsia="黑体" w:cs="黑体"/>
                <w:spacing w:val="4"/>
                <w:sz w:val="25"/>
                <w:szCs w:val="25"/>
              </w:rPr>
              <w:t>“三违”行为</w:t>
            </w:r>
          </w:p>
        </w:tc>
        <w:tc>
          <w:tcPr>
            <w:tcW w:w="1648" w:type="dxa"/>
            <w:vAlign w:val="top"/>
          </w:tcPr>
          <w:p w14:paraId="2D571446">
            <w:pPr>
              <w:spacing w:before="149" w:line="225" w:lineRule="auto"/>
              <w:ind w:left="70"/>
              <w:rPr>
                <w:rFonts w:ascii="黑体" w:hAnsi="黑体" w:eastAsia="黑体" w:cs="黑体"/>
                <w:sz w:val="25"/>
                <w:szCs w:val="25"/>
              </w:rPr>
            </w:pPr>
            <w:r>
              <w:rPr>
                <w:rFonts w:ascii="黑体" w:hAnsi="黑体" w:eastAsia="黑体" w:cs="黑体"/>
                <w:spacing w:val="4"/>
                <w:sz w:val="25"/>
                <w:szCs w:val="25"/>
              </w:rPr>
              <w:t>“三违”类型</w:t>
            </w:r>
          </w:p>
        </w:tc>
        <w:tc>
          <w:tcPr>
            <w:tcW w:w="1952" w:type="dxa"/>
            <w:vAlign w:val="top"/>
          </w:tcPr>
          <w:p w14:paraId="074772FF">
            <w:pPr>
              <w:spacing w:before="148" w:line="226" w:lineRule="auto"/>
              <w:ind w:left="471"/>
              <w:rPr>
                <w:rFonts w:ascii="黑体" w:hAnsi="黑体" w:eastAsia="黑体" w:cs="黑体"/>
                <w:sz w:val="25"/>
                <w:szCs w:val="25"/>
              </w:rPr>
            </w:pPr>
            <w:r>
              <w:rPr>
                <w:rFonts w:ascii="黑体" w:hAnsi="黑体" w:eastAsia="黑体" w:cs="黑体"/>
                <w:spacing w:val="4"/>
                <w:sz w:val="25"/>
                <w:szCs w:val="25"/>
              </w:rPr>
              <w:t>处理依据</w:t>
            </w:r>
          </w:p>
        </w:tc>
        <w:tc>
          <w:tcPr>
            <w:tcW w:w="3247" w:type="dxa"/>
            <w:vAlign w:val="top"/>
          </w:tcPr>
          <w:p w14:paraId="5DA34E6D">
            <w:pPr>
              <w:spacing w:before="148" w:line="228" w:lineRule="auto"/>
              <w:ind w:left="1120"/>
              <w:rPr>
                <w:rFonts w:ascii="黑体" w:hAnsi="黑体" w:eastAsia="黑体" w:cs="黑体"/>
                <w:sz w:val="25"/>
                <w:szCs w:val="25"/>
              </w:rPr>
            </w:pPr>
            <w:r>
              <w:rPr>
                <w:rFonts w:ascii="黑体" w:hAnsi="黑体" w:eastAsia="黑体" w:cs="黑体"/>
                <w:spacing w:val="4"/>
                <w:sz w:val="25"/>
                <w:szCs w:val="25"/>
              </w:rPr>
              <w:t>处理结果</w:t>
            </w:r>
          </w:p>
        </w:tc>
        <w:tc>
          <w:tcPr>
            <w:tcW w:w="2890" w:type="dxa"/>
            <w:vAlign w:val="top"/>
          </w:tcPr>
          <w:p w14:paraId="7DE799C9">
            <w:pPr>
              <w:spacing w:before="148" w:line="227" w:lineRule="auto"/>
              <w:ind w:left="1216"/>
              <w:rPr>
                <w:rFonts w:ascii="黑体" w:hAnsi="黑体" w:eastAsia="黑体" w:cs="黑体"/>
                <w:sz w:val="25"/>
                <w:szCs w:val="25"/>
              </w:rPr>
            </w:pPr>
            <w:r>
              <w:rPr>
                <w:rFonts w:ascii="黑体" w:hAnsi="黑体" w:eastAsia="黑体" w:cs="黑体"/>
                <w:spacing w:val="-6"/>
                <w:sz w:val="25"/>
                <w:szCs w:val="25"/>
              </w:rPr>
              <w:t>图片</w:t>
            </w:r>
          </w:p>
        </w:tc>
      </w:tr>
      <w:tr w14:paraId="30BED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1" w:hRule="atLeast"/>
        </w:trPr>
        <w:tc>
          <w:tcPr>
            <w:tcW w:w="528" w:type="dxa"/>
            <w:vAlign w:val="top"/>
          </w:tcPr>
          <w:p w14:paraId="1FA64C60">
            <w:pPr>
              <w:pStyle w:val="5"/>
              <w:spacing w:line="278" w:lineRule="auto"/>
            </w:pPr>
          </w:p>
          <w:p w14:paraId="7B9C6202">
            <w:pPr>
              <w:pStyle w:val="5"/>
              <w:spacing w:line="278" w:lineRule="auto"/>
            </w:pPr>
          </w:p>
          <w:p w14:paraId="73D1BBDD">
            <w:pPr>
              <w:pStyle w:val="5"/>
              <w:spacing w:line="278" w:lineRule="auto"/>
            </w:pPr>
          </w:p>
          <w:p w14:paraId="506DABF7">
            <w:pPr>
              <w:pStyle w:val="5"/>
              <w:spacing w:line="279" w:lineRule="auto"/>
            </w:pPr>
          </w:p>
          <w:p w14:paraId="67508DAD">
            <w:pPr>
              <w:pStyle w:val="5"/>
              <w:spacing w:line="279" w:lineRule="auto"/>
            </w:pPr>
          </w:p>
          <w:p w14:paraId="2542F038">
            <w:pPr>
              <w:pStyle w:val="5"/>
              <w:spacing w:line="279" w:lineRule="auto"/>
            </w:pPr>
          </w:p>
          <w:p w14:paraId="3E0EA272">
            <w:pPr>
              <w:spacing w:before="62" w:line="185" w:lineRule="auto"/>
              <w:ind w:left="237"/>
              <w:rPr>
                <w:rFonts w:ascii="新宋体" w:hAnsi="新宋体" w:eastAsia="新宋体" w:cs="新宋体"/>
                <w:sz w:val="19"/>
                <w:szCs w:val="19"/>
              </w:rPr>
            </w:pPr>
            <w:r>
              <w:rPr>
                <w:rFonts w:ascii="新宋体" w:hAnsi="新宋体" w:eastAsia="新宋体" w:cs="新宋体"/>
                <w:sz w:val="19"/>
                <w:szCs w:val="19"/>
              </w:rPr>
              <w:t>1</w:t>
            </w:r>
          </w:p>
        </w:tc>
        <w:tc>
          <w:tcPr>
            <w:tcW w:w="1549" w:type="dxa"/>
            <w:vAlign w:val="top"/>
          </w:tcPr>
          <w:p w14:paraId="55665D2B">
            <w:pPr>
              <w:pStyle w:val="5"/>
              <w:spacing w:line="254" w:lineRule="auto"/>
            </w:pPr>
          </w:p>
          <w:p w14:paraId="34EAAB31">
            <w:pPr>
              <w:pStyle w:val="5"/>
              <w:spacing w:line="254" w:lineRule="auto"/>
            </w:pPr>
          </w:p>
          <w:p w14:paraId="43C13F27">
            <w:pPr>
              <w:pStyle w:val="5"/>
              <w:spacing w:line="255" w:lineRule="auto"/>
            </w:pPr>
          </w:p>
          <w:p w14:paraId="40B9B47D">
            <w:pPr>
              <w:pStyle w:val="5"/>
              <w:spacing w:line="255" w:lineRule="auto"/>
            </w:pPr>
          </w:p>
          <w:p w14:paraId="53B04139">
            <w:pPr>
              <w:pStyle w:val="5"/>
              <w:spacing w:line="255" w:lineRule="auto"/>
            </w:pPr>
          </w:p>
          <w:p w14:paraId="297AEEB7">
            <w:pPr>
              <w:pStyle w:val="5"/>
              <w:spacing w:line="255" w:lineRule="auto"/>
            </w:pPr>
          </w:p>
          <w:p w14:paraId="016009DF">
            <w:pPr>
              <w:spacing w:before="62" w:line="223" w:lineRule="auto"/>
              <w:ind w:left="201" w:right="97" w:hanging="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内蒙古伊泰化工</w:t>
            </w:r>
            <w:r>
              <w:rPr>
                <w:rFonts w:ascii="宋体" w:hAnsi="宋体" w:eastAsia="宋体" w:cs="宋体"/>
                <w:sz w:val="19"/>
                <w:szCs w:val="19"/>
              </w:rPr>
              <w:t>有限责任公司</w:t>
            </w:r>
          </w:p>
        </w:tc>
        <w:tc>
          <w:tcPr>
            <w:tcW w:w="1156" w:type="dxa"/>
            <w:vAlign w:val="top"/>
          </w:tcPr>
          <w:p w14:paraId="64667E8C">
            <w:pPr>
              <w:pStyle w:val="5"/>
              <w:spacing w:line="278" w:lineRule="auto"/>
            </w:pPr>
          </w:p>
          <w:p w14:paraId="698CA590">
            <w:pPr>
              <w:pStyle w:val="5"/>
              <w:spacing w:line="278" w:lineRule="auto"/>
            </w:pPr>
          </w:p>
          <w:p w14:paraId="401F6F9D">
            <w:pPr>
              <w:pStyle w:val="5"/>
              <w:spacing w:line="278" w:lineRule="auto"/>
            </w:pPr>
          </w:p>
          <w:p w14:paraId="1645C064">
            <w:pPr>
              <w:pStyle w:val="5"/>
              <w:spacing w:line="279" w:lineRule="auto"/>
            </w:pPr>
          </w:p>
          <w:p w14:paraId="682A024D">
            <w:pPr>
              <w:pStyle w:val="5"/>
              <w:spacing w:line="279" w:lineRule="auto"/>
            </w:pPr>
          </w:p>
          <w:p w14:paraId="1D3C502E">
            <w:pPr>
              <w:pStyle w:val="5"/>
              <w:spacing w:line="279" w:lineRule="auto"/>
            </w:pPr>
          </w:p>
          <w:p w14:paraId="59710817">
            <w:pPr>
              <w:spacing w:before="62" w:line="185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2024.7.16</w:t>
            </w:r>
          </w:p>
        </w:tc>
        <w:tc>
          <w:tcPr>
            <w:tcW w:w="2737" w:type="dxa"/>
            <w:vAlign w:val="top"/>
          </w:tcPr>
          <w:p w14:paraId="447A259C">
            <w:pPr>
              <w:pStyle w:val="5"/>
              <w:spacing w:line="258" w:lineRule="auto"/>
            </w:pPr>
          </w:p>
          <w:p w14:paraId="68DF7B47">
            <w:pPr>
              <w:pStyle w:val="5"/>
              <w:spacing w:line="259" w:lineRule="auto"/>
            </w:pPr>
          </w:p>
          <w:p w14:paraId="426E0904">
            <w:pPr>
              <w:pStyle w:val="5"/>
              <w:spacing w:line="259" w:lineRule="auto"/>
            </w:pPr>
          </w:p>
          <w:p w14:paraId="12217CCD">
            <w:pPr>
              <w:pStyle w:val="5"/>
              <w:spacing w:line="259" w:lineRule="auto"/>
            </w:pPr>
          </w:p>
          <w:p w14:paraId="5E8B2B67">
            <w:pPr>
              <w:spacing w:before="7" w:line="223" w:lineRule="auto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  <w:shd w:val="clear" w:fill="FFFFFF"/>
              </w:rPr>
              <w:t>加工车间液体石蜡B罐搭设脚手架作业，作业人张盘龙在防爆区域内使用非防爆手机视频通话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fill="FFFFFF"/>
              </w:rPr>
              <w:t>。</w:t>
            </w:r>
          </w:p>
        </w:tc>
        <w:tc>
          <w:tcPr>
            <w:tcW w:w="1648" w:type="dxa"/>
            <w:vAlign w:val="top"/>
          </w:tcPr>
          <w:p w14:paraId="358233E9">
            <w:pPr>
              <w:pStyle w:val="5"/>
              <w:spacing w:line="273" w:lineRule="auto"/>
            </w:pPr>
          </w:p>
          <w:p w14:paraId="3F71F4FF">
            <w:pPr>
              <w:pStyle w:val="5"/>
              <w:spacing w:line="273" w:lineRule="auto"/>
            </w:pPr>
          </w:p>
          <w:p w14:paraId="2FD201C6">
            <w:pPr>
              <w:pStyle w:val="5"/>
              <w:spacing w:line="274" w:lineRule="auto"/>
            </w:pPr>
          </w:p>
          <w:p w14:paraId="0BCB0AA4">
            <w:pPr>
              <w:pStyle w:val="5"/>
              <w:spacing w:line="274" w:lineRule="auto"/>
            </w:pPr>
          </w:p>
          <w:p w14:paraId="4580C6D6">
            <w:pPr>
              <w:pStyle w:val="5"/>
              <w:spacing w:line="274" w:lineRule="auto"/>
            </w:pPr>
          </w:p>
          <w:p w14:paraId="5A72E147">
            <w:pPr>
              <w:pStyle w:val="5"/>
              <w:spacing w:line="274" w:lineRule="auto"/>
            </w:pPr>
          </w:p>
          <w:p w14:paraId="03A80C3E">
            <w:pPr>
              <w:spacing w:before="62" w:line="220" w:lineRule="auto"/>
              <w:ind w:left="44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违章作业</w:t>
            </w:r>
          </w:p>
        </w:tc>
        <w:tc>
          <w:tcPr>
            <w:tcW w:w="1952" w:type="dxa"/>
            <w:vAlign w:val="top"/>
          </w:tcPr>
          <w:p w14:paraId="719EF65F">
            <w:pPr>
              <w:pStyle w:val="5"/>
              <w:spacing w:line="315" w:lineRule="auto"/>
            </w:pPr>
          </w:p>
          <w:p w14:paraId="6EC9D97A">
            <w:pPr>
              <w:pStyle w:val="5"/>
              <w:spacing w:line="315" w:lineRule="auto"/>
            </w:pPr>
          </w:p>
          <w:p w14:paraId="570A7E16">
            <w:pPr>
              <w:spacing w:before="7" w:line="220" w:lineRule="auto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  <w:shd w:val="clear" w:fill="FFFFFF"/>
              </w:rPr>
              <w:t>违反化工公司《人员定位、防爆手机及作业可视化使用管理制度》火灾爆炸危险性区域使用非防爆手机，按C类不安全行为进行考核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fill="FFFFFF"/>
              </w:rPr>
              <w:t>。</w:t>
            </w:r>
          </w:p>
        </w:tc>
        <w:tc>
          <w:tcPr>
            <w:tcW w:w="3247" w:type="dxa"/>
            <w:vAlign w:val="top"/>
          </w:tcPr>
          <w:p w14:paraId="5BF6B53D">
            <w:pPr>
              <w:pStyle w:val="5"/>
              <w:spacing w:line="273" w:lineRule="auto"/>
            </w:pPr>
          </w:p>
          <w:p w14:paraId="0BFB7FBC">
            <w:pPr>
              <w:pStyle w:val="5"/>
              <w:spacing w:line="274" w:lineRule="auto"/>
            </w:pPr>
          </w:p>
          <w:p w14:paraId="0965B291">
            <w:pPr>
              <w:pStyle w:val="5"/>
              <w:spacing w:line="274" w:lineRule="auto"/>
            </w:pPr>
          </w:p>
          <w:p w14:paraId="2E21FCB3">
            <w:pPr>
              <w:pStyle w:val="5"/>
              <w:spacing w:line="274" w:lineRule="auto"/>
            </w:pPr>
          </w:p>
          <w:p w14:paraId="774AF252">
            <w:pPr>
              <w:pStyle w:val="5"/>
              <w:spacing w:line="274" w:lineRule="auto"/>
            </w:pPr>
          </w:p>
          <w:p w14:paraId="035B81AA">
            <w:pPr>
              <w:pStyle w:val="5"/>
              <w:spacing w:line="274" w:lineRule="auto"/>
            </w:pPr>
          </w:p>
          <w:p w14:paraId="03F37281">
            <w:pPr>
              <w:spacing w:before="61" w:line="220" w:lineRule="auto"/>
              <w:ind w:left="8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考核承泰张某500元</w:t>
            </w:r>
          </w:p>
        </w:tc>
        <w:tc>
          <w:tcPr>
            <w:tcW w:w="2890" w:type="dxa"/>
            <w:vAlign w:val="top"/>
          </w:tcPr>
          <w:p w14:paraId="59FF4F5D">
            <w:pPr>
              <w:pStyle w:val="5"/>
              <w:spacing w:line="296" w:lineRule="auto"/>
            </w:pPr>
          </w:p>
          <w:p w14:paraId="702EA74D">
            <w:pPr>
              <w:pStyle w:val="5"/>
              <w:spacing w:line="296" w:lineRule="auto"/>
            </w:pPr>
          </w:p>
          <w:p w14:paraId="284CC4F1">
            <w:pPr>
              <w:pStyle w:val="5"/>
              <w:spacing w:line="296" w:lineRule="auto"/>
            </w:pPr>
          </w:p>
          <w:p w14:paraId="0F8192F3">
            <w:pPr>
              <w:spacing w:line="2167" w:lineRule="exact"/>
              <w:ind w:firstLine="257"/>
            </w:pPr>
            <w:r>
              <w:rPr>
                <w:position w:val="-43"/>
              </w:rPr>
              <w:drawing>
                <wp:inline distT="0" distB="0" distL="0" distR="0">
                  <wp:extent cx="1587500" cy="1376045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007" cy="1376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DEB7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7" w:hRule="atLeast"/>
        </w:trPr>
        <w:tc>
          <w:tcPr>
            <w:tcW w:w="528" w:type="dxa"/>
            <w:vAlign w:val="top"/>
          </w:tcPr>
          <w:p w14:paraId="1EDE63E4">
            <w:pPr>
              <w:pStyle w:val="5"/>
              <w:spacing w:line="274" w:lineRule="auto"/>
            </w:pPr>
          </w:p>
          <w:p w14:paraId="23F1C19F">
            <w:pPr>
              <w:pStyle w:val="5"/>
              <w:spacing w:line="274" w:lineRule="auto"/>
            </w:pPr>
          </w:p>
          <w:p w14:paraId="36A9113D">
            <w:pPr>
              <w:pStyle w:val="5"/>
              <w:spacing w:line="274" w:lineRule="auto"/>
            </w:pPr>
          </w:p>
          <w:p w14:paraId="3B1E89E6">
            <w:pPr>
              <w:pStyle w:val="5"/>
              <w:spacing w:line="274" w:lineRule="auto"/>
            </w:pPr>
          </w:p>
          <w:p w14:paraId="0F28E3C2">
            <w:pPr>
              <w:pStyle w:val="5"/>
              <w:spacing w:line="274" w:lineRule="auto"/>
            </w:pPr>
          </w:p>
          <w:p w14:paraId="6EAEB354">
            <w:pPr>
              <w:spacing w:before="62" w:line="184" w:lineRule="auto"/>
              <w:ind w:left="225"/>
              <w:rPr>
                <w:rFonts w:ascii="新宋体" w:hAnsi="新宋体" w:eastAsia="新宋体" w:cs="新宋体"/>
                <w:sz w:val="19"/>
                <w:szCs w:val="19"/>
              </w:rPr>
            </w:pPr>
            <w:r>
              <w:rPr>
                <w:rFonts w:ascii="新宋体" w:hAnsi="新宋体" w:eastAsia="新宋体" w:cs="新宋体"/>
                <w:sz w:val="19"/>
                <w:szCs w:val="19"/>
              </w:rPr>
              <w:t>2</w:t>
            </w:r>
          </w:p>
        </w:tc>
        <w:tc>
          <w:tcPr>
            <w:tcW w:w="1549" w:type="dxa"/>
            <w:vAlign w:val="top"/>
          </w:tcPr>
          <w:p w14:paraId="679DF8CC">
            <w:pPr>
              <w:pStyle w:val="5"/>
              <w:spacing w:line="245" w:lineRule="auto"/>
            </w:pPr>
          </w:p>
          <w:p w14:paraId="6B42A3F2">
            <w:pPr>
              <w:pStyle w:val="5"/>
              <w:spacing w:line="245" w:lineRule="auto"/>
            </w:pPr>
          </w:p>
          <w:p w14:paraId="3FC0D9EE">
            <w:pPr>
              <w:pStyle w:val="5"/>
              <w:spacing w:line="245" w:lineRule="auto"/>
            </w:pPr>
          </w:p>
          <w:p w14:paraId="781E0025">
            <w:pPr>
              <w:pStyle w:val="5"/>
              <w:spacing w:line="245" w:lineRule="auto"/>
            </w:pPr>
          </w:p>
          <w:p w14:paraId="3151124F">
            <w:pPr>
              <w:pStyle w:val="5"/>
              <w:spacing w:line="246" w:lineRule="auto"/>
            </w:pPr>
          </w:p>
          <w:p w14:paraId="11BCB10D">
            <w:pPr>
              <w:spacing w:before="62" w:line="223" w:lineRule="auto"/>
              <w:ind w:left="201" w:right="97" w:hanging="7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内蒙古伊泰化工</w:t>
            </w:r>
            <w:r>
              <w:rPr>
                <w:rFonts w:ascii="宋体" w:hAnsi="宋体" w:eastAsia="宋体" w:cs="宋体"/>
                <w:sz w:val="19"/>
                <w:szCs w:val="19"/>
              </w:rPr>
              <w:t>有限责任公司</w:t>
            </w:r>
          </w:p>
        </w:tc>
        <w:tc>
          <w:tcPr>
            <w:tcW w:w="1156" w:type="dxa"/>
            <w:vAlign w:val="top"/>
          </w:tcPr>
          <w:p w14:paraId="1F711579">
            <w:pPr>
              <w:pStyle w:val="5"/>
              <w:spacing w:line="273" w:lineRule="auto"/>
            </w:pPr>
          </w:p>
          <w:p w14:paraId="462CCAB0">
            <w:pPr>
              <w:pStyle w:val="5"/>
              <w:spacing w:line="274" w:lineRule="auto"/>
            </w:pPr>
          </w:p>
          <w:p w14:paraId="40FBC5D7">
            <w:pPr>
              <w:pStyle w:val="5"/>
              <w:spacing w:line="274" w:lineRule="auto"/>
            </w:pPr>
          </w:p>
          <w:p w14:paraId="2B6F7732">
            <w:pPr>
              <w:pStyle w:val="5"/>
              <w:spacing w:line="274" w:lineRule="auto"/>
            </w:pPr>
          </w:p>
          <w:p w14:paraId="12070F04">
            <w:pPr>
              <w:pStyle w:val="5"/>
              <w:spacing w:line="274" w:lineRule="auto"/>
            </w:pPr>
          </w:p>
          <w:p w14:paraId="2186DD0D">
            <w:pPr>
              <w:spacing w:before="62" w:line="185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2024.7.15</w:t>
            </w:r>
          </w:p>
        </w:tc>
        <w:tc>
          <w:tcPr>
            <w:tcW w:w="2737" w:type="dxa"/>
            <w:vAlign w:val="top"/>
          </w:tcPr>
          <w:p w14:paraId="76C6597B">
            <w:pPr>
              <w:pStyle w:val="5"/>
              <w:spacing w:line="248" w:lineRule="auto"/>
            </w:pPr>
          </w:p>
          <w:p w14:paraId="5075682B">
            <w:pPr>
              <w:pStyle w:val="5"/>
              <w:spacing w:line="248" w:lineRule="auto"/>
            </w:pPr>
          </w:p>
          <w:p w14:paraId="6D9D0118">
            <w:pPr>
              <w:pStyle w:val="5"/>
              <w:spacing w:line="248" w:lineRule="auto"/>
            </w:pPr>
          </w:p>
          <w:p w14:paraId="55B6F7C5">
            <w:pPr>
              <w:spacing w:before="6" w:line="221" w:lineRule="auto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  <w:shd w:val="clear" w:fill="FFFFFF"/>
              </w:rPr>
              <w:t>承泰检修北门大院处脚手架材料吊装作业，现场使用单点吊，且吊装区域内有无关人员停留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fill="FFFFFF"/>
              </w:rPr>
              <w:t>。</w:t>
            </w:r>
          </w:p>
        </w:tc>
        <w:tc>
          <w:tcPr>
            <w:tcW w:w="1648" w:type="dxa"/>
            <w:vAlign w:val="top"/>
          </w:tcPr>
          <w:p w14:paraId="2E49EBFC">
            <w:pPr>
              <w:pStyle w:val="5"/>
              <w:spacing w:line="268" w:lineRule="auto"/>
            </w:pPr>
          </w:p>
          <w:p w14:paraId="496D7B47">
            <w:pPr>
              <w:pStyle w:val="5"/>
              <w:spacing w:line="268" w:lineRule="auto"/>
            </w:pPr>
          </w:p>
          <w:p w14:paraId="574B0257">
            <w:pPr>
              <w:pStyle w:val="5"/>
              <w:spacing w:line="268" w:lineRule="auto"/>
            </w:pPr>
          </w:p>
          <w:p w14:paraId="39025B25">
            <w:pPr>
              <w:pStyle w:val="5"/>
              <w:spacing w:line="268" w:lineRule="auto"/>
            </w:pPr>
          </w:p>
          <w:p w14:paraId="2671B421">
            <w:pPr>
              <w:pStyle w:val="5"/>
              <w:spacing w:line="268" w:lineRule="auto"/>
            </w:pPr>
          </w:p>
          <w:p w14:paraId="27257331">
            <w:pPr>
              <w:spacing w:before="62" w:line="220" w:lineRule="auto"/>
              <w:ind w:left="44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违章作业</w:t>
            </w:r>
          </w:p>
        </w:tc>
        <w:tc>
          <w:tcPr>
            <w:tcW w:w="1952" w:type="dxa"/>
            <w:vAlign w:val="top"/>
          </w:tcPr>
          <w:p w14:paraId="57C6AAB4">
            <w:pPr>
              <w:pStyle w:val="5"/>
              <w:spacing w:line="277" w:lineRule="auto"/>
            </w:pPr>
          </w:p>
          <w:p w14:paraId="6186BA37">
            <w:pPr>
              <w:pStyle w:val="5"/>
              <w:spacing w:line="277" w:lineRule="auto"/>
            </w:pPr>
          </w:p>
          <w:p w14:paraId="22BC9BF5">
            <w:pPr>
              <w:pStyle w:val="5"/>
              <w:spacing w:line="277" w:lineRule="auto"/>
            </w:pPr>
          </w:p>
          <w:p w14:paraId="6CAB93BE">
            <w:pPr>
              <w:spacing w:before="9" w:line="220" w:lineRule="auto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  <w:shd w:val="clear" w:fill="FFFFFF"/>
              </w:rPr>
              <w:t>违反内蒙古承泰建设工程科技有限公司安全操作规程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shd w:val="clear" w:fill="FFFFFF"/>
              </w:rPr>
              <w:t>。</w:t>
            </w:r>
          </w:p>
        </w:tc>
        <w:tc>
          <w:tcPr>
            <w:tcW w:w="3247" w:type="dxa"/>
            <w:vAlign w:val="top"/>
          </w:tcPr>
          <w:p w14:paraId="65CDF1B2">
            <w:pPr>
              <w:pStyle w:val="5"/>
              <w:spacing w:line="268" w:lineRule="auto"/>
            </w:pPr>
          </w:p>
          <w:p w14:paraId="429DE5F7">
            <w:pPr>
              <w:pStyle w:val="5"/>
              <w:spacing w:line="268" w:lineRule="auto"/>
            </w:pPr>
          </w:p>
          <w:p w14:paraId="28FA5183">
            <w:pPr>
              <w:pStyle w:val="5"/>
              <w:spacing w:line="268" w:lineRule="auto"/>
            </w:pPr>
          </w:p>
          <w:p w14:paraId="5B217249">
            <w:pPr>
              <w:pStyle w:val="5"/>
              <w:spacing w:line="268" w:lineRule="auto"/>
            </w:pPr>
          </w:p>
          <w:p w14:paraId="6E663574">
            <w:pPr>
              <w:pStyle w:val="5"/>
              <w:spacing w:line="269" w:lineRule="auto"/>
            </w:pPr>
          </w:p>
          <w:p w14:paraId="000FC94F">
            <w:pPr>
              <w:spacing w:before="62" w:line="220" w:lineRule="auto"/>
              <w:ind w:left="6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考核相关作业人员300元</w:t>
            </w:r>
          </w:p>
        </w:tc>
        <w:tc>
          <w:tcPr>
            <w:tcW w:w="2890" w:type="dxa"/>
            <w:vAlign w:val="top"/>
          </w:tcPr>
          <w:p w14:paraId="50AA6497">
            <w:pPr>
              <w:pStyle w:val="5"/>
              <w:spacing w:line="253" w:lineRule="auto"/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rightMargin">
                    <wp:posOffset>-842010</wp:posOffset>
                  </wp:positionH>
                  <wp:positionV relativeFrom="topMargin">
                    <wp:posOffset>323850</wp:posOffset>
                  </wp:positionV>
                  <wp:extent cx="708660" cy="1337945"/>
                  <wp:effectExtent l="0" t="0" r="0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59" cy="1338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258E4BB">
            <w:pPr>
              <w:pStyle w:val="5"/>
              <w:spacing w:line="254" w:lineRule="auto"/>
            </w:pPr>
          </w:p>
          <w:p w14:paraId="3EA6F448">
            <w:pPr>
              <w:spacing w:line="2134" w:lineRule="exact"/>
              <w:ind w:firstLine="248"/>
            </w:pPr>
            <w:r>
              <w:rPr>
                <w:position w:val="-42"/>
              </w:rPr>
              <w:drawing>
                <wp:inline distT="0" distB="0" distL="0" distR="0">
                  <wp:extent cx="740410" cy="1354455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664" cy="135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7D6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3" w:hRule="atLeast"/>
        </w:trPr>
        <w:tc>
          <w:tcPr>
            <w:tcW w:w="528" w:type="dxa"/>
            <w:vAlign w:val="top"/>
          </w:tcPr>
          <w:p w14:paraId="5C7EC3A3">
            <w:pPr>
              <w:pStyle w:val="5"/>
              <w:spacing w:line="258" w:lineRule="auto"/>
            </w:pPr>
          </w:p>
          <w:p w14:paraId="125A1DB6">
            <w:pPr>
              <w:pStyle w:val="5"/>
              <w:spacing w:line="258" w:lineRule="auto"/>
            </w:pPr>
          </w:p>
          <w:p w14:paraId="2B65B3FF">
            <w:pPr>
              <w:pStyle w:val="5"/>
              <w:spacing w:line="259" w:lineRule="auto"/>
            </w:pPr>
          </w:p>
          <w:p w14:paraId="3A79B9DE">
            <w:pPr>
              <w:pStyle w:val="5"/>
              <w:spacing w:line="259" w:lineRule="auto"/>
            </w:pPr>
          </w:p>
          <w:p w14:paraId="5326A0D2">
            <w:pPr>
              <w:spacing w:before="62" w:line="184" w:lineRule="auto"/>
              <w:ind w:left="226"/>
              <w:rPr>
                <w:rFonts w:ascii="新宋体" w:hAnsi="新宋体" w:eastAsia="新宋体" w:cs="新宋体"/>
                <w:sz w:val="19"/>
                <w:szCs w:val="19"/>
              </w:rPr>
            </w:pPr>
            <w:r>
              <w:rPr>
                <w:rFonts w:ascii="新宋体" w:hAnsi="新宋体" w:eastAsia="新宋体" w:cs="新宋体"/>
                <w:sz w:val="19"/>
                <w:szCs w:val="19"/>
              </w:rPr>
              <w:t>3</w:t>
            </w:r>
          </w:p>
        </w:tc>
        <w:tc>
          <w:tcPr>
            <w:tcW w:w="1549" w:type="dxa"/>
            <w:vAlign w:val="top"/>
          </w:tcPr>
          <w:p w14:paraId="1D92222B">
            <w:pPr>
              <w:pStyle w:val="5"/>
              <w:spacing w:line="258" w:lineRule="auto"/>
            </w:pPr>
          </w:p>
          <w:p w14:paraId="7E4610F7">
            <w:pPr>
              <w:pStyle w:val="5"/>
              <w:spacing w:line="258" w:lineRule="auto"/>
            </w:pPr>
          </w:p>
          <w:p w14:paraId="5D9C950C">
            <w:pPr>
              <w:spacing w:before="7" w:line="223" w:lineRule="auto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  <w:shd w:val="clear" w:fill="FFFFFF"/>
              </w:rPr>
              <w:t>鄂尔多斯市昊华国泰化工有限公司</w:t>
            </w:r>
          </w:p>
        </w:tc>
        <w:tc>
          <w:tcPr>
            <w:tcW w:w="1156" w:type="dxa"/>
            <w:vAlign w:val="top"/>
          </w:tcPr>
          <w:p w14:paraId="184E4376">
            <w:pPr>
              <w:pStyle w:val="5"/>
              <w:spacing w:line="258" w:lineRule="auto"/>
            </w:pPr>
          </w:p>
          <w:p w14:paraId="1DE57BDE">
            <w:pPr>
              <w:pStyle w:val="5"/>
              <w:spacing w:line="258" w:lineRule="auto"/>
            </w:pPr>
          </w:p>
          <w:p w14:paraId="4CCC56C7">
            <w:pPr>
              <w:pStyle w:val="5"/>
              <w:spacing w:line="258" w:lineRule="auto"/>
            </w:pPr>
          </w:p>
          <w:p w14:paraId="58D3BDD8">
            <w:pPr>
              <w:pStyle w:val="5"/>
              <w:spacing w:line="259" w:lineRule="auto"/>
            </w:pPr>
          </w:p>
          <w:p w14:paraId="55D1238A">
            <w:pPr>
              <w:spacing w:before="62" w:line="185" w:lineRule="auto"/>
              <w:ind w:left="15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2024.7.10</w:t>
            </w:r>
          </w:p>
        </w:tc>
        <w:tc>
          <w:tcPr>
            <w:tcW w:w="2737" w:type="dxa"/>
            <w:vAlign w:val="top"/>
          </w:tcPr>
          <w:p w14:paraId="69DE643F">
            <w:pPr>
              <w:pStyle w:val="5"/>
              <w:spacing w:line="328" w:lineRule="auto"/>
            </w:pPr>
          </w:p>
          <w:p w14:paraId="1DCB3400">
            <w:pPr>
              <w:spacing w:before="6" w:line="220" w:lineRule="auto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  <w:shd w:val="clear" w:fill="FFFFFF"/>
              </w:rPr>
              <w:t>检查时发现，中水装置室外库房配备灭火器，未建立灭火器检查表。</w:t>
            </w:r>
          </w:p>
        </w:tc>
        <w:tc>
          <w:tcPr>
            <w:tcW w:w="1648" w:type="dxa"/>
            <w:vAlign w:val="top"/>
          </w:tcPr>
          <w:p w14:paraId="18BDD91D">
            <w:pPr>
              <w:pStyle w:val="5"/>
              <w:spacing w:line="257" w:lineRule="auto"/>
            </w:pPr>
          </w:p>
          <w:p w14:paraId="22108B83">
            <w:pPr>
              <w:pStyle w:val="5"/>
              <w:spacing w:line="258" w:lineRule="auto"/>
            </w:pPr>
          </w:p>
          <w:p w14:paraId="62D5D666">
            <w:pPr>
              <w:spacing w:before="9" w:line="220" w:lineRule="auto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  <w:shd w:val="clear" w:fill="FFFFFF"/>
              </w:rPr>
              <w:t>第二类违章作业一般违章行为（第22条）</w:t>
            </w:r>
          </w:p>
        </w:tc>
        <w:tc>
          <w:tcPr>
            <w:tcW w:w="1952" w:type="dxa"/>
            <w:vAlign w:val="top"/>
          </w:tcPr>
          <w:p w14:paraId="52B0B075">
            <w:pPr>
              <w:pStyle w:val="5"/>
              <w:spacing w:line="328" w:lineRule="auto"/>
            </w:pPr>
          </w:p>
          <w:p w14:paraId="2F8CE545">
            <w:pPr>
              <w:spacing w:before="6" w:line="221" w:lineRule="auto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  <w:shd w:val="clear" w:fill="FFFFFF"/>
              </w:rPr>
              <w:t>装置区、办公区安全设施不符合规定的行为，1项不符合扣100元-1000元。</w:t>
            </w:r>
          </w:p>
        </w:tc>
        <w:tc>
          <w:tcPr>
            <w:tcW w:w="3247" w:type="dxa"/>
            <w:vAlign w:val="top"/>
          </w:tcPr>
          <w:p w14:paraId="304625EA">
            <w:pPr>
              <w:pStyle w:val="5"/>
              <w:spacing w:line="251" w:lineRule="auto"/>
            </w:pPr>
          </w:p>
          <w:p w14:paraId="33B6E8E0">
            <w:pPr>
              <w:pStyle w:val="5"/>
              <w:spacing w:line="251" w:lineRule="auto"/>
            </w:pPr>
          </w:p>
          <w:p w14:paraId="77FA39F0">
            <w:pPr>
              <w:pStyle w:val="5"/>
              <w:spacing w:line="251" w:lineRule="auto"/>
            </w:pPr>
          </w:p>
          <w:p w14:paraId="1CCDF2C7">
            <w:pPr>
              <w:pStyle w:val="5"/>
              <w:spacing w:line="252" w:lineRule="auto"/>
            </w:pPr>
          </w:p>
          <w:p w14:paraId="09FBEF2A">
            <w:pPr>
              <w:spacing w:before="62" w:line="220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考核水处理中水装置</w:t>
            </w:r>
            <w:bookmarkStart w:id="0" w:name="_GoBack"/>
            <w:bookmarkEnd w:id="0"/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相关人员200元</w:t>
            </w:r>
          </w:p>
        </w:tc>
        <w:tc>
          <w:tcPr>
            <w:tcW w:w="2890" w:type="dxa"/>
            <w:vAlign w:val="top"/>
          </w:tcPr>
          <w:p w14:paraId="5E18DE81">
            <w:pPr>
              <w:spacing w:before="130" w:line="1996" w:lineRule="exact"/>
              <w:ind w:firstLine="552"/>
            </w:pPr>
            <w:r>
              <w:rPr>
                <w:position w:val="-39"/>
              </w:rPr>
              <w:drawing>
                <wp:inline distT="0" distB="0" distL="0" distR="0">
                  <wp:extent cx="1235710" cy="1267460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964" cy="1267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86E8B7">
      <w:pPr>
        <w:rPr>
          <w:rFonts w:ascii="Arial"/>
          <w:sz w:val="21"/>
        </w:rPr>
      </w:pPr>
    </w:p>
    <w:sectPr>
      <w:pgSz w:w="16837" w:h="11905"/>
      <w:pgMar w:top="787" w:right="445" w:bottom="0" w:left="67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2M1MzQ5YjJjYTY4ZmZjN2I1YmFhNzM4MjFjYTdlY2IifQ=="/>
  </w:docVars>
  <w:rsids>
    <w:rsidRoot w:val="00000000"/>
    <w:rsid w:val="231A73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379</Words>
  <Characters>416</Characters>
  <TotalTime>12</TotalTime>
  <ScaleCrop>false</ScaleCrop>
  <LinksUpToDate>false</LinksUpToDate>
  <CharactersWithSpaces>419</CharactersWithSpaces>
  <Application>WPS Office_12.1.0.17147_F1E327BC-269C-435d-A152-05C5408002CA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2024-07-19T10:43:00Z</dcterms:created>
  <dc:creator>Administrator</dc:creator>
  <cp:lastModifiedBy>火龙果</cp:lastModifiedBy>
  <dcterms:modified xsi:type="dcterms:W3CDTF">2024-07-22T07:20:30Z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2024-07-22T15:07:50Z</vt:filetime>
  </property>
  <property fmtid="{D5CDD505-2E9C-101B-9397-08002B2CF9AE}" pid="4" name="KSOProductBuildVer">
    <vt:lpwstr>2052-12.1.0.17147</vt:lpwstr>
  </property>
  <property fmtid="{D5CDD505-2E9C-101B-9397-08002B2CF9AE}" pid="5" name="ICV">
    <vt:lpwstr>ACC706B385A943FBAED9A297CF66B04C_12</vt:lpwstr>
  </property>
</Properties>
</file>