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4100"/>
        </w:tabs>
        <w:kinsoku/>
        <w:wordWrap/>
        <w:overflowPunct/>
        <w:topLinePunct/>
        <w:autoSpaceDE/>
        <w:autoSpaceDN/>
        <w:bidi w:val="0"/>
        <w:spacing w:line="240" w:lineRule="auto"/>
        <w:jc w:val="both"/>
        <w:textAlignment w:val="auto"/>
        <w:rPr>
          <w:rFonts w:hint="eastAsia" w:ascii="方正小标宋简体" w:hAnsi="宋体" w:eastAsia="方正小标宋简体"/>
          <w:spacing w:val="0"/>
          <w:sz w:val="44"/>
          <w:lang w:eastAsia="zh-CN"/>
        </w:rPr>
        <w:sectPr>
          <w:pgSz w:w="16838" w:h="11906" w:orient="landscape"/>
          <w:pgMar w:top="1803" w:right="1440" w:bottom="1803" w:left="1440" w:header="851" w:footer="992" w:gutter="0"/>
          <w:paperSrc/>
          <w:cols w:space="0" w:num="1"/>
          <w:rtlGutter w:val="0"/>
          <w:docGrid w:type="lines" w:linePitch="319" w:charSpace="0"/>
        </w:sectPr>
      </w:pP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9595" cy="8028305"/>
            <wp:effectExtent l="0" t="0" r="8255" b="10795"/>
            <wp:docPr id="22" name="图片 1" descr="内政办发13号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 descr="内政办发13号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9595" cy="802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4100"/>
        </w:tabs>
        <w:kinsoku/>
        <w:wordWrap/>
        <w:overflowPunct/>
        <w:topLinePunct/>
        <w:autoSpaceDE/>
        <w:autoSpaceDN/>
        <w:bidi w:val="0"/>
        <w:spacing w:line="240" w:lineRule="auto"/>
        <w:jc w:val="both"/>
        <w:textAlignment w:val="auto"/>
        <w:rPr>
          <w:rFonts w:hint="eastAsia" w:ascii="方正小标宋简体" w:hAnsi="宋体" w:eastAsia="方正小标宋简体"/>
          <w:spacing w:val="0"/>
          <w:sz w:val="44"/>
          <w:lang w:eastAsia="zh-CN"/>
        </w:rPr>
      </w:pP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840095" cy="8241665"/>
            <wp:effectExtent l="0" t="0" r="6985" b="8255"/>
            <wp:docPr id="21" name="图片 2" descr="内政办发13号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 descr="内政办发13号-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39968" cy="824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9595" cy="8001000"/>
            <wp:effectExtent l="0" t="0" r="0" b="8255"/>
            <wp:docPr id="20" name="图片 3" descr="内政办发13号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 descr="内政办发13号-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959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50230" cy="8122920"/>
            <wp:effectExtent l="0" t="0" r="11430" b="7620"/>
            <wp:docPr id="19" name="图片 4" descr="内政办发13号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 descr="内政办发13号-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50230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122920"/>
            <wp:effectExtent l="0" t="0" r="11430" b="10795"/>
            <wp:docPr id="18" name="图片 5" descr="内政办发13号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 descr="内政办发13号-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111490"/>
            <wp:effectExtent l="0" t="0" r="3810" b="10795"/>
            <wp:docPr id="17" name="图片 6" descr="内政办发13号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 descr="内政办发13号-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11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9595" cy="8024495"/>
            <wp:effectExtent l="0" t="0" r="14605" b="8255"/>
            <wp:docPr id="16" name="图片 7" descr="内政办发13号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 descr="内政办发13号-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9595" cy="802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111490"/>
            <wp:effectExtent l="0" t="0" r="3810" b="10795"/>
            <wp:docPr id="15" name="图片 8" descr="内政办发13号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 descr="内政办发13号-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11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099425"/>
            <wp:effectExtent l="0" t="0" r="15875" b="10795"/>
            <wp:docPr id="14" name="图片 9" descr="内政办发13号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内政办发13号-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09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50230" cy="8114665"/>
            <wp:effectExtent l="0" t="0" r="635" b="7620"/>
            <wp:docPr id="13" name="图片 10" descr="内政办发13号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 descr="内政办发13号-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50230" cy="811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111490"/>
            <wp:effectExtent l="0" t="0" r="3810" b="10795"/>
            <wp:docPr id="12" name="图片 11" descr="内政办发13号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内政办发13号-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11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122920"/>
            <wp:effectExtent l="0" t="0" r="11430" b="10795"/>
            <wp:docPr id="11" name="图片 12" descr="内政办发13号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2" descr="内政办发13号-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099425"/>
            <wp:effectExtent l="0" t="0" r="15875" b="10795"/>
            <wp:docPr id="10" name="图片 13" descr="内政办发13号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3" descr="内政办发13号-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09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7946390"/>
            <wp:effectExtent l="0" t="0" r="16510" b="10795"/>
            <wp:docPr id="9" name="图片 14" descr="内政办发13号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" descr="内政办发13号-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794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8325" cy="8102600"/>
            <wp:effectExtent l="0" t="0" r="12700" b="9525"/>
            <wp:docPr id="8" name="图片 15" descr="内政办发13号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" descr="内政办发13号-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8325" cy="810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8325" cy="8102600"/>
            <wp:effectExtent l="0" t="0" r="12700" b="9525"/>
            <wp:docPr id="7" name="图片 16" descr="内政办发13号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6" descr="内政办发13号-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8325" cy="810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099425"/>
            <wp:effectExtent l="0" t="0" r="15875" b="10795"/>
            <wp:docPr id="6" name="图片 17" descr="内政办发13号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 descr="内政办发13号-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09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122920"/>
            <wp:effectExtent l="0" t="0" r="11430" b="10795"/>
            <wp:docPr id="5" name="图片 18" descr="内政办发13号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8" descr="内政办发13号-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111490"/>
            <wp:effectExtent l="0" t="0" r="3810" b="10795"/>
            <wp:docPr id="4" name="图片 19" descr="内政办发13号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9" descr="内政办发13号-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11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099425"/>
            <wp:effectExtent l="0" t="0" r="15875" b="10795"/>
            <wp:docPr id="3" name="图片 20" descr="内政办发13号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0" descr="内政办发13号-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09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111490"/>
            <wp:effectExtent l="0" t="0" r="3810" b="10795"/>
            <wp:docPr id="2" name="图片 21" descr="内政办发13号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1" descr="内政办发13号-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11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ascii="方正小标宋简体" w:hAnsi="宋体" w:eastAsia="方正小标宋简体"/>
          <w:spacing w:val="0"/>
          <w:sz w:val="44"/>
          <w:lang w:eastAsia="zh-CN"/>
        </w:rPr>
        <w:drawing>
          <wp:inline distT="0" distB="0" distL="114300" distR="114300">
            <wp:extent cx="5647055" cy="8122920"/>
            <wp:effectExtent l="0" t="0" r="11430" b="10795"/>
            <wp:docPr id="1" name="图片 22" descr="内政办发13号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2" descr="内政办发13号-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7055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 w:val="0"/>
        <w:tabs>
          <w:tab w:val="left" w:pos="4100"/>
        </w:tabs>
        <w:kinsoku/>
        <w:wordWrap/>
        <w:overflowPunct/>
        <w:topLinePunct/>
        <w:autoSpaceDE/>
        <w:autoSpaceDN/>
        <w:bidi w:val="0"/>
        <w:spacing w:line="580" w:lineRule="exact"/>
        <w:jc w:val="both"/>
        <w:textAlignment w:val="auto"/>
        <w:rPr>
          <w:rFonts w:hint="eastAsia" w:ascii="方正小标宋简体" w:hAnsi="宋体" w:eastAsia="方正小标宋简体"/>
          <w:spacing w:val="0"/>
          <w:sz w:val="44"/>
        </w:rPr>
        <w:sectPr>
          <w:pgSz w:w="16838" w:h="11906" w:orient="landscape"/>
          <w:pgMar w:top="1803" w:right="1440" w:bottom="1803" w:left="1440" w:header="851" w:footer="992" w:gutter="0"/>
          <w:paperSrc/>
          <w:cols w:space="0" w:num="1"/>
          <w:rtlGutter w:val="0"/>
          <w:docGrid w:type="lines" w:linePitch="319" w:charSpace="0"/>
        </w:sectPr>
      </w:pPr>
    </w:p>
    <w:p>
      <w:pPr>
        <w:keepNext w:val="0"/>
        <w:keepLines w:val="0"/>
        <w:pageBreakBefore w:val="0"/>
        <w:widowControl w:val="0"/>
        <w:tabs>
          <w:tab w:val="left" w:pos="4100"/>
        </w:tabs>
        <w:kinsoku/>
        <w:wordWrap/>
        <w:overflowPunct/>
        <w:topLinePunct/>
        <w:autoSpaceDE/>
        <w:autoSpaceDN/>
        <w:bidi w:val="0"/>
        <w:spacing w:line="580" w:lineRule="exact"/>
        <w:jc w:val="both"/>
        <w:textAlignment w:val="auto"/>
        <w:rPr>
          <w:rFonts w:hint="eastAsia" w:ascii="方正小标宋简体" w:hAnsi="宋体" w:eastAsia="方正小标宋简体"/>
          <w:spacing w:val="0"/>
          <w:sz w:val="44"/>
        </w:rPr>
      </w:pPr>
    </w:p>
    <w:p>
      <w:pPr>
        <w:keepNext w:val="0"/>
        <w:keepLines w:val="0"/>
        <w:pageBreakBefore w:val="0"/>
        <w:widowControl w:val="0"/>
        <w:tabs>
          <w:tab w:val="left" w:pos="4100"/>
        </w:tabs>
        <w:kinsoku/>
        <w:wordWrap/>
        <w:overflowPunct/>
        <w:topLinePunct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4"/>
          <w:szCs w:val="44"/>
        </w:rPr>
        <w:t>说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4"/>
          <w:szCs w:val="44"/>
          <w:lang w:val="en-US" w:eastAsia="zh-CN"/>
        </w:rPr>
        <w:t xml:space="preserve">   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4"/>
          <w:szCs w:val="44"/>
        </w:rPr>
        <w:t>明</w:t>
      </w:r>
    </w:p>
    <w:p>
      <w:pPr>
        <w:keepNext w:val="0"/>
        <w:keepLines w:val="0"/>
        <w:pageBreakBefore w:val="0"/>
        <w:widowControl w:val="0"/>
        <w:tabs>
          <w:tab w:val="left" w:pos="4100"/>
        </w:tabs>
        <w:kinsoku/>
        <w:wordWrap/>
        <w:overflowPunct/>
        <w:topLinePunct/>
        <w:autoSpaceDE/>
        <w:autoSpaceDN/>
        <w:bidi w:val="0"/>
        <w:spacing w:line="580" w:lineRule="exact"/>
        <w:jc w:val="both"/>
        <w:textAlignment w:val="auto"/>
        <w:rPr>
          <w:rFonts w:hint="eastAsia" w:ascii="方正小标宋简体" w:hAnsi="宋体" w:eastAsia="方正小标宋简体"/>
          <w:spacing w:val="0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《内蒙古自治区绿色矿山建设评价指标（试行）》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包含先决条</w:t>
      </w:r>
      <w:r>
        <w:rPr>
          <w:rFonts w:hint="eastAsia" w:ascii="仿宋" w:hAnsi="仿宋" w:eastAsia="仿宋" w:cs="仿宋"/>
          <w:spacing w:val="6"/>
          <w:sz w:val="32"/>
          <w:szCs w:val="32"/>
        </w:rPr>
        <w:t>件和评分表两部分。先决条件属于否决项，有一项达不到要求，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则不能参与绿色矿山遴选工作。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一、计分办法与达标说明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（一）评价指标分别从矿区环境、资源开采、资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源综合利用、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绿色低碳、生态修复、科技创新与规范管理六个方面对绿色矿山建设水平进行评分。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（二）评价指标分为约束性指标、提升性指标两类，非金属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有球磨选矿的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pacing w:val="0"/>
          <w:sz w:val="32"/>
          <w:szCs w:val="32"/>
        </w:rPr>
        <w:t>、化工、黄金、煤炭、冶金、</w:t>
      </w:r>
      <w:r>
        <w:rPr>
          <w:rFonts w:hint="eastAsia" w:ascii="仿宋" w:hAnsi="仿宋" w:eastAsia="仿宋" w:cs="仿宋"/>
          <w:spacing w:val="6"/>
          <w:sz w:val="32"/>
          <w:szCs w:val="32"/>
        </w:rPr>
        <w:t>有色金属等行业，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评价指标合计55项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其中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约束性指标19项（38分），所有约束性指标必须得满分，若一项不得满分则不达标；提升性指标36项（62分），体现差异性，按评分表内的评分说明进行评分。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非金属（非球磨选矿的）、水泥灰岩、地热（水）、矿泉水行业，评价指标合计50项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其中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约束性指标16项（32分），所有约束性指标必须得满分，若一项不得满分则不达标；提升性指标34项（68分），体现差异性，按评分表内的评分说明进行评分。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适用于砂石粘土矿，评价指标合计46项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其中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约束性指标15项（28分），所有约束性指标必须得满分，若一项不得满分则不达标；提升性指标31项（72分），体现差异性，按评分表内的评分说明进行评分。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（三）不涉及项计分。经判定某项指标属于不涉及项的，按大类采用折合法计分。不涉及项要在评分表中明确说明判定依据和理由。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（四）评价指标总分 100分，总得分原则上不低于60分。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（五）加分项：对矿产资源全面节约、高效利用、生态修复贡献较大的矿山企业，在原有评分基础上给予2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spacing w:val="0"/>
          <w:sz w:val="32"/>
          <w:szCs w:val="32"/>
        </w:rPr>
        <w:t>5分奖励加分。对推广使用《矿产资源节约和综合利用先进适用技术目录》中的技术工艺和设备的矿山和矿产资源开发利用水平领先的矿山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给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予</w:t>
      </w:r>
      <w:r>
        <w:rPr>
          <w:rFonts w:hint="eastAsia" w:ascii="仿宋" w:hAnsi="仿宋" w:eastAsia="仿宋" w:cs="仿宋"/>
          <w:spacing w:val="6"/>
          <w:sz w:val="32"/>
          <w:szCs w:val="32"/>
        </w:rPr>
        <w:t>1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spacing w:val="6"/>
          <w:sz w:val="32"/>
          <w:szCs w:val="32"/>
        </w:rPr>
        <w:t>2分奖励加分，对实现矿区生态修复带动区域产业发展、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助力乡村振兴，体现矿山企业社会责任和社会贡献的矿山，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给予</w:t>
      </w:r>
      <w:r>
        <w:rPr>
          <w:rFonts w:hint="eastAsia" w:ascii="仿宋" w:hAnsi="仿宋" w:eastAsia="仿宋" w:cs="仿宋"/>
          <w:spacing w:val="0"/>
          <w:sz w:val="32"/>
          <w:szCs w:val="32"/>
        </w:rPr>
        <w:t>1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spacing w:val="0"/>
          <w:sz w:val="32"/>
          <w:szCs w:val="32"/>
        </w:rPr>
        <w:t>3分奖励加分。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二、评分说明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（一）某一指标评分说明中属于扣分的，最多扣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完该项分值。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某一指标评分说明里属于增分的，最多增至该项总分。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（二）所有得分必须有依据并要保留证明材料，在“检查记录”栏里写明得到相应分值的原因，缺少支撑材料或证明材料不得分。如需填写内容较多，可在评估报告中重点描述。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（三）对于集中建设的选矿加工等配套系统，应明确关联关系，可统一纳入评估考虑。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（四）对于调查问卷、现场考核、专家打分取平均值等评估方式，需要在“检查记录”说明里进行详细描述。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方正小标宋_GBK" w:hAnsi="方正小标宋_GBK" w:eastAsia="仿宋" w:cs="方正小标宋_GBK"/>
          <w:b w:val="0"/>
          <w:bCs w:val="0"/>
          <w:spacing w:val="0"/>
          <w:sz w:val="44"/>
          <w:szCs w:val="44"/>
          <w:lang w:val="en-US" w:eastAsia="zh-CN"/>
        </w:rPr>
        <w:sectPr>
          <w:pgSz w:w="11906" w:h="16838"/>
          <w:pgMar w:top="1440" w:right="1803" w:bottom="1440" w:left="1803" w:header="851" w:footer="992" w:gutter="0"/>
          <w:paperSrc/>
          <w:cols w:space="0" w:num="1"/>
          <w:rtlGutter w:val="0"/>
          <w:docGrid w:type="lines" w:linePitch="319" w:charSpace="0"/>
        </w:sectPr>
      </w:pPr>
      <w:r>
        <w:rPr>
          <w:rFonts w:hint="eastAsia" w:ascii="仿宋" w:hAnsi="仿宋" w:eastAsia="仿宋" w:cs="仿宋"/>
          <w:spacing w:val="0"/>
          <w:sz w:val="32"/>
          <w:szCs w:val="32"/>
        </w:rPr>
        <w:t>（五）需要现场查看的内容，在“检查记录”里应写明哪些</w:t>
      </w:r>
      <w:r>
        <w:rPr>
          <w:rFonts w:hint="eastAsia" w:ascii="仿宋" w:hAnsi="仿宋" w:eastAsia="仿宋" w:cs="仿宋"/>
          <w:spacing w:val="6"/>
          <w:sz w:val="32"/>
          <w:szCs w:val="32"/>
        </w:rPr>
        <w:t>工作人员到什么现场看了什么内容（设备、设施、厂地、环境、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现场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等）。</w:t>
      </w:r>
    </w:p>
    <w:p/>
    <w:sectPr>
      <w:pgSz w:w="11906" w:h="16838"/>
      <w:pgMar w:top="1440" w:right="1803" w:bottom="1440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Zjk5NDFjN2E0NTZiZDgzNTc3NmI3N2IyMjUxOTYifQ=="/>
  </w:docVars>
  <w:rsids>
    <w:rsidRoot w:val="08B45EB1"/>
    <w:rsid w:val="08B45EB1"/>
    <w:rsid w:val="52150E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2024-04-25T15:06:00Z</dcterms:created>
  <dc:creator>ZWGK</dc:creator>
  <cp:lastModifiedBy>ZWGK</cp:lastModifiedBy>
  <dcterms:modified xsi:type="dcterms:W3CDTF">2024-04-25T15:15:31Z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FB71633918F9498CAB0A9611115504A1_11</vt:lpwstr>
  </property>
</Properties>
</file>