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autoSpaceDE/>
        <w:autoSpaceDN/>
        <w:bidi w:val="0"/>
        <w:spacing w:before="0" w:after="0" w:line="580" w:lineRule="exact"/>
        <w:ind w:left="0" w:leftChars="0" w:firstLine="0" w:firstLineChars="0"/>
        <w:textAlignment w:val="auto"/>
        <w:rPr>
          <w:rFonts w:hint="eastAsia" w:ascii="黑体" w:hAnsi="黑体" w:eastAsia="黑体" w:cs="黑体"/>
          <w:spacing w:val="0"/>
          <w:sz w:val="32"/>
          <w:szCs w:val="32"/>
        </w:rPr>
      </w:pPr>
      <w:r>
        <w:rPr>
          <w:rFonts w:hint="eastAsia" w:ascii="黑体" w:hAnsi="黑体" w:eastAsia="黑体" w:cs="黑体"/>
          <w:spacing w:val="0"/>
          <w:sz w:val="32"/>
          <w:szCs w:val="32"/>
        </w:rPr>
        <w:t>附件3</w:t>
      </w:r>
    </w:p>
    <w:p>
      <w:pPr>
        <w:keepNext w:val="0"/>
        <w:keepLines w:val="0"/>
        <w:pageBreakBefore w:val="0"/>
        <w:widowControl w:val="0"/>
        <w:kinsoku/>
        <w:wordWrap/>
        <w:overflowPunct/>
        <w:topLinePunct/>
        <w:autoSpaceDE/>
        <w:autoSpaceDN/>
        <w:bidi w:val="0"/>
        <w:adjustRightInd w:val="0"/>
        <w:snapToGrid w:val="0"/>
        <w:spacing w:line="580" w:lineRule="exact"/>
        <w:textAlignment w:val="auto"/>
        <w:rPr>
          <w:rFonts w:hint="eastAsia" w:ascii="仿宋" w:hAnsi="仿宋" w:eastAsia="仿宋" w:cs="仿宋"/>
          <w:spacing w:val="0"/>
          <w:sz w:val="32"/>
          <w:szCs w:val="32"/>
        </w:rPr>
      </w:pPr>
    </w:p>
    <w:p>
      <w:pPr>
        <w:keepNext w:val="0"/>
        <w:keepLines w:val="0"/>
        <w:pageBreakBefore w:val="0"/>
        <w:widowControl w:val="0"/>
        <w:kinsoku/>
        <w:wordWrap/>
        <w:overflowPunct/>
        <w:topLinePunct/>
        <w:autoSpaceDE/>
        <w:autoSpaceDN/>
        <w:bidi w:val="0"/>
        <w:adjustRightInd w:val="0"/>
        <w:snapToGrid w:val="0"/>
        <w:spacing w:line="580" w:lineRule="exact"/>
        <w:jc w:val="center"/>
        <w:textAlignment w:val="auto"/>
        <w:rPr>
          <w:rFonts w:hint="eastAsia" w:ascii="方正小标宋_GBK" w:hAnsi="方正小标宋_GBK" w:eastAsia="方正小标宋_GBK" w:cs="方正小标宋_GBK"/>
          <w:spacing w:val="0"/>
          <w:sz w:val="44"/>
          <w:szCs w:val="44"/>
        </w:rPr>
      </w:pPr>
      <w:r>
        <w:rPr>
          <w:rFonts w:hint="eastAsia" w:ascii="方正小标宋_GBK" w:hAnsi="方正小标宋_GBK" w:eastAsia="方正小标宋_GBK" w:cs="方正小标宋_GBK"/>
          <w:spacing w:val="0"/>
          <w:sz w:val="44"/>
          <w:szCs w:val="44"/>
        </w:rPr>
        <w:t>各有关部门推进绿色矿山建设职能职责</w:t>
      </w:r>
    </w:p>
    <w:p>
      <w:pPr>
        <w:keepNext w:val="0"/>
        <w:keepLines w:val="0"/>
        <w:pageBreakBefore w:val="0"/>
        <w:widowControl w:val="0"/>
        <w:kinsoku/>
        <w:wordWrap/>
        <w:overflowPunct/>
        <w:topLinePunct/>
        <w:autoSpaceDE/>
        <w:autoSpaceDN/>
        <w:bidi w:val="0"/>
        <w:spacing w:line="580" w:lineRule="exact"/>
        <w:ind w:firstLine="640" w:firstLineChars="200"/>
        <w:textAlignment w:val="auto"/>
        <w:rPr>
          <w:rFonts w:hint="eastAsia" w:ascii="仿宋" w:hAnsi="仿宋" w:eastAsia="仿宋" w:cs="仿宋"/>
          <w:spacing w:val="0"/>
          <w:sz w:val="32"/>
          <w:szCs w:val="32"/>
        </w:rPr>
      </w:pPr>
    </w:p>
    <w:p>
      <w:pPr>
        <w:keepNext w:val="0"/>
        <w:keepLines w:val="0"/>
        <w:pageBreakBefore w:val="0"/>
        <w:widowControl w:val="0"/>
        <w:kinsoku/>
        <w:wordWrap/>
        <w:overflowPunct/>
        <w:topLinePunct/>
        <w:autoSpaceDE/>
        <w:autoSpaceDN/>
        <w:bidi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自然资源部门：负责矿产资源开发利用方案和矿山地质环境保护与土地复垦方案等执行情况的监督，依据职责出具绿色矿山审查意见，会同相关部门组织开展评估、核查、抽查等工作。</w:t>
      </w:r>
    </w:p>
    <w:p>
      <w:pPr>
        <w:keepNext w:val="0"/>
        <w:keepLines w:val="0"/>
        <w:pageBreakBefore w:val="0"/>
        <w:widowControl w:val="0"/>
        <w:kinsoku/>
        <w:wordWrap/>
        <w:overflowPunct/>
        <w:topLinePunct/>
        <w:autoSpaceDE/>
        <w:autoSpaceDN/>
        <w:bidi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发展改革部门：负责矿山企业诚信管理，及时向自然资源部门推送失信名单，会同能源部门负责矿山开采项目节能降耗监督管理；依职责出具审核意见、</w:t>
      </w:r>
      <w:r>
        <w:rPr>
          <w:rFonts w:hint="eastAsia" w:ascii="仿宋" w:hAnsi="仿宋" w:eastAsia="仿宋" w:cs="仿宋"/>
          <w:bCs/>
          <w:spacing w:val="0"/>
          <w:sz w:val="32"/>
          <w:szCs w:val="32"/>
        </w:rPr>
        <w:t>参与组织</w:t>
      </w:r>
      <w:r>
        <w:rPr>
          <w:rFonts w:hint="eastAsia" w:ascii="仿宋" w:hAnsi="仿宋" w:eastAsia="仿宋" w:cs="仿宋"/>
          <w:spacing w:val="0"/>
          <w:sz w:val="32"/>
          <w:szCs w:val="32"/>
        </w:rPr>
        <w:t>绿色矿山评估核查</w:t>
      </w:r>
      <w:r>
        <w:rPr>
          <w:rFonts w:hint="eastAsia" w:ascii="仿宋" w:hAnsi="仿宋" w:eastAsia="仿宋" w:cs="仿宋"/>
          <w:bCs/>
          <w:spacing w:val="0"/>
          <w:sz w:val="32"/>
          <w:szCs w:val="32"/>
        </w:rPr>
        <w:t>，</w:t>
      </w:r>
      <w:r>
        <w:rPr>
          <w:rFonts w:hint="eastAsia" w:ascii="仿宋" w:hAnsi="仿宋" w:eastAsia="仿宋" w:cs="仿宋"/>
          <w:spacing w:val="0"/>
          <w:sz w:val="32"/>
          <w:szCs w:val="32"/>
        </w:rPr>
        <w:t>加强绿色矿山监督管理。</w:t>
      </w:r>
    </w:p>
    <w:p>
      <w:pPr>
        <w:keepNext w:val="0"/>
        <w:keepLines w:val="0"/>
        <w:pageBreakBefore w:val="0"/>
        <w:widowControl w:val="0"/>
        <w:kinsoku/>
        <w:wordWrap/>
        <w:overflowPunct/>
        <w:topLinePunct/>
        <w:autoSpaceDE/>
        <w:autoSpaceDN/>
        <w:bidi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工业和信息化部门：负责工业能源节约、资源综合利用、工业绿色发展、工业节能等监管，引导矿山企业新产品、新技术、新设备、新材料的推广应用；依据职责出具审核意见、</w:t>
      </w:r>
      <w:r>
        <w:rPr>
          <w:rFonts w:hint="eastAsia" w:ascii="仿宋" w:hAnsi="仿宋" w:eastAsia="仿宋" w:cs="仿宋"/>
          <w:bCs/>
          <w:spacing w:val="0"/>
          <w:sz w:val="32"/>
          <w:szCs w:val="32"/>
        </w:rPr>
        <w:t>参与组织</w:t>
      </w:r>
      <w:r>
        <w:rPr>
          <w:rFonts w:hint="eastAsia" w:ascii="仿宋" w:hAnsi="仿宋" w:eastAsia="仿宋" w:cs="仿宋"/>
          <w:spacing w:val="0"/>
          <w:sz w:val="32"/>
          <w:szCs w:val="32"/>
        </w:rPr>
        <w:t>绿色矿山评估核查，加强绿色矿山监督管理。</w:t>
      </w:r>
    </w:p>
    <w:p>
      <w:pPr>
        <w:keepNext w:val="0"/>
        <w:keepLines w:val="0"/>
        <w:pageBreakBefore w:val="0"/>
        <w:widowControl w:val="0"/>
        <w:kinsoku/>
        <w:wordWrap/>
        <w:overflowPunct/>
        <w:topLinePunct/>
        <w:autoSpaceDE/>
        <w:autoSpaceDN/>
        <w:bidi w:val="0"/>
        <w:spacing w:line="580" w:lineRule="exact"/>
        <w:ind w:firstLine="616" w:firstLineChars="200"/>
        <w:textAlignment w:val="auto"/>
        <w:rPr>
          <w:rFonts w:hint="eastAsia" w:ascii="仿宋" w:hAnsi="仿宋" w:eastAsia="仿宋" w:cs="仿宋"/>
          <w:spacing w:val="-6"/>
          <w:sz w:val="32"/>
          <w:szCs w:val="32"/>
        </w:rPr>
      </w:pPr>
      <w:r>
        <w:rPr>
          <w:rFonts w:hint="eastAsia" w:ascii="仿宋" w:hAnsi="仿宋" w:eastAsia="仿宋" w:cs="仿宋"/>
          <w:spacing w:val="-6"/>
          <w:sz w:val="32"/>
          <w:szCs w:val="32"/>
        </w:rPr>
        <w:t>财政部门：做好绿色矿山监管和第三方评估等工作经费保障。</w:t>
      </w:r>
    </w:p>
    <w:p>
      <w:pPr>
        <w:keepNext w:val="0"/>
        <w:keepLines w:val="0"/>
        <w:pageBreakBefore w:val="0"/>
        <w:widowControl w:val="0"/>
        <w:kinsoku/>
        <w:wordWrap/>
        <w:overflowPunct/>
        <w:topLinePunct/>
        <w:autoSpaceDE/>
        <w:autoSpaceDN/>
        <w:bidi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生态环境部门：负责矿山环境污染防治监督管理，加强对矿山排放废气、废水、废渣及扬尘等污染物的监督管理，强化对矸</w:t>
      </w:r>
      <w:r>
        <w:rPr>
          <w:rFonts w:hint="eastAsia" w:ascii="仿宋" w:hAnsi="仿宋" w:eastAsia="仿宋" w:cs="仿宋"/>
          <w:spacing w:val="6"/>
          <w:sz w:val="32"/>
          <w:szCs w:val="32"/>
        </w:rPr>
        <w:t>石、渣土等固体废物污染的监督管理；依据职责出具审核意见、</w:t>
      </w:r>
      <w:r>
        <w:rPr>
          <w:rFonts w:hint="eastAsia" w:ascii="仿宋" w:hAnsi="仿宋" w:eastAsia="仿宋" w:cs="仿宋"/>
          <w:bCs/>
          <w:spacing w:val="0"/>
          <w:sz w:val="32"/>
          <w:szCs w:val="32"/>
        </w:rPr>
        <w:t>参与组织</w:t>
      </w:r>
      <w:r>
        <w:rPr>
          <w:rFonts w:hint="eastAsia" w:ascii="仿宋" w:hAnsi="仿宋" w:eastAsia="仿宋" w:cs="仿宋"/>
          <w:spacing w:val="0"/>
          <w:sz w:val="32"/>
          <w:szCs w:val="32"/>
        </w:rPr>
        <w:t>绿色矿山评估核查</w:t>
      </w:r>
      <w:r>
        <w:rPr>
          <w:rFonts w:hint="eastAsia" w:ascii="仿宋" w:hAnsi="仿宋" w:eastAsia="仿宋" w:cs="仿宋"/>
          <w:bCs/>
          <w:spacing w:val="0"/>
          <w:sz w:val="32"/>
          <w:szCs w:val="32"/>
        </w:rPr>
        <w:t>，</w:t>
      </w:r>
      <w:r>
        <w:rPr>
          <w:rFonts w:hint="eastAsia" w:ascii="仿宋" w:hAnsi="仿宋" w:eastAsia="仿宋" w:cs="仿宋"/>
          <w:spacing w:val="0"/>
          <w:sz w:val="32"/>
          <w:szCs w:val="32"/>
        </w:rPr>
        <w:t>加强绿色矿山监督管理。</w:t>
      </w:r>
    </w:p>
    <w:p>
      <w:pPr>
        <w:keepNext w:val="0"/>
        <w:keepLines w:val="0"/>
        <w:pageBreakBefore w:val="0"/>
        <w:widowControl w:val="0"/>
        <w:kinsoku/>
        <w:wordWrap/>
        <w:overflowPunct/>
        <w:topLinePunct/>
        <w:autoSpaceDE/>
        <w:autoSpaceDN/>
        <w:bidi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水利部门：负责监督矿山企业依法编报水土保持方案、做好水土流失预防和治理措施、投产使用或者竣工验收前开展水土保持设施自主验收并报备，加强矿山水土保持监管，会同生态环境部门对矿山矿井水、疏干水综合利用进行监管；依据职责出具审核意见、</w:t>
      </w:r>
      <w:r>
        <w:rPr>
          <w:rFonts w:hint="eastAsia" w:ascii="仿宋" w:hAnsi="仿宋" w:eastAsia="仿宋" w:cs="仿宋"/>
          <w:bCs/>
          <w:spacing w:val="0"/>
          <w:sz w:val="32"/>
          <w:szCs w:val="32"/>
        </w:rPr>
        <w:t>参与组织</w:t>
      </w:r>
      <w:r>
        <w:rPr>
          <w:rFonts w:hint="eastAsia" w:ascii="仿宋" w:hAnsi="仿宋" w:eastAsia="仿宋" w:cs="仿宋"/>
          <w:spacing w:val="0"/>
          <w:sz w:val="32"/>
          <w:szCs w:val="32"/>
        </w:rPr>
        <w:t>绿色矿山评估核查，加强绿色矿山监督管理。</w:t>
      </w:r>
    </w:p>
    <w:p>
      <w:pPr>
        <w:keepNext w:val="0"/>
        <w:keepLines w:val="0"/>
        <w:pageBreakBefore w:val="0"/>
        <w:widowControl w:val="0"/>
        <w:kinsoku/>
        <w:wordWrap/>
        <w:overflowPunct/>
        <w:topLinePunct/>
        <w:autoSpaceDE/>
        <w:autoSpaceDN/>
        <w:bidi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应急管理部门：负责矿山危险化学品安全监督管理，陆上石油天然气开采的安全生产监督管理，冶金、有色、建材行业安全生产监管，安全生产科技和信息化建设管理；依据职责出具审核意见、</w:t>
      </w:r>
      <w:r>
        <w:rPr>
          <w:rFonts w:hint="eastAsia" w:ascii="仿宋" w:hAnsi="仿宋" w:eastAsia="仿宋" w:cs="仿宋"/>
          <w:bCs/>
          <w:spacing w:val="0"/>
          <w:sz w:val="32"/>
          <w:szCs w:val="32"/>
        </w:rPr>
        <w:t>参与组织</w:t>
      </w:r>
      <w:r>
        <w:rPr>
          <w:rFonts w:hint="eastAsia" w:ascii="仿宋" w:hAnsi="仿宋" w:eastAsia="仿宋" w:cs="仿宋"/>
          <w:spacing w:val="0"/>
          <w:sz w:val="32"/>
          <w:szCs w:val="32"/>
        </w:rPr>
        <w:t>绿色矿山评估核查，加强绿色矿山监督管理。</w:t>
      </w:r>
    </w:p>
    <w:p>
      <w:pPr>
        <w:keepNext w:val="0"/>
        <w:keepLines w:val="0"/>
        <w:pageBreakBefore w:val="0"/>
        <w:widowControl w:val="0"/>
        <w:kinsoku/>
        <w:wordWrap/>
        <w:overflowPunct/>
        <w:topLinePunct/>
        <w:autoSpaceDE/>
        <w:autoSpaceDN/>
        <w:bidi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矿山安全监管部门：负责矿山安全生产监督管理，对矿山企业安全生产条件、设备设施安全情况进行监管执法，指导矿山安全信息化建设；负责矿山企业安全生产许可、建设工程安全设施设计审查和竣工验收核查以及矿山企业建设项目安全核准；依据职责出具审核意见、</w:t>
      </w:r>
      <w:r>
        <w:rPr>
          <w:rFonts w:hint="eastAsia" w:ascii="仿宋" w:hAnsi="仿宋" w:eastAsia="仿宋" w:cs="仿宋"/>
          <w:bCs/>
          <w:spacing w:val="0"/>
          <w:sz w:val="32"/>
          <w:szCs w:val="32"/>
        </w:rPr>
        <w:t>参与组织</w:t>
      </w:r>
      <w:r>
        <w:rPr>
          <w:rFonts w:hint="eastAsia" w:ascii="仿宋" w:hAnsi="仿宋" w:eastAsia="仿宋" w:cs="仿宋"/>
          <w:spacing w:val="0"/>
          <w:sz w:val="32"/>
          <w:szCs w:val="32"/>
        </w:rPr>
        <w:t>绿色矿山评估核查，加强绿色矿山监督管理。</w:t>
      </w:r>
    </w:p>
    <w:p>
      <w:pPr>
        <w:keepNext w:val="0"/>
        <w:keepLines w:val="0"/>
        <w:pageBreakBefore w:val="0"/>
        <w:widowControl w:val="0"/>
        <w:kinsoku/>
        <w:wordWrap/>
        <w:overflowPunct/>
        <w:topLinePunct/>
        <w:autoSpaceDE/>
        <w:autoSpaceDN/>
        <w:bidi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市场监管部门</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政务服务与数据管理部门</w:t>
      </w:r>
      <w:r>
        <w:rPr>
          <w:rFonts w:hint="eastAsia" w:ascii="仿宋" w:hAnsi="仿宋" w:eastAsia="仿宋" w:cs="仿宋"/>
          <w:spacing w:val="0"/>
          <w:sz w:val="32"/>
          <w:szCs w:val="32"/>
          <w:lang w:eastAsia="zh-CN"/>
        </w:rPr>
        <w:t>）：</w:t>
      </w:r>
      <w:r>
        <w:rPr>
          <w:rFonts w:hint="eastAsia" w:ascii="仿宋" w:hAnsi="仿宋" w:eastAsia="仿宋" w:cs="仿宋"/>
          <w:spacing w:val="0"/>
          <w:sz w:val="32"/>
          <w:szCs w:val="32"/>
        </w:rPr>
        <w:t>负责指导绿色矿山建设地方标准的制修订工作、绿色矿山企业统一注册变更及营业执照核发，监督检查登记注册行为。</w:t>
      </w:r>
    </w:p>
    <w:p>
      <w:pPr>
        <w:keepNext w:val="0"/>
        <w:keepLines w:val="0"/>
        <w:pageBreakBefore w:val="0"/>
        <w:widowControl w:val="0"/>
        <w:kinsoku/>
        <w:wordWrap/>
        <w:overflowPunct/>
        <w:topLinePunct/>
        <w:autoSpaceDE/>
        <w:autoSpaceDN/>
        <w:bidi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能源部门：负责履行“三管三必须”职责，加强煤矿安全生产工作；负责煤矿初步设计审批等行业管理工作；负责能源领域新技术、新产品和新设备的研发、示范、推广和应用，配合发展改革部门指导全区能源行业节能减排和资源综合利用；依据职责出具审核意见、</w:t>
      </w:r>
      <w:r>
        <w:rPr>
          <w:rFonts w:hint="eastAsia" w:ascii="仿宋" w:hAnsi="仿宋" w:eastAsia="仿宋" w:cs="仿宋"/>
          <w:bCs/>
          <w:spacing w:val="0"/>
          <w:sz w:val="32"/>
          <w:szCs w:val="32"/>
        </w:rPr>
        <w:t>参与组织</w:t>
      </w:r>
      <w:r>
        <w:rPr>
          <w:rFonts w:hint="eastAsia" w:ascii="仿宋" w:hAnsi="仿宋" w:eastAsia="仿宋" w:cs="仿宋"/>
          <w:spacing w:val="0"/>
          <w:sz w:val="32"/>
          <w:szCs w:val="32"/>
        </w:rPr>
        <w:t>绿色矿山评估核查，加强绿色矿山监督管理。</w:t>
      </w:r>
    </w:p>
    <w:p>
      <w:pPr>
        <w:keepNext w:val="0"/>
        <w:keepLines w:val="0"/>
        <w:pageBreakBefore w:val="0"/>
        <w:widowControl w:val="0"/>
        <w:kinsoku/>
        <w:wordWrap/>
        <w:overflowPunct/>
        <w:topLinePunct/>
        <w:autoSpaceDE/>
        <w:autoSpaceDN/>
        <w:bidi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林草部门：负责统筹安排绿色矿山占用林地草地定额，办理矿山占用林地草地手续；负责审核矿山是否在各类自然保护地内，矿山植被恢复审核验收；依据职责出具审核意见、参与</w:t>
      </w:r>
      <w:r>
        <w:rPr>
          <w:rFonts w:hint="eastAsia" w:ascii="仿宋" w:hAnsi="仿宋" w:eastAsia="仿宋" w:cs="仿宋"/>
          <w:bCs/>
          <w:spacing w:val="0"/>
          <w:sz w:val="32"/>
          <w:szCs w:val="32"/>
        </w:rPr>
        <w:t>组织</w:t>
      </w:r>
      <w:r>
        <w:rPr>
          <w:rFonts w:hint="eastAsia" w:ascii="仿宋" w:hAnsi="仿宋" w:eastAsia="仿宋" w:cs="仿宋"/>
          <w:spacing w:val="0"/>
          <w:sz w:val="32"/>
          <w:szCs w:val="32"/>
        </w:rPr>
        <w:t>绿色矿山评估核查，加强绿色矿山监督管理。</w:t>
      </w:r>
    </w:p>
    <w:p>
      <w:pPr>
        <w:keepNext w:val="0"/>
        <w:keepLines w:val="0"/>
        <w:pageBreakBefore w:val="0"/>
        <w:widowControl w:val="0"/>
        <w:kinsoku/>
        <w:wordWrap/>
        <w:overflowPunct/>
        <w:topLinePunct/>
        <w:autoSpaceDE/>
        <w:autoSpaceDN/>
        <w:bidi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金融监管部门：负责制定和监督落实绿色矿山金融支持政策，指导全区银行保险业机构积极开展相关金融服务。</w:t>
      </w:r>
    </w:p>
    <w:p>
      <w:pPr>
        <w:keepNext w:val="0"/>
        <w:keepLines w:val="0"/>
        <w:pageBreakBefore w:val="0"/>
        <w:widowControl w:val="0"/>
        <w:kinsoku/>
        <w:wordWrap/>
        <w:overflowPunct/>
        <w:topLinePunct/>
        <w:autoSpaceDE/>
        <w:autoSpaceDN/>
        <w:bidi w:val="0"/>
        <w:adjustRightInd w:val="0"/>
        <w:snapToGrid w:val="0"/>
        <w:spacing w:line="580" w:lineRule="exact"/>
        <w:ind w:firstLine="640" w:firstLineChars="200"/>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税务部门：负责按照自然资源部门推送的费源信息做好矿业权出让收益征收工作，及时将征收信息反馈自然资源部门；负责落实绿色矿山相关税收支持政策；依据职责出具审核意见。</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2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lZjk5NDFjN2E0NTZiZDgzNTc3NmI3N2IyMjUxOTYifQ=="/>
  </w:docVars>
  <w:rsids>
    <w:rsidRoot w:val="08840475"/>
    <w:rsid w:val="088404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widowControl/>
      <w:adjustRightInd w:val="0"/>
      <w:snapToGrid w:val="0"/>
      <w:spacing w:before="100" w:after="100" w:line="580" w:lineRule="exact"/>
      <w:ind w:firstLine="576" w:firstLineChars="180"/>
    </w:pPr>
    <w:rPr>
      <w:rFonts w:ascii="仿宋_GB2312" w:hAnsi="黑体" w:eastAsia="仿宋_GB2312" w:cs="微软雅黑"/>
      <w:sz w:val="32"/>
      <w:szCs w:val="32"/>
      <w:lang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2024-04-25T15:17:00Z</dcterms:created>
  <dc:creator>ZWGK</dc:creator>
  <cp:lastModifiedBy>ZWGK</cp:lastModifiedBy>
  <dcterms:modified xsi:type="dcterms:W3CDTF">2024-04-25T15:20:11Z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BA9842B28A0842EBA830B3310EB0359C_11</vt:lpwstr>
  </property>
</Properties>
</file>