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96A52">
      <w:pPr>
        <w:keepNext w:val="0"/>
        <w:keepLines w:val="0"/>
        <w:pageBreakBefore w:val="0"/>
        <w:widowControl w:val="0"/>
        <w:kinsoku/>
        <w:wordWrap/>
        <w:overflowPunct/>
        <w:topLinePunct w:val="0"/>
        <w:autoSpaceDE/>
        <w:autoSpaceDN/>
        <w:bidi w:val="0"/>
        <w:adjustRightInd/>
        <w:snapToGrid/>
        <w:spacing w:line="579" w:lineRule="exact"/>
        <w:ind w:firstLine="0" w:firstLineChars="0"/>
        <w:textAlignment w:val="auto"/>
        <w:rPr>
          <w:rFonts w:ascii="黑体" w:hAnsi="黑体" w:eastAsia="黑体"/>
          <w:b w:val="0"/>
          <w:bCs w:val="0"/>
          <w:sz w:val="32"/>
          <w:szCs w:val="32"/>
        </w:rPr>
      </w:pPr>
      <w:r>
        <w:rPr>
          <w:rFonts w:hint="eastAsia" w:ascii="黑体" w:hAnsi="黑体" w:eastAsia="黑体"/>
          <w:b w:val="0"/>
          <w:bCs w:val="0"/>
          <w:sz w:val="32"/>
          <w:szCs w:val="32"/>
        </w:rPr>
        <w:t>附件2</w:t>
      </w:r>
    </w:p>
    <w:p w14:paraId="33307CA5">
      <w:pPr>
        <w:keepNext w:val="0"/>
        <w:keepLines w:val="0"/>
        <w:pageBreakBefore w:val="0"/>
        <w:widowControl w:val="0"/>
        <w:kinsoku/>
        <w:wordWrap/>
        <w:overflowPunct/>
        <w:topLinePunct w:val="0"/>
        <w:autoSpaceDE/>
        <w:autoSpaceDN/>
        <w:bidi w:val="0"/>
        <w:adjustRightInd/>
        <w:snapToGrid/>
        <w:spacing w:line="579" w:lineRule="exact"/>
        <w:ind w:firstLine="0" w:firstLineChars="0"/>
        <w:jc w:val="center"/>
        <w:textAlignment w:val="auto"/>
        <w:rPr>
          <w:rFonts w:ascii="方正小标宋简体" w:hAnsi="方正小标宋_GBK" w:eastAsia="方正小标宋简体"/>
          <w:b w:val="0"/>
          <w:bCs w:val="0"/>
          <w:sz w:val="44"/>
          <w:szCs w:val="44"/>
        </w:rPr>
      </w:pPr>
      <w:r>
        <w:rPr>
          <w:rFonts w:hint="eastAsia" w:ascii="方正小标宋简体" w:hAnsi="方正小标宋_GBK" w:eastAsia="方正小标宋简体"/>
          <w:b w:val="0"/>
          <w:bCs w:val="0"/>
          <w:sz w:val="44"/>
          <w:szCs w:val="44"/>
        </w:rPr>
        <w:t>申报方案编制大纲</w:t>
      </w:r>
    </w:p>
    <w:p w14:paraId="662A89E6">
      <w:pPr>
        <w:keepNext w:val="0"/>
        <w:keepLines w:val="0"/>
        <w:pageBreakBefore w:val="0"/>
        <w:widowControl w:val="0"/>
        <w:kinsoku/>
        <w:wordWrap/>
        <w:overflowPunct/>
        <w:topLinePunct w:val="0"/>
        <w:autoSpaceDE/>
        <w:autoSpaceDN/>
        <w:bidi w:val="0"/>
        <w:adjustRightInd/>
        <w:snapToGrid/>
        <w:spacing w:line="579" w:lineRule="exact"/>
        <w:ind w:firstLine="0" w:firstLineChars="0"/>
        <w:jc w:val="center"/>
        <w:textAlignment w:val="auto"/>
        <w:rPr>
          <w:rFonts w:ascii="方正小标宋_GBK" w:hAnsi="方正小标宋_GBK" w:eastAsia="方正小标宋_GBK"/>
          <w:b w:val="0"/>
          <w:bCs w:val="0"/>
          <w:sz w:val="32"/>
          <w:szCs w:val="32"/>
        </w:rPr>
      </w:pPr>
    </w:p>
    <w:p w14:paraId="01F6AFF0">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ascii="黑体" w:hAnsi="黑体" w:eastAsia="黑体"/>
          <w:b w:val="0"/>
          <w:bCs w:val="0"/>
          <w:sz w:val="32"/>
          <w:szCs w:val="32"/>
        </w:rPr>
      </w:pPr>
      <w:r>
        <w:rPr>
          <w:rFonts w:hint="eastAsia" w:ascii="黑体" w:hAnsi="黑体" w:eastAsia="黑体"/>
          <w:b w:val="0"/>
          <w:bCs w:val="0"/>
          <w:sz w:val="32"/>
          <w:szCs w:val="32"/>
        </w:rPr>
        <w:t>一、概述</w:t>
      </w:r>
    </w:p>
    <w:p w14:paraId="1673EFE5">
      <w:pPr>
        <w:keepNext w:val="0"/>
        <w:keepLines w:val="0"/>
        <w:pageBreakBefore w:val="0"/>
        <w:widowControl w:val="0"/>
        <w:kinsoku/>
        <w:wordWrap/>
        <w:overflowPunct/>
        <w:topLinePunct w:val="0"/>
        <w:autoSpaceDE/>
        <w:autoSpaceDN/>
        <w:bidi w:val="0"/>
        <w:adjustRightInd/>
        <w:snapToGrid/>
        <w:spacing w:line="579" w:lineRule="exact"/>
        <w:ind w:firstLine="643"/>
        <w:textAlignment w:val="auto"/>
        <w:rPr>
          <w:b w:val="0"/>
          <w:bCs w:val="0"/>
          <w:sz w:val="32"/>
          <w:szCs w:val="32"/>
        </w:rPr>
      </w:pPr>
      <w:r>
        <w:rPr>
          <w:rFonts w:hint="eastAsia" w:ascii="楷体" w:hAnsi="楷体" w:eastAsia="楷体"/>
          <w:b w:val="0"/>
          <w:bCs w:val="0"/>
          <w:sz w:val="32"/>
          <w:szCs w:val="32"/>
        </w:rPr>
        <w:t>（一）建设意义和必要性</w:t>
      </w:r>
      <w:r>
        <w:rPr>
          <w:rFonts w:hint="eastAsia"/>
          <w:b w:val="0"/>
          <w:bCs w:val="0"/>
          <w:sz w:val="32"/>
          <w:szCs w:val="32"/>
        </w:rPr>
        <w:t>。从乡村振兴、自治区能源政策及对当地的有利影响等方面分析总结项目建设的背景意义和必要性。</w:t>
      </w:r>
    </w:p>
    <w:p w14:paraId="78C6D411">
      <w:pPr>
        <w:keepNext w:val="0"/>
        <w:keepLines w:val="0"/>
        <w:pageBreakBefore w:val="0"/>
        <w:widowControl w:val="0"/>
        <w:kinsoku/>
        <w:wordWrap/>
        <w:overflowPunct/>
        <w:topLinePunct w:val="0"/>
        <w:autoSpaceDE/>
        <w:autoSpaceDN/>
        <w:bidi w:val="0"/>
        <w:adjustRightInd/>
        <w:snapToGrid/>
        <w:spacing w:line="579" w:lineRule="exact"/>
        <w:ind w:firstLine="643"/>
        <w:textAlignment w:val="auto"/>
        <w:rPr>
          <w:b w:val="0"/>
          <w:bCs w:val="0"/>
          <w:sz w:val="32"/>
          <w:szCs w:val="32"/>
        </w:rPr>
      </w:pPr>
      <w:r>
        <w:rPr>
          <w:rFonts w:hint="eastAsia" w:ascii="楷体" w:hAnsi="楷体" w:eastAsia="楷体"/>
          <w:b w:val="0"/>
          <w:bCs w:val="0"/>
          <w:sz w:val="32"/>
          <w:szCs w:val="32"/>
        </w:rPr>
        <w:t>（二）地区社会经济发展现状</w:t>
      </w:r>
      <w:r>
        <w:rPr>
          <w:rFonts w:hint="eastAsia"/>
          <w:b w:val="0"/>
          <w:bCs w:val="0"/>
          <w:sz w:val="32"/>
          <w:szCs w:val="32"/>
        </w:rPr>
        <w:t>。包括但不限于旗县全社会经济发展现状。</w:t>
      </w:r>
    </w:p>
    <w:p w14:paraId="7EC292FF">
      <w:pPr>
        <w:keepNext w:val="0"/>
        <w:keepLines w:val="0"/>
        <w:pageBreakBefore w:val="0"/>
        <w:widowControl w:val="0"/>
        <w:kinsoku/>
        <w:wordWrap/>
        <w:overflowPunct/>
        <w:topLinePunct w:val="0"/>
        <w:autoSpaceDE/>
        <w:autoSpaceDN/>
        <w:bidi w:val="0"/>
        <w:adjustRightInd/>
        <w:snapToGrid/>
        <w:spacing w:line="579" w:lineRule="exact"/>
        <w:ind w:firstLine="643"/>
        <w:textAlignment w:val="auto"/>
        <w:rPr>
          <w:b w:val="0"/>
          <w:bCs w:val="0"/>
          <w:sz w:val="32"/>
          <w:szCs w:val="32"/>
        </w:rPr>
      </w:pPr>
      <w:r>
        <w:rPr>
          <w:rFonts w:hint="eastAsia" w:ascii="楷体" w:hAnsi="楷体" w:eastAsia="楷体"/>
          <w:b w:val="0"/>
          <w:bCs w:val="0"/>
          <w:sz w:val="32"/>
          <w:szCs w:val="32"/>
        </w:rPr>
        <w:t>（三）项目总体概括</w:t>
      </w:r>
      <w:r>
        <w:rPr>
          <w:rFonts w:hint="eastAsia"/>
          <w:b w:val="0"/>
          <w:bCs w:val="0"/>
          <w:sz w:val="32"/>
          <w:szCs w:val="32"/>
        </w:rPr>
        <w:t>。包括新能源、接入工程等各单体项目的建设地点、占地面积、建设规模、投资规模、建设时序及关联嘎查村基本情况等。</w:t>
      </w:r>
    </w:p>
    <w:p w14:paraId="098E468A">
      <w:pPr>
        <w:keepNext w:val="0"/>
        <w:keepLines w:val="0"/>
        <w:pageBreakBefore w:val="0"/>
        <w:widowControl w:val="0"/>
        <w:kinsoku/>
        <w:wordWrap/>
        <w:overflowPunct/>
        <w:topLinePunct w:val="0"/>
        <w:autoSpaceDE/>
        <w:autoSpaceDN/>
        <w:bidi w:val="0"/>
        <w:adjustRightInd/>
        <w:snapToGrid/>
        <w:spacing w:line="579" w:lineRule="exact"/>
        <w:ind w:firstLine="643"/>
        <w:textAlignment w:val="auto"/>
        <w:rPr>
          <w:rFonts w:ascii="楷体" w:hAnsi="楷体" w:eastAsia="楷体"/>
          <w:b w:val="0"/>
          <w:bCs w:val="0"/>
          <w:sz w:val="32"/>
          <w:szCs w:val="32"/>
        </w:rPr>
      </w:pPr>
      <w:r>
        <w:rPr>
          <w:rFonts w:hint="eastAsia" w:ascii="楷体" w:hAnsi="楷体" w:eastAsia="楷体"/>
          <w:b w:val="0"/>
          <w:bCs w:val="0"/>
          <w:sz w:val="32"/>
          <w:szCs w:val="32"/>
        </w:rPr>
        <w:t>（四）项目投资主体概况。</w:t>
      </w:r>
    </w:p>
    <w:p w14:paraId="3234C006">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ascii="黑体" w:hAnsi="黑体" w:eastAsia="黑体"/>
          <w:b w:val="0"/>
          <w:bCs w:val="0"/>
          <w:sz w:val="32"/>
          <w:szCs w:val="32"/>
        </w:rPr>
      </w:pPr>
      <w:r>
        <w:rPr>
          <w:rFonts w:hint="eastAsia" w:ascii="黑体" w:hAnsi="黑体" w:eastAsia="黑体"/>
          <w:b w:val="0"/>
          <w:bCs w:val="0"/>
          <w:sz w:val="32"/>
          <w:szCs w:val="32"/>
        </w:rPr>
        <w:t>二、新能源建设方案</w:t>
      </w:r>
    </w:p>
    <w:p w14:paraId="2CB7803F">
      <w:pPr>
        <w:keepNext w:val="0"/>
        <w:keepLines w:val="0"/>
        <w:pageBreakBefore w:val="0"/>
        <w:widowControl w:val="0"/>
        <w:kinsoku/>
        <w:wordWrap/>
        <w:overflowPunct/>
        <w:topLinePunct w:val="0"/>
        <w:autoSpaceDE/>
        <w:autoSpaceDN/>
        <w:bidi w:val="0"/>
        <w:adjustRightInd/>
        <w:snapToGrid/>
        <w:spacing w:line="579" w:lineRule="exact"/>
        <w:ind w:firstLine="643"/>
        <w:textAlignment w:val="auto"/>
        <w:rPr>
          <w:b w:val="0"/>
          <w:bCs w:val="0"/>
          <w:sz w:val="32"/>
          <w:szCs w:val="32"/>
        </w:rPr>
      </w:pPr>
      <w:r>
        <w:rPr>
          <w:rFonts w:hint="eastAsia" w:ascii="楷体" w:hAnsi="楷体" w:eastAsia="楷体"/>
          <w:b w:val="0"/>
          <w:bCs w:val="0"/>
          <w:sz w:val="32"/>
          <w:szCs w:val="32"/>
        </w:rPr>
        <w:t>（一）场址条件。</w:t>
      </w:r>
      <w:r>
        <w:rPr>
          <w:rFonts w:hint="eastAsia"/>
          <w:b w:val="0"/>
          <w:bCs w:val="0"/>
          <w:sz w:val="32"/>
          <w:szCs w:val="32"/>
        </w:rPr>
        <w:t>分析说明新能源场址建设条件，包括但不限于地理位置、面积、土地性质及利用现状、基本农田、林草地、生态保护红线、压覆矿、文物、军事、环保、水源地等限制性因素排查</w:t>
      </w:r>
      <w:r>
        <w:rPr>
          <w:rFonts w:hint="eastAsia"/>
          <w:b w:val="0"/>
          <w:bCs w:val="0"/>
          <w:sz w:val="32"/>
          <w:szCs w:val="32"/>
          <w:lang w:eastAsia="zh-CN"/>
        </w:rPr>
        <w:t>情况，</w:t>
      </w:r>
      <w:r>
        <w:rPr>
          <w:rFonts w:hint="eastAsia"/>
          <w:b w:val="0"/>
          <w:bCs w:val="0"/>
          <w:sz w:val="32"/>
          <w:szCs w:val="32"/>
        </w:rPr>
        <w:t>地形地貌</w:t>
      </w:r>
      <w:r>
        <w:rPr>
          <w:rFonts w:hint="eastAsia"/>
          <w:b w:val="0"/>
          <w:bCs w:val="0"/>
          <w:sz w:val="32"/>
          <w:szCs w:val="32"/>
          <w:lang w:eastAsia="zh-CN"/>
        </w:rPr>
        <w:t>、</w:t>
      </w:r>
      <w:r>
        <w:rPr>
          <w:rFonts w:hint="eastAsia"/>
          <w:b w:val="0"/>
          <w:bCs w:val="0"/>
          <w:sz w:val="32"/>
          <w:szCs w:val="32"/>
        </w:rPr>
        <w:t>水文气象、地质、交通条件等对项目建设的</w:t>
      </w:r>
      <w:r>
        <w:rPr>
          <w:rFonts w:hint="eastAsia"/>
          <w:b w:val="0"/>
          <w:bCs w:val="0"/>
          <w:sz w:val="32"/>
          <w:szCs w:val="32"/>
          <w:lang w:eastAsia="zh-CN"/>
        </w:rPr>
        <w:t>影响</w:t>
      </w:r>
      <w:r>
        <w:rPr>
          <w:rFonts w:hint="eastAsia"/>
          <w:b w:val="0"/>
          <w:bCs w:val="0"/>
          <w:sz w:val="32"/>
          <w:szCs w:val="32"/>
        </w:rPr>
        <w:t>。限制性排查文件等支持性文件作为附件提交。</w:t>
      </w:r>
    </w:p>
    <w:p w14:paraId="52F9FF79">
      <w:pPr>
        <w:keepNext w:val="0"/>
        <w:keepLines w:val="0"/>
        <w:pageBreakBefore w:val="0"/>
        <w:widowControl w:val="0"/>
        <w:kinsoku/>
        <w:wordWrap/>
        <w:overflowPunct/>
        <w:topLinePunct w:val="0"/>
        <w:autoSpaceDE/>
        <w:autoSpaceDN/>
        <w:bidi w:val="0"/>
        <w:adjustRightInd/>
        <w:snapToGrid/>
        <w:spacing w:line="579" w:lineRule="exact"/>
        <w:ind w:firstLine="643"/>
        <w:textAlignment w:val="auto"/>
        <w:rPr>
          <w:b w:val="0"/>
          <w:bCs w:val="0"/>
          <w:sz w:val="32"/>
          <w:szCs w:val="32"/>
        </w:rPr>
      </w:pPr>
      <w:r>
        <w:rPr>
          <w:rFonts w:hint="eastAsia" w:ascii="楷体" w:hAnsi="楷体" w:eastAsia="楷体"/>
          <w:b w:val="0"/>
          <w:bCs w:val="0"/>
          <w:sz w:val="32"/>
          <w:szCs w:val="32"/>
        </w:rPr>
        <w:t>（二）风能资源条件。</w:t>
      </w:r>
      <w:r>
        <w:rPr>
          <w:rFonts w:hint="eastAsia"/>
          <w:b w:val="0"/>
          <w:bCs w:val="0"/>
          <w:sz w:val="32"/>
          <w:szCs w:val="32"/>
        </w:rPr>
        <w:t>分析自治区、盟市及场区风能资源，根据有关数据进行资源利用综合评价等。</w:t>
      </w:r>
    </w:p>
    <w:p w14:paraId="05A85BE4">
      <w:pPr>
        <w:keepNext w:val="0"/>
        <w:keepLines w:val="0"/>
        <w:pageBreakBefore w:val="0"/>
        <w:widowControl w:val="0"/>
        <w:kinsoku/>
        <w:wordWrap/>
        <w:overflowPunct/>
        <w:topLinePunct w:val="0"/>
        <w:autoSpaceDE/>
        <w:autoSpaceDN/>
        <w:bidi w:val="0"/>
        <w:adjustRightInd/>
        <w:snapToGrid/>
        <w:spacing w:line="579" w:lineRule="exact"/>
        <w:ind w:firstLine="643"/>
        <w:textAlignment w:val="auto"/>
        <w:rPr>
          <w:b w:val="0"/>
          <w:bCs w:val="0"/>
          <w:sz w:val="32"/>
          <w:szCs w:val="32"/>
        </w:rPr>
      </w:pPr>
      <w:r>
        <w:rPr>
          <w:rFonts w:hint="eastAsia" w:ascii="楷体" w:hAnsi="楷体" w:eastAsia="楷体"/>
          <w:b w:val="0"/>
          <w:bCs w:val="0"/>
          <w:sz w:val="32"/>
          <w:szCs w:val="32"/>
        </w:rPr>
        <w:t>（三）风电场建设方案。</w:t>
      </w:r>
      <w:r>
        <w:rPr>
          <w:rFonts w:hint="eastAsia"/>
          <w:b w:val="0"/>
          <w:bCs w:val="0"/>
          <w:sz w:val="32"/>
          <w:szCs w:val="32"/>
        </w:rPr>
        <w:t>从风机机型选择、占地布局及集电线路、升压站、道路、发电量测算、建设时序等方面分析说明风电场整体建设方案。</w:t>
      </w:r>
    </w:p>
    <w:p w14:paraId="74A2E872">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ascii="黑体" w:hAnsi="黑体" w:eastAsia="黑体"/>
          <w:b w:val="0"/>
          <w:bCs w:val="0"/>
          <w:sz w:val="32"/>
          <w:szCs w:val="32"/>
        </w:rPr>
      </w:pPr>
      <w:r>
        <w:rPr>
          <w:rFonts w:hint="eastAsia" w:ascii="黑体" w:hAnsi="黑体" w:eastAsia="黑体"/>
          <w:b w:val="0"/>
          <w:bCs w:val="0"/>
          <w:sz w:val="32"/>
          <w:szCs w:val="32"/>
        </w:rPr>
        <w:t>三、电网接入方案</w:t>
      </w:r>
    </w:p>
    <w:p w14:paraId="5CAB3037">
      <w:pPr>
        <w:keepNext w:val="0"/>
        <w:keepLines w:val="0"/>
        <w:pageBreakBefore w:val="0"/>
        <w:widowControl w:val="0"/>
        <w:kinsoku/>
        <w:wordWrap/>
        <w:overflowPunct/>
        <w:topLinePunct w:val="0"/>
        <w:autoSpaceDE/>
        <w:autoSpaceDN/>
        <w:bidi w:val="0"/>
        <w:adjustRightInd/>
        <w:snapToGrid/>
        <w:spacing w:line="579" w:lineRule="exact"/>
        <w:ind w:firstLine="643"/>
        <w:textAlignment w:val="auto"/>
        <w:rPr>
          <w:b w:val="0"/>
          <w:bCs w:val="0"/>
          <w:sz w:val="32"/>
          <w:szCs w:val="32"/>
        </w:rPr>
      </w:pPr>
      <w:r>
        <w:rPr>
          <w:rFonts w:hint="eastAsia" w:ascii="楷体" w:hAnsi="楷体" w:eastAsia="楷体"/>
          <w:b w:val="0"/>
          <w:bCs w:val="0"/>
          <w:sz w:val="32"/>
          <w:szCs w:val="32"/>
        </w:rPr>
        <w:t>（一）电力系统现状。</w:t>
      </w:r>
      <w:r>
        <w:rPr>
          <w:rFonts w:hint="eastAsia"/>
          <w:b w:val="0"/>
          <w:bCs w:val="0"/>
          <w:sz w:val="32"/>
          <w:szCs w:val="32"/>
        </w:rPr>
        <w:t>分析电力系统现状和发展规划情况，详述本地区电网基本情况以及负荷、电源装机预测等。</w:t>
      </w:r>
    </w:p>
    <w:p w14:paraId="4F14FBF3">
      <w:pPr>
        <w:keepNext w:val="0"/>
        <w:keepLines w:val="0"/>
        <w:pageBreakBefore w:val="0"/>
        <w:widowControl w:val="0"/>
        <w:kinsoku/>
        <w:wordWrap/>
        <w:overflowPunct/>
        <w:topLinePunct w:val="0"/>
        <w:autoSpaceDE/>
        <w:autoSpaceDN/>
        <w:bidi w:val="0"/>
        <w:adjustRightInd/>
        <w:snapToGrid/>
        <w:spacing w:line="579" w:lineRule="exact"/>
        <w:ind w:firstLine="643"/>
        <w:textAlignment w:val="auto"/>
        <w:rPr>
          <w:b w:val="0"/>
          <w:bCs w:val="0"/>
          <w:sz w:val="32"/>
          <w:szCs w:val="32"/>
        </w:rPr>
      </w:pPr>
      <w:r>
        <w:rPr>
          <w:rFonts w:hint="eastAsia" w:ascii="楷体" w:hAnsi="楷体" w:eastAsia="楷体"/>
          <w:b w:val="0"/>
          <w:bCs w:val="0"/>
          <w:sz w:val="32"/>
          <w:szCs w:val="32"/>
        </w:rPr>
        <w:t>（二）消纳能力分析。</w:t>
      </w:r>
      <w:r>
        <w:rPr>
          <w:rFonts w:hint="eastAsia"/>
          <w:b w:val="0"/>
          <w:bCs w:val="0"/>
          <w:sz w:val="32"/>
          <w:szCs w:val="32"/>
        </w:rPr>
        <w:t>开展电力平衡等相关分析，分析项目消纳情况。</w:t>
      </w:r>
    </w:p>
    <w:p w14:paraId="2E65A4D1">
      <w:pPr>
        <w:keepNext w:val="0"/>
        <w:keepLines w:val="0"/>
        <w:pageBreakBefore w:val="0"/>
        <w:widowControl w:val="0"/>
        <w:kinsoku/>
        <w:wordWrap/>
        <w:overflowPunct/>
        <w:topLinePunct w:val="0"/>
        <w:autoSpaceDE/>
        <w:autoSpaceDN/>
        <w:bidi w:val="0"/>
        <w:adjustRightInd/>
        <w:snapToGrid/>
        <w:spacing w:line="579" w:lineRule="exact"/>
        <w:ind w:firstLine="643"/>
        <w:textAlignment w:val="auto"/>
        <w:rPr>
          <w:b w:val="0"/>
          <w:bCs w:val="0"/>
          <w:sz w:val="32"/>
          <w:szCs w:val="32"/>
        </w:rPr>
      </w:pPr>
      <w:r>
        <w:rPr>
          <w:rFonts w:hint="eastAsia" w:ascii="楷体" w:hAnsi="楷体" w:eastAsia="楷体"/>
          <w:b w:val="0"/>
          <w:bCs w:val="0"/>
          <w:sz w:val="32"/>
          <w:szCs w:val="32"/>
        </w:rPr>
        <w:t>（三）新能源接入方案。</w:t>
      </w:r>
      <w:r>
        <w:rPr>
          <w:rFonts w:hint="eastAsia"/>
          <w:b w:val="0"/>
          <w:bCs w:val="0"/>
          <w:sz w:val="32"/>
          <w:szCs w:val="32"/>
        </w:rPr>
        <w:t>提出新能源接入系统初步方案，升压站方案以及送出线路初步方案。将新能源接入线路工程限制性因素的排查文件作为附件提交。</w:t>
      </w:r>
    </w:p>
    <w:p w14:paraId="0C70C2EA">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b w:val="0"/>
          <w:bCs w:val="0"/>
          <w:sz w:val="32"/>
          <w:szCs w:val="32"/>
        </w:rPr>
      </w:pPr>
      <w:r>
        <w:rPr>
          <w:rFonts w:hint="eastAsia" w:ascii="黑体" w:hAnsi="黑体" w:eastAsia="黑体"/>
          <w:b w:val="0"/>
          <w:bCs w:val="0"/>
          <w:sz w:val="32"/>
          <w:szCs w:val="32"/>
        </w:rPr>
        <w:t>四、开发模式及投资分析</w:t>
      </w:r>
    </w:p>
    <w:p w14:paraId="5CF24E71">
      <w:pPr>
        <w:keepNext w:val="0"/>
        <w:keepLines w:val="0"/>
        <w:pageBreakBefore w:val="0"/>
        <w:widowControl w:val="0"/>
        <w:kinsoku/>
        <w:wordWrap/>
        <w:overflowPunct/>
        <w:topLinePunct w:val="0"/>
        <w:autoSpaceDE/>
        <w:autoSpaceDN/>
        <w:bidi w:val="0"/>
        <w:adjustRightInd/>
        <w:snapToGrid/>
        <w:spacing w:line="579" w:lineRule="exact"/>
        <w:ind w:firstLine="643"/>
        <w:textAlignment w:val="auto"/>
        <w:rPr>
          <w:b w:val="0"/>
          <w:bCs w:val="0"/>
          <w:sz w:val="32"/>
          <w:szCs w:val="32"/>
        </w:rPr>
      </w:pPr>
      <w:r>
        <w:rPr>
          <w:rFonts w:hint="eastAsia" w:ascii="楷体" w:hAnsi="楷体" w:eastAsia="楷体"/>
          <w:b w:val="0"/>
          <w:bCs w:val="0"/>
          <w:sz w:val="32"/>
          <w:szCs w:val="32"/>
        </w:rPr>
        <w:t>（一）开发模式分析。</w:t>
      </w:r>
      <w:r>
        <w:rPr>
          <w:rFonts w:hint="eastAsia"/>
          <w:b w:val="0"/>
          <w:bCs w:val="0"/>
          <w:sz w:val="32"/>
          <w:szCs w:val="32"/>
        </w:rPr>
        <w:t>提出项目开发模式，明确村企合作方式</w:t>
      </w:r>
      <w:r>
        <w:rPr>
          <w:rFonts w:hint="eastAsia"/>
          <w:b w:val="0"/>
          <w:bCs w:val="0"/>
          <w:sz w:val="32"/>
          <w:szCs w:val="32"/>
          <w:lang w:eastAsia="zh-CN"/>
        </w:rPr>
        <w:t>，</w:t>
      </w:r>
      <w:r>
        <w:rPr>
          <w:rFonts w:hint="eastAsia"/>
          <w:b w:val="0"/>
          <w:bCs w:val="0"/>
          <w:sz w:val="32"/>
          <w:szCs w:val="32"/>
        </w:rPr>
        <w:t>明确年收益共享（分配）方式</w:t>
      </w:r>
      <w:r>
        <w:rPr>
          <w:rFonts w:hint="eastAsia"/>
          <w:b w:val="0"/>
          <w:bCs w:val="0"/>
          <w:sz w:val="32"/>
          <w:szCs w:val="32"/>
          <w:lang w:eastAsia="zh-CN"/>
        </w:rPr>
        <w:t>以及</w:t>
      </w:r>
      <w:r>
        <w:rPr>
          <w:rFonts w:hint="eastAsia"/>
          <w:b w:val="0"/>
          <w:bCs w:val="0"/>
          <w:sz w:val="32"/>
          <w:szCs w:val="32"/>
        </w:rPr>
        <w:t>嘎查村增收效果。</w:t>
      </w:r>
    </w:p>
    <w:p w14:paraId="56B8312C">
      <w:pPr>
        <w:keepNext w:val="0"/>
        <w:keepLines w:val="0"/>
        <w:pageBreakBefore w:val="0"/>
        <w:widowControl w:val="0"/>
        <w:kinsoku/>
        <w:wordWrap/>
        <w:overflowPunct/>
        <w:topLinePunct w:val="0"/>
        <w:autoSpaceDE/>
        <w:autoSpaceDN/>
        <w:bidi w:val="0"/>
        <w:adjustRightInd/>
        <w:snapToGrid/>
        <w:spacing w:line="579" w:lineRule="exact"/>
        <w:ind w:firstLine="643"/>
        <w:textAlignment w:val="auto"/>
        <w:rPr>
          <w:rFonts w:hint="eastAsia" w:eastAsia="仿宋_GB2312"/>
          <w:b w:val="0"/>
          <w:bCs w:val="0"/>
          <w:sz w:val="32"/>
          <w:szCs w:val="32"/>
          <w:lang w:eastAsia="zh-CN"/>
        </w:rPr>
      </w:pPr>
      <w:r>
        <w:rPr>
          <w:rFonts w:hint="eastAsia" w:ascii="楷体" w:hAnsi="楷体" w:eastAsia="楷体"/>
          <w:b w:val="0"/>
          <w:bCs w:val="0"/>
          <w:sz w:val="32"/>
          <w:szCs w:val="32"/>
        </w:rPr>
        <w:t>（二）投资估算及经济性分析。</w:t>
      </w:r>
      <w:r>
        <w:rPr>
          <w:rFonts w:hint="eastAsia"/>
          <w:b w:val="0"/>
          <w:bCs w:val="0"/>
          <w:sz w:val="32"/>
          <w:szCs w:val="32"/>
        </w:rPr>
        <w:t>提出项目工程造价，分析项目经济可行性。</w:t>
      </w:r>
    </w:p>
    <w:p w14:paraId="766C0F35">
      <w:pPr>
        <w:keepNext w:val="0"/>
        <w:keepLines w:val="0"/>
        <w:pageBreakBefore w:val="0"/>
        <w:widowControl w:val="0"/>
        <w:kinsoku/>
        <w:wordWrap/>
        <w:overflowPunct/>
        <w:topLinePunct w:val="0"/>
        <w:autoSpaceDE/>
        <w:autoSpaceDN/>
        <w:bidi w:val="0"/>
        <w:adjustRightInd/>
        <w:snapToGrid/>
        <w:spacing w:line="579" w:lineRule="exact"/>
        <w:ind w:firstLine="643"/>
        <w:textAlignment w:val="auto"/>
        <w:rPr>
          <w:b w:val="0"/>
          <w:bCs w:val="0"/>
          <w:sz w:val="32"/>
          <w:szCs w:val="32"/>
        </w:rPr>
      </w:pPr>
      <w:r>
        <w:rPr>
          <w:rFonts w:hint="eastAsia" w:ascii="楷体" w:hAnsi="楷体" w:eastAsia="楷体"/>
          <w:b w:val="0"/>
          <w:bCs w:val="0"/>
          <w:sz w:val="32"/>
          <w:szCs w:val="32"/>
        </w:rPr>
        <w:t>（三）利益分配机制。</w:t>
      </w:r>
      <w:r>
        <w:rPr>
          <w:rFonts w:hint="eastAsia"/>
          <w:b w:val="0"/>
          <w:bCs w:val="0"/>
          <w:sz w:val="32"/>
          <w:szCs w:val="32"/>
        </w:rPr>
        <w:t>明确项目收益共享（分配）落实措施和收益共享（分配）计划。村企合作建设的，提出企业与相关嘎查村集体年收益共享金额或比例。采用政府投资的，应明确资金来源、项目产权、收益分配方式。</w:t>
      </w:r>
    </w:p>
    <w:p w14:paraId="00FEE55B">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ascii="黑体" w:hAnsi="黑体" w:eastAsia="黑体"/>
          <w:b w:val="0"/>
          <w:bCs w:val="0"/>
          <w:sz w:val="32"/>
          <w:szCs w:val="32"/>
        </w:rPr>
      </w:pPr>
      <w:r>
        <w:rPr>
          <w:rFonts w:hint="eastAsia" w:ascii="黑体" w:hAnsi="黑体" w:eastAsia="黑体"/>
          <w:b w:val="0"/>
          <w:bCs w:val="0"/>
          <w:sz w:val="32"/>
          <w:szCs w:val="32"/>
        </w:rPr>
        <w:t>五、创新示范</w:t>
      </w:r>
    </w:p>
    <w:p w14:paraId="332B175A">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b w:val="0"/>
          <w:bCs w:val="0"/>
          <w:sz w:val="32"/>
          <w:szCs w:val="32"/>
        </w:rPr>
      </w:pPr>
      <w:r>
        <w:rPr>
          <w:rFonts w:hint="eastAsia"/>
          <w:b w:val="0"/>
          <w:bCs w:val="0"/>
          <w:sz w:val="32"/>
          <w:szCs w:val="32"/>
        </w:rPr>
        <w:t>提出项目所采用的创新风电技术方案。</w:t>
      </w:r>
    </w:p>
    <w:p w14:paraId="2A90679B">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ascii="黑体" w:hAnsi="黑体" w:eastAsia="黑体"/>
          <w:b w:val="0"/>
          <w:bCs w:val="0"/>
          <w:sz w:val="32"/>
          <w:szCs w:val="32"/>
        </w:rPr>
      </w:pPr>
      <w:r>
        <w:rPr>
          <w:rFonts w:hint="eastAsia" w:ascii="黑体" w:hAnsi="黑体" w:eastAsia="黑体"/>
          <w:b w:val="0"/>
          <w:bCs w:val="0"/>
          <w:sz w:val="32"/>
          <w:szCs w:val="32"/>
        </w:rPr>
        <w:t>六、环境影响及帮扶效益分析</w:t>
      </w:r>
    </w:p>
    <w:p w14:paraId="2F390D04">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b w:val="0"/>
          <w:bCs w:val="0"/>
          <w:sz w:val="32"/>
          <w:szCs w:val="32"/>
        </w:rPr>
      </w:pPr>
      <w:r>
        <w:rPr>
          <w:rFonts w:hint="eastAsia"/>
          <w:b w:val="0"/>
          <w:bCs w:val="0"/>
          <w:sz w:val="32"/>
          <w:szCs w:val="32"/>
        </w:rPr>
        <w:t>围绕环境影响、环境保护、环境效益、节能减排和帮扶效益等进行分析。</w:t>
      </w:r>
    </w:p>
    <w:p w14:paraId="3AB52C4B">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ascii="黑体" w:hAnsi="黑体" w:eastAsia="黑体"/>
          <w:b w:val="0"/>
          <w:bCs w:val="0"/>
          <w:sz w:val="32"/>
          <w:szCs w:val="32"/>
        </w:rPr>
      </w:pPr>
      <w:r>
        <w:rPr>
          <w:rFonts w:hint="eastAsia" w:ascii="黑体" w:hAnsi="黑体" w:eastAsia="黑体"/>
          <w:b w:val="0"/>
          <w:bCs w:val="0"/>
          <w:sz w:val="32"/>
          <w:szCs w:val="32"/>
        </w:rPr>
        <w:t>七、保障措施</w:t>
      </w:r>
    </w:p>
    <w:p w14:paraId="57201471">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b w:val="0"/>
          <w:bCs w:val="0"/>
          <w:sz w:val="32"/>
          <w:szCs w:val="32"/>
        </w:rPr>
      </w:pPr>
      <w:r>
        <w:rPr>
          <w:rFonts w:hint="eastAsia"/>
          <w:b w:val="0"/>
          <w:bCs w:val="0"/>
          <w:sz w:val="32"/>
          <w:szCs w:val="32"/>
        </w:rPr>
        <w:t>详述组织方式、协调管理机制和落地举措；明确新能源项目建设和收益共享（分配）保障措施。</w:t>
      </w:r>
    </w:p>
    <w:p w14:paraId="277C6662">
      <w:pPr>
        <w:keepNext w:val="0"/>
        <w:keepLines w:val="0"/>
        <w:pageBreakBefore w:val="0"/>
        <w:widowControl w:val="0"/>
        <w:kinsoku/>
        <w:wordWrap/>
        <w:overflowPunct/>
        <w:topLinePunct w:val="0"/>
        <w:autoSpaceDE/>
        <w:autoSpaceDN/>
        <w:bidi w:val="0"/>
        <w:adjustRightInd/>
        <w:snapToGrid/>
        <w:spacing w:line="579" w:lineRule="exact"/>
        <w:ind w:firstLine="640"/>
        <w:textAlignment w:val="auto"/>
        <w:rPr>
          <w:b w:val="0"/>
          <w:bCs w:val="0"/>
          <w:sz w:val="32"/>
          <w:szCs w:val="32"/>
        </w:rPr>
      </w:pPr>
      <w:r>
        <w:rPr>
          <w:rFonts w:hint="eastAsia" w:ascii="黑体" w:hAnsi="黑体" w:eastAsia="黑体"/>
          <w:b w:val="0"/>
          <w:bCs w:val="0"/>
          <w:sz w:val="32"/>
          <w:szCs w:val="32"/>
        </w:rPr>
        <w:t>八</w:t>
      </w:r>
      <w:r>
        <w:rPr>
          <w:rFonts w:ascii="黑体" w:hAnsi="黑体" w:eastAsia="黑体"/>
          <w:b w:val="0"/>
          <w:bCs w:val="0"/>
          <w:sz w:val="32"/>
          <w:szCs w:val="32"/>
        </w:rPr>
        <w:t>、支撑性材料</w:t>
      </w:r>
      <w:bookmarkStart w:id="0" w:name="_GoBack"/>
      <w:bookmarkEnd w:id="0"/>
    </w:p>
    <w:sectPr>
      <w:headerReference r:id="rId5" w:type="default"/>
      <w:footerReference r:id="rId6" w:type="default"/>
      <w:pgSz w:w="11906" w:h="16838"/>
      <w:pgMar w:top="2098" w:right="1474" w:bottom="1984" w:left="1587" w:header="851" w:footer="992" w:gutter="0"/>
      <w:pgNumType w:fmt="decimal"/>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E21C56-74A5-423F-B97F-656831E6F97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C8394397-1A24-4444-9F3E-503E313C2B87}"/>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embedRegular r:id="rId3" w:fontKey="{1A07BAF5-21BA-44C5-9D80-B8BE7F7AF14A}"/>
  </w:font>
  <w:font w:name="方正小标宋_GBK">
    <w:panose1 w:val="02000000000000000000"/>
    <w:charset w:val="86"/>
    <w:family w:val="auto"/>
    <w:pitch w:val="default"/>
    <w:sig w:usb0="A00002BF" w:usb1="38CF7CFA" w:usb2="00082016" w:usb3="00000000" w:csb0="00040001" w:csb1="00000000"/>
    <w:embedRegular r:id="rId4" w:fontKey="{717B41F1-E50E-4889-BD0A-46A6F9F75D54}"/>
  </w:font>
  <w:font w:name="楷体">
    <w:panose1 w:val="02010609060101010101"/>
    <w:charset w:val="86"/>
    <w:family w:val="modern"/>
    <w:pitch w:val="default"/>
    <w:sig w:usb0="800002BF" w:usb1="38CF7CFA" w:usb2="00000016" w:usb3="00000000" w:csb0="00040001" w:csb1="00000000"/>
    <w:embedRegular r:id="rId5" w:fontKey="{FF7CB2F6-558A-462B-ACA9-8A05F3DA920B}"/>
  </w:font>
  <w:font w:name="WPSEMBED2">
    <w:panose1 w:val="02000000000000000000"/>
    <w:charset w:val="86"/>
    <w:family w:val="auto"/>
    <w:pitch w:val="default"/>
    <w:sig w:usb0="A00002BF" w:usb1="38CF7CFA" w:usb2="00082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DCA83">
    <w:pPr>
      <w:pStyle w:val="13"/>
      <w:ind w:firstLine="360"/>
      <w:rPr>
        <w:color w:val="000000" w:themeColor="text1"/>
        <w:sz w:val="28"/>
        <w:szCs w:val="28"/>
        <w14:textFill>
          <w14:solidFill>
            <w14:schemeClr w14:val="tx1"/>
          </w14:solidFill>
        </w14:textFil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B8DB5">
    <w:pPr>
      <w:pStyle w:val="1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E1E"/>
    <w:rsid w:val="00007B3F"/>
    <w:rsid w:val="000125B8"/>
    <w:rsid w:val="00023951"/>
    <w:rsid w:val="00026525"/>
    <w:rsid w:val="00026B36"/>
    <w:rsid w:val="00031F8A"/>
    <w:rsid w:val="00044C42"/>
    <w:rsid w:val="00047240"/>
    <w:rsid w:val="00051108"/>
    <w:rsid w:val="00061EE2"/>
    <w:rsid w:val="00064E96"/>
    <w:rsid w:val="00066081"/>
    <w:rsid w:val="00067859"/>
    <w:rsid w:val="000709CC"/>
    <w:rsid w:val="00080442"/>
    <w:rsid w:val="00084374"/>
    <w:rsid w:val="00094BB5"/>
    <w:rsid w:val="000A211A"/>
    <w:rsid w:val="000A2D88"/>
    <w:rsid w:val="000B1F30"/>
    <w:rsid w:val="000B5681"/>
    <w:rsid w:val="000C3442"/>
    <w:rsid w:val="000E4055"/>
    <w:rsid w:val="000E4330"/>
    <w:rsid w:val="000E49F6"/>
    <w:rsid w:val="000E58E0"/>
    <w:rsid w:val="000E77E2"/>
    <w:rsid w:val="000F3FCE"/>
    <w:rsid w:val="00127693"/>
    <w:rsid w:val="0014562E"/>
    <w:rsid w:val="00155323"/>
    <w:rsid w:val="00164859"/>
    <w:rsid w:val="001729E6"/>
    <w:rsid w:val="00190568"/>
    <w:rsid w:val="001A2F43"/>
    <w:rsid w:val="001A6B56"/>
    <w:rsid w:val="001B3D6C"/>
    <w:rsid w:val="001B581D"/>
    <w:rsid w:val="001B6DF7"/>
    <w:rsid w:val="001E1704"/>
    <w:rsid w:val="001E371C"/>
    <w:rsid w:val="001E677E"/>
    <w:rsid w:val="00210B39"/>
    <w:rsid w:val="00213144"/>
    <w:rsid w:val="00220262"/>
    <w:rsid w:val="00227ACE"/>
    <w:rsid w:val="00231639"/>
    <w:rsid w:val="00231FE2"/>
    <w:rsid w:val="0023247B"/>
    <w:rsid w:val="00247897"/>
    <w:rsid w:val="00252A55"/>
    <w:rsid w:val="00256EC2"/>
    <w:rsid w:val="00267147"/>
    <w:rsid w:val="0027593E"/>
    <w:rsid w:val="0029125A"/>
    <w:rsid w:val="002A092C"/>
    <w:rsid w:val="002A7D3D"/>
    <w:rsid w:val="002C19A1"/>
    <w:rsid w:val="002D3A2E"/>
    <w:rsid w:val="002D5984"/>
    <w:rsid w:val="002E7640"/>
    <w:rsid w:val="00304274"/>
    <w:rsid w:val="0031445F"/>
    <w:rsid w:val="00314A78"/>
    <w:rsid w:val="00322BB6"/>
    <w:rsid w:val="00323FBE"/>
    <w:rsid w:val="0032440F"/>
    <w:rsid w:val="00341085"/>
    <w:rsid w:val="00351922"/>
    <w:rsid w:val="00353020"/>
    <w:rsid w:val="00353508"/>
    <w:rsid w:val="00353AF9"/>
    <w:rsid w:val="003547DE"/>
    <w:rsid w:val="00355575"/>
    <w:rsid w:val="003803CB"/>
    <w:rsid w:val="00385DFF"/>
    <w:rsid w:val="003878E2"/>
    <w:rsid w:val="003B24A7"/>
    <w:rsid w:val="003E2FF9"/>
    <w:rsid w:val="003F583B"/>
    <w:rsid w:val="00404CFA"/>
    <w:rsid w:val="00425AA5"/>
    <w:rsid w:val="00436AE1"/>
    <w:rsid w:val="00441D85"/>
    <w:rsid w:val="004436D1"/>
    <w:rsid w:val="0044553D"/>
    <w:rsid w:val="00446C28"/>
    <w:rsid w:val="00447092"/>
    <w:rsid w:val="00461629"/>
    <w:rsid w:val="0048473D"/>
    <w:rsid w:val="004A2A3B"/>
    <w:rsid w:val="004B516A"/>
    <w:rsid w:val="004D527B"/>
    <w:rsid w:val="004F74D0"/>
    <w:rsid w:val="00520698"/>
    <w:rsid w:val="00520C63"/>
    <w:rsid w:val="005547C5"/>
    <w:rsid w:val="00560972"/>
    <w:rsid w:val="00561588"/>
    <w:rsid w:val="00564049"/>
    <w:rsid w:val="00570D94"/>
    <w:rsid w:val="00582E35"/>
    <w:rsid w:val="0059062E"/>
    <w:rsid w:val="0059685F"/>
    <w:rsid w:val="005A6040"/>
    <w:rsid w:val="005B5176"/>
    <w:rsid w:val="005B5583"/>
    <w:rsid w:val="005B7FE3"/>
    <w:rsid w:val="005C053C"/>
    <w:rsid w:val="005C4292"/>
    <w:rsid w:val="005E0800"/>
    <w:rsid w:val="005F35C8"/>
    <w:rsid w:val="00603F45"/>
    <w:rsid w:val="00611C87"/>
    <w:rsid w:val="006131CF"/>
    <w:rsid w:val="006134AC"/>
    <w:rsid w:val="00614900"/>
    <w:rsid w:val="00637B33"/>
    <w:rsid w:val="0065266B"/>
    <w:rsid w:val="00652A26"/>
    <w:rsid w:val="00663385"/>
    <w:rsid w:val="00664DC3"/>
    <w:rsid w:val="006662F6"/>
    <w:rsid w:val="00676033"/>
    <w:rsid w:val="00676EDA"/>
    <w:rsid w:val="00682222"/>
    <w:rsid w:val="006851B7"/>
    <w:rsid w:val="00692437"/>
    <w:rsid w:val="006A3A5B"/>
    <w:rsid w:val="006B49B9"/>
    <w:rsid w:val="006B62BA"/>
    <w:rsid w:val="006D3560"/>
    <w:rsid w:val="006D5409"/>
    <w:rsid w:val="006E3B94"/>
    <w:rsid w:val="00702BD5"/>
    <w:rsid w:val="00702E61"/>
    <w:rsid w:val="00705B4F"/>
    <w:rsid w:val="00706603"/>
    <w:rsid w:val="00710034"/>
    <w:rsid w:val="00710FC4"/>
    <w:rsid w:val="007164B6"/>
    <w:rsid w:val="007243D4"/>
    <w:rsid w:val="00743B86"/>
    <w:rsid w:val="007449A5"/>
    <w:rsid w:val="007526F8"/>
    <w:rsid w:val="0075559E"/>
    <w:rsid w:val="00770198"/>
    <w:rsid w:val="00783080"/>
    <w:rsid w:val="0079306E"/>
    <w:rsid w:val="007A63B2"/>
    <w:rsid w:val="007F74CE"/>
    <w:rsid w:val="007F7DC6"/>
    <w:rsid w:val="00835B4B"/>
    <w:rsid w:val="00836800"/>
    <w:rsid w:val="00836F13"/>
    <w:rsid w:val="00840D74"/>
    <w:rsid w:val="00850DB5"/>
    <w:rsid w:val="008510ED"/>
    <w:rsid w:val="00851B9E"/>
    <w:rsid w:val="00852442"/>
    <w:rsid w:val="00856ACF"/>
    <w:rsid w:val="008764A9"/>
    <w:rsid w:val="00881CD4"/>
    <w:rsid w:val="008839CB"/>
    <w:rsid w:val="00892358"/>
    <w:rsid w:val="008B43EB"/>
    <w:rsid w:val="008C1008"/>
    <w:rsid w:val="008D2702"/>
    <w:rsid w:val="008D6798"/>
    <w:rsid w:val="008D70BD"/>
    <w:rsid w:val="008E3D98"/>
    <w:rsid w:val="008E61E4"/>
    <w:rsid w:val="00902B15"/>
    <w:rsid w:val="009048C7"/>
    <w:rsid w:val="009145F5"/>
    <w:rsid w:val="00924D16"/>
    <w:rsid w:val="009457DE"/>
    <w:rsid w:val="00947C67"/>
    <w:rsid w:val="00951878"/>
    <w:rsid w:val="00961955"/>
    <w:rsid w:val="0096582E"/>
    <w:rsid w:val="00973C04"/>
    <w:rsid w:val="00980492"/>
    <w:rsid w:val="00980569"/>
    <w:rsid w:val="009817F6"/>
    <w:rsid w:val="00984EEF"/>
    <w:rsid w:val="00991235"/>
    <w:rsid w:val="009972B9"/>
    <w:rsid w:val="009B2CDA"/>
    <w:rsid w:val="009D176A"/>
    <w:rsid w:val="009E26D8"/>
    <w:rsid w:val="009F1353"/>
    <w:rsid w:val="009F56DF"/>
    <w:rsid w:val="009F69BB"/>
    <w:rsid w:val="00A00BD2"/>
    <w:rsid w:val="00A011CD"/>
    <w:rsid w:val="00A2092C"/>
    <w:rsid w:val="00A23520"/>
    <w:rsid w:val="00A25955"/>
    <w:rsid w:val="00A35B07"/>
    <w:rsid w:val="00A46CCB"/>
    <w:rsid w:val="00A63723"/>
    <w:rsid w:val="00A809C0"/>
    <w:rsid w:val="00A81C0B"/>
    <w:rsid w:val="00A81D3D"/>
    <w:rsid w:val="00A8263A"/>
    <w:rsid w:val="00A93D08"/>
    <w:rsid w:val="00A968B5"/>
    <w:rsid w:val="00AA0FF1"/>
    <w:rsid w:val="00AA2EB2"/>
    <w:rsid w:val="00AB2D1C"/>
    <w:rsid w:val="00AD75FE"/>
    <w:rsid w:val="00AF0094"/>
    <w:rsid w:val="00AF6E1E"/>
    <w:rsid w:val="00B017C7"/>
    <w:rsid w:val="00B0198B"/>
    <w:rsid w:val="00B11C3F"/>
    <w:rsid w:val="00B1415C"/>
    <w:rsid w:val="00B31D1C"/>
    <w:rsid w:val="00B33156"/>
    <w:rsid w:val="00B40352"/>
    <w:rsid w:val="00B4103C"/>
    <w:rsid w:val="00B4686D"/>
    <w:rsid w:val="00B5164B"/>
    <w:rsid w:val="00B66590"/>
    <w:rsid w:val="00B94603"/>
    <w:rsid w:val="00B95493"/>
    <w:rsid w:val="00B96B17"/>
    <w:rsid w:val="00BB1478"/>
    <w:rsid w:val="00BB27DF"/>
    <w:rsid w:val="00BB609C"/>
    <w:rsid w:val="00BB74B4"/>
    <w:rsid w:val="00BD135D"/>
    <w:rsid w:val="00BD67A1"/>
    <w:rsid w:val="00BE45BB"/>
    <w:rsid w:val="00BE7226"/>
    <w:rsid w:val="00BF38D9"/>
    <w:rsid w:val="00C11442"/>
    <w:rsid w:val="00C11C16"/>
    <w:rsid w:val="00C30FC7"/>
    <w:rsid w:val="00C31F81"/>
    <w:rsid w:val="00C33C7C"/>
    <w:rsid w:val="00C6561E"/>
    <w:rsid w:val="00C71F78"/>
    <w:rsid w:val="00C7340E"/>
    <w:rsid w:val="00C806F1"/>
    <w:rsid w:val="00C80717"/>
    <w:rsid w:val="00C974F5"/>
    <w:rsid w:val="00CB62FE"/>
    <w:rsid w:val="00CC6866"/>
    <w:rsid w:val="00CE4AD4"/>
    <w:rsid w:val="00D03284"/>
    <w:rsid w:val="00D04A9D"/>
    <w:rsid w:val="00D16924"/>
    <w:rsid w:val="00D20011"/>
    <w:rsid w:val="00D41AAB"/>
    <w:rsid w:val="00D50B4F"/>
    <w:rsid w:val="00D52AF5"/>
    <w:rsid w:val="00D53B51"/>
    <w:rsid w:val="00D5598E"/>
    <w:rsid w:val="00D61B4A"/>
    <w:rsid w:val="00D624FF"/>
    <w:rsid w:val="00D66ABC"/>
    <w:rsid w:val="00D709F5"/>
    <w:rsid w:val="00D7112B"/>
    <w:rsid w:val="00D825D5"/>
    <w:rsid w:val="00D8404C"/>
    <w:rsid w:val="00D854D8"/>
    <w:rsid w:val="00D85B4E"/>
    <w:rsid w:val="00D86891"/>
    <w:rsid w:val="00DB42E1"/>
    <w:rsid w:val="00DC135D"/>
    <w:rsid w:val="00DD3B4D"/>
    <w:rsid w:val="00DD4334"/>
    <w:rsid w:val="00DE1FD8"/>
    <w:rsid w:val="00DF0417"/>
    <w:rsid w:val="00DF14BE"/>
    <w:rsid w:val="00DF3A3C"/>
    <w:rsid w:val="00DF4FA2"/>
    <w:rsid w:val="00DF5C4E"/>
    <w:rsid w:val="00E40A1F"/>
    <w:rsid w:val="00E44416"/>
    <w:rsid w:val="00E44799"/>
    <w:rsid w:val="00E544ED"/>
    <w:rsid w:val="00E7350C"/>
    <w:rsid w:val="00E80122"/>
    <w:rsid w:val="00E940B9"/>
    <w:rsid w:val="00E9562B"/>
    <w:rsid w:val="00E972C2"/>
    <w:rsid w:val="00EA4F9C"/>
    <w:rsid w:val="00EA51CF"/>
    <w:rsid w:val="00EC0A38"/>
    <w:rsid w:val="00EC75BF"/>
    <w:rsid w:val="00EC7B7E"/>
    <w:rsid w:val="00EE0D0F"/>
    <w:rsid w:val="00EE1058"/>
    <w:rsid w:val="00F04AFD"/>
    <w:rsid w:val="00F0590A"/>
    <w:rsid w:val="00F1064E"/>
    <w:rsid w:val="00F21E86"/>
    <w:rsid w:val="00F939F0"/>
    <w:rsid w:val="00F95BD5"/>
    <w:rsid w:val="00F97443"/>
    <w:rsid w:val="00F97625"/>
    <w:rsid w:val="00FB2D86"/>
    <w:rsid w:val="00FC6AE4"/>
    <w:rsid w:val="00FC7B67"/>
    <w:rsid w:val="00FE7EE3"/>
    <w:rsid w:val="00FF267F"/>
    <w:rsid w:val="07E32830"/>
    <w:rsid w:val="0C8A75A3"/>
    <w:rsid w:val="1B652214"/>
    <w:rsid w:val="275C7443"/>
    <w:rsid w:val="3B7F7593"/>
    <w:rsid w:val="3C1F0A7B"/>
    <w:rsid w:val="3FD8718F"/>
    <w:rsid w:val="5DF866B7"/>
    <w:rsid w:val="636D6842"/>
    <w:rsid w:val="640A4911"/>
    <w:rsid w:val="667F9252"/>
    <w:rsid w:val="6F1A4757"/>
    <w:rsid w:val="6FFDD3EB"/>
    <w:rsid w:val="78ED8F37"/>
    <w:rsid w:val="79699DCE"/>
    <w:rsid w:val="7BFD0160"/>
    <w:rsid w:val="7D7B35C0"/>
    <w:rsid w:val="7DE71AC8"/>
    <w:rsid w:val="7DFB1DAD"/>
    <w:rsid w:val="7FDC885E"/>
    <w:rsid w:val="9DECDF5A"/>
    <w:rsid w:val="F5DB4202"/>
    <w:rsid w:val="F777A765"/>
    <w:rsid w:val="F77BC8AC"/>
    <w:rsid w:val="FA8E7932"/>
    <w:rsid w:val="FE77AFF4"/>
    <w:rsid w:val="FECF30D9"/>
    <w:rsid w:val="FF7EC7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200" w:firstLineChars="200"/>
      <w:jc w:val="both"/>
    </w:pPr>
    <w:rPr>
      <w:rFonts w:ascii="Times New Roman" w:hAnsi="Times New Roman" w:eastAsia="仿宋_GB2312" w:cstheme="minorBidi"/>
      <w:kern w:val="2"/>
      <w:sz w:val="32"/>
      <w:szCs w:val="24"/>
      <w:lang w:val="en-US" w:eastAsia="zh-CN" w:bidi="ar-SA"/>
      <w14:ligatures w14:val="standardContextual"/>
    </w:rPr>
  </w:style>
  <w:style w:type="paragraph" w:styleId="2">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5"/>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6"/>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Cs w:val="32"/>
    </w:rPr>
  </w:style>
  <w:style w:type="paragraph" w:styleId="5">
    <w:name w:val="heading 4"/>
    <w:basedOn w:val="1"/>
    <w:next w:val="1"/>
    <w:link w:val="27"/>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8"/>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9"/>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3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2"/>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7"/>
    <w:semiHidden/>
    <w:unhideWhenUsed/>
    <w:qFormat/>
    <w:uiPriority w:val="99"/>
    <w:pPr>
      <w:jc w:val="left"/>
    </w:pPr>
  </w:style>
  <w:style w:type="paragraph" w:styleId="12">
    <w:name w:val="Balloon Text"/>
    <w:basedOn w:val="1"/>
    <w:link w:val="44"/>
    <w:semiHidden/>
    <w:unhideWhenUsed/>
    <w:qFormat/>
    <w:uiPriority w:val="99"/>
    <w:pPr>
      <w:spacing w:line="240" w:lineRule="auto"/>
    </w:pPr>
    <w:rPr>
      <w:sz w:val="18"/>
      <w:szCs w:val="18"/>
    </w:rPr>
  </w:style>
  <w:style w:type="paragraph" w:styleId="13">
    <w:name w:val="footer"/>
    <w:basedOn w:val="1"/>
    <w:link w:val="43"/>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42"/>
    <w:unhideWhenUsed/>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4"/>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Normal (Web)"/>
    <w:basedOn w:val="1"/>
    <w:semiHidden/>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14:ligatures w14:val="none"/>
    </w:rPr>
  </w:style>
  <w:style w:type="paragraph" w:styleId="17">
    <w:name w:val="Title"/>
    <w:basedOn w:val="1"/>
    <w:next w:val="1"/>
    <w:link w:val="33"/>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8">
    <w:name w:val="annotation subject"/>
    <w:basedOn w:val="11"/>
    <w:next w:val="11"/>
    <w:link w:val="48"/>
    <w:semiHidden/>
    <w:unhideWhenUsed/>
    <w:qFormat/>
    <w:uiPriority w:val="99"/>
    <w:rPr>
      <w:b/>
      <w:bCs/>
    </w:r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Hyperlink"/>
    <w:basedOn w:val="21"/>
    <w:unhideWhenUsed/>
    <w:qFormat/>
    <w:uiPriority w:val="99"/>
    <w:rPr>
      <w:color w:val="467886" w:themeColor="hyperlink"/>
      <w:u w:val="single"/>
      <w14:textFill>
        <w14:solidFill>
          <w14:schemeClr w14:val="hlink"/>
        </w14:solidFill>
      </w14:textFill>
    </w:rPr>
  </w:style>
  <w:style w:type="character" w:styleId="23">
    <w:name w:val="annotation reference"/>
    <w:basedOn w:val="21"/>
    <w:semiHidden/>
    <w:unhideWhenUsed/>
    <w:qFormat/>
    <w:uiPriority w:val="99"/>
    <w:rPr>
      <w:sz w:val="21"/>
      <w:szCs w:val="21"/>
    </w:rPr>
  </w:style>
  <w:style w:type="character" w:customStyle="1" w:styleId="24">
    <w:name w:val="标题 1 Char"/>
    <w:basedOn w:val="21"/>
    <w:link w:val="2"/>
    <w:qFormat/>
    <w:uiPriority w:val="9"/>
    <w:rPr>
      <w:rFonts w:asciiTheme="majorHAnsi" w:hAnsiTheme="majorHAnsi" w:eastAsiaTheme="majorEastAsia" w:cstheme="majorBidi"/>
      <w:color w:val="104862" w:themeColor="accent1" w:themeShade="BF"/>
      <w:sz w:val="48"/>
      <w:szCs w:val="48"/>
    </w:rPr>
  </w:style>
  <w:style w:type="character" w:customStyle="1" w:styleId="25">
    <w:name w:val="标题 2 Char"/>
    <w:basedOn w:val="21"/>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6">
    <w:name w:val="标题 3 Char"/>
    <w:basedOn w:val="21"/>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7">
    <w:name w:val="标题 4 Char"/>
    <w:basedOn w:val="21"/>
    <w:link w:val="5"/>
    <w:semiHidden/>
    <w:qFormat/>
    <w:uiPriority w:val="9"/>
    <w:rPr>
      <w:rFonts w:cstheme="majorBidi"/>
      <w:color w:val="104862" w:themeColor="accent1" w:themeShade="BF"/>
      <w:sz w:val="28"/>
      <w:szCs w:val="28"/>
    </w:rPr>
  </w:style>
  <w:style w:type="character" w:customStyle="1" w:styleId="28">
    <w:name w:val="标题 5 Char"/>
    <w:basedOn w:val="21"/>
    <w:link w:val="6"/>
    <w:semiHidden/>
    <w:qFormat/>
    <w:uiPriority w:val="9"/>
    <w:rPr>
      <w:rFonts w:cstheme="majorBidi"/>
      <w:color w:val="104862" w:themeColor="accent1" w:themeShade="BF"/>
      <w:sz w:val="24"/>
    </w:rPr>
  </w:style>
  <w:style w:type="character" w:customStyle="1" w:styleId="29">
    <w:name w:val="标题 6 Char"/>
    <w:basedOn w:val="21"/>
    <w:link w:val="7"/>
    <w:semiHidden/>
    <w:qFormat/>
    <w:uiPriority w:val="9"/>
    <w:rPr>
      <w:rFonts w:cstheme="majorBidi"/>
      <w:b/>
      <w:bCs/>
      <w:color w:val="104862" w:themeColor="accent1" w:themeShade="BF"/>
    </w:rPr>
  </w:style>
  <w:style w:type="character" w:customStyle="1" w:styleId="30">
    <w:name w:val="标题 7 Char"/>
    <w:basedOn w:val="21"/>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Char"/>
    <w:basedOn w:val="21"/>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Char"/>
    <w:basedOn w:val="21"/>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Char"/>
    <w:basedOn w:val="21"/>
    <w:link w:val="17"/>
    <w:qFormat/>
    <w:uiPriority w:val="10"/>
    <w:rPr>
      <w:rFonts w:asciiTheme="majorHAnsi" w:hAnsiTheme="majorHAnsi" w:eastAsiaTheme="majorEastAsia" w:cstheme="majorBidi"/>
      <w:spacing w:val="-10"/>
      <w:kern w:val="28"/>
      <w:sz w:val="56"/>
      <w:szCs w:val="56"/>
    </w:rPr>
  </w:style>
  <w:style w:type="character" w:customStyle="1" w:styleId="34">
    <w:name w:val="副标题 Char"/>
    <w:basedOn w:val="21"/>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Char"/>
    <w:basedOn w:val="21"/>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34"/>
    <w:pPr>
      <w:ind w:left="720"/>
      <w:contextualSpacing/>
    </w:pPr>
  </w:style>
  <w:style w:type="character" w:customStyle="1" w:styleId="38">
    <w:name w:val="明显强调1"/>
    <w:basedOn w:val="21"/>
    <w:qFormat/>
    <w:uiPriority w:val="21"/>
    <w:rPr>
      <w:i/>
      <w:iCs/>
      <w:color w:val="104862" w:themeColor="accent1" w:themeShade="BF"/>
    </w:rPr>
  </w:style>
  <w:style w:type="paragraph" w:styleId="39">
    <w:name w:val="Intense Quote"/>
    <w:basedOn w:val="1"/>
    <w:next w:val="1"/>
    <w:link w:val="40"/>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0">
    <w:name w:val="明显引用 Char"/>
    <w:basedOn w:val="21"/>
    <w:link w:val="39"/>
    <w:qFormat/>
    <w:uiPriority w:val="30"/>
    <w:rPr>
      <w:i/>
      <w:iCs/>
      <w:color w:val="104862" w:themeColor="accent1" w:themeShade="BF"/>
    </w:rPr>
  </w:style>
  <w:style w:type="character" w:customStyle="1" w:styleId="41">
    <w:name w:val="明显参考1"/>
    <w:basedOn w:val="21"/>
    <w:qFormat/>
    <w:uiPriority w:val="32"/>
    <w:rPr>
      <w:b/>
      <w:bCs/>
      <w:smallCaps/>
      <w:color w:val="104862" w:themeColor="accent1" w:themeShade="BF"/>
      <w:spacing w:val="5"/>
    </w:rPr>
  </w:style>
  <w:style w:type="character" w:customStyle="1" w:styleId="42">
    <w:name w:val="页眉 Char"/>
    <w:basedOn w:val="21"/>
    <w:link w:val="14"/>
    <w:qFormat/>
    <w:uiPriority w:val="99"/>
    <w:rPr>
      <w:sz w:val="18"/>
      <w:szCs w:val="18"/>
    </w:rPr>
  </w:style>
  <w:style w:type="character" w:customStyle="1" w:styleId="43">
    <w:name w:val="页脚 Char"/>
    <w:basedOn w:val="21"/>
    <w:link w:val="13"/>
    <w:qFormat/>
    <w:uiPriority w:val="99"/>
    <w:rPr>
      <w:sz w:val="18"/>
      <w:szCs w:val="18"/>
    </w:rPr>
  </w:style>
  <w:style w:type="character" w:customStyle="1" w:styleId="44">
    <w:name w:val="批注框文本 Char"/>
    <w:basedOn w:val="21"/>
    <w:link w:val="12"/>
    <w:semiHidden/>
    <w:qFormat/>
    <w:uiPriority w:val="99"/>
    <w:rPr>
      <w:rFonts w:ascii="Times New Roman" w:hAnsi="Times New Roman" w:eastAsia="仿宋_GB2312"/>
      <w:sz w:val="18"/>
      <w:szCs w:val="18"/>
    </w:rPr>
  </w:style>
  <w:style w:type="paragraph" w:customStyle="1" w:styleId="45">
    <w:name w:val="修订1"/>
    <w:hidden/>
    <w:semiHidden/>
    <w:qFormat/>
    <w:uiPriority w:val="99"/>
    <w:rPr>
      <w:rFonts w:ascii="Times New Roman" w:hAnsi="Times New Roman" w:eastAsia="仿宋_GB2312" w:cstheme="minorBidi"/>
      <w:kern w:val="2"/>
      <w:sz w:val="32"/>
      <w:szCs w:val="24"/>
      <w:lang w:val="en-US" w:eastAsia="zh-CN" w:bidi="ar-SA"/>
      <w14:ligatures w14:val="standardContextual"/>
    </w:rPr>
  </w:style>
  <w:style w:type="character" w:customStyle="1" w:styleId="46">
    <w:name w:val="未处理的提及1"/>
    <w:basedOn w:val="21"/>
    <w:semiHidden/>
    <w:unhideWhenUsed/>
    <w:qFormat/>
    <w:uiPriority w:val="99"/>
    <w:rPr>
      <w:color w:val="605E5C"/>
      <w:shd w:val="clear" w:color="auto" w:fill="E1DFDD"/>
    </w:rPr>
  </w:style>
  <w:style w:type="character" w:customStyle="1" w:styleId="47">
    <w:name w:val="批注文字 Char"/>
    <w:basedOn w:val="21"/>
    <w:link w:val="11"/>
    <w:semiHidden/>
    <w:qFormat/>
    <w:uiPriority w:val="99"/>
    <w:rPr>
      <w:rFonts w:eastAsia="仿宋_GB2312" w:cstheme="minorBidi"/>
      <w:kern w:val="2"/>
      <w:sz w:val="32"/>
      <w:szCs w:val="24"/>
      <w14:ligatures w14:val="standardContextual"/>
    </w:rPr>
  </w:style>
  <w:style w:type="character" w:customStyle="1" w:styleId="48">
    <w:name w:val="批注主题 Char"/>
    <w:basedOn w:val="47"/>
    <w:link w:val="18"/>
    <w:semiHidden/>
    <w:qFormat/>
    <w:uiPriority w:val="99"/>
    <w:rPr>
      <w:rFonts w:eastAsia="仿宋_GB2312" w:cstheme="minorBidi"/>
      <w:b/>
      <w:bCs/>
      <w:kern w:val="2"/>
      <w:sz w:val="32"/>
      <w:szCs w:val="24"/>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06e1b288-0adf-4730-9c9c-15197bfb2a60</errorID>
      <errorWord>组织</errorWord>
      <group>L1_Word</group>
      <groupName>字词问题</groupName>
      <ability>L2_Typo</ability>
      <abilityName>字词错误</abilityName>
      <candidateList>
        <item>地组织</item>
      </candidateList>
      <explain/>
      <paraID>7A1CB487</paraID>
      <start>33</start>
      <end>35</end>
      <status>unmodified</status>
      <modifiedWord/>
      <trackRevisions>false</trackRevisions>
    </reviewItem>
    <reviewItem>
      <errorID>4561b5cd-9a6a-4f91-9ce2-914ea51e7c03</errorID>
      <errorWord>大地2000</errorWord>
      <group>L1_Grammar</group>
      <groupName>语法问题</groupName>
      <ability>L2_Grammar</ability>
      <abilityName>语法错误</abilityName>
      <candidateList>
        <item>2000国家大地</item>
      </candidateList>
      <explain/>
      <paraID> 248E152</paraID>
      <start>12</start>
      <end>18</end>
      <status>ignored</status>
      <modifiedWord/>
      <trackRevisions>false</trackRevisions>
    </reviewItem>
    <reviewItem>
      <errorID>97c82b33-3545-476a-a01f-ee0f1abe631d</errorID>
      <errorWord>.</errorWord>
      <group>L1_Format</group>
      <groupName>格式问题</groupName>
      <ability>L2_HalfPunc</ability>
      <abilityName>全半角检查</abilityName>
      <candidateList>
        <item>。</item>
      </candidateList>
      <explain>文本全半角错误。</explain>
      <paraID> 248E152</paraID>
      <start>23</start>
      <end>24</end>
      <status>ignored</status>
      <modifiedWord/>
      <trackRevisions>false</trackRevisions>
    </reviewItem>
    <reviewItem>
      <errorID>df61824f-14c0-44e7-b5e9-0eed41b96b93</errorID>
      <errorWord>县全</errorWord>
      <group>L1_Word</group>
      <groupName>字词问题</groupName>
      <ability>L2_Typo</ability>
      <abilityName>字词错误</abilityName>
      <candidateList>
        <item>县</item>
      </candidateList>
      <explain/>
      <paraID>78C6D411</paraID>
      <start>21</start>
      <end>23</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3d8e1-c4e3-4342-bf74-fe4043eb2367}">
  <ds:schemaRefs/>
</ds:datastoreItem>
</file>

<file path=customXml/itemProps2.xml><?xml version="1.0" encoding="utf-8"?>
<ds:datastoreItem xmlns:ds="http://schemas.openxmlformats.org/officeDocument/2006/customXml" ds:itemID="{F9FC1E6B-56BA-4D62-90AE-39574E769BA8}">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1097</Words>
  <Characters>1105</Characters>
  <Lines>25</Lines>
  <Paragraphs>7</Paragraphs>
  <TotalTime>72</TotalTime>
  <ScaleCrop>false</ScaleCrop>
  <LinksUpToDate>false</LinksUpToDate>
  <CharactersWithSpaces>1105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2026-06-15T03:06:00Z</dcterms:created>
  <dc:creator>杨尚丹</dc:creator>
  <cp:lastModifiedBy>唯有你</cp:lastModifiedBy>
  <cp:lastPrinted>2026-06-15T08:59:00Z</cp:lastPrinted>
  <dcterms:modified xsi:type="dcterms:W3CDTF">2026-06-15T10:20:45Z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CA3EBB0603904C759468055904D1D369_13</vt:lpwstr>
  </property>
  <property fmtid="{D5CDD505-2E9C-101B-9397-08002B2CF9AE}" pid="4" name="KSOTemplateDocerSaveRecord">
    <vt:lpwstr>eyJoZGlkIjoiZWI5OGY1M2MyMGExMTdmNWE2N2NlNzY1NzExNTBhODciLCJ1c2VySWQiOiI2MDEyMTE3NDEifQ==</vt:lpwstr>
  </property>
</Properties>
</file>