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57021">
      <w:pPr>
        <w:pStyle w:val="2"/>
        <w:spacing w:line="249" w:lineRule="auto"/>
      </w:pPr>
    </w:p>
    <w:p w14:paraId="4FC30667">
      <w:pPr>
        <w:pStyle w:val="2"/>
        <w:spacing w:line="249" w:lineRule="auto"/>
      </w:pPr>
    </w:p>
    <w:p w14:paraId="08C42D1B">
      <w:pPr>
        <w:pStyle w:val="2"/>
        <w:spacing w:line="249" w:lineRule="auto"/>
      </w:pPr>
    </w:p>
    <w:p w14:paraId="64FA3832">
      <w:pPr>
        <w:pStyle w:val="2"/>
        <w:spacing w:line="249" w:lineRule="auto"/>
      </w:pPr>
    </w:p>
    <w:p w14:paraId="289E3FB3">
      <w:pPr>
        <w:pStyle w:val="2"/>
        <w:spacing w:line="250" w:lineRule="auto"/>
      </w:pPr>
    </w:p>
    <w:p w14:paraId="77F0B050">
      <w:pPr>
        <w:pStyle w:val="2"/>
        <w:spacing w:line="250" w:lineRule="auto"/>
      </w:pPr>
    </w:p>
    <w:p w14:paraId="569A1C8C">
      <w:pPr>
        <w:pStyle w:val="2"/>
        <w:spacing w:line="250" w:lineRule="auto"/>
      </w:pPr>
    </w:p>
    <w:p w14:paraId="20362549">
      <w:pPr>
        <w:pStyle w:val="2"/>
        <w:spacing w:line="250" w:lineRule="auto"/>
      </w:pPr>
    </w:p>
    <w:p w14:paraId="39D68504">
      <w:pPr>
        <w:pStyle w:val="2"/>
        <w:spacing w:line="250" w:lineRule="auto"/>
      </w:pPr>
    </w:p>
    <w:p w14:paraId="5D1F2C81">
      <w:pPr>
        <w:pStyle w:val="2"/>
        <w:spacing w:line="250" w:lineRule="auto"/>
      </w:pPr>
    </w:p>
    <w:p w14:paraId="040B249E">
      <w:pPr>
        <w:pStyle w:val="2"/>
        <w:spacing w:line="250" w:lineRule="auto"/>
      </w:pPr>
    </w:p>
    <w:p w14:paraId="1ECF2670">
      <w:pPr>
        <w:pStyle w:val="2"/>
        <w:spacing w:line="250" w:lineRule="auto"/>
      </w:pPr>
    </w:p>
    <w:p w14:paraId="57595BE6">
      <w:pPr>
        <w:spacing w:before="156" w:line="230" w:lineRule="auto"/>
        <w:ind w:left="3362" w:right="170" w:hanging="2888"/>
        <w:outlineLvl w:val="0"/>
        <w:rPr>
          <w:rFonts w:ascii="黑体" w:hAnsi="黑体" w:eastAsia="黑体" w:cs="黑体"/>
          <w:sz w:val="48"/>
          <w:szCs w:val="48"/>
        </w:rPr>
      </w:pPr>
      <w:r>
        <w:rPr>
          <w:rFonts w:ascii="黑体" w:hAnsi="黑体" w:eastAsia="黑体" w:cs="黑体"/>
          <w:b/>
          <w:bCs/>
          <w:spacing w:val="-5"/>
          <w:sz w:val="48"/>
          <w:szCs w:val="48"/>
        </w:rPr>
        <w:t>鄂尔多斯市杭锦旗详细规划编制单元</w:t>
      </w:r>
      <w:r>
        <w:rPr>
          <w:rFonts w:ascii="黑体" w:hAnsi="黑体" w:eastAsia="黑体" w:cs="黑体"/>
          <w:b/>
          <w:bCs/>
          <w:spacing w:val="-8"/>
          <w:sz w:val="48"/>
          <w:szCs w:val="48"/>
        </w:rPr>
        <w:t>划定报告</w:t>
      </w:r>
    </w:p>
    <w:p w14:paraId="3826CEDE">
      <w:pPr>
        <w:pStyle w:val="2"/>
        <w:spacing w:line="241" w:lineRule="auto"/>
      </w:pPr>
    </w:p>
    <w:p w14:paraId="1134A641">
      <w:pPr>
        <w:pStyle w:val="2"/>
        <w:spacing w:line="241" w:lineRule="auto"/>
      </w:pPr>
    </w:p>
    <w:p w14:paraId="1334D2FA">
      <w:pPr>
        <w:pStyle w:val="2"/>
        <w:spacing w:line="241" w:lineRule="auto"/>
      </w:pPr>
    </w:p>
    <w:p w14:paraId="6C26A8D9">
      <w:pPr>
        <w:pStyle w:val="2"/>
        <w:spacing w:line="241" w:lineRule="auto"/>
      </w:pPr>
    </w:p>
    <w:p w14:paraId="2ECAAF1C">
      <w:pPr>
        <w:pStyle w:val="2"/>
        <w:spacing w:line="241" w:lineRule="auto"/>
      </w:pPr>
    </w:p>
    <w:p w14:paraId="078A076B">
      <w:pPr>
        <w:pStyle w:val="2"/>
        <w:spacing w:line="241" w:lineRule="auto"/>
      </w:pPr>
    </w:p>
    <w:p w14:paraId="5119070E">
      <w:pPr>
        <w:pStyle w:val="2"/>
        <w:spacing w:line="241" w:lineRule="auto"/>
      </w:pPr>
    </w:p>
    <w:p w14:paraId="368725D1">
      <w:pPr>
        <w:pStyle w:val="2"/>
        <w:spacing w:line="241" w:lineRule="auto"/>
      </w:pPr>
    </w:p>
    <w:p w14:paraId="7599E7EF">
      <w:pPr>
        <w:pStyle w:val="2"/>
        <w:spacing w:line="241" w:lineRule="auto"/>
      </w:pPr>
    </w:p>
    <w:p w14:paraId="545A1986">
      <w:pPr>
        <w:pStyle w:val="2"/>
        <w:spacing w:line="241" w:lineRule="auto"/>
      </w:pPr>
    </w:p>
    <w:p w14:paraId="5ABC8120">
      <w:pPr>
        <w:pStyle w:val="2"/>
        <w:spacing w:line="241" w:lineRule="auto"/>
      </w:pPr>
    </w:p>
    <w:p w14:paraId="5610DDC8">
      <w:pPr>
        <w:pStyle w:val="2"/>
        <w:spacing w:line="241" w:lineRule="auto"/>
      </w:pPr>
    </w:p>
    <w:p w14:paraId="0229A294">
      <w:pPr>
        <w:pStyle w:val="2"/>
        <w:spacing w:line="241" w:lineRule="auto"/>
      </w:pPr>
    </w:p>
    <w:p w14:paraId="7F149F69">
      <w:pPr>
        <w:pStyle w:val="2"/>
        <w:spacing w:line="241" w:lineRule="auto"/>
      </w:pPr>
    </w:p>
    <w:p w14:paraId="25D3F09D">
      <w:pPr>
        <w:pStyle w:val="2"/>
        <w:spacing w:line="241" w:lineRule="auto"/>
      </w:pPr>
    </w:p>
    <w:p w14:paraId="4AA3FE2F">
      <w:pPr>
        <w:pStyle w:val="2"/>
        <w:spacing w:line="241" w:lineRule="auto"/>
      </w:pPr>
    </w:p>
    <w:p w14:paraId="6689041D">
      <w:pPr>
        <w:pStyle w:val="2"/>
        <w:spacing w:line="241" w:lineRule="auto"/>
      </w:pPr>
    </w:p>
    <w:p w14:paraId="4997D905">
      <w:pPr>
        <w:pStyle w:val="2"/>
        <w:spacing w:line="241" w:lineRule="auto"/>
      </w:pPr>
    </w:p>
    <w:p w14:paraId="453C0059">
      <w:pPr>
        <w:pStyle w:val="2"/>
        <w:spacing w:line="241" w:lineRule="auto"/>
      </w:pPr>
    </w:p>
    <w:p w14:paraId="111B3737">
      <w:pPr>
        <w:pStyle w:val="2"/>
        <w:spacing w:line="242" w:lineRule="auto"/>
      </w:pPr>
    </w:p>
    <w:p w14:paraId="67CF9F18">
      <w:pPr>
        <w:pStyle w:val="2"/>
        <w:spacing w:line="242" w:lineRule="auto"/>
      </w:pPr>
    </w:p>
    <w:p w14:paraId="0AB936E4">
      <w:pPr>
        <w:pStyle w:val="2"/>
        <w:spacing w:line="242" w:lineRule="auto"/>
      </w:pPr>
    </w:p>
    <w:p w14:paraId="0C69BE38">
      <w:pPr>
        <w:pStyle w:val="2"/>
        <w:spacing w:line="242" w:lineRule="auto"/>
      </w:pPr>
    </w:p>
    <w:p w14:paraId="75DB3ED0">
      <w:pPr>
        <w:pStyle w:val="2"/>
        <w:spacing w:line="242" w:lineRule="auto"/>
      </w:pPr>
    </w:p>
    <w:p w14:paraId="6E4F3024">
      <w:pPr>
        <w:pStyle w:val="2"/>
        <w:spacing w:line="242" w:lineRule="auto"/>
      </w:pPr>
    </w:p>
    <w:p w14:paraId="329BC69D">
      <w:pPr>
        <w:pStyle w:val="2"/>
        <w:spacing w:line="242" w:lineRule="auto"/>
      </w:pPr>
    </w:p>
    <w:p w14:paraId="675ACE24">
      <w:pPr>
        <w:pStyle w:val="2"/>
        <w:spacing w:line="242" w:lineRule="auto"/>
      </w:pPr>
    </w:p>
    <w:p w14:paraId="52ADA95D">
      <w:pPr>
        <w:pStyle w:val="2"/>
        <w:spacing w:line="242" w:lineRule="auto"/>
      </w:pPr>
    </w:p>
    <w:p w14:paraId="167B8BD9">
      <w:pPr>
        <w:pStyle w:val="2"/>
        <w:spacing w:line="242" w:lineRule="auto"/>
      </w:pPr>
    </w:p>
    <w:p w14:paraId="22D070B1">
      <w:pPr>
        <w:pStyle w:val="2"/>
        <w:spacing w:line="242" w:lineRule="auto"/>
      </w:pPr>
    </w:p>
    <w:p w14:paraId="0418BC05">
      <w:pPr>
        <w:pStyle w:val="2"/>
        <w:spacing w:line="242" w:lineRule="auto"/>
      </w:pPr>
    </w:p>
    <w:p w14:paraId="5A8D77CF">
      <w:pPr>
        <w:pStyle w:val="2"/>
        <w:spacing w:line="242" w:lineRule="auto"/>
      </w:pPr>
    </w:p>
    <w:p w14:paraId="14363753">
      <w:pPr>
        <w:pStyle w:val="2"/>
        <w:spacing w:line="242" w:lineRule="auto"/>
      </w:pPr>
    </w:p>
    <w:p w14:paraId="1F91B18E">
      <w:pPr>
        <w:spacing w:before="101" w:line="226" w:lineRule="auto"/>
        <w:ind w:left="3473"/>
        <w:rPr>
          <w:rFonts w:ascii="黑体" w:hAnsi="黑体" w:eastAsia="黑体" w:cs="黑体"/>
          <w:sz w:val="31"/>
          <w:szCs w:val="31"/>
        </w:rPr>
      </w:pPr>
      <w:r>
        <w:rPr>
          <w:rFonts w:ascii="黑体" w:hAnsi="黑体" w:eastAsia="黑体" w:cs="黑体"/>
          <w:b/>
          <w:bCs/>
          <w:spacing w:val="-3"/>
          <w:sz w:val="31"/>
          <w:szCs w:val="31"/>
        </w:rPr>
        <w:t>2024年6月</w:t>
      </w:r>
    </w:p>
    <w:p w14:paraId="4CD87669">
      <w:pPr>
        <w:spacing w:line="226" w:lineRule="auto"/>
        <w:rPr>
          <w:rFonts w:ascii="黑体" w:hAnsi="黑体" w:eastAsia="黑体" w:cs="黑体"/>
          <w:sz w:val="31"/>
          <w:szCs w:val="31"/>
        </w:rPr>
        <w:sectPr>
          <w:pgSz w:w="11907" w:h="16839"/>
          <w:pgMar w:top="1431" w:right="1785" w:bottom="0" w:left="1785" w:header="0" w:footer="0" w:gutter="0"/>
          <w:cols w:space="720" w:num="1"/>
        </w:sectPr>
      </w:pPr>
    </w:p>
    <w:sdt>
      <w:sdtPr>
        <w:rPr>
          <w:rFonts w:ascii="宋体" w:hAnsi="宋体" w:eastAsia="宋体" w:cs="宋体"/>
          <w:sz w:val="40"/>
          <w:szCs w:val="40"/>
        </w:rPr>
        <w:id w:val="147464462"/>
        <w:docPartObj>
          <w:docPartGallery w:val="Table of Contents"/>
          <w:docPartUnique/>
        </w:docPartObj>
      </w:sdtPr>
      <w:sdtEndPr>
        <w:rPr>
          <w:rFonts w:ascii="黑体" w:hAnsi="黑体" w:eastAsia="黑体" w:cs="黑体"/>
          <w:sz w:val="24"/>
          <w:szCs w:val="24"/>
        </w:rPr>
      </w:sdtEndPr>
      <w:sdtContent>
        <w:p w14:paraId="0C2461E0">
          <w:pPr>
            <w:spacing w:before="79" w:line="212" w:lineRule="auto"/>
            <w:ind w:left="4127"/>
            <w:rPr>
              <w:rFonts w:ascii="宋体" w:hAnsi="宋体" w:eastAsia="宋体" w:cs="宋体"/>
              <w:sz w:val="40"/>
              <w:szCs w:val="40"/>
            </w:rPr>
          </w:pPr>
          <w:r>
            <w:rPr>
              <w:rFonts w:ascii="宋体" w:hAnsi="宋体" w:eastAsia="宋体" w:cs="宋体"/>
              <w:b/>
              <w:bCs/>
              <w:spacing w:val="-27"/>
              <w:sz w:val="40"/>
              <w:szCs w:val="40"/>
            </w:rPr>
            <w:t>目录</w:t>
          </w:r>
        </w:p>
        <w:p w14:paraId="456ED0E2">
          <w:pPr>
            <w:tabs>
              <w:tab w:val="right" w:leader="dot" w:pos="9055"/>
            </w:tabs>
            <w:spacing w:before="115" w:line="185" w:lineRule="auto"/>
            <w:ind w:left="73"/>
            <w:rPr>
              <w:rFonts w:ascii="黑体" w:hAnsi="黑体" w:eastAsia="黑体" w:cs="黑体"/>
              <w:sz w:val="24"/>
              <w:szCs w:val="24"/>
            </w:rPr>
          </w:pPr>
          <w:bookmarkStart w:id="0" w:name="bookmark1"/>
          <w:bookmarkEnd w:id="0"/>
          <w:r>
            <w:fldChar w:fldCharType="begin"/>
          </w:r>
          <w:r>
            <w:instrText xml:space="preserve"> HYPERLINK \l "bookmark2" </w:instrText>
          </w:r>
          <w:r>
            <w:fldChar w:fldCharType="separate"/>
          </w:r>
          <w:r>
            <w:rPr>
              <w:rFonts w:ascii="黑体" w:hAnsi="黑体" w:eastAsia="黑体" w:cs="黑体"/>
              <w:b/>
              <w:bCs/>
              <w:spacing w:val="-8"/>
              <w:sz w:val="24"/>
              <w:szCs w:val="24"/>
            </w:rPr>
            <w:t>1</w:t>
          </w:r>
          <w:r>
            <w:rPr>
              <w:rFonts w:ascii="宋体" w:hAnsi="宋体" w:eastAsia="宋体" w:cs="宋体"/>
              <w:b/>
              <w:bCs/>
              <w:spacing w:val="-8"/>
              <w:sz w:val="24"/>
              <w:szCs w:val="24"/>
            </w:rPr>
            <w:t>基本情况</w:t>
          </w:r>
          <w:r>
            <w:rPr>
              <w:rFonts w:ascii="宋体" w:hAnsi="宋体" w:eastAsia="宋体" w:cs="宋体"/>
              <w:b/>
              <w:bCs/>
              <w:sz w:val="24"/>
              <w:szCs w:val="24"/>
              <w14:textOutline w14:w="4354" w14:cap="flat" w14:cmpd="sng">
                <w14:solidFill>
                  <w14:srgbClr w14:val="000000"/>
                </w14:solidFill>
                <w14:prstDash w14:val="solid"/>
                <w14:miter w14:val="0"/>
              </w14:textOutline>
            </w:rPr>
            <w:tab/>
          </w:r>
          <w:r>
            <w:rPr>
              <w:rFonts w:ascii="黑体" w:hAnsi="黑体" w:eastAsia="黑体" w:cs="黑体"/>
              <w:b/>
              <w:bCs/>
              <w:spacing w:val="-25"/>
              <w:sz w:val="24"/>
              <w:szCs w:val="24"/>
            </w:rPr>
            <w:t>1</w:t>
          </w:r>
          <w:r>
            <w:rPr>
              <w:rFonts w:ascii="黑体" w:hAnsi="黑体" w:eastAsia="黑体" w:cs="黑体"/>
              <w:b/>
              <w:bCs/>
              <w:spacing w:val="-25"/>
              <w:sz w:val="24"/>
              <w:szCs w:val="24"/>
            </w:rPr>
            <w:fldChar w:fldCharType="end"/>
          </w:r>
        </w:p>
        <w:p w14:paraId="2D4BE065">
          <w:pPr>
            <w:tabs>
              <w:tab w:val="right" w:leader="dot" w:pos="9000"/>
            </w:tabs>
            <w:spacing w:before="181" w:line="185" w:lineRule="auto"/>
            <w:ind w:left="18"/>
            <w:rPr>
              <w:rFonts w:ascii="黑体" w:hAnsi="黑体" w:eastAsia="黑体" w:cs="黑体"/>
              <w:sz w:val="24"/>
              <w:szCs w:val="24"/>
            </w:rPr>
          </w:pPr>
          <w:bookmarkStart w:id="1" w:name="bookmark3"/>
          <w:bookmarkEnd w:id="1"/>
          <w:r>
            <w:fldChar w:fldCharType="begin"/>
          </w:r>
          <w:r>
            <w:instrText xml:space="preserve"> HYPERLINK \l "bookmark4" </w:instrText>
          </w:r>
          <w:r>
            <w:fldChar w:fldCharType="separate"/>
          </w:r>
          <w:r>
            <w:rPr>
              <w:rFonts w:ascii="黑体" w:hAnsi="黑体" w:eastAsia="黑体" w:cs="黑体"/>
              <w:spacing w:val="-6"/>
              <w:sz w:val="24"/>
              <w:szCs w:val="24"/>
            </w:rPr>
            <w:t>1.1</w:t>
          </w:r>
          <w:r>
            <w:rPr>
              <w:rFonts w:ascii="宋体" w:hAnsi="宋体" w:eastAsia="宋体" w:cs="宋体"/>
              <w:spacing w:val="-6"/>
              <w:sz w:val="24"/>
              <w:szCs w:val="24"/>
            </w:rPr>
            <w:t>编制目的</w:t>
          </w:r>
          <w:r>
            <w:rPr>
              <w:rFonts w:ascii="宋体" w:hAnsi="宋体" w:eastAsia="宋体" w:cs="宋体"/>
              <w:sz w:val="24"/>
              <w:szCs w:val="24"/>
            </w:rPr>
            <w:tab/>
          </w:r>
          <w:r>
            <w:rPr>
              <w:rFonts w:ascii="黑体" w:hAnsi="黑体" w:eastAsia="黑体" w:cs="黑体"/>
              <w:sz w:val="24"/>
              <w:szCs w:val="24"/>
            </w:rPr>
            <w:t>1</w:t>
          </w:r>
          <w:r>
            <w:rPr>
              <w:rFonts w:ascii="黑体" w:hAnsi="黑体" w:eastAsia="黑体" w:cs="黑体"/>
              <w:sz w:val="24"/>
              <w:szCs w:val="24"/>
            </w:rPr>
            <w:fldChar w:fldCharType="end"/>
          </w:r>
        </w:p>
        <w:p w14:paraId="3132D1D3">
          <w:pPr>
            <w:tabs>
              <w:tab w:val="right" w:leader="dot" w:pos="9000"/>
            </w:tabs>
            <w:spacing w:before="160" w:line="185" w:lineRule="auto"/>
            <w:ind w:left="18"/>
            <w:rPr>
              <w:rFonts w:ascii="黑体" w:hAnsi="黑体" w:eastAsia="黑体" w:cs="黑体"/>
              <w:sz w:val="24"/>
              <w:szCs w:val="24"/>
            </w:rPr>
          </w:pPr>
          <w:bookmarkStart w:id="2" w:name="bookmark5"/>
          <w:bookmarkEnd w:id="2"/>
          <w:r>
            <w:fldChar w:fldCharType="begin"/>
          </w:r>
          <w:r>
            <w:instrText xml:space="preserve"> HYPERLINK \l "bookmark6" </w:instrText>
          </w:r>
          <w:r>
            <w:fldChar w:fldCharType="separate"/>
          </w:r>
          <w:r>
            <w:rPr>
              <w:rFonts w:ascii="黑体" w:hAnsi="黑体" w:eastAsia="黑体" w:cs="黑体"/>
              <w:spacing w:val="-1"/>
              <w:sz w:val="24"/>
              <w:szCs w:val="24"/>
            </w:rPr>
            <w:t>1.2</w:t>
          </w:r>
          <w:r>
            <w:rPr>
              <w:rFonts w:ascii="宋体" w:hAnsi="宋体" w:eastAsia="宋体" w:cs="宋体"/>
              <w:spacing w:val="-1"/>
              <w:sz w:val="24"/>
              <w:szCs w:val="24"/>
            </w:rPr>
            <w:t>《鄂尔多斯市杭锦旗国土空间总体规划（</w:t>
          </w:r>
          <w:r>
            <w:rPr>
              <w:rFonts w:ascii="黑体" w:hAnsi="黑体" w:eastAsia="黑体" w:cs="黑体"/>
              <w:spacing w:val="-1"/>
              <w:sz w:val="24"/>
              <w:szCs w:val="24"/>
            </w:rPr>
            <w:t>2021</w:t>
          </w:r>
          <w:r>
            <w:rPr>
              <w:rFonts w:hint="eastAsia" w:ascii="黑体" w:hAnsi="黑体" w:eastAsia="黑体" w:cs="黑体"/>
              <w:spacing w:val="-1"/>
              <w:sz w:val="24"/>
              <w:szCs w:val="24"/>
              <w:lang w:eastAsia="zh-CN"/>
            </w:rPr>
            <w:t>—</w:t>
          </w:r>
          <w:r>
            <w:rPr>
              <w:rFonts w:ascii="黑体" w:hAnsi="黑体" w:eastAsia="黑体" w:cs="黑体"/>
              <w:spacing w:val="-1"/>
              <w:sz w:val="24"/>
              <w:szCs w:val="24"/>
            </w:rPr>
            <w:t>2035</w:t>
          </w:r>
          <w:r>
            <w:rPr>
              <w:rFonts w:ascii="宋体" w:hAnsi="宋体" w:eastAsia="宋体" w:cs="宋体"/>
              <w:spacing w:val="-2"/>
              <w:sz w:val="24"/>
              <w:szCs w:val="24"/>
            </w:rPr>
            <w:t>年）》主要内容</w:t>
          </w:r>
          <w:r>
            <w:rPr>
              <w:rFonts w:ascii="宋体" w:hAnsi="宋体" w:eastAsia="宋体" w:cs="宋体"/>
              <w:sz w:val="24"/>
              <w:szCs w:val="24"/>
            </w:rPr>
            <w:tab/>
          </w:r>
          <w:r>
            <w:rPr>
              <w:rFonts w:ascii="黑体" w:hAnsi="黑体" w:eastAsia="黑体" w:cs="黑体"/>
              <w:sz w:val="24"/>
              <w:szCs w:val="24"/>
            </w:rPr>
            <w:t>1</w:t>
          </w:r>
          <w:r>
            <w:rPr>
              <w:rFonts w:ascii="黑体" w:hAnsi="黑体" w:eastAsia="黑体" w:cs="黑体"/>
              <w:sz w:val="24"/>
              <w:szCs w:val="24"/>
            </w:rPr>
            <w:fldChar w:fldCharType="end"/>
          </w:r>
        </w:p>
        <w:p w14:paraId="631CDD69">
          <w:pPr>
            <w:tabs>
              <w:tab w:val="right" w:leader="dot" w:pos="9000"/>
            </w:tabs>
            <w:spacing w:before="160" w:line="185" w:lineRule="auto"/>
            <w:ind w:left="18"/>
            <w:rPr>
              <w:rFonts w:ascii="黑体" w:hAnsi="黑体" w:eastAsia="黑体" w:cs="黑体"/>
              <w:sz w:val="24"/>
              <w:szCs w:val="24"/>
            </w:rPr>
          </w:pPr>
          <w:bookmarkStart w:id="3" w:name="bookmark7"/>
          <w:bookmarkEnd w:id="3"/>
          <w:r>
            <w:fldChar w:fldCharType="begin"/>
          </w:r>
          <w:r>
            <w:instrText xml:space="preserve"> HYPERLINK \l "bookmark8" </w:instrText>
          </w:r>
          <w:r>
            <w:fldChar w:fldCharType="separate"/>
          </w:r>
          <w:r>
            <w:rPr>
              <w:rFonts w:ascii="黑体" w:hAnsi="黑体" w:eastAsia="黑体" w:cs="黑体"/>
              <w:spacing w:val="-4"/>
              <w:sz w:val="24"/>
              <w:szCs w:val="24"/>
            </w:rPr>
            <w:t>1.3</w:t>
          </w:r>
          <w:r>
            <w:rPr>
              <w:rFonts w:ascii="宋体" w:hAnsi="宋体" w:eastAsia="宋体" w:cs="宋体"/>
              <w:spacing w:val="-4"/>
              <w:sz w:val="24"/>
              <w:szCs w:val="24"/>
            </w:rPr>
            <w:t>城镇开发边界情况</w:t>
          </w:r>
          <w:r>
            <w:rPr>
              <w:rFonts w:ascii="宋体" w:hAnsi="宋体" w:eastAsia="宋体" w:cs="宋体"/>
              <w:sz w:val="24"/>
              <w:szCs w:val="24"/>
            </w:rPr>
            <w:tab/>
          </w:r>
          <w:r>
            <w:rPr>
              <w:rFonts w:ascii="黑体" w:hAnsi="黑体" w:eastAsia="黑体" w:cs="黑体"/>
              <w:sz w:val="24"/>
              <w:szCs w:val="24"/>
            </w:rPr>
            <w:t>5</w:t>
          </w:r>
          <w:r>
            <w:rPr>
              <w:rFonts w:ascii="黑体" w:hAnsi="黑体" w:eastAsia="黑体" w:cs="黑体"/>
              <w:sz w:val="24"/>
              <w:szCs w:val="24"/>
            </w:rPr>
            <w:fldChar w:fldCharType="end"/>
          </w:r>
        </w:p>
        <w:p w14:paraId="0BF50959">
          <w:pPr>
            <w:tabs>
              <w:tab w:val="right" w:leader="dot" w:pos="9000"/>
            </w:tabs>
            <w:spacing w:before="158" w:line="185" w:lineRule="auto"/>
            <w:ind w:left="18"/>
            <w:rPr>
              <w:rFonts w:ascii="黑体" w:hAnsi="黑体" w:eastAsia="黑体" w:cs="黑体"/>
              <w:sz w:val="24"/>
              <w:szCs w:val="24"/>
            </w:rPr>
          </w:pPr>
          <w:bookmarkStart w:id="4" w:name="bookmark9"/>
          <w:bookmarkEnd w:id="4"/>
          <w:r>
            <w:fldChar w:fldCharType="begin"/>
          </w:r>
          <w:r>
            <w:instrText xml:space="preserve"> HYPERLINK \l "bookmark10" </w:instrText>
          </w:r>
          <w:r>
            <w:fldChar w:fldCharType="separate"/>
          </w:r>
          <w:r>
            <w:rPr>
              <w:rFonts w:ascii="黑体" w:hAnsi="黑体" w:eastAsia="黑体" w:cs="黑体"/>
              <w:spacing w:val="-2"/>
              <w:sz w:val="24"/>
              <w:szCs w:val="24"/>
            </w:rPr>
            <w:t>1.4</w:t>
          </w:r>
          <w:r>
            <w:rPr>
              <w:rFonts w:ascii="宋体" w:hAnsi="宋体" w:eastAsia="宋体" w:cs="宋体"/>
              <w:spacing w:val="-2"/>
              <w:sz w:val="24"/>
              <w:szCs w:val="24"/>
            </w:rPr>
            <w:t>杭锦旗国土空间总体规划对详规单元划定的约束和传导</w:t>
          </w:r>
          <w:r>
            <w:rPr>
              <w:rFonts w:ascii="宋体" w:hAnsi="宋体" w:eastAsia="宋体" w:cs="宋体"/>
              <w:sz w:val="24"/>
              <w:szCs w:val="24"/>
            </w:rPr>
            <w:tab/>
          </w:r>
          <w:r>
            <w:rPr>
              <w:rFonts w:ascii="黑体" w:hAnsi="黑体" w:eastAsia="黑体" w:cs="黑体"/>
              <w:spacing w:val="-6"/>
              <w:sz w:val="24"/>
              <w:szCs w:val="24"/>
            </w:rPr>
            <w:t>10</w:t>
          </w:r>
          <w:r>
            <w:rPr>
              <w:rFonts w:ascii="黑体" w:hAnsi="黑体" w:eastAsia="黑体" w:cs="黑体"/>
              <w:spacing w:val="-6"/>
              <w:sz w:val="24"/>
              <w:szCs w:val="24"/>
            </w:rPr>
            <w:fldChar w:fldCharType="end"/>
          </w:r>
        </w:p>
        <w:p w14:paraId="147F0168">
          <w:pPr>
            <w:tabs>
              <w:tab w:val="right" w:leader="dot" w:pos="9000"/>
            </w:tabs>
            <w:spacing w:before="160" w:line="185" w:lineRule="auto"/>
            <w:ind w:left="18"/>
            <w:rPr>
              <w:rFonts w:ascii="黑体" w:hAnsi="黑体" w:eastAsia="黑体" w:cs="黑体"/>
              <w:sz w:val="24"/>
              <w:szCs w:val="24"/>
            </w:rPr>
          </w:pPr>
          <w:bookmarkStart w:id="5" w:name="bookmark11"/>
          <w:bookmarkEnd w:id="5"/>
          <w:r>
            <w:fldChar w:fldCharType="begin"/>
          </w:r>
          <w:r>
            <w:instrText xml:space="preserve"> HYPERLINK \l "bookmark12" </w:instrText>
          </w:r>
          <w:r>
            <w:fldChar w:fldCharType="separate"/>
          </w:r>
          <w:r>
            <w:rPr>
              <w:rFonts w:ascii="黑体" w:hAnsi="黑体" w:eastAsia="黑体" w:cs="黑体"/>
              <w:spacing w:val="-4"/>
              <w:sz w:val="24"/>
              <w:szCs w:val="24"/>
            </w:rPr>
            <w:t>1.5</w:t>
          </w:r>
          <w:r>
            <w:rPr>
              <w:rFonts w:ascii="宋体" w:hAnsi="宋体" w:eastAsia="宋体" w:cs="宋体"/>
              <w:spacing w:val="-4"/>
              <w:sz w:val="24"/>
              <w:szCs w:val="24"/>
            </w:rPr>
            <w:t>自然地理及行政管理界线</w:t>
          </w:r>
          <w:r>
            <w:rPr>
              <w:rFonts w:ascii="宋体" w:hAnsi="宋体" w:eastAsia="宋体" w:cs="宋体"/>
              <w:sz w:val="24"/>
              <w:szCs w:val="24"/>
            </w:rPr>
            <w:tab/>
          </w:r>
          <w:r>
            <w:rPr>
              <w:rFonts w:ascii="黑体" w:hAnsi="黑体" w:eastAsia="黑体" w:cs="黑体"/>
              <w:spacing w:val="-6"/>
              <w:sz w:val="24"/>
              <w:szCs w:val="24"/>
            </w:rPr>
            <w:t>13</w:t>
          </w:r>
          <w:r>
            <w:rPr>
              <w:rFonts w:ascii="黑体" w:hAnsi="黑体" w:eastAsia="黑体" w:cs="黑体"/>
              <w:spacing w:val="-6"/>
              <w:sz w:val="24"/>
              <w:szCs w:val="24"/>
            </w:rPr>
            <w:fldChar w:fldCharType="end"/>
          </w:r>
        </w:p>
        <w:p w14:paraId="1CE025B8">
          <w:pPr>
            <w:tabs>
              <w:tab w:val="right" w:leader="dot" w:pos="9000"/>
            </w:tabs>
            <w:spacing w:before="161" w:line="185" w:lineRule="auto"/>
            <w:ind w:left="18"/>
            <w:rPr>
              <w:rFonts w:ascii="黑体" w:hAnsi="黑体" w:eastAsia="黑体" w:cs="黑体"/>
              <w:sz w:val="24"/>
              <w:szCs w:val="24"/>
            </w:rPr>
          </w:pPr>
          <w:bookmarkStart w:id="6" w:name="bookmark13"/>
          <w:bookmarkEnd w:id="6"/>
          <w:r>
            <w:fldChar w:fldCharType="begin"/>
          </w:r>
          <w:r>
            <w:instrText xml:space="preserve"> HYPERLINK \l "bookmark14" </w:instrText>
          </w:r>
          <w:r>
            <w:fldChar w:fldCharType="separate"/>
          </w:r>
          <w:r>
            <w:rPr>
              <w:rFonts w:ascii="黑体" w:hAnsi="黑体" w:eastAsia="黑体" w:cs="黑体"/>
              <w:spacing w:val="-5"/>
              <w:sz w:val="24"/>
              <w:szCs w:val="24"/>
            </w:rPr>
            <w:t>1.6</w:t>
          </w:r>
          <w:r>
            <w:rPr>
              <w:rFonts w:ascii="宋体" w:hAnsi="宋体" w:eastAsia="宋体" w:cs="宋体"/>
              <w:spacing w:val="-5"/>
              <w:sz w:val="24"/>
              <w:szCs w:val="24"/>
            </w:rPr>
            <w:t>现状建设情况</w:t>
          </w:r>
          <w:r>
            <w:rPr>
              <w:rFonts w:ascii="宋体" w:hAnsi="宋体" w:eastAsia="宋体" w:cs="宋体"/>
              <w:sz w:val="24"/>
              <w:szCs w:val="24"/>
            </w:rPr>
            <w:tab/>
          </w:r>
          <w:r>
            <w:rPr>
              <w:rFonts w:ascii="黑体" w:hAnsi="黑体" w:eastAsia="黑体" w:cs="黑体"/>
              <w:spacing w:val="-6"/>
              <w:sz w:val="24"/>
              <w:szCs w:val="24"/>
            </w:rPr>
            <w:t>14</w:t>
          </w:r>
          <w:r>
            <w:rPr>
              <w:rFonts w:ascii="黑体" w:hAnsi="黑体" w:eastAsia="黑体" w:cs="黑体"/>
              <w:spacing w:val="-6"/>
              <w:sz w:val="24"/>
              <w:szCs w:val="24"/>
            </w:rPr>
            <w:fldChar w:fldCharType="end"/>
          </w:r>
        </w:p>
        <w:p w14:paraId="2A971722">
          <w:pPr>
            <w:tabs>
              <w:tab w:val="right" w:leader="dot" w:pos="9000"/>
            </w:tabs>
            <w:spacing w:before="158" w:line="185" w:lineRule="auto"/>
            <w:ind w:left="18"/>
            <w:rPr>
              <w:rFonts w:ascii="黑体" w:hAnsi="黑体" w:eastAsia="黑体" w:cs="黑体"/>
              <w:sz w:val="24"/>
              <w:szCs w:val="24"/>
            </w:rPr>
          </w:pPr>
          <w:bookmarkStart w:id="7" w:name="bookmark15"/>
          <w:bookmarkEnd w:id="7"/>
          <w:r>
            <w:fldChar w:fldCharType="begin"/>
          </w:r>
          <w:r>
            <w:instrText xml:space="preserve"> HYPERLINK \l "bookmark16" </w:instrText>
          </w:r>
          <w:r>
            <w:fldChar w:fldCharType="separate"/>
          </w:r>
          <w:r>
            <w:rPr>
              <w:rFonts w:ascii="黑体" w:hAnsi="黑体" w:eastAsia="黑体" w:cs="黑体"/>
              <w:spacing w:val="-3"/>
              <w:sz w:val="24"/>
              <w:szCs w:val="24"/>
            </w:rPr>
            <w:t>1.7</w:t>
          </w:r>
          <w:r>
            <w:rPr>
              <w:rFonts w:ascii="宋体" w:hAnsi="宋体" w:eastAsia="宋体" w:cs="宋体"/>
              <w:spacing w:val="-3"/>
              <w:sz w:val="24"/>
              <w:szCs w:val="24"/>
            </w:rPr>
            <w:t>原控规单元划分及实施情况</w:t>
          </w:r>
          <w:r>
            <w:rPr>
              <w:rFonts w:ascii="宋体" w:hAnsi="宋体" w:eastAsia="宋体" w:cs="宋体"/>
              <w:sz w:val="24"/>
              <w:szCs w:val="24"/>
            </w:rPr>
            <w:tab/>
          </w:r>
          <w:r>
            <w:rPr>
              <w:rFonts w:ascii="黑体" w:hAnsi="黑体" w:eastAsia="黑体" w:cs="黑体"/>
              <w:spacing w:val="-6"/>
              <w:sz w:val="24"/>
              <w:szCs w:val="24"/>
            </w:rPr>
            <w:t>15</w:t>
          </w:r>
          <w:r>
            <w:rPr>
              <w:rFonts w:ascii="黑体" w:hAnsi="黑体" w:eastAsia="黑体" w:cs="黑体"/>
              <w:spacing w:val="-6"/>
              <w:sz w:val="24"/>
              <w:szCs w:val="24"/>
            </w:rPr>
            <w:fldChar w:fldCharType="end"/>
          </w:r>
        </w:p>
        <w:p w14:paraId="3D3A7FF5">
          <w:pPr>
            <w:tabs>
              <w:tab w:val="right" w:leader="dot" w:pos="9000"/>
            </w:tabs>
            <w:spacing w:before="161" w:line="185" w:lineRule="auto"/>
            <w:ind w:left="18"/>
            <w:rPr>
              <w:rFonts w:ascii="黑体" w:hAnsi="黑体" w:eastAsia="黑体" w:cs="黑体"/>
              <w:sz w:val="24"/>
              <w:szCs w:val="24"/>
            </w:rPr>
          </w:pPr>
          <w:bookmarkStart w:id="8" w:name="bookmark17"/>
          <w:bookmarkEnd w:id="8"/>
          <w:r>
            <w:fldChar w:fldCharType="begin"/>
          </w:r>
          <w:r>
            <w:instrText xml:space="preserve"> HYPERLINK \l "bookmark18" </w:instrText>
          </w:r>
          <w:r>
            <w:fldChar w:fldCharType="separate"/>
          </w:r>
          <w:r>
            <w:rPr>
              <w:rFonts w:ascii="黑体" w:hAnsi="黑体" w:eastAsia="黑体" w:cs="黑体"/>
              <w:spacing w:val="-5"/>
              <w:sz w:val="24"/>
              <w:szCs w:val="24"/>
            </w:rPr>
            <w:t>1.8</w:t>
          </w:r>
          <w:r>
            <w:rPr>
              <w:rFonts w:ascii="宋体" w:hAnsi="宋体" w:eastAsia="宋体" w:cs="宋体"/>
              <w:spacing w:val="-5"/>
              <w:sz w:val="24"/>
              <w:szCs w:val="24"/>
            </w:rPr>
            <w:t>存在问题</w:t>
          </w:r>
          <w:r>
            <w:rPr>
              <w:rFonts w:ascii="宋体" w:hAnsi="宋体" w:eastAsia="宋体" w:cs="宋体"/>
              <w:sz w:val="24"/>
              <w:szCs w:val="24"/>
            </w:rPr>
            <w:tab/>
          </w:r>
          <w:r>
            <w:rPr>
              <w:rFonts w:ascii="黑体" w:hAnsi="黑体" w:eastAsia="黑体" w:cs="黑体"/>
              <w:spacing w:val="-6"/>
              <w:sz w:val="24"/>
              <w:szCs w:val="24"/>
            </w:rPr>
            <w:t>16</w:t>
          </w:r>
          <w:r>
            <w:rPr>
              <w:rFonts w:ascii="黑体" w:hAnsi="黑体" w:eastAsia="黑体" w:cs="黑体"/>
              <w:spacing w:val="-6"/>
              <w:sz w:val="24"/>
              <w:szCs w:val="24"/>
            </w:rPr>
            <w:fldChar w:fldCharType="end"/>
          </w:r>
        </w:p>
        <w:p w14:paraId="6B2B7DCB">
          <w:pPr>
            <w:tabs>
              <w:tab w:val="right" w:leader="dot" w:pos="9055"/>
            </w:tabs>
            <w:spacing w:before="136" w:line="185" w:lineRule="auto"/>
            <w:ind w:left="59"/>
            <w:rPr>
              <w:rFonts w:ascii="黑体" w:hAnsi="黑体" w:eastAsia="黑体" w:cs="黑体"/>
              <w:sz w:val="24"/>
              <w:szCs w:val="24"/>
            </w:rPr>
          </w:pPr>
          <w:bookmarkStart w:id="9" w:name="bookmark19"/>
          <w:bookmarkEnd w:id="9"/>
          <w:r>
            <w:fldChar w:fldCharType="begin"/>
          </w:r>
          <w:r>
            <w:instrText xml:space="preserve"> HYPERLINK \l "bookmark20" </w:instrText>
          </w:r>
          <w:r>
            <w:fldChar w:fldCharType="separate"/>
          </w:r>
          <w:r>
            <w:rPr>
              <w:rFonts w:ascii="黑体" w:hAnsi="黑体" w:eastAsia="黑体" w:cs="黑体"/>
              <w:b/>
              <w:bCs/>
              <w:spacing w:val="-2"/>
              <w:sz w:val="24"/>
              <w:szCs w:val="24"/>
            </w:rPr>
            <w:t>2</w:t>
          </w:r>
          <w:r>
            <w:rPr>
              <w:rFonts w:ascii="宋体" w:hAnsi="宋体" w:eastAsia="宋体" w:cs="宋体"/>
              <w:b/>
              <w:bCs/>
              <w:spacing w:val="-2"/>
              <w:sz w:val="24"/>
              <w:szCs w:val="24"/>
            </w:rPr>
            <w:t>单元划定思路</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黑体" w:hAnsi="黑体" w:eastAsia="黑体" w:cs="黑体"/>
              <w:b/>
              <w:bCs/>
              <w:spacing w:val="-16"/>
              <w:sz w:val="24"/>
              <w:szCs w:val="24"/>
            </w:rPr>
            <w:t>1</w:t>
          </w:r>
          <w:r>
            <w:rPr>
              <w:rFonts w:ascii="黑体" w:hAnsi="黑体" w:eastAsia="黑体" w:cs="黑体"/>
              <w:b/>
              <w:bCs/>
              <w:spacing w:val="-10"/>
              <w:sz w:val="24"/>
              <w:szCs w:val="24"/>
            </w:rPr>
            <w:t>7</w:t>
          </w:r>
          <w:r>
            <w:rPr>
              <w:rFonts w:ascii="黑体" w:hAnsi="黑体" w:eastAsia="黑体" w:cs="黑体"/>
              <w:b/>
              <w:bCs/>
              <w:spacing w:val="-10"/>
              <w:sz w:val="24"/>
              <w:szCs w:val="24"/>
            </w:rPr>
            <w:fldChar w:fldCharType="end"/>
          </w:r>
        </w:p>
        <w:p w14:paraId="541C4AF7">
          <w:pPr>
            <w:tabs>
              <w:tab w:val="right" w:leader="dot" w:pos="9000"/>
            </w:tabs>
            <w:spacing w:before="182" w:line="185" w:lineRule="auto"/>
            <w:ind w:left="4"/>
            <w:rPr>
              <w:rFonts w:ascii="黑体" w:hAnsi="黑体" w:eastAsia="黑体" w:cs="黑体"/>
              <w:sz w:val="24"/>
              <w:szCs w:val="24"/>
            </w:rPr>
          </w:pPr>
          <w:bookmarkStart w:id="10" w:name="bookmark21"/>
          <w:bookmarkEnd w:id="10"/>
          <w:r>
            <w:fldChar w:fldCharType="begin"/>
          </w:r>
          <w:r>
            <w:instrText xml:space="preserve"> HYPERLINK \l "bookmark22" </w:instrText>
          </w:r>
          <w:r>
            <w:fldChar w:fldCharType="separate"/>
          </w:r>
          <w:r>
            <w:rPr>
              <w:rFonts w:ascii="黑体" w:hAnsi="黑体" w:eastAsia="黑体" w:cs="黑体"/>
              <w:spacing w:val="-3"/>
              <w:sz w:val="24"/>
              <w:szCs w:val="24"/>
            </w:rPr>
            <w:t>2.1</w:t>
          </w:r>
          <w:r>
            <w:rPr>
              <w:rFonts w:ascii="宋体" w:hAnsi="宋体" w:eastAsia="宋体" w:cs="宋体"/>
              <w:spacing w:val="-3"/>
              <w:sz w:val="24"/>
              <w:szCs w:val="24"/>
            </w:rPr>
            <w:t>划定原则</w:t>
          </w:r>
          <w:r>
            <w:rPr>
              <w:rFonts w:ascii="宋体" w:hAnsi="宋体" w:eastAsia="宋体" w:cs="宋体"/>
              <w:sz w:val="24"/>
              <w:szCs w:val="24"/>
            </w:rPr>
            <w:tab/>
          </w:r>
          <w:r>
            <w:rPr>
              <w:rFonts w:ascii="黑体" w:hAnsi="黑体" w:eastAsia="黑体" w:cs="黑体"/>
              <w:spacing w:val="-6"/>
              <w:sz w:val="24"/>
              <w:szCs w:val="24"/>
            </w:rPr>
            <w:t>17</w:t>
          </w:r>
          <w:r>
            <w:rPr>
              <w:rFonts w:ascii="黑体" w:hAnsi="黑体" w:eastAsia="黑体" w:cs="黑体"/>
              <w:spacing w:val="-6"/>
              <w:sz w:val="24"/>
              <w:szCs w:val="24"/>
            </w:rPr>
            <w:fldChar w:fldCharType="end"/>
          </w:r>
        </w:p>
        <w:p w14:paraId="74570840">
          <w:pPr>
            <w:tabs>
              <w:tab w:val="right" w:leader="dot" w:pos="9000"/>
            </w:tabs>
            <w:spacing w:before="160" w:line="185" w:lineRule="auto"/>
            <w:ind w:left="4"/>
            <w:rPr>
              <w:rFonts w:ascii="黑体" w:hAnsi="黑体" w:eastAsia="黑体" w:cs="黑体"/>
              <w:sz w:val="24"/>
              <w:szCs w:val="24"/>
            </w:rPr>
          </w:pPr>
          <w:bookmarkStart w:id="11" w:name="bookmark23"/>
          <w:bookmarkEnd w:id="11"/>
          <w:r>
            <w:fldChar w:fldCharType="begin"/>
          </w:r>
          <w:r>
            <w:instrText xml:space="preserve"> HYPERLINK \l "bookmark24" </w:instrText>
          </w:r>
          <w:r>
            <w:fldChar w:fldCharType="separate"/>
          </w:r>
          <w:r>
            <w:rPr>
              <w:rFonts w:ascii="黑体" w:hAnsi="黑体" w:eastAsia="黑体" w:cs="黑体"/>
              <w:spacing w:val="-3"/>
              <w:sz w:val="24"/>
              <w:szCs w:val="24"/>
            </w:rPr>
            <w:t>2.2</w:t>
          </w:r>
          <w:r>
            <w:rPr>
              <w:rFonts w:ascii="宋体" w:hAnsi="宋体" w:eastAsia="宋体" w:cs="宋体"/>
              <w:spacing w:val="-3"/>
              <w:sz w:val="24"/>
              <w:szCs w:val="24"/>
            </w:rPr>
            <w:t>基础工作</w:t>
          </w:r>
          <w:r>
            <w:rPr>
              <w:rFonts w:ascii="宋体" w:hAnsi="宋体" w:eastAsia="宋体" w:cs="宋体"/>
              <w:sz w:val="24"/>
              <w:szCs w:val="24"/>
            </w:rPr>
            <w:tab/>
          </w:r>
          <w:r>
            <w:rPr>
              <w:rFonts w:ascii="黑体" w:hAnsi="黑体" w:eastAsia="黑体" w:cs="黑体"/>
              <w:spacing w:val="-6"/>
              <w:sz w:val="24"/>
              <w:szCs w:val="24"/>
            </w:rPr>
            <w:t>17</w:t>
          </w:r>
          <w:r>
            <w:rPr>
              <w:rFonts w:ascii="黑体" w:hAnsi="黑体" w:eastAsia="黑体" w:cs="黑体"/>
              <w:spacing w:val="-6"/>
              <w:sz w:val="24"/>
              <w:szCs w:val="24"/>
            </w:rPr>
            <w:fldChar w:fldCharType="end"/>
          </w:r>
        </w:p>
        <w:p w14:paraId="0084486A">
          <w:pPr>
            <w:tabs>
              <w:tab w:val="right" w:leader="dot" w:pos="9000"/>
            </w:tabs>
            <w:spacing w:before="160" w:line="185" w:lineRule="auto"/>
            <w:ind w:left="4"/>
            <w:rPr>
              <w:rFonts w:ascii="黑体" w:hAnsi="黑体" w:eastAsia="黑体" w:cs="黑体"/>
              <w:sz w:val="24"/>
              <w:szCs w:val="24"/>
            </w:rPr>
          </w:pPr>
          <w:bookmarkStart w:id="12" w:name="bookmark25"/>
          <w:bookmarkEnd w:id="12"/>
          <w:r>
            <w:fldChar w:fldCharType="begin"/>
          </w:r>
          <w:r>
            <w:instrText xml:space="preserve"> HYPERLINK \l "bookmark26" </w:instrText>
          </w:r>
          <w:r>
            <w:fldChar w:fldCharType="separate"/>
          </w:r>
          <w:r>
            <w:rPr>
              <w:rFonts w:ascii="黑体" w:hAnsi="黑体" w:eastAsia="黑体" w:cs="黑体"/>
              <w:spacing w:val="-3"/>
              <w:sz w:val="24"/>
              <w:szCs w:val="24"/>
            </w:rPr>
            <w:t>2.3</w:t>
          </w:r>
          <w:r>
            <w:rPr>
              <w:rFonts w:ascii="宋体" w:hAnsi="宋体" w:eastAsia="宋体" w:cs="宋体"/>
              <w:spacing w:val="-3"/>
              <w:sz w:val="24"/>
              <w:szCs w:val="24"/>
            </w:rPr>
            <w:t>划定单元规模与依据</w:t>
          </w:r>
          <w:r>
            <w:rPr>
              <w:rFonts w:ascii="宋体" w:hAnsi="宋体" w:eastAsia="宋体" w:cs="宋体"/>
              <w:sz w:val="24"/>
              <w:szCs w:val="24"/>
            </w:rPr>
            <w:tab/>
          </w:r>
          <w:r>
            <w:rPr>
              <w:rFonts w:ascii="黑体" w:hAnsi="黑体" w:eastAsia="黑体" w:cs="黑体"/>
              <w:spacing w:val="-6"/>
              <w:sz w:val="24"/>
              <w:szCs w:val="24"/>
            </w:rPr>
            <w:t>18</w:t>
          </w:r>
          <w:r>
            <w:rPr>
              <w:rFonts w:ascii="黑体" w:hAnsi="黑体" w:eastAsia="黑体" w:cs="黑体"/>
              <w:spacing w:val="-6"/>
              <w:sz w:val="24"/>
              <w:szCs w:val="24"/>
            </w:rPr>
            <w:fldChar w:fldCharType="end"/>
          </w:r>
        </w:p>
        <w:p w14:paraId="3F4F53D7">
          <w:pPr>
            <w:tabs>
              <w:tab w:val="right" w:leader="dot" w:pos="9000"/>
            </w:tabs>
            <w:spacing w:before="158" w:line="185" w:lineRule="auto"/>
            <w:ind w:left="4"/>
            <w:rPr>
              <w:rFonts w:ascii="黑体" w:hAnsi="黑体" w:eastAsia="黑体" w:cs="黑体"/>
              <w:sz w:val="24"/>
              <w:szCs w:val="24"/>
            </w:rPr>
          </w:pPr>
          <w:bookmarkStart w:id="13" w:name="bookmark27"/>
          <w:bookmarkEnd w:id="13"/>
          <w:r>
            <w:fldChar w:fldCharType="begin"/>
          </w:r>
          <w:r>
            <w:instrText xml:space="preserve"> HYPERLINK \l "bookmark28" </w:instrText>
          </w:r>
          <w:r>
            <w:fldChar w:fldCharType="separate"/>
          </w:r>
          <w:r>
            <w:rPr>
              <w:rFonts w:ascii="黑体" w:hAnsi="黑体" w:eastAsia="黑体" w:cs="黑体"/>
              <w:spacing w:val="-3"/>
              <w:sz w:val="24"/>
              <w:szCs w:val="24"/>
            </w:rPr>
            <w:t>2.4</w:t>
          </w:r>
          <w:r>
            <w:rPr>
              <w:rFonts w:ascii="宋体" w:hAnsi="宋体" w:eastAsia="宋体" w:cs="宋体"/>
              <w:spacing w:val="-3"/>
              <w:sz w:val="24"/>
              <w:szCs w:val="24"/>
            </w:rPr>
            <w:t>划定方法</w:t>
          </w:r>
          <w:r>
            <w:rPr>
              <w:rFonts w:ascii="宋体" w:hAnsi="宋体" w:eastAsia="宋体" w:cs="宋体"/>
              <w:sz w:val="24"/>
              <w:szCs w:val="24"/>
            </w:rPr>
            <w:tab/>
          </w:r>
          <w:r>
            <w:rPr>
              <w:rFonts w:ascii="黑体" w:hAnsi="黑体" w:eastAsia="黑体" w:cs="黑体"/>
              <w:spacing w:val="-6"/>
              <w:sz w:val="24"/>
              <w:szCs w:val="24"/>
            </w:rPr>
            <w:t>18</w:t>
          </w:r>
          <w:r>
            <w:rPr>
              <w:rFonts w:ascii="黑体" w:hAnsi="黑体" w:eastAsia="黑体" w:cs="黑体"/>
              <w:spacing w:val="-6"/>
              <w:sz w:val="24"/>
              <w:szCs w:val="24"/>
            </w:rPr>
            <w:fldChar w:fldCharType="end"/>
          </w:r>
        </w:p>
        <w:p w14:paraId="4275484D">
          <w:pPr>
            <w:tabs>
              <w:tab w:val="right" w:leader="dot" w:pos="9055"/>
            </w:tabs>
            <w:spacing w:before="137" w:line="185" w:lineRule="auto"/>
            <w:ind w:left="61"/>
            <w:rPr>
              <w:rFonts w:ascii="黑体" w:hAnsi="黑体" w:eastAsia="黑体" w:cs="黑体"/>
              <w:sz w:val="24"/>
              <w:szCs w:val="24"/>
            </w:rPr>
          </w:pPr>
          <w:bookmarkStart w:id="14" w:name="bookmark29"/>
          <w:bookmarkEnd w:id="14"/>
          <w:r>
            <w:fldChar w:fldCharType="begin"/>
          </w:r>
          <w:r>
            <w:instrText xml:space="preserve"> HYPERLINK \l "bookmark30" </w:instrText>
          </w:r>
          <w:r>
            <w:fldChar w:fldCharType="separate"/>
          </w:r>
          <w:r>
            <w:rPr>
              <w:rFonts w:ascii="黑体" w:hAnsi="黑体" w:eastAsia="黑体" w:cs="黑体"/>
              <w:b/>
              <w:bCs/>
              <w:spacing w:val="-2"/>
              <w:sz w:val="24"/>
              <w:szCs w:val="24"/>
            </w:rPr>
            <w:t>3</w:t>
          </w:r>
          <w:r>
            <w:rPr>
              <w:rFonts w:ascii="宋体" w:hAnsi="宋体" w:eastAsia="宋体" w:cs="宋体"/>
              <w:b/>
              <w:bCs/>
              <w:spacing w:val="-2"/>
              <w:sz w:val="24"/>
              <w:szCs w:val="24"/>
            </w:rPr>
            <w:t>单元划定结果及分析</w:t>
          </w:r>
          <w:r>
            <w:rPr>
              <w:rFonts w:ascii="宋体" w:hAnsi="宋体" w:eastAsia="宋体" w:cs="宋体"/>
              <w:sz w:val="24"/>
              <w:szCs w:val="24"/>
              <w14:textOutline w14:w="4354" w14:cap="flat" w14:cmpd="sng">
                <w14:solidFill>
                  <w14:srgbClr w14:val="000000"/>
                </w14:solidFill>
                <w14:prstDash w14:val="solid"/>
                <w14:miter w14:val="0"/>
              </w14:textOutline>
            </w:rPr>
            <w:tab/>
          </w:r>
          <w:r>
            <w:rPr>
              <w:rFonts w:ascii="黑体" w:hAnsi="黑体" w:eastAsia="黑体" w:cs="黑体"/>
              <w:b/>
              <w:bCs/>
              <w:spacing w:val="-6"/>
              <w:sz w:val="24"/>
              <w:szCs w:val="24"/>
            </w:rPr>
            <w:t>20</w:t>
          </w:r>
          <w:r>
            <w:rPr>
              <w:rFonts w:ascii="黑体" w:hAnsi="黑体" w:eastAsia="黑体" w:cs="黑体"/>
              <w:b/>
              <w:bCs/>
              <w:spacing w:val="-6"/>
              <w:sz w:val="24"/>
              <w:szCs w:val="24"/>
            </w:rPr>
            <w:fldChar w:fldCharType="end"/>
          </w:r>
        </w:p>
        <w:p w14:paraId="7713D81A">
          <w:pPr>
            <w:tabs>
              <w:tab w:val="right" w:leader="dot" w:pos="9000"/>
            </w:tabs>
            <w:spacing w:before="184" w:line="185" w:lineRule="auto"/>
            <w:ind w:left="6"/>
            <w:rPr>
              <w:rFonts w:ascii="黑体" w:hAnsi="黑体" w:eastAsia="黑体" w:cs="黑体"/>
              <w:sz w:val="24"/>
              <w:szCs w:val="24"/>
            </w:rPr>
          </w:pPr>
          <w:bookmarkStart w:id="15" w:name="bookmark31"/>
          <w:bookmarkEnd w:id="15"/>
          <w:r>
            <w:fldChar w:fldCharType="begin"/>
          </w:r>
          <w:r>
            <w:instrText xml:space="preserve"> HYPERLINK \l "bookmark32" </w:instrText>
          </w:r>
          <w:r>
            <w:fldChar w:fldCharType="separate"/>
          </w:r>
          <w:r>
            <w:rPr>
              <w:rFonts w:ascii="黑体" w:hAnsi="黑体" w:eastAsia="黑体" w:cs="黑体"/>
              <w:spacing w:val="-4"/>
              <w:sz w:val="24"/>
              <w:szCs w:val="24"/>
            </w:rPr>
            <w:t>3.1</w:t>
          </w:r>
          <w:r>
            <w:rPr>
              <w:rFonts w:ascii="宋体" w:hAnsi="宋体" w:eastAsia="宋体" w:cs="宋体"/>
              <w:spacing w:val="-4"/>
              <w:sz w:val="24"/>
              <w:szCs w:val="24"/>
            </w:rPr>
            <w:t>单元编码规则</w:t>
          </w:r>
          <w:r>
            <w:rPr>
              <w:rFonts w:ascii="宋体" w:hAnsi="宋体" w:eastAsia="宋体" w:cs="宋体"/>
              <w:sz w:val="24"/>
              <w:szCs w:val="24"/>
            </w:rPr>
            <w:tab/>
          </w:r>
          <w:r>
            <w:rPr>
              <w:rFonts w:ascii="黑体" w:hAnsi="黑体" w:eastAsia="黑体" w:cs="黑体"/>
              <w:spacing w:val="-2"/>
              <w:sz w:val="24"/>
              <w:szCs w:val="24"/>
            </w:rPr>
            <w:t>20</w:t>
          </w:r>
          <w:r>
            <w:rPr>
              <w:rFonts w:ascii="黑体" w:hAnsi="黑体" w:eastAsia="黑体" w:cs="黑体"/>
              <w:spacing w:val="-2"/>
              <w:sz w:val="24"/>
              <w:szCs w:val="24"/>
            </w:rPr>
            <w:fldChar w:fldCharType="end"/>
          </w:r>
        </w:p>
        <w:p w14:paraId="59B3ADD0">
          <w:pPr>
            <w:tabs>
              <w:tab w:val="right" w:leader="dot" w:pos="9000"/>
            </w:tabs>
            <w:spacing w:before="158" w:line="185" w:lineRule="auto"/>
            <w:ind w:left="6"/>
            <w:rPr>
              <w:rFonts w:ascii="黑体" w:hAnsi="黑体" w:eastAsia="黑体" w:cs="黑体"/>
              <w:sz w:val="24"/>
              <w:szCs w:val="24"/>
            </w:rPr>
          </w:pPr>
          <w:bookmarkStart w:id="16" w:name="bookmark33"/>
          <w:bookmarkEnd w:id="16"/>
          <w:r>
            <w:fldChar w:fldCharType="begin"/>
          </w:r>
          <w:r>
            <w:instrText xml:space="preserve"> HYPERLINK \l "bookmark34" </w:instrText>
          </w:r>
          <w:r>
            <w:fldChar w:fldCharType="separate"/>
          </w:r>
          <w:r>
            <w:rPr>
              <w:rFonts w:ascii="黑体" w:hAnsi="黑体" w:eastAsia="黑体" w:cs="黑体"/>
              <w:spacing w:val="-5"/>
              <w:sz w:val="24"/>
              <w:szCs w:val="24"/>
            </w:rPr>
            <w:t>3.2</w:t>
          </w:r>
          <w:r>
            <w:rPr>
              <w:rFonts w:ascii="宋体" w:hAnsi="宋体" w:eastAsia="宋体" w:cs="宋体"/>
              <w:spacing w:val="-5"/>
              <w:sz w:val="24"/>
              <w:szCs w:val="24"/>
            </w:rPr>
            <w:t>单元划定</w:t>
          </w:r>
          <w:r>
            <w:rPr>
              <w:rFonts w:ascii="宋体" w:hAnsi="宋体" w:eastAsia="宋体" w:cs="宋体"/>
              <w:sz w:val="24"/>
              <w:szCs w:val="24"/>
            </w:rPr>
            <w:tab/>
          </w:r>
          <w:r>
            <w:rPr>
              <w:rFonts w:ascii="黑体" w:hAnsi="黑体" w:eastAsia="黑体" w:cs="黑体"/>
              <w:spacing w:val="-2"/>
              <w:sz w:val="24"/>
              <w:szCs w:val="24"/>
            </w:rPr>
            <w:t>20</w:t>
          </w:r>
          <w:r>
            <w:rPr>
              <w:rFonts w:ascii="黑体" w:hAnsi="黑体" w:eastAsia="黑体" w:cs="黑体"/>
              <w:spacing w:val="-2"/>
              <w:sz w:val="24"/>
              <w:szCs w:val="24"/>
            </w:rPr>
            <w:fldChar w:fldCharType="end"/>
          </w:r>
        </w:p>
        <w:p w14:paraId="1B276CEF">
          <w:pPr>
            <w:tabs>
              <w:tab w:val="right" w:leader="dot" w:pos="9000"/>
            </w:tabs>
            <w:spacing w:before="160" w:line="185" w:lineRule="auto"/>
            <w:ind w:left="6"/>
            <w:rPr>
              <w:rFonts w:ascii="黑体" w:hAnsi="黑体" w:eastAsia="黑体" w:cs="黑体"/>
              <w:sz w:val="24"/>
              <w:szCs w:val="24"/>
            </w:rPr>
          </w:pPr>
          <w:bookmarkStart w:id="17" w:name="bookmark35"/>
          <w:bookmarkEnd w:id="17"/>
          <w:r>
            <w:fldChar w:fldCharType="begin"/>
          </w:r>
          <w:r>
            <w:instrText xml:space="preserve"> HYPERLINK \l "bookmark36" </w:instrText>
          </w:r>
          <w:r>
            <w:fldChar w:fldCharType="separate"/>
          </w:r>
          <w:r>
            <w:rPr>
              <w:rFonts w:ascii="黑体" w:hAnsi="黑体" w:eastAsia="黑体" w:cs="黑体"/>
              <w:spacing w:val="-3"/>
              <w:sz w:val="24"/>
              <w:szCs w:val="24"/>
            </w:rPr>
            <w:t>3.3</w:t>
          </w:r>
          <w:r>
            <w:rPr>
              <w:rFonts w:ascii="宋体" w:hAnsi="宋体" w:eastAsia="宋体" w:cs="宋体"/>
              <w:spacing w:val="-3"/>
              <w:sz w:val="24"/>
              <w:szCs w:val="24"/>
            </w:rPr>
            <w:t>详细规划单元划分方案</w:t>
          </w:r>
          <w:r>
            <w:rPr>
              <w:rFonts w:ascii="宋体" w:hAnsi="宋体" w:eastAsia="宋体" w:cs="宋体"/>
              <w:sz w:val="24"/>
              <w:szCs w:val="24"/>
            </w:rPr>
            <w:tab/>
          </w:r>
          <w:r>
            <w:rPr>
              <w:rFonts w:ascii="黑体" w:hAnsi="黑体" w:eastAsia="黑体" w:cs="黑体"/>
              <w:spacing w:val="-2"/>
              <w:sz w:val="24"/>
              <w:szCs w:val="24"/>
            </w:rPr>
            <w:t>23</w:t>
          </w:r>
          <w:r>
            <w:rPr>
              <w:rFonts w:ascii="黑体" w:hAnsi="黑体" w:eastAsia="黑体" w:cs="黑体"/>
              <w:spacing w:val="-2"/>
              <w:sz w:val="24"/>
              <w:szCs w:val="24"/>
            </w:rPr>
            <w:fldChar w:fldCharType="end"/>
          </w:r>
        </w:p>
        <w:p w14:paraId="12F3B0F1">
          <w:pPr>
            <w:tabs>
              <w:tab w:val="right" w:leader="dot" w:pos="9055"/>
            </w:tabs>
            <w:spacing w:before="137" w:line="185" w:lineRule="auto"/>
            <w:ind w:left="55"/>
            <w:rPr>
              <w:rFonts w:ascii="黑体" w:hAnsi="黑体" w:eastAsia="黑体" w:cs="黑体"/>
              <w:sz w:val="24"/>
              <w:szCs w:val="24"/>
            </w:rPr>
          </w:pPr>
          <w:bookmarkStart w:id="18" w:name="bookmark37"/>
          <w:bookmarkEnd w:id="18"/>
          <w:r>
            <w:fldChar w:fldCharType="begin"/>
          </w:r>
          <w:r>
            <w:instrText xml:space="preserve"> HYPERLINK \l "bookmark38" </w:instrText>
          </w:r>
          <w:r>
            <w:fldChar w:fldCharType="separate"/>
          </w:r>
          <w:r>
            <w:rPr>
              <w:rFonts w:ascii="黑体" w:hAnsi="黑体" w:eastAsia="黑体" w:cs="黑体"/>
              <w:b/>
              <w:bCs/>
              <w:spacing w:val="-9"/>
              <w:sz w:val="24"/>
              <w:szCs w:val="24"/>
            </w:rPr>
            <w:t>4</w:t>
          </w:r>
          <w:r>
            <w:rPr>
              <w:rFonts w:ascii="宋体" w:hAnsi="宋体" w:eastAsia="宋体" w:cs="宋体"/>
              <w:b/>
              <w:bCs/>
              <w:spacing w:val="-9"/>
              <w:sz w:val="24"/>
              <w:szCs w:val="24"/>
            </w:rPr>
            <w:t>问题及建议</w:t>
          </w:r>
          <w:r>
            <w:rPr>
              <w:rFonts w:ascii="宋体" w:hAnsi="宋体" w:eastAsia="宋体" w:cs="宋体"/>
              <w:b/>
              <w:bCs/>
              <w:sz w:val="24"/>
              <w:szCs w:val="24"/>
              <w14:textOutline w14:w="4354" w14:cap="flat" w14:cmpd="sng">
                <w14:solidFill>
                  <w14:srgbClr w14:val="000000"/>
                </w14:solidFill>
                <w14:prstDash w14:val="solid"/>
                <w14:miter w14:val="0"/>
              </w14:textOutline>
            </w:rPr>
            <w:tab/>
          </w:r>
          <w:r>
            <w:rPr>
              <w:rFonts w:ascii="黑体" w:hAnsi="黑体" w:eastAsia="黑体" w:cs="黑体"/>
              <w:b/>
              <w:bCs/>
              <w:spacing w:val="-4"/>
              <w:sz w:val="24"/>
              <w:szCs w:val="24"/>
            </w:rPr>
            <w:t>55</w:t>
          </w:r>
          <w:r>
            <w:rPr>
              <w:rFonts w:ascii="黑体" w:hAnsi="黑体" w:eastAsia="黑体" w:cs="黑体"/>
              <w:b/>
              <w:bCs/>
              <w:spacing w:val="-4"/>
              <w:sz w:val="24"/>
              <w:szCs w:val="24"/>
            </w:rPr>
            <w:fldChar w:fldCharType="end"/>
          </w:r>
        </w:p>
        <w:p w14:paraId="04B69732">
          <w:pPr>
            <w:tabs>
              <w:tab w:val="right" w:leader="dot" w:pos="9000"/>
            </w:tabs>
            <w:spacing w:before="182" w:line="185" w:lineRule="auto"/>
            <w:rPr>
              <w:rFonts w:ascii="黑体" w:hAnsi="黑体" w:eastAsia="黑体" w:cs="黑体"/>
              <w:sz w:val="24"/>
              <w:szCs w:val="24"/>
            </w:rPr>
          </w:pPr>
          <w:bookmarkStart w:id="19" w:name="bookmark39"/>
          <w:bookmarkEnd w:id="19"/>
          <w:r>
            <w:fldChar w:fldCharType="begin"/>
          </w:r>
          <w:r>
            <w:instrText xml:space="preserve"> HYPERLINK \l "bookmark40" </w:instrText>
          </w:r>
          <w:r>
            <w:fldChar w:fldCharType="separate"/>
          </w:r>
          <w:r>
            <w:rPr>
              <w:rFonts w:ascii="黑体" w:hAnsi="黑体" w:eastAsia="黑体" w:cs="黑体"/>
              <w:spacing w:val="-2"/>
              <w:sz w:val="24"/>
              <w:szCs w:val="24"/>
            </w:rPr>
            <w:t>4.1</w:t>
          </w:r>
          <w:r>
            <w:rPr>
              <w:rFonts w:ascii="宋体" w:hAnsi="宋体" w:eastAsia="宋体" w:cs="宋体"/>
              <w:spacing w:val="-2"/>
              <w:sz w:val="24"/>
              <w:szCs w:val="24"/>
            </w:rPr>
            <w:t>存在的问题</w:t>
          </w:r>
          <w:r>
            <w:rPr>
              <w:rFonts w:ascii="宋体" w:hAnsi="宋体" w:eastAsia="宋体" w:cs="宋体"/>
              <w:sz w:val="24"/>
              <w:szCs w:val="24"/>
            </w:rPr>
            <w:tab/>
          </w:r>
          <w:r>
            <w:rPr>
              <w:rFonts w:ascii="黑体" w:hAnsi="黑体" w:eastAsia="黑体" w:cs="黑体"/>
              <w:spacing w:val="-1"/>
              <w:sz w:val="24"/>
              <w:szCs w:val="24"/>
            </w:rPr>
            <w:t>55</w:t>
          </w:r>
          <w:r>
            <w:rPr>
              <w:rFonts w:ascii="黑体" w:hAnsi="黑体" w:eastAsia="黑体" w:cs="黑体"/>
              <w:spacing w:val="-1"/>
              <w:sz w:val="24"/>
              <w:szCs w:val="24"/>
            </w:rPr>
            <w:fldChar w:fldCharType="end"/>
          </w:r>
        </w:p>
        <w:p w14:paraId="60C0BA40">
          <w:pPr>
            <w:tabs>
              <w:tab w:val="right" w:leader="dot" w:pos="9000"/>
            </w:tabs>
            <w:spacing w:before="161" w:line="220" w:lineRule="auto"/>
            <w:rPr>
              <w:rFonts w:ascii="黑体" w:hAnsi="黑体" w:eastAsia="黑体" w:cs="黑体"/>
              <w:sz w:val="24"/>
              <w:szCs w:val="24"/>
            </w:rPr>
          </w:pPr>
          <w:bookmarkStart w:id="20" w:name="bookmark41"/>
          <w:bookmarkEnd w:id="20"/>
          <w:r>
            <w:fldChar w:fldCharType="begin"/>
          </w:r>
          <w:r>
            <w:instrText xml:space="preserve"> HYPERLINK \l "bookmark42" </w:instrText>
          </w:r>
          <w:r>
            <w:fldChar w:fldCharType="separate"/>
          </w:r>
          <w:r>
            <w:rPr>
              <w:rFonts w:ascii="黑体" w:hAnsi="黑体" w:eastAsia="黑体" w:cs="黑体"/>
              <w:spacing w:val="-4"/>
              <w:sz w:val="24"/>
              <w:szCs w:val="24"/>
            </w:rPr>
            <w:t>4.2</w:t>
          </w:r>
          <w:r>
            <w:rPr>
              <w:rFonts w:ascii="宋体" w:hAnsi="宋体" w:eastAsia="宋体" w:cs="宋体"/>
              <w:spacing w:val="-4"/>
              <w:sz w:val="24"/>
              <w:szCs w:val="24"/>
            </w:rPr>
            <w:t>建议</w:t>
          </w:r>
          <w:r>
            <w:rPr>
              <w:rFonts w:ascii="宋体" w:hAnsi="宋体" w:eastAsia="宋体" w:cs="宋体"/>
              <w:sz w:val="24"/>
              <w:szCs w:val="24"/>
            </w:rPr>
            <w:tab/>
          </w:r>
          <w:r>
            <w:rPr>
              <w:rFonts w:ascii="黑体" w:hAnsi="黑体" w:eastAsia="黑体" w:cs="黑体"/>
              <w:spacing w:val="-1"/>
              <w:sz w:val="24"/>
              <w:szCs w:val="24"/>
            </w:rPr>
            <w:t>55</w:t>
          </w:r>
          <w:r>
            <w:rPr>
              <w:rFonts w:ascii="黑体" w:hAnsi="黑体" w:eastAsia="黑体" w:cs="黑体"/>
              <w:spacing w:val="-1"/>
              <w:sz w:val="24"/>
              <w:szCs w:val="24"/>
            </w:rPr>
            <w:fldChar w:fldCharType="end"/>
          </w:r>
        </w:p>
      </w:sdtContent>
    </w:sdt>
    <w:p w14:paraId="480D5B83">
      <w:pPr>
        <w:spacing w:line="220" w:lineRule="auto"/>
        <w:rPr>
          <w:rFonts w:ascii="黑体" w:hAnsi="黑体" w:eastAsia="黑体" w:cs="黑体"/>
          <w:sz w:val="24"/>
          <w:szCs w:val="24"/>
        </w:rPr>
        <w:sectPr>
          <w:pgSz w:w="11907" w:h="16839"/>
          <w:pgMar w:top="1397" w:right="1190" w:bottom="0" w:left="1659" w:header="0" w:footer="0" w:gutter="0"/>
          <w:cols w:space="720" w:num="1"/>
        </w:sectPr>
      </w:pPr>
    </w:p>
    <w:p w14:paraId="2956DE98">
      <w:pPr>
        <w:pStyle w:val="2"/>
        <w:spacing w:line="272" w:lineRule="auto"/>
      </w:pPr>
    </w:p>
    <w:p w14:paraId="70539B00">
      <w:pPr>
        <w:spacing w:before="100" w:line="226" w:lineRule="auto"/>
        <w:ind w:left="57"/>
        <w:outlineLvl w:val="0"/>
        <w:rPr>
          <w:rFonts w:ascii="黑体" w:hAnsi="黑体" w:eastAsia="黑体" w:cs="黑体"/>
          <w:sz w:val="31"/>
          <w:szCs w:val="31"/>
        </w:rPr>
      </w:pPr>
      <w:bookmarkStart w:id="21" w:name="bookmark2"/>
      <w:bookmarkEnd w:id="21"/>
      <w:bookmarkStart w:id="22" w:name="bookmark4"/>
      <w:bookmarkEnd w:id="22"/>
      <w:bookmarkStart w:id="23" w:name="bookmark1"/>
      <w:bookmarkEnd w:id="23"/>
      <w:r>
        <w:rPr>
          <w:rFonts w:ascii="黑体" w:hAnsi="黑体" w:eastAsia="黑体" w:cs="黑体"/>
          <w:b/>
          <w:bCs/>
          <w:spacing w:val="-3"/>
          <w:sz w:val="31"/>
          <w:szCs w:val="31"/>
        </w:rPr>
        <w:t>1基本情况</w:t>
      </w:r>
    </w:p>
    <w:p w14:paraId="2C9CE3B5">
      <w:pPr>
        <w:pStyle w:val="2"/>
        <w:spacing w:line="264" w:lineRule="auto"/>
      </w:pPr>
    </w:p>
    <w:p w14:paraId="48964F57">
      <w:pPr>
        <w:spacing w:before="91" w:line="220" w:lineRule="auto"/>
        <w:ind w:left="60"/>
        <w:outlineLvl w:val="0"/>
        <w:rPr>
          <w:rFonts w:ascii="宋体" w:hAnsi="宋体" w:eastAsia="宋体" w:cs="宋体"/>
          <w:sz w:val="28"/>
          <w:szCs w:val="28"/>
        </w:rPr>
      </w:pPr>
      <w:bookmarkStart w:id="24" w:name="bookmark3"/>
      <w:bookmarkEnd w:id="24"/>
      <w:r>
        <w:rPr>
          <w:rFonts w:ascii="宋体" w:hAnsi="宋体" w:eastAsia="宋体" w:cs="宋体"/>
          <w:b/>
          <w:bCs/>
          <w:spacing w:val="-9"/>
          <w:sz w:val="28"/>
          <w:szCs w:val="28"/>
        </w:rPr>
        <w:t>1.1编制目的</w:t>
      </w:r>
    </w:p>
    <w:p w14:paraId="50D7ADF8">
      <w:pPr>
        <w:spacing w:before="205" w:line="219" w:lineRule="auto"/>
        <w:ind w:left="519"/>
        <w:rPr>
          <w:rFonts w:ascii="宋体" w:hAnsi="宋体" w:eastAsia="宋体" w:cs="宋体"/>
          <w:sz w:val="24"/>
          <w:szCs w:val="24"/>
        </w:rPr>
      </w:pPr>
      <w:r>
        <w:rPr>
          <w:rFonts w:ascii="宋体" w:hAnsi="宋体" w:eastAsia="宋体" w:cs="宋体"/>
          <w:spacing w:val="-2"/>
          <w:sz w:val="24"/>
          <w:szCs w:val="24"/>
        </w:rPr>
        <w:t>《中共中央国务院关于建立国土空间规划体系并监督实施的若干意见》（中发</w:t>
      </w:r>
    </w:p>
    <w:p w14:paraId="7F3CF3E0">
      <w:pPr>
        <w:spacing w:before="183" w:line="350" w:lineRule="auto"/>
        <w:ind w:left="36" w:right="44" w:firstLine="39"/>
        <w:rPr>
          <w:rFonts w:ascii="宋体" w:hAnsi="宋体" w:eastAsia="宋体" w:cs="宋体"/>
          <w:sz w:val="24"/>
          <w:szCs w:val="24"/>
        </w:rPr>
      </w:pPr>
      <w:r>
        <w:rPr>
          <w:rFonts w:hint="eastAsia" w:ascii="宋体" w:hAnsi="宋体" w:eastAsia="宋体" w:cs="宋体"/>
          <w:spacing w:val="-8"/>
          <w:sz w:val="24"/>
          <w:szCs w:val="24"/>
          <w:lang w:eastAsia="zh-CN"/>
        </w:rPr>
        <w:t>〔2019〕</w:t>
      </w:r>
      <w:r>
        <w:rPr>
          <w:rFonts w:ascii="宋体" w:hAnsi="宋体" w:eastAsia="宋体" w:cs="宋体"/>
          <w:spacing w:val="-8"/>
          <w:sz w:val="24"/>
          <w:szCs w:val="24"/>
        </w:rPr>
        <w:t>18号）明确了“详细规划是对具体地块用途和开发建设强度等作出的实施性安排，</w:t>
      </w:r>
      <w:r>
        <w:rPr>
          <w:rFonts w:ascii="宋体" w:hAnsi="宋体" w:eastAsia="宋体" w:cs="宋体"/>
          <w:spacing w:val="1"/>
          <w:sz w:val="24"/>
          <w:szCs w:val="24"/>
        </w:rPr>
        <w:t>是开展国土空间开发保护活动、实施国土空</w:t>
      </w:r>
      <w:r>
        <w:rPr>
          <w:rFonts w:ascii="宋体" w:hAnsi="宋体" w:eastAsia="宋体" w:cs="宋体"/>
          <w:sz w:val="24"/>
          <w:szCs w:val="24"/>
        </w:rPr>
        <w:t>间用途管制、核发城乡建设项目规划许可、</w:t>
      </w:r>
      <w:r>
        <w:rPr>
          <w:rFonts w:ascii="宋体" w:hAnsi="宋体" w:eastAsia="宋体" w:cs="宋体"/>
          <w:spacing w:val="-3"/>
          <w:sz w:val="24"/>
          <w:szCs w:val="24"/>
        </w:rPr>
        <w:t>进行各项建设等的法定依据。</w:t>
      </w:r>
    </w:p>
    <w:p w14:paraId="1E4F3514">
      <w:pPr>
        <w:spacing w:before="33" w:line="353" w:lineRule="auto"/>
        <w:ind w:left="37" w:right="119" w:firstLine="483"/>
        <w:jc w:val="both"/>
        <w:rPr>
          <w:rFonts w:ascii="宋体" w:hAnsi="宋体" w:eastAsia="宋体" w:cs="宋体"/>
          <w:sz w:val="24"/>
          <w:szCs w:val="24"/>
        </w:rPr>
      </w:pPr>
      <w:r>
        <w:rPr>
          <w:rFonts w:ascii="宋体" w:hAnsi="宋体" w:eastAsia="宋体" w:cs="宋体"/>
          <w:spacing w:val="-4"/>
          <w:sz w:val="24"/>
          <w:szCs w:val="24"/>
        </w:rPr>
        <w:t>2023年3月自然资源部印发《关于加强国土空间详细规</w:t>
      </w:r>
      <w:r>
        <w:rPr>
          <w:rFonts w:ascii="宋体" w:hAnsi="宋体" w:eastAsia="宋体" w:cs="宋体"/>
          <w:spacing w:val="-5"/>
          <w:sz w:val="24"/>
          <w:szCs w:val="24"/>
        </w:rPr>
        <w:t>划工作的通知》进一步强调</w:t>
      </w:r>
      <w:r>
        <w:rPr>
          <w:rFonts w:ascii="宋体" w:hAnsi="宋体" w:eastAsia="宋体" w:cs="宋体"/>
          <w:spacing w:val="-2"/>
          <w:sz w:val="24"/>
          <w:szCs w:val="24"/>
        </w:rPr>
        <w:t>了详细规划的法定作用和政策属性；提出了分区分类推进详细规划编制，以及提高详细</w:t>
      </w:r>
      <w:r>
        <w:rPr>
          <w:rFonts w:ascii="宋体" w:hAnsi="宋体" w:eastAsia="宋体" w:cs="宋体"/>
          <w:spacing w:val="-1"/>
          <w:sz w:val="24"/>
          <w:szCs w:val="24"/>
        </w:rPr>
        <w:t>规划的针对性和可实施性的相关要求；同时制定了2023年底前完成详细规划编制单元</w:t>
      </w:r>
      <w:r>
        <w:rPr>
          <w:rFonts w:ascii="宋体" w:hAnsi="宋体" w:eastAsia="宋体" w:cs="宋体"/>
          <w:spacing w:val="-4"/>
          <w:sz w:val="24"/>
          <w:szCs w:val="24"/>
        </w:rPr>
        <w:t>划定工作的具体任务。</w:t>
      </w:r>
    </w:p>
    <w:p w14:paraId="099966E2">
      <w:pPr>
        <w:spacing w:before="35" w:line="354" w:lineRule="auto"/>
        <w:ind w:left="40" w:firstLine="480"/>
        <w:jc w:val="both"/>
        <w:rPr>
          <w:rFonts w:ascii="宋体" w:hAnsi="宋体" w:eastAsia="宋体" w:cs="宋体"/>
          <w:sz w:val="24"/>
          <w:szCs w:val="24"/>
        </w:rPr>
      </w:pPr>
      <w:r>
        <w:rPr>
          <w:rFonts w:ascii="宋体" w:hAnsi="宋体" w:eastAsia="宋体" w:cs="宋体"/>
          <w:spacing w:val="-8"/>
          <w:sz w:val="24"/>
          <w:szCs w:val="24"/>
        </w:rPr>
        <w:t>2023年5月内蒙古自然资源厅印发《关于推进规划用地“多审合一</w:t>
      </w:r>
      <w:r>
        <w:rPr>
          <w:rFonts w:hint="eastAsia" w:ascii="宋体" w:hAnsi="宋体" w:eastAsia="宋体" w:cs="宋体"/>
          <w:spacing w:val="-8"/>
          <w:sz w:val="24"/>
          <w:szCs w:val="24"/>
          <w:lang w:eastAsia="zh-CN"/>
        </w:rPr>
        <w:t>”“</w:t>
      </w:r>
      <w:r>
        <w:rPr>
          <w:rFonts w:ascii="宋体" w:hAnsi="宋体" w:eastAsia="宋体" w:cs="宋体"/>
          <w:spacing w:val="-8"/>
          <w:sz w:val="24"/>
          <w:szCs w:val="24"/>
        </w:rPr>
        <w:t>多证合一”</w:t>
      </w:r>
      <w:r>
        <w:rPr>
          <w:rFonts w:ascii="宋体" w:hAnsi="宋体" w:eastAsia="宋体" w:cs="宋体"/>
          <w:spacing w:val="-5"/>
          <w:sz w:val="24"/>
          <w:szCs w:val="24"/>
        </w:rPr>
        <w:t>改革工作的通知》，要求有序做好控制性详细规划编制或修编工作，并提出完成城镇开</w:t>
      </w:r>
      <w:r>
        <w:rPr>
          <w:rFonts w:ascii="宋体" w:hAnsi="宋体" w:eastAsia="宋体" w:cs="宋体"/>
          <w:spacing w:val="-2"/>
          <w:sz w:val="24"/>
          <w:szCs w:val="24"/>
        </w:rPr>
        <w:t>发边界内详规单元划定工作，报自然资源厅备案。同时下发《内蒙古自治区城镇开发边</w:t>
      </w:r>
      <w:r>
        <w:rPr>
          <w:rFonts w:ascii="宋体" w:hAnsi="宋体" w:eastAsia="宋体" w:cs="宋体"/>
          <w:spacing w:val="-5"/>
          <w:sz w:val="24"/>
          <w:szCs w:val="24"/>
        </w:rPr>
        <w:t>界内详细规划编制单元划定技术导则》（试行</w:t>
      </w:r>
      <w:r>
        <w:rPr>
          <w:rFonts w:ascii="宋体" w:hAnsi="宋体" w:eastAsia="宋体" w:cs="宋体"/>
          <w:spacing w:val="-17"/>
          <w:sz w:val="24"/>
          <w:szCs w:val="24"/>
        </w:rPr>
        <w:t>），</w:t>
      </w:r>
      <w:r>
        <w:rPr>
          <w:rFonts w:ascii="宋体" w:hAnsi="宋体" w:eastAsia="宋体" w:cs="宋体"/>
          <w:spacing w:val="-5"/>
          <w:sz w:val="24"/>
          <w:szCs w:val="24"/>
        </w:rPr>
        <w:t>用于指导城镇开发边界内的详细规划编制单元划定工作。</w:t>
      </w:r>
    </w:p>
    <w:p w14:paraId="70283F13">
      <w:pPr>
        <w:spacing w:before="30" w:line="353" w:lineRule="auto"/>
        <w:ind w:left="42" w:right="119" w:firstLine="480"/>
        <w:jc w:val="both"/>
        <w:rPr>
          <w:rFonts w:ascii="宋体" w:hAnsi="宋体" w:eastAsia="宋体" w:cs="宋体"/>
          <w:sz w:val="24"/>
          <w:szCs w:val="24"/>
        </w:rPr>
      </w:pPr>
      <w:r>
        <w:rPr>
          <w:rFonts w:ascii="宋体" w:hAnsi="宋体" w:eastAsia="宋体" w:cs="宋体"/>
          <w:spacing w:val="-2"/>
          <w:sz w:val="24"/>
          <w:szCs w:val="24"/>
        </w:rPr>
        <w:t>结合杭锦旗国土空间详细规划编制实际，按照国土空间规划体系要求，开展杭锦旗中心城区详细规划编制单元划定规划工作，为建立科学有效的传导机制，实现总体规划</w:t>
      </w:r>
      <w:r>
        <w:rPr>
          <w:rFonts w:ascii="宋体" w:hAnsi="宋体" w:eastAsia="宋体" w:cs="宋体"/>
          <w:spacing w:val="-7"/>
          <w:sz w:val="24"/>
          <w:szCs w:val="24"/>
        </w:rPr>
        <w:t>向详细规划的有效传导，结合行政事权统筹生产、生活、生态和安全功能需求，因地制</w:t>
      </w:r>
      <w:r>
        <w:rPr>
          <w:rFonts w:ascii="宋体" w:hAnsi="宋体" w:eastAsia="宋体" w:cs="宋体"/>
          <w:spacing w:val="-4"/>
          <w:sz w:val="24"/>
          <w:szCs w:val="24"/>
        </w:rPr>
        <w:t>宜科学划定详细规划编制单元。</w:t>
      </w:r>
    </w:p>
    <w:p w14:paraId="4D150101">
      <w:pPr>
        <w:spacing w:before="160" w:line="220" w:lineRule="auto"/>
        <w:ind w:left="60"/>
        <w:outlineLvl w:val="0"/>
        <w:rPr>
          <w:rFonts w:ascii="宋体" w:hAnsi="宋体" w:eastAsia="宋体" w:cs="宋体"/>
          <w:sz w:val="28"/>
          <w:szCs w:val="28"/>
        </w:rPr>
      </w:pPr>
      <w:bookmarkStart w:id="25" w:name="bookmark5"/>
      <w:bookmarkEnd w:id="25"/>
      <w:bookmarkStart w:id="26" w:name="bookmark6"/>
      <w:bookmarkEnd w:id="26"/>
      <w:r>
        <w:rPr>
          <w:rFonts w:ascii="宋体" w:hAnsi="宋体" w:eastAsia="宋体" w:cs="宋体"/>
          <w:b/>
          <w:bCs/>
          <w:spacing w:val="-6"/>
          <w:sz w:val="28"/>
          <w:szCs w:val="28"/>
        </w:rPr>
        <w:t>1.2《鄂尔多斯市杭锦旗国土空间总体规划（2021</w:t>
      </w:r>
      <w:r>
        <w:rPr>
          <w:rFonts w:hint="eastAsia" w:ascii="宋体" w:hAnsi="宋体" w:eastAsia="宋体" w:cs="宋体"/>
          <w:b/>
          <w:bCs/>
          <w:spacing w:val="-6"/>
          <w:sz w:val="28"/>
          <w:szCs w:val="28"/>
          <w:lang w:eastAsia="zh-CN"/>
        </w:rPr>
        <w:t>—</w:t>
      </w:r>
      <w:r>
        <w:rPr>
          <w:rFonts w:ascii="宋体" w:hAnsi="宋体" w:eastAsia="宋体" w:cs="宋体"/>
          <w:b/>
          <w:bCs/>
          <w:spacing w:val="-6"/>
          <w:sz w:val="28"/>
          <w:szCs w:val="28"/>
        </w:rPr>
        <w:t>20</w:t>
      </w:r>
      <w:r>
        <w:rPr>
          <w:rFonts w:ascii="宋体" w:hAnsi="宋体" w:eastAsia="宋体" w:cs="宋体"/>
          <w:b/>
          <w:bCs/>
          <w:spacing w:val="-7"/>
          <w:sz w:val="28"/>
          <w:szCs w:val="28"/>
        </w:rPr>
        <w:t>35年）》主要内容</w:t>
      </w:r>
    </w:p>
    <w:p w14:paraId="574D99ED">
      <w:pPr>
        <w:pStyle w:val="2"/>
        <w:spacing w:line="246" w:lineRule="auto"/>
      </w:pPr>
    </w:p>
    <w:p w14:paraId="6D0609F1">
      <w:pPr>
        <w:spacing w:before="78" w:line="220" w:lineRule="auto"/>
        <w:ind w:left="55"/>
        <w:rPr>
          <w:rFonts w:ascii="宋体" w:hAnsi="宋体" w:eastAsia="宋体" w:cs="宋体"/>
          <w:sz w:val="24"/>
          <w:szCs w:val="24"/>
        </w:rPr>
      </w:pPr>
      <w:r>
        <w:rPr>
          <w:rFonts w:ascii="宋体" w:hAnsi="宋体" w:eastAsia="宋体" w:cs="宋体"/>
          <w:spacing w:val="-4"/>
          <w:sz w:val="24"/>
          <w:szCs w:val="24"/>
        </w:rPr>
        <w:t>1.2.1规划范围</w:t>
      </w:r>
    </w:p>
    <w:p w14:paraId="5B948CDB">
      <w:pPr>
        <w:spacing w:before="246" w:line="352" w:lineRule="auto"/>
        <w:ind w:left="41" w:right="122" w:firstLine="476"/>
        <w:jc w:val="both"/>
        <w:rPr>
          <w:rFonts w:ascii="宋体" w:hAnsi="宋体" w:eastAsia="宋体" w:cs="宋体"/>
          <w:sz w:val="24"/>
          <w:szCs w:val="24"/>
        </w:rPr>
      </w:pPr>
      <w:r>
        <w:rPr>
          <w:rFonts w:ascii="宋体" w:hAnsi="宋体" w:eastAsia="宋体" w:cs="宋体"/>
          <w:spacing w:val="-2"/>
          <w:sz w:val="24"/>
          <w:szCs w:val="24"/>
        </w:rPr>
        <w:t>杭锦旗国土空间总体规划范围为杭锦旗全旗域，包括锡尼镇、独贵塔拉镇、吉日嘎</w:t>
      </w:r>
      <w:r>
        <w:rPr>
          <w:rFonts w:ascii="宋体" w:hAnsi="宋体" w:eastAsia="宋体" w:cs="宋体"/>
          <w:spacing w:val="-1"/>
          <w:sz w:val="24"/>
          <w:szCs w:val="24"/>
        </w:rPr>
        <w:t>郎图镇、呼和木独镇、巴拉贡镇和伊和乌素苏木。国土空间总面积为188</w:t>
      </w:r>
      <w:r>
        <w:rPr>
          <w:rFonts w:ascii="宋体" w:hAnsi="宋体" w:eastAsia="宋体" w:cs="宋体"/>
          <w:spacing w:val="-2"/>
          <w:sz w:val="24"/>
          <w:szCs w:val="24"/>
        </w:rPr>
        <w:t>15.67平方公</w:t>
      </w:r>
      <w:r>
        <w:rPr>
          <w:rFonts w:ascii="宋体" w:hAnsi="宋体" w:eastAsia="宋体" w:cs="宋体"/>
          <w:spacing w:val="-12"/>
          <w:sz w:val="24"/>
          <w:szCs w:val="24"/>
        </w:rPr>
        <w:t>里。</w:t>
      </w:r>
    </w:p>
    <w:p w14:paraId="72E60EEE">
      <w:pPr>
        <w:spacing w:before="145" w:line="220" w:lineRule="auto"/>
        <w:ind w:left="55"/>
        <w:rPr>
          <w:rFonts w:ascii="宋体" w:hAnsi="宋体" w:eastAsia="宋体" w:cs="宋体"/>
          <w:sz w:val="24"/>
          <w:szCs w:val="24"/>
        </w:rPr>
      </w:pPr>
      <w:r>
        <w:rPr>
          <w:rFonts w:ascii="宋体" w:hAnsi="宋体" w:eastAsia="宋体" w:cs="宋体"/>
          <w:spacing w:val="-5"/>
          <w:sz w:val="24"/>
          <w:szCs w:val="24"/>
        </w:rPr>
        <w:t>1.2.2发展目标</w:t>
      </w:r>
    </w:p>
    <w:p w14:paraId="2D7B153B">
      <w:pPr>
        <w:spacing w:before="182" w:line="219" w:lineRule="auto"/>
        <w:ind w:left="509"/>
        <w:rPr>
          <w:rFonts w:hint="eastAsia" w:ascii="宋体" w:hAnsi="宋体" w:eastAsia="宋体" w:cs="宋体"/>
          <w:sz w:val="24"/>
          <w:szCs w:val="24"/>
          <w:lang w:eastAsia="zh-CN"/>
        </w:rPr>
      </w:pPr>
      <w:r>
        <w:rPr>
          <w:rFonts w:ascii="宋体" w:hAnsi="宋体" w:eastAsia="宋体" w:cs="宋体"/>
          <w:spacing w:val="-2"/>
          <w:sz w:val="24"/>
          <w:szCs w:val="24"/>
        </w:rPr>
        <w:t>1.建立生态安全屏障，推动社会可持续发展</w:t>
      </w:r>
      <w:r>
        <w:rPr>
          <w:rFonts w:hint="eastAsia" w:ascii="宋体" w:hAnsi="宋体" w:eastAsia="宋体" w:cs="宋体"/>
          <w:spacing w:val="-2"/>
          <w:sz w:val="24"/>
          <w:szCs w:val="24"/>
          <w:lang w:eastAsia="zh-CN"/>
        </w:rPr>
        <w:t>；</w:t>
      </w:r>
    </w:p>
    <w:p w14:paraId="103D219A">
      <w:pPr>
        <w:spacing w:before="180" w:line="220" w:lineRule="auto"/>
        <w:ind w:left="494"/>
        <w:rPr>
          <w:rFonts w:hint="eastAsia" w:ascii="宋体" w:hAnsi="宋体" w:eastAsia="宋体" w:cs="宋体"/>
          <w:sz w:val="24"/>
          <w:szCs w:val="24"/>
          <w:lang w:eastAsia="zh-CN"/>
        </w:rPr>
      </w:pPr>
      <w:r>
        <w:rPr>
          <w:rFonts w:ascii="宋体" w:hAnsi="宋体" w:eastAsia="宋体" w:cs="宋体"/>
          <w:spacing w:val="-2"/>
          <w:sz w:val="24"/>
          <w:szCs w:val="24"/>
        </w:rPr>
        <w:t>2.鄂尔多斯北部新能源产业示范标杆</w:t>
      </w:r>
      <w:r>
        <w:rPr>
          <w:rFonts w:hint="eastAsia" w:ascii="宋体" w:hAnsi="宋体" w:eastAsia="宋体" w:cs="宋体"/>
          <w:spacing w:val="-2"/>
          <w:sz w:val="24"/>
          <w:szCs w:val="24"/>
          <w:lang w:eastAsia="zh-CN"/>
        </w:rPr>
        <w:t>；</w:t>
      </w:r>
    </w:p>
    <w:p w14:paraId="7131A142">
      <w:pPr>
        <w:spacing w:before="183" w:line="219" w:lineRule="auto"/>
        <w:ind w:left="496"/>
        <w:rPr>
          <w:rFonts w:hint="eastAsia" w:ascii="宋体" w:hAnsi="宋体" w:eastAsia="宋体" w:cs="宋体"/>
          <w:sz w:val="24"/>
          <w:szCs w:val="24"/>
          <w:lang w:eastAsia="zh-CN"/>
        </w:rPr>
      </w:pPr>
      <w:r>
        <w:rPr>
          <w:rFonts w:ascii="宋体" w:hAnsi="宋体" w:eastAsia="宋体" w:cs="宋体"/>
          <w:spacing w:val="-1"/>
          <w:sz w:val="24"/>
          <w:szCs w:val="24"/>
        </w:rPr>
        <w:t>3.加大稳定耕地和永久基本农田保护力度，保障粮食安全</w:t>
      </w:r>
      <w:r>
        <w:rPr>
          <w:rFonts w:hint="eastAsia" w:ascii="宋体" w:hAnsi="宋体" w:eastAsia="宋体" w:cs="宋体"/>
          <w:spacing w:val="-1"/>
          <w:sz w:val="24"/>
          <w:szCs w:val="24"/>
          <w:lang w:eastAsia="zh-CN"/>
        </w:rPr>
        <w:t>；</w:t>
      </w:r>
    </w:p>
    <w:p w14:paraId="662662E8">
      <w:pPr>
        <w:spacing w:line="219" w:lineRule="auto"/>
        <w:rPr>
          <w:rFonts w:ascii="宋体" w:hAnsi="宋体" w:eastAsia="宋体" w:cs="宋体"/>
          <w:sz w:val="24"/>
          <w:szCs w:val="24"/>
        </w:rPr>
        <w:sectPr>
          <w:headerReference r:id="rId5" w:type="default"/>
          <w:footerReference r:id="rId6" w:type="default"/>
          <w:pgSz w:w="11907" w:h="16841"/>
          <w:pgMar w:top="1091" w:right="1295" w:bottom="1169" w:left="1390" w:header="859" w:footer="991" w:gutter="0"/>
          <w:cols w:space="720" w:num="1"/>
        </w:sectPr>
      </w:pPr>
    </w:p>
    <w:p w14:paraId="550D8542">
      <w:pPr>
        <w:pStyle w:val="2"/>
        <w:spacing w:line="283" w:lineRule="auto"/>
      </w:pPr>
    </w:p>
    <w:p w14:paraId="2B3256A4">
      <w:pPr>
        <w:spacing w:before="78" w:line="219" w:lineRule="auto"/>
        <w:ind w:left="490"/>
        <w:rPr>
          <w:rFonts w:hint="eastAsia" w:ascii="宋体" w:hAnsi="宋体" w:eastAsia="宋体" w:cs="宋体"/>
          <w:sz w:val="24"/>
          <w:szCs w:val="24"/>
          <w:lang w:eastAsia="zh-CN"/>
        </w:rPr>
      </w:pPr>
      <w:r>
        <w:rPr>
          <w:rFonts w:ascii="宋体" w:hAnsi="宋体" w:eastAsia="宋体" w:cs="宋体"/>
          <w:spacing w:val="-1"/>
          <w:sz w:val="24"/>
          <w:szCs w:val="24"/>
        </w:rPr>
        <w:t>4.土地节约集约程度明显提高，城乡发展差距进一步缩小</w:t>
      </w:r>
      <w:r>
        <w:rPr>
          <w:rFonts w:hint="eastAsia" w:ascii="宋体" w:hAnsi="宋体" w:eastAsia="宋体" w:cs="宋体"/>
          <w:spacing w:val="-1"/>
          <w:sz w:val="24"/>
          <w:szCs w:val="24"/>
          <w:lang w:eastAsia="zh-CN"/>
        </w:rPr>
        <w:t>；</w:t>
      </w:r>
    </w:p>
    <w:p w14:paraId="15E19DD6">
      <w:pPr>
        <w:spacing w:before="180" w:line="220" w:lineRule="auto"/>
        <w:ind w:left="496"/>
        <w:rPr>
          <w:rFonts w:hint="eastAsia" w:ascii="宋体" w:hAnsi="宋体" w:eastAsia="宋体" w:cs="宋体"/>
          <w:sz w:val="24"/>
          <w:szCs w:val="24"/>
          <w:lang w:eastAsia="zh-CN"/>
        </w:rPr>
      </w:pPr>
      <w:r>
        <w:rPr>
          <w:rFonts w:ascii="宋体" w:hAnsi="宋体" w:eastAsia="宋体" w:cs="宋体"/>
          <w:spacing w:val="-2"/>
          <w:sz w:val="24"/>
          <w:szCs w:val="24"/>
        </w:rPr>
        <w:t>5.公用设施体系趋于完善，人居环境明显改善</w:t>
      </w:r>
      <w:r>
        <w:rPr>
          <w:rFonts w:hint="eastAsia" w:ascii="宋体" w:hAnsi="宋体" w:eastAsia="宋体" w:cs="宋体"/>
          <w:spacing w:val="-2"/>
          <w:sz w:val="24"/>
          <w:szCs w:val="24"/>
          <w:lang w:eastAsia="zh-CN"/>
        </w:rPr>
        <w:t>。</w:t>
      </w:r>
    </w:p>
    <w:p w14:paraId="1669DD17">
      <w:pPr>
        <w:spacing w:before="302" w:line="220" w:lineRule="auto"/>
        <w:ind w:left="55"/>
        <w:rPr>
          <w:rFonts w:ascii="宋体" w:hAnsi="宋体" w:eastAsia="宋体" w:cs="宋体"/>
          <w:sz w:val="24"/>
          <w:szCs w:val="24"/>
        </w:rPr>
      </w:pPr>
      <w:r>
        <w:rPr>
          <w:rFonts w:ascii="宋体" w:hAnsi="宋体" w:eastAsia="宋体" w:cs="宋体"/>
          <w:spacing w:val="-5"/>
          <w:sz w:val="24"/>
          <w:szCs w:val="24"/>
        </w:rPr>
        <w:t>1.2.3国土空间开发保护格局</w:t>
      </w:r>
    </w:p>
    <w:p w14:paraId="00B4346C">
      <w:pPr>
        <w:spacing w:before="179" w:line="219" w:lineRule="auto"/>
        <w:ind w:left="521"/>
        <w:rPr>
          <w:rFonts w:ascii="宋体" w:hAnsi="宋体" w:eastAsia="宋体" w:cs="宋体"/>
          <w:sz w:val="24"/>
          <w:szCs w:val="24"/>
        </w:rPr>
      </w:pPr>
      <w:r>
        <w:rPr>
          <w:rFonts w:ascii="宋体" w:hAnsi="宋体" w:eastAsia="宋体" w:cs="宋体"/>
          <w:spacing w:val="-1"/>
          <w:sz w:val="24"/>
          <w:szCs w:val="24"/>
        </w:rPr>
        <w:t>构建“一屏、四廊、三轴、四区”的国土空间开发保护格局</w:t>
      </w:r>
    </w:p>
    <w:p w14:paraId="45F7047A">
      <w:pPr>
        <w:spacing w:before="183" w:line="220" w:lineRule="auto"/>
        <w:ind w:left="535"/>
        <w:rPr>
          <w:rFonts w:ascii="宋体" w:hAnsi="宋体" w:eastAsia="宋体" w:cs="宋体"/>
          <w:sz w:val="24"/>
          <w:szCs w:val="24"/>
        </w:rPr>
      </w:pPr>
      <w:r>
        <w:rPr>
          <w:rFonts w:ascii="宋体" w:hAnsi="宋体" w:eastAsia="宋体" w:cs="宋体"/>
          <w:spacing w:val="-3"/>
          <w:sz w:val="24"/>
          <w:szCs w:val="24"/>
        </w:rPr>
        <w:t>1.保障黄河生态屏障“一屏”的生态功能及防护功能。</w:t>
      </w:r>
    </w:p>
    <w:p w14:paraId="3A1D3F8A">
      <w:pPr>
        <w:spacing w:before="180" w:line="290" w:lineRule="auto"/>
        <w:ind w:left="39" w:right="85" w:firstLine="481"/>
        <w:rPr>
          <w:rFonts w:ascii="宋体" w:hAnsi="宋体" w:eastAsia="宋体" w:cs="宋体"/>
          <w:sz w:val="24"/>
          <w:szCs w:val="24"/>
        </w:rPr>
      </w:pPr>
      <w:r>
        <w:rPr>
          <w:rFonts w:ascii="宋体" w:hAnsi="宋体" w:eastAsia="宋体" w:cs="宋体"/>
          <w:spacing w:val="-10"/>
          <w:sz w:val="24"/>
          <w:szCs w:val="24"/>
        </w:rPr>
        <w:t>2.发挥黄河生态廊道、摩林河生态廊道、陶赖沟生态廊道、毛不拉孔兑生态廊道</w:t>
      </w:r>
      <w:r>
        <w:rPr>
          <w:rFonts w:ascii="宋体" w:hAnsi="宋体" w:eastAsia="宋体" w:cs="宋体"/>
          <w:spacing w:val="-11"/>
          <w:sz w:val="24"/>
          <w:szCs w:val="24"/>
        </w:rPr>
        <w:t>“四</w:t>
      </w:r>
      <w:r>
        <w:rPr>
          <w:rFonts w:ascii="宋体" w:hAnsi="宋体" w:eastAsia="宋体" w:cs="宋体"/>
          <w:spacing w:val="-3"/>
          <w:sz w:val="24"/>
          <w:szCs w:val="24"/>
        </w:rPr>
        <w:t>廊”的联通作用，保护生物迁徙廊道。</w:t>
      </w:r>
    </w:p>
    <w:p w14:paraId="5D9210AC">
      <w:pPr>
        <w:spacing w:before="183" w:line="289" w:lineRule="auto"/>
        <w:ind w:left="45" w:right="85" w:firstLine="477"/>
        <w:rPr>
          <w:rFonts w:ascii="宋体" w:hAnsi="宋体" w:eastAsia="宋体" w:cs="宋体"/>
          <w:sz w:val="24"/>
          <w:szCs w:val="24"/>
        </w:rPr>
      </w:pPr>
      <w:r>
        <w:rPr>
          <w:rFonts w:ascii="宋体" w:hAnsi="宋体" w:eastAsia="宋体" w:cs="宋体"/>
          <w:spacing w:val="-4"/>
          <w:sz w:val="24"/>
          <w:szCs w:val="24"/>
        </w:rPr>
        <w:t>3.发挥沿黄生态经济发展轴、乌锡发展轴、锡磴发展轴“三轴”的统领作用，完善</w:t>
      </w:r>
      <w:r>
        <w:rPr>
          <w:rFonts w:ascii="宋体" w:hAnsi="宋体" w:eastAsia="宋体" w:cs="宋体"/>
          <w:spacing w:val="-7"/>
          <w:sz w:val="24"/>
          <w:szCs w:val="24"/>
        </w:rPr>
        <w:t>空间协调功能。</w:t>
      </w:r>
    </w:p>
    <w:p w14:paraId="4D19FED9">
      <w:pPr>
        <w:spacing w:before="181" w:line="289" w:lineRule="auto"/>
        <w:ind w:left="44" w:firstLine="472"/>
        <w:rPr>
          <w:rFonts w:ascii="宋体" w:hAnsi="宋体" w:eastAsia="宋体" w:cs="宋体"/>
          <w:sz w:val="24"/>
          <w:szCs w:val="24"/>
        </w:rPr>
      </w:pPr>
      <w:r>
        <w:rPr>
          <w:rFonts w:ascii="宋体" w:hAnsi="宋体" w:eastAsia="宋体" w:cs="宋体"/>
          <w:spacing w:val="-8"/>
          <w:sz w:val="24"/>
          <w:szCs w:val="24"/>
        </w:rPr>
        <w:t>4.发挥高质量提升北部沿河区、高品质优化中北部沙漠区、高起点规划中部草原区、</w:t>
      </w:r>
      <w:r>
        <w:rPr>
          <w:rFonts w:ascii="宋体" w:hAnsi="宋体" w:eastAsia="宋体" w:cs="宋体"/>
          <w:spacing w:val="-2"/>
          <w:sz w:val="24"/>
          <w:szCs w:val="24"/>
        </w:rPr>
        <w:t>高标准提升南部生态涵养区“四区”自然资源优势，提升区域生态功能。</w:t>
      </w:r>
    </w:p>
    <w:p w14:paraId="3E74F48A">
      <w:pPr>
        <w:spacing w:before="164" w:line="6430" w:lineRule="exact"/>
        <w:ind w:firstLine="956"/>
      </w:pPr>
      <w:r>
        <w:rPr>
          <w:position w:val="-128"/>
        </w:rPr>
        <w:drawing>
          <wp:inline distT="0" distB="0" distL="0" distR="0">
            <wp:extent cx="4903470" cy="408305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7"/>
                    <a:stretch>
                      <a:fillRect/>
                    </a:stretch>
                  </pic:blipFill>
                  <pic:spPr>
                    <a:xfrm>
                      <a:off x="0" y="0"/>
                      <a:ext cx="4904104" cy="4083050"/>
                    </a:xfrm>
                    <a:prstGeom prst="rect">
                      <a:avLst/>
                    </a:prstGeom>
                  </pic:spPr>
                </pic:pic>
              </a:graphicData>
            </a:graphic>
          </wp:inline>
        </w:drawing>
      </w:r>
    </w:p>
    <w:p w14:paraId="6728C95F">
      <w:pPr>
        <w:spacing w:before="30" w:line="220" w:lineRule="auto"/>
        <w:ind w:left="1945"/>
        <w:rPr>
          <w:rFonts w:ascii="宋体" w:hAnsi="宋体" w:eastAsia="宋体" w:cs="宋体"/>
          <w:sz w:val="18"/>
          <w:szCs w:val="18"/>
        </w:rPr>
      </w:pPr>
      <w:r>
        <w:rPr>
          <w:rFonts w:ascii="宋体" w:hAnsi="宋体" w:eastAsia="宋体" w:cs="宋体"/>
          <w:b/>
          <w:bCs/>
          <w:spacing w:val="-1"/>
          <w:sz w:val="18"/>
          <w:szCs w:val="18"/>
        </w:rPr>
        <w:t>图</w:t>
      </w:r>
      <w:r>
        <w:rPr>
          <w:rFonts w:ascii="Times New Roman" w:hAnsi="Times New Roman" w:eastAsia="Times New Roman" w:cs="Times New Roman"/>
          <w:b/>
          <w:bCs/>
          <w:spacing w:val="-1"/>
          <w:sz w:val="18"/>
          <w:szCs w:val="18"/>
        </w:rPr>
        <w:t>1</w:t>
      </w:r>
      <w:r>
        <w:rPr>
          <w:rFonts w:hint="eastAsia" w:ascii="Times New Roman" w:hAnsi="Times New Roman" w:eastAsia="宋体" w:cs="Times New Roman"/>
          <w:b/>
          <w:bCs/>
          <w:spacing w:val="-1"/>
          <w:sz w:val="18"/>
          <w:szCs w:val="18"/>
          <w:lang w:eastAsia="zh-CN"/>
        </w:rPr>
        <w:t>—</w:t>
      </w:r>
      <w:r>
        <w:rPr>
          <w:rFonts w:ascii="Times New Roman" w:hAnsi="Times New Roman" w:eastAsia="Times New Roman" w:cs="Times New Roman"/>
          <w:b/>
          <w:bCs/>
          <w:spacing w:val="-1"/>
          <w:sz w:val="18"/>
          <w:szCs w:val="18"/>
        </w:rPr>
        <w:t>1</w:t>
      </w:r>
      <w:r>
        <w:rPr>
          <w:rFonts w:ascii="宋体" w:hAnsi="宋体" w:eastAsia="宋体" w:cs="宋体"/>
          <w:b/>
          <w:bCs/>
          <w:spacing w:val="-1"/>
          <w:sz w:val="18"/>
          <w:szCs w:val="18"/>
        </w:rPr>
        <w:t>杭锦旗国土空间总体规划（</w:t>
      </w:r>
      <w:r>
        <w:rPr>
          <w:rFonts w:ascii="Times New Roman" w:hAnsi="Times New Roman" w:eastAsia="Times New Roman" w:cs="Times New Roman"/>
          <w:b/>
          <w:bCs/>
          <w:spacing w:val="-1"/>
          <w:sz w:val="18"/>
          <w:szCs w:val="18"/>
        </w:rPr>
        <w:t>2021</w:t>
      </w:r>
      <w:r>
        <w:rPr>
          <w:rFonts w:hint="eastAsia" w:ascii="Times New Roman" w:hAnsi="Times New Roman" w:eastAsia="宋体" w:cs="Times New Roman"/>
          <w:b/>
          <w:bCs/>
          <w:spacing w:val="-1"/>
          <w:sz w:val="18"/>
          <w:szCs w:val="18"/>
          <w:lang w:eastAsia="zh-CN"/>
        </w:rPr>
        <w:t>—</w:t>
      </w:r>
      <w:r>
        <w:rPr>
          <w:rFonts w:ascii="Times New Roman" w:hAnsi="Times New Roman" w:eastAsia="Times New Roman" w:cs="Times New Roman"/>
          <w:b/>
          <w:bCs/>
          <w:spacing w:val="-1"/>
          <w:sz w:val="18"/>
          <w:szCs w:val="18"/>
        </w:rPr>
        <w:t>2035</w:t>
      </w:r>
      <w:r>
        <w:rPr>
          <w:rFonts w:ascii="宋体" w:hAnsi="宋体" w:eastAsia="宋体" w:cs="宋体"/>
          <w:b/>
          <w:bCs/>
          <w:spacing w:val="-2"/>
          <w:sz w:val="18"/>
          <w:szCs w:val="18"/>
        </w:rPr>
        <w:t>）旗域国土空间开发保护格局图</w:t>
      </w:r>
    </w:p>
    <w:p w14:paraId="41AFC9DE">
      <w:pPr>
        <w:spacing w:before="266" w:line="220" w:lineRule="auto"/>
        <w:ind w:left="55"/>
        <w:rPr>
          <w:rFonts w:ascii="宋体" w:hAnsi="宋体" w:eastAsia="宋体" w:cs="宋体"/>
          <w:sz w:val="24"/>
          <w:szCs w:val="24"/>
        </w:rPr>
      </w:pPr>
      <w:r>
        <w:rPr>
          <w:rFonts w:ascii="宋体" w:hAnsi="宋体" w:eastAsia="宋体" w:cs="宋体"/>
          <w:spacing w:val="-3"/>
          <w:sz w:val="24"/>
          <w:szCs w:val="24"/>
        </w:rPr>
        <w:t>1.2.4城镇规模与职能</w:t>
      </w:r>
    </w:p>
    <w:p w14:paraId="4AF5CC36">
      <w:pPr>
        <w:spacing w:before="183" w:line="219" w:lineRule="auto"/>
        <w:ind w:left="521"/>
        <w:rPr>
          <w:rFonts w:ascii="宋体" w:hAnsi="宋体" w:eastAsia="宋体" w:cs="宋体"/>
          <w:sz w:val="24"/>
          <w:szCs w:val="24"/>
        </w:rPr>
      </w:pPr>
      <w:r>
        <w:rPr>
          <w:rFonts w:ascii="宋体" w:hAnsi="宋体" w:eastAsia="宋体" w:cs="宋体"/>
          <w:spacing w:val="-1"/>
          <w:sz w:val="24"/>
          <w:szCs w:val="24"/>
        </w:rPr>
        <w:t>构建“一屏、四廊、三轴、四区”的国土空间开发保护格局</w:t>
      </w:r>
    </w:p>
    <w:p w14:paraId="5C3D7930">
      <w:pPr>
        <w:spacing w:before="180" w:line="220" w:lineRule="auto"/>
        <w:ind w:left="535"/>
        <w:rPr>
          <w:rFonts w:ascii="宋体" w:hAnsi="宋体" w:eastAsia="宋体" w:cs="宋体"/>
          <w:sz w:val="24"/>
          <w:szCs w:val="24"/>
        </w:rPr>
      </w:pPr>
      <w:r>
        <w:rPr>
          <w:rFonts w:ascii="宋体" w:hAnsi="宋体" w:eastAsia="宋体" w:cs="宋体"/>
          <w:spacing w:val="-3"/>
          <w:sz w:val="24"/>
          <w:szCs w:val="24"/>
        </w:rPr>
        <w:t>1.保障黄河生态屏障“一屏”的生态功能及防护功能。</w:t>
      </w:r>
    </w:p>
    <w:p w14:paraId="73F1D1C6">
      <w:pPr>
        <w:spacing w:line="220" w:lineRule="auto"/>
        <w:rPr>
          <w:rFonts w:ascii="宋体" w:hAnsi="宋体" w:eastAsia="宋体" w:cs="宋体"/>
          <w:sz w:val="24"/>
          <w:szCs w:val="24"/>
        </w:rPr>
        <w:sectPr>
          <w:headerReference r:id="rId7" w:type="default"/>
          <w:footerReference r:id="rId8" w:type="default"/>
          <w:pgSz w:w="11907" w:h="16841"/>
          <w:pgMar w:top="1091" w:right="1330" w:bottom="1168" w:left="1390" w:header="859" w:footer="991" w:gutter="0"/>
          <w:cols w:space="720" w:num="1"/>
        </w:sectPr>
      </w:pPr>
    </w:p>
    <w:p w14:paraId="285E05B1">
      <w:pPr>
        <w:pStyle w:val="2"/>
        <w:spacing w:line="283" w:lineRule="auto"/>
      </w:pPr>
    </w:p>
    <w:p w14:paraId="0D8B7238">
      <w:pPr>
        <w:spacing w:before="78" w:line="220" w:lineRule="auto"/>
        <w:ind w:left="55"/>
        <w:rPr>
          <w:rFonts w:ascii="宋体" w:hAnsi="宋体" w:eastAsia="宋体" w:cs="宋体"/>
          <w:sz w:val="24"/>
          <w:szCs w:val="24"/>
        </w:rPr>
      </w:pPr>
      <w:r>
        <w:rPr>
          <w:rFonts w:ascii="宋体" w:hAnsi="宋体" w:eastAsia="宋体" w:cs="宋体"/>
          <w:spacing w:val="-3"/>
          <w:sz w:val="24"/>
          <w:szCs w:val="24"/>
        </w:rPr>
        <w:t>1.2.5城镇规模与职能</w:t>
      </w:r>
    </w:p>
    <w:p w14:paraId="305D4C9B">
      <w:pPr>
        <w:spacing w:before="179" w:line="220" w:lineRule="auto"/>
        <w:ind w:left="509"/>
        <w:rPr>
          <w:rFonts w:ascii="宋体" w:hAnsi="宋体" w:eastAsia="宋体" w:cs="宋体"/>
          <w:sz w:val="24"/>
          <w:szCs w:val="24"/>
        </w:rPr>
      </w:pPr>
      <w:r>
        <w:rPr>
          <w:rFonts w:ascii="宋体" w:hAnsi="宋体" w:eastAsia="宋体" w:cs="宋体"/>
          <w:spacing w:val="-5"/>
          <w:sz w:val="24"/>
          <w:szCs w:val="24"/>
        </w:rPr>
        <w:t>1.人口与城镇化</w:t>
      </w:r>
    </w:p>
    <w:p w14:paraId="2B642E25">
      <w:pPr>
        <w:spacing w:before="182" w:line="345" w:lineRule="auto"/>
        <w:ind w:left="40" w:right="28" w:firstLine="479"/>
        <w:rPr>
          <w:rFonts w:ascii="宋体" w:hAnsi="宋体" w:eastAsia="宋体" w:cs="宋体"/>
          <w:sz w:val="24"/>
          <w:szCs w:val="24"/>
        </w:rPr>
      </w:pPr>
      <w:r>
        <w:rPr>
          <w:rFonts w:ascii="宋体" w:hAnsi="宋体" w:eastAsia="宋体" w:cs="宋体"/>
          <w:spacing w:val="-5"/>
          <w:sz w:val="24"/>
          <w:szCs w:val="24"/>
        </w:rPr>
        <w:t>规划至2025年，杭锦旗常住人口规模达到11.38万人，城镇常住人口达7.40万</w:t>
      </w:r>
      <w:r>
        <w:rPr>
          <w:rFonts w:ascii="宋体" w:hAnsi="宋体" w:eastAsia="宋体" w:cs="宋体"/>
          <w:spacing w:val="-1"/>
          <w:sz w:val="24"/>
          <w:szCs w:val="24"/>
        </w:rPr>
        <w:t>人，常住人口城镇化水平为65%左右。中心城区常住人口6.5万人。</w:t>
      </w:r>
    </w:p>
    <w:p w14:paraId="3D30E0FC">
      <w:pPr>
        <w:spacing w:before="36" w:line="345" w:lineRule="auto"/>
        <w:ind w:left="40" w:right="100" w:firstLine="479"/>
        <w:rPr>
          <w:rFonts w:ascii="宋体" w:hAnsi="宋体" w:eastAsia="宋体" w:cs="宋体"/>
          <w:sz w:val="24"/>
          <w:szCs w:val="24"/>
        </w:rPr>
      </w:pPr>
      <w:r>
        <w:rPr>
          <w:rFonts w:ascii="宋体" w:hAnsi="宋体" w:eastAsia="宋体" w:cs="宋体"/>
          <w:spacing w:val="-1"/>
          <w:sz w:val="24"/>
          <w:szCs w:val="24"/>
        </w:rPr>
        <w:t>规划至2035年，杭锦旗常住人口规模达到11.52万人，城镇常住人口8.04万人，常住人口城镇化水平为70%左右。中心城区常住人口7.62万人。</w:t>
      </w:r>
    </w:p>
    <w:p w14:paraId="21C9506A">
      <w:pPr>
        <w:spacing w:before="36" w:line="220" w:lineRule="auto"/>
        <w:ind w:left="494"/>
        <w:rPr>
          <w:rFonts w:ascii="宋体" w:hAnsi="宋体" w:eastAsia="宋体" w:cs="宋体"/>
          <w:sz w:val="24"/>
          <w:szCs w:val="24"/>
        </w:rPr>
      </w:pPr>
      <w:r>
        <w:rPr>
          <w:rFonts w:ascii="宋体" w:hAnsi="宋体" w:eastAsia="宋体" w:cs="宋体"/>
          <w:spacing w:val="-3"/>
          <w:sz w:val="24"/>
          <w:szCs w:val="24"/>
        </w:rPr>
        <w:t>2.城镇体系规划</w:t>
      </w:r>
    </w:p>
    <w:p w14:paraId="0FACD714">
      <w:pPr>
        <w:spacing w:before="184" w:line="350" w:lineRule="auto"/>
        <w:ind w:left="21" w:right="33" w:firstLine="496"/>
        <w:rPr>
          <w:rFonts w:ascii="宋体" w:hAnsi="宋体" w:eastAsia="宋体" w:cs="宋体"/>
          <w:sz w:val="24"/>
          <w:szCs w:val="24"/>
        </w:rPr>
      </w:pPr>
      <w:r>
        <w:rPr>
          <w:rFonts w:ascii="宋体" w:hAnsi="宋体" w:eastAsia="宋体" w:cs="宋体"/>
          <w:spacing w:val="-6"/>
          <w:sz w:val="24"/>
          <w:szCs w:val="24"/>
        </w:rPr>
        <w:t>基于旗域生态本底，综合考虑旗域人口分布、产业布局</w:t>
      </w:r>
      <w:r>
        <w:rPr>
          <w:rFonts w:ascii="宋体" w:hAnsi="宋体" w:eastAsia="宋体" w:cs="宋体"/>
          <w:spacing w:val="-7"/>
          <w:sz w:val="24"/>
          <w:szCs w:val="24"/>
        </w:rPr>
        <w:t>和公共资源配置，规划形成</w:t>
      </w:r>
      <w:r>
        <w:rPr>
          <w:rFonts w:ascii="宋体" w:hAnsi="宋体" w:eastAsia="宋体" w:cs="宋体"/>
          <w:sz w:val="24"/>
          <w:szCs w:val="24"/>
        </w:rPr>
        <w:t>“中心城区——重点镇——一般镇”三级城镇体系。包括1个中心城区</w:t>
      </w:r>
      <w:r>
        <w:rPr>
          <w:rFonts w:hint="eastAsia" w:ascii="宋体" w:hAnsi="宋体" w:eastAsia="宋体" w:cs="宋体"/>
          <w:sz w:val="24"/>
          <w:szCs w:val="24"/>
          <w:lang w:eastAsia="zh-CN"/>
        </w:rPr>
        <w:t>、</w:t>
      </w:r>
      <w:r>
        <w:rPr>
          <w:rFonts w:ascii="宋体" w:hAnsi="宋体" w:eastAsia="宋体" w:cs="宋体"/>
          <w:sz w:val="24"/>
          <w:szCs w:val="24"/>
        </w:rPr>
        <w:t>2个重点</w:t>
      </w:r>
      <w:r>
        <w:rPr>
          <w:rFonts w:ascii="宋体" w:hAnsi="宋体" w:eastAsia="宋体" w:cs="宋体"/>
          <w:spacing w:val="-1"/>
          <w:sz w:val="24"/>
          <w:szCs w:val="24"/>
        </w:rPr>
        <w:t>镇</w:t>
      </w:r>
      <w:r>
        <w:rPr>
          <w:rFonts w:hint="eastAsia" w:ascii="宋体" w:hAnsi="宋体" w:eastAsia="宋体" w:cs="宋体"/>
          <w:spacing w:val="-1"/>
          <w:sz w:val="24"/>
          <w:szCs w:val="24"/>
          <w:lang w:eastAsia="zh-CN"/>
        </w:rPr>
        <w:t>、</w:t>
      </w:r>
      <w:r>
        <w:rPr>
          <w:rFonts w:ascii="宋体" w:hAnsi="宋体" w:eastAsia="宋体" w:cs="宋体"/>
          <w:spacing w:val="-1"/>
          <w:sz w:val="24"/>
          <w:szCs w:val="24"/>
        </w:rPr>
        <w:t>3个一般镇，形成三级协同、城镇联动发展的城镇体系。</w:t>
      </w:r>
    </w:p>
    <w:p w14:paraId="7E4F1956">
      <w:pPr>
        <w:spacing w:before="32" w:line="347" w:lineRule="auto"/>
        <w:ind w:left="40" w:right="30" w:firstLine="500"/>
        <w:rPr>
          <w:rFonts w:ascii="宋体" w:hAnsi="宋体" w:eastAsia="宋体" w:cs="宋体"/>
          <w:sz w:val="24"/>
          <w:szCs w:val="24"/>
        </w:rPr>
      </w:pPr>
      <w:r>
        <w:rPr>
          <w:rFonts w:ascii="宋体" w:hAnsi="宋体" w:eastAsia="宋体" w:cs="宋体"/>
          <w:spacing w:val="-7"/>
          <w:sz w:val="24"/>
          <w:szCs w:val="24"/>
        </w:rPr>
        <w:t>中心城区：锡尼镇是杭锦旗的政治、经济、文化中心，是城镇发展</w:t>
      </w:r>
      <w:r>
        <w:rPr>
          <w:rFonts w:ascii="宋体" w:hAnsi="宋体" w:eastAsia="宋体" w:cs="宋体"/>
          <w:spacing w:val="-8"/>
          <w:sz w:val="24"/>
          <w:szCs w:val="24"/>
        </w:rPr>
        <w:t>极核，公共服务</w:t>
      </w:r>
      <w:r>
        <w:rPr>
          <w:rFonts w:ascii="宋体" w:hAnsi="宋体" w:eastAsia="宋体" w:cs="宋体"/>
          <w:spacing w:val="-2"/>
          <w:sz w:val="24"/>
          <w:szCs w:val="24"/>
        </w:rPr>
        <w:t>等级最高，规划期末人口规模为7.62万人。</w:t>
      </w:r>
    </w:p>
    <w:p w14:paraId="145F641B">
      <w:pPr>
        <w:spacing w:before="32" w:line="347" w:lineRule="auto"/>
        <w:ind w:left="40" w:right="30" w:firstLine="500"/>
        <w:rPr>
          <w:rFonts w:ascii="宋体" w:hAnsi="宋体" w:eastAsia="宋体" w:cs="宋体"/>
          <w:spacing w:val="-7"/>
          <w:sz w:val="24"/>
          <w:szCs w:val="24"/>
        </w:rPr>
      </w:pPr>
      <w:r>
        <w:rPr>
          <w:rFonts w:ascii="宋体" w:hAnsi="宋体" w:eastAsia="宋体" w:cs="宋体"/>
          <w:spacing w:val="-7"/>
          <w:sz w:val="24"/>
          <w:szCs w:val="24"/>
        </w:rPr>
        <w:t>重点镇：包括独贵塔拉镇和吉日嘎朗图镇，是杭锦旗政治、经济、文化、生态建设的重点区域，带动区域经济发展，并为各自区域提供完善的公共配套服务。</w:t>
      </w:r>
    </w:p>
    <w:p w14:paraId="3E4C3C60">
      <w:pPr>
        <w:spacing w:before="32" w:line="347" w:lineRule="auto"/>
        <w:ind w:left="40" w:right="30" w:firstLine="500"/>
        <w:rPr>
          <w:rFonts w:ascii="宋体" w:hAnsi="宋体" w:eastAsia="宋体" w:cs="宋体"/>
          <w:spacing w:val="-7"/>
          <w:sz w:val="24"/>
          <w:szCs w:val="24"/>
        </w:rPr>
      </w:pPr>
      <w:r>
        <w:rPr>
          <w:rFonts w:ascii="宋体" w:hAnsi="宋体" w:eastAsia="宋体" w:cs="宋体"/>
          <w:spacing w:val="-7"/>
          <w:sz w:val="24"/>
          <w:szCs w:val="24"/>
        </w:rPr>
        <w:t>一般镇：包括巴拉贡镇、呼和木独镇、伊和乌素苏木3个苏木镇，是城乡统筹的中间节点，是满足周边城乡居民的基本公共服务和需求的镇村服务中心。</w:t>
      </w:r>
    </w:p>
    <w:p w14:paraId="79A1DD77">
      <w:pPr>
        <w:spacing w:before="33" w:line="220" w:lineRule="auto"/>
        <w:ind w:left="496"/>
        <w:rPr>
          <w:rFonts w:ascii="宋体" w:hAnsi="宋体" w:eastAsia="宋体" w:cs="宋体"/>
          <w:sz w:val="24"/>
          <w:szCs w:val="24"/>
        </w:rPr>
      </w:pPr>
      <w:r>
        <w:rPr>
          <w:rFonts w:ascii="宋体" w:hAnsi="宋体" w:eastAsia="宋体" w:cs="宋体"/>
          <w:spacing w:val="-3"/>
          <w:sz w:val="24"/>
          <w:szCs w:val="24"/>
        </w:rPr>
        <w:t>3.城镇职能和发展指引</w:t>
      </w:r>
    </w:p>
    <w:p w14:paraId="7C4AF21D">
      <w:pPr>
        <w:spacing w:before="183" w:line="353" w:lineRule="auto"/>
        <w:ind w:left="39" w:right="30" w:firstLine="501"/>
        <w:rPr>
          <w:rFonts w:ascii="宋体" w:hAnsi="宋体" w:eastAsia="宋体" w:cs="宋体"/>
          <w:sz w:val="24"/>
          <w:szCs w:val="24"/>
        </w:rPr>
      </w:pPr>
      <w:r>
        <w:rPr>
          <w:rFonts w:ascii="宋体" w:hAnsi="宋体" w:eastAsia="宋体" w:cs="宋体"/>
          <w:spacing w:val="-2"/>
          <w:sz w:val="24"/>
          <w:szCs w:val="24"/>
        </w:rPr>
        <w:t>中心城区。推进城市更新，完善中心城区公共服务设施和基础</w:t>
      </w:r>
      <w:r>
        <w:rPr>
          <w:rFonts w:ascii="宋体" w:hAnsi="宋体" w:eastAsia="宋体" w:cs="宋体"/>
          <w:spacing w:val="-3"/>
          <w:sz w:val="24"/>
          <w:szCs w:val="24"/>
        </w:rPr>
        <w:t>设施建设配套，提</w:t>
      </w:r>
      <w:r>
        <w:rPr>
          <w:rFonts w:ascii="宋体" w:hAnsi="宋体" w:eastAsia="宋体" w:cs="宋体"/>
          <w:spacing w:val="-2"/>
          <w:sz w:val="24"/>
          <w:szCs w:val="24"/>
        </w:rPr>
        <w:t>升综合服务水平，加强与杭锦经济开发区新能源产业片区联动发展，形成旗域综合服务和经济产业发展新引擎，打造高品质城镇公共服务发展核心，承担鄂尔多斯市重点镇的</w:t>
      </w:r>
      <w:r>
        <w:rPr>
          <w:rFonts w:ascii="宋体" w:hAnsi="宋体" w:eastAsia="宋体" w:cs="宋体"/>
          <w:spacing w:val="-11"/>
          <w:sz w:val="24"/>
          <w:szCs w:val="24"/>
        </w:rPr>
        <w:t>职能。</w:t>
      </w:r>
    </w:p>
    <w:p w14:paraId="5A675D4D">
      <w:pPr>
        <w:spacing w:before="29" w:line="354" w:lineRule="auto"/>
        <w:ind w:left="40" w:right="17" w:firstLine="478"/>
        <w:jc w:val="both"/>
        <w:rPr>
          <w:rFonts w:ascii="宋体" w:hAnsi="宋体" w:eastAsia="宋体" w:cs="宋体"/>
          <w:sz w:val="24"/>
          <w:szCs w:val="24"/>
        </w:rPr>
      </w:pPr>
      <w:r>
        <w:rPr>
          <w:rFonts w:ascii="宋体" w:hAnsi="宋体" w:eastAsia="宋体" w:cs="宋体"/>
          <w:spacing w:val="-1"/>
          <w:sz w:val="24"/>
          <w:szCs w:val="24"/>
        </w:rPr>
        <w:t>独贵塔拉镇。推动独贵塔拉产业园化工、新材料产业发展，保</w:t>
      </w:r>
      <w:r>
        <w:rPr>
          <w:rFonts w:ascii="宋体" w:hAnsi="宋体" w:eastAsia="宋体" w:cs="宋体"/>
          <w:spacing w:val="-2"/>
          <w:sz w:val="24"/>
          <w:szCs w:val="24"/>
        </w:rPr>
        <w:t>障下游产业链用地。依托良好的交通基础设施和中国库布齐沙漠旅游资源，保障国际沙漠越野赛事项目开展</w:t>
      </w:r>
      <w:r>
        <w:rPr>
          <w:rFonts w:hint="eastAsia" w:ascii="宋体" w:hAnsi="宋体" w:eastAsia="宋体" w:cs="宋体"/>
          <w:spacing w:val="-8"/>
          <w:sz w:val="24"/>
          <w:szCs w:val="24"/>
          <w:lang w:eastAsia="zh-CN"/>
        </w:rPr>
        <w:t>，</w:t>
      </w:r>
      <w:r>
        <w:rPr>
          <w:rFonts w:ascii="宋体" w:hAnsi="宋体" w:eastAsia="宋体" w:cs="宋体"/>
          <w:spacing w:val="-8"/>
          <w:sz w:val="24"/>
          <w:szCs w:val="24"/>
        </w:rPr>
        <w:t>同时加强与达拉特旗、伊金霍洛旗在旅游线路建设方面的联动，提升沙漠旅游服务能</w:t>
      </w:r>
      <w:r>
        <w:rPr>
          <w:rFonts w:ascii="宋体" w:hAnsi="宋体" w:eastAsia="宋体" w:cs="宋体"/>
          <w:spacing w:val="-6"/>
          <w:sz w:val="24"/>
          <w:szCs w:val="24"/>
        </w:rPr>
        <w:t>力。推进杭锦经济开发区独贵塔拉产业园北项目区、南项目区的生活服务能力建设，抢</w:t>
      </w:r>
      <w:r>
        <w:rPr>
          <w:rFonts w:ascii="宋体" w:hAnsi="宋体" w:eastAsia="宋体" w:cs="宋体"/>
          <w:spacing w:val="-1"/>
          <w:sz w:val="24"/>
          <w:szCs w:val="24"/>
        </w:rPr>
        <w:t>先布局塔然高勒铀、煤矿产开发和物流配套，积极保障</w:t>
      </w:r>
      <w:r>
        <w:rPr>
          <w:rFonts w:ascii="宋体" w:hAnsi="宋体" w:eastAsia="宋体" w:cs="宋体"/>
          <w:spacing w:val="-2"/>
          <w:sz w:val="24"/>
          <w:szCs w:val="24"/>
        </w:rPr>
        <w:t>特色养殖业的用地空间。</w:t>
      </w:r>
    </w:p>
    <w:p w14:paraId="66D5FD33">
      <w:pPr>
        <w:spacing w:before="36" w:line="345" w:lineRule="auto"/>
        <w:ind w:left="40" w:right="33" w:firstLine="486"/>
        <w:rPr>
          <w:rFonts w:ascii="宋体" w:hAnsi="宋体" w:eastAsia="宋体" w:cs="宋体"/>
          <w:sz w:val="24"/>
          <w:szCs w:val="24"/>
        </w:rPr>
      </w:pPr>
      <w:r>
        <w:rPr>
          <w:rFonts w:ascii="宋体" w:hAnsi="宋体" w:eastAsia="宋体" w:cs="宋体"/>
          <w:spacing w:val="-2"/>
          <w:sz w:val="24"/>
          <w:szCs w:val="24"/>
        </w:rPr>
        <w:t>吉日嘎朗图镇。发挥农牧产业优势，建设</w:t>
      </w:r>
      <w:r>
        <w:rPr>
          <w:rFonts w:ascii="Times New Roman" w:hAnsi="Times New Roman" w:eastAsia="Times New Roman" w:cs="Times New Roman"/>
          <w:spacing w:val="-2"/>
          <w:sz w:val="24"/>
          <w:szCs w:val="24"/>
        </w:rPr>
        <w:t>“</w:t>
      </w:r>
      <w:r>
        <w:rPr>
          <w:rFonts w:ascii="宋体" w:hAnsi="宋体" w:eastAsia="宋体" w:cs="宋体"/>
          <w:spacing w:val="-2"/>
          <w:sz w:val="24"/>
          <w:szCs w:val="24"/>
        </w:rPr>
        <w:t>葵花产业园</w:t>
      </w:r>
      <w:r>
        <w:rPr>
          <w:rFonts w:ascii="Times New Roman" w:hAnsi="Times New Roman" w:eastAsia="Times New Roman" w:cs="Times New Roman"/>
          <w:spacing w:val="-2"/>
          <w:sz w:val="24"/>
          <w:szCs w:val="24"/>
        </w:rPr>
        <w:t>”“</w:t>
      </w:r>
      <w:r>
        <w:rPr>
          <w:rFonts w:ascii="宋体" w:hAnsi="宋体" w:eastAsia="宋体" w:cs="宋体"/>
          <w:spacing w:val="-2"/>
          <w:sz w:val="24"/>
          <w:szCs w:val="24"/>
        </w:rPr>
        <w:t>现代农牧业物流园</w:t>
      </w:r>
      <w:r>
        <w:rPr>
          <w:rFonts w:ascii="Times New Roman" w:hAnsi="Times New Roman" w:eastAsia="Times New Roman" w:cs="Times New Roman"/>
          <w:spacing w:val="-2"/>
          <w:sz w:val="24"/>
          <w:szCs w:val="24"/>
        </w:rPr>
        <w:t>”</w:t>
      </w:r>
      <w:r>
        <w:rPr>
          <w:rFonts w:ascii="宋体" w:hAnsi="宋体" w:eastAsia="宋体" w:cs="宋体"/>
          <w:spacing w:val="-2"/>
          <w:sz w:val="24"/>
          <w:szCs w:val="24"/>
        </w:rPr>
        <w:t>、立体生态种植养殖基地，形成现代物流节点，提升农牧产品输出能力。依托水生态及朔方古</w:t>
      </w:r>
    </w:p>
    <w:p w14:paraId="42E4332D">
      <w:pPr>
        <w:spacing w:line="345" w:lineRule="auto"/>
        <w:rPr>
          <w:rFonts w:ascii="宋体" w:hAnsi="宋体" w:eastAsia="宋体" w:cs="宋体"/>
          <w:sz w:val="24"/>
          <w:szCs w:val="24"/>
        </w:rPr>
        <w:sectPr>
          <w:footerReference r:id="rId9" w:type="default"/>
          <w:pgSz w:w="11907" w:h="16841"/>
          <w:pgMar w:top="1091" w:right="1384" w:bottom="1168" w:left="1390" w:header="859" w:footer="991" w:gutter="0"/>
          <w:cols w:space="720" w:num="1"/>
        </w:sectPr>
      </w:pPr>
    </w:p>
    <w:p w14:paraId="0FD23271">
      <w:pPr>
        <w:pStyle w:val="2"/>
        <w:spacing w:line="282" w:lineRule="auto"/>
      </w:pPr>
    </w:p>
    <w:p w14:paraId="640A7C75">
      <w:pPr>
        <w:spacing w:before="78" w:line="351" w:lineRule="auto"/>
        <w:ind w:left="54" w:right="101"/>
        <w:jc w:val="both"/>
        <w:rPr>
          <w:rFonts w:ascii="宋体" w:hAnsi="宋体" w:eastAsia="宋体" w:cs="宋体"/>
          <w:sz w:val="24"/>
          <w:szCs w:val="24"/>
        </w:rPr>
      </w:pPr>
      <w:r>
        <w:rPr>
          <w:rFonts w:ascii="宋体" w:hAnsi="宋体" w:eastAsia="宋体" w:cs="宋体"/>
          <w:sz w:val="24"/>
          <w:szCs w:val="24"/>
        </w:rPr>
        <w:t>城遗址，支持沙漠旅游与历史文化旅游线路融合，增强旅游</w:t>
      </w:r>
      <w:r>
        <w:rPr>
          <w:rFonts w:ascii="宋体" w:hAnsi="宋体" w:eastAsia="宋体" w:cs="宋体"/>
          <w:spacing w:val="-1"/>
          <w:sz w:val="24"/>
          <w:szCs w:val="24"/>
        </w:rPr>
        <w:t>产业竞争力。保障新能源</w:t>
      </w:r>
      <w:r>
        <w:rPr>
          <w:rFonts w:ascii="宋体" w:hAnsi="宋体" w:eastAsia="宋体" w:cs="宋体"/>
          <w:sz w:val="24"/>
          <w:szCs w:val="24"/>
        </w:rPr>
        <w:t>基础设施建设空间，未利用地建设新能源基础设施，鼓励实施</w:t>
      </w:r>
      <w:r>
        <w:rPr>
          <w:rFonts w:ascii="宋体" w:hAnsi="宋体" w:eastAsia="宋体" w:cs="宋体"/>
          <w:spacing w:val="-1"/>
          <w:sz w:val="24"/>
          <w:szCs w:val="24"/>
        </w:rPr>
        <w:t>林光互补、农光互补项</w:t>
      </w:r>
      <w:r>
        <w:rPr>
          <w:rFonts w:ascii="宋体" w:hAnsi="宋体" w:eastAsia="宋体" w:cs="宋体"/>
          <w:spacing w:val="-9"/>
          <w:sz w:val="24"/>
          <w:szCs w:val="24"/>
        </w:rPr>
        <w:t>目建设。</w:t>
      </w:r>
    </w:p>
    <w:p w14:paraId="4D387BCB">
      <w:pPr>
        <w:spacing w:before="31" w:line="354" w:lineRule="auto"/>
        <w:ind w:right="30" w:firstLine="560"/>
        <w:rPr>
          <w:rFonts w:ascii="宋体" w:hAnsi="宋体" w:eastAsia="宋体" w:cs="宋体"/>
          <w:sz w:val="24"/>
          <w:szCs w:val="24"/>
        </w:rPr>
      </w:pPr>
      <w:r>
        <w:rPr>
          <w:rFonts w:ascii="宋体" w:hAnsi="宋体" w:eastAsia="宋体" w:cs="宋体"/>
          <w:spacing w:val="-2"/>
          <w:sz w:val="24"/>
          <w:szCs w:val="24"/>
        </w:rPr>
        <w:t>巴拉贡镇。全力推进</w:t>
      </w:r>
      <w:r>
        <w:rPr>
          <w:rFonts w:ascii="Times New Roman" w:hAnsi="Times New Roman" w:eastAsia="Times New Roman" w:cs="Times New Roman"/>
          <w:spacing w:val="-2"/>
          <w:sz w:val="24"/>
          <w:szCs w:val="24"/>
        </w:rPr>
        <w:t>“</w:t>
      </w:r>
      <w:r>
        <w:rPr>
          <w:rFonts w:ascii="宋体" w:hAnsi="宋体" w:eastAsia="宋体" w:cs="宋体"/>
          <w:spacing w:val="-2"/>
          <w:sz w:val="24"/>
          <w:szCs w:val="24"/>
        </w:rPr>
        <w:t>一园两区三基地</w:t>
      </w:r>
      <w:r>
        <w:rPr>
          <w:rFonts w:ascii="Times New Roman" w:hAnsi="Times New Roman" w:eastAsia="Times New Roman" w:cs="Times New Roman"/>
          <w:spacing w:val="-2"/>
          <w:sz w:val="24"/>
          <w:szCs w:val="24"/>
        </w:rPr>
        <w:t>”</w:t>
      </w:r>
      <w:r>
        <w:rPr>
          <w:rFonts w:ascii="宋体" w:hAnsi="宋体" w:eastAsia="宋体" w:cs="宋体"/>
          <w:spacing w:val="-2"/>
          <w:sz w:val="24"/>
          <w:szCs w:val="24"/>
        </w:rPr>
        <w:t>建设，即果蔬产业园、绒山羊养殖示范区、</w:t>
      </w:r>
      <w:r>
        <w:rPr>
          <w:rFonts w:ascii="宋体" w:hAnsi="宋体" w:eastAsia="宋体" w:cs="宋体"/>
          <w:sz w:val="24"/>
          <w:szCs w:val="24"/>
        </w:rPr>
        <w:t>蒙古马优质品种保护区、朝天椒育苗（种植）基地、稻蟹综合养殖试验基地、</w:t>
      </w:r>
      <w:r>
        <w:rPr>
          <w:rFonts w:ascii="宋体" w:hAnsi="宋体" w:eastAsia="宋体" w:cs="宋体"/>
          <w:spacing w:val="-1"/>
          <w:sz w:val="24"/>
          <w:szCs w:val="24"/>
        </w:rPr>
        <w:t>玉米制种</w:t>
      </w:r>
      <w:r>
        <w:rPr>
          <w:rFonts w:ascii="宋体" w:hAnsi="宋体" w:eastAsia="宋体" w:cs="宋体"/>
          <w:spacing w:val="-5"/>
          <w:sz w:val="24"/>
          <w:szCs w:val="24"/>
        </w:rPr>
        <w:t>基地。同时，大力发展凹凸棒石产业，挖掘清洁能源潜力。依托巴拉贡镇民族文化传承综合教育示范基地、三盛公景区、果蔬产业园等资源打造乡村休闲旅游产业，全力建设</w:t>
      </w:r>
      <w:r>
        <w:rPr>
          <w:rFonts w:ascii="Times New Roman" w:hAnsi="Times New Roman" w:eastAsia="Times New Roman" w:cs="Times New Roman"/>
          <w:sz w:val="24"/>
          <w:szCs w:val="24"/>
        </w:rPr>
        <w:t>“</w:t>
      </w:r>
      <w:r>
        <w:rPr>
          <w:rFonts w:ascii="宋体" w:hAnsi="宋体" w:eastAsia="宋体" w:cs="宋体"/>
          <w:sz w:val="24"/>
          <w:szCs w:val="24"/>
        </w:rPr>
        <w:t>产业特色突出、项目多点开花、镇村美丽宜居、全域安定和谐</w:t>
      </w:r>
      <w:r>
        <w:rPr>
          <w:rFonts w:ascii="Times New Roman" w:hAnsi="Times New Roman" w:eastAsia="Times New Roman" w:cs="Times New Roman"/>
          <w:sz w:val="24"/>
          <w:szCs w:val="24"/>
        </w:rPr>
        <w:t>”</w:t>
      </w:r>
      <w:r>
        <w:rPr>
          <w:rFonts w:ascii="宋体" w:hAnsi="宋体" w:eastAsia="宋体" w:cs="宋体"/>
          <w:sz w:val="24"/>
          <w:szCs w:val="24"/>
        </w:rPr>
        <w:t>的示范镇。</w:t>
      </w:r>
    </w:p>
    <w:p w14:paraId="3042DC48">
      <w:pPr>
        <w:spacing w:before="35" w:line="350" w:lineRule="auto"/>
        <w:ind w:left="53" w:right="30" w:firstLine="494"/>
        <w:rPr>
          <w:rFonts w:ascii="宋体" w:hAnsi="宋体" w:eastAsia="宋体" w:cs="宋体"/>
          <w:sz w:val="24"/>
          <w:szCs w:val="24"/>
        </w:rPr>
      </w:pPr>
      <w:r>
        <w:rPr>
          <w:rFonts w:ascii="宋体" w:hAnsi="宋体" w:eastAsia="宋体" w:cs="宋体"/>
          <w:spacing w:val="-2"/>
          <w:sz w:val="24"/>
          <w:szCs w:val="24"/>
        </w:rPr>
        <w:t>呼和木独镇。推进农牧产业大力发展，建设沿黄河农牧业经济产业示范带。补</w:t>
      </w:r>
      <w:r>
        <w:rPr>
          <w:rFonts w:ascii="宋体" w:hAnsi="宋体" w:eastAsia="宋体" w:cs="宋体"/>
          <w:spacing w:val="-3"/>
          <w:sz w:val="24"/>
          <w:szCs w:val="24"/>
        </w:rPr>
        <w:t>齐基</w:t>
      </w:r>
      <w:r>
        <w:rPr>
          <w:rFonts w:ascii="宋体" w:hAnsi="宋体" w:eastAsia="宋体" w:cs="宋体"/>
          <w:spacing w:val="-6"/>
          <w:sz w:val="24"/>
          <w:szCs w:val="24"/>
        </w:rPr>
        <w:t>础设施短板，建设现代物流节点，提升农牧产品输出能力。优化城镇空间，整治危</w:t>
      </w:r>
      <w:r>
        <w:rPr>
          <w:rFonts w:ascii="宋体" w:hAnsi="宋体" w:eastAsia="宋体" w:cs="宋体"/>
          <w:spacing w:val="-7"/>
          <w:sz w:val="24"/>
          <w:szCs w:val="24"/>
        </w:rPr>
        <w:t>旧房</w:t>
      </w:r>
      <w:r>
        <w:rPr>
          <w:rFonts w:ascii="宋体" w:hAnsi="宋体" w:eastAsia="宋体" w:cs="宋体"/>
          <w:spacing w:val="-2"/>
          <w:sz w:val="24"/>
          <w:szCs w:val="24"/>
        </w:rPr>
        <w:t>屋，完善基础设施和公共服务设施配套，提升人居环境。</w:t>
      </w:r>
    </w:p>
    <w:p w14:paraId="0A3FC14C">
      <w:pPr>
        <w:spacing w:before="37" w:line="349" w:lineRule="auto"/>
        <w:ind w:left="56" w:right="32" w:firstLine="478"/>
        <w:rPr>
          <w:rFonts w:ascii="宋体" w:hAnsi="宋体" w:eastAsia="宋体" w:cs="宋体"/>
          <w:sz w:val="24"/>
          <w:szCs w:val="24"/>
        </w:rPr>
      </w:pPr>
      <w:r>
        <w:rPr>
          <w:rFonts w:ascii="宋体" w:hAnsi="宋体" w:eastAsia="宋体" w:cs="宋体"/>
          <w:spacing w:val="-2"/>
          <w:sz w:val="24"/>
          <w:szCs w:val="24"/>
        </w:rPr>
        <w:t>伊和乌素苏木。巩固农牧业发展成果，构建杭锦白绒山羊养殖带和野生、半野生甘</w:t>
      </w:r>
      <w:r>
        <w:rPr>
          <w:rFonts w:ascii="宋体" w:hAnsi="宋体" w:eastAsia="宋体" w:cs="宋体"/>
          <w:spacing w:val="-6"/>
          <w:sz w:val="24"/>
          <w:szCs w:val="24"/>
        </w:rPr>
        <w:t>草种植带。探索转型升级路径，鼓励将农牧产业与温泉旅游产业融合发展，建成</w:t>
      </w:r>
      <w:r>
        <w:rPr>
          <w:rFonts w:ascii="宋体" w:hAnsi="宋体" w:eastAsia="宋体" w:cs="宋体"/>
          <w:spacing w:val="-7"/>
          <w:sz w:val="24"/>
          <w:szCs w:val="24"/>
        </w:rPr>
        <w:t>温泉草</w:t>
      </w:r>
      <w:r>
        <w:rPr>
          <w:rFonts w:ascii="宋体" w:hAnsi="宋体" w:eastAsia="宋体" w:cs="宋体"/>
          <w:spacing w:val="-6"/>
          <w:sz w:val="24"/>
          <w:szCs w:val="24"/>
        </w:rPr>
        <w:t>原精品特色小镇。</w:t>
      </w:r>
    </w:p>
    <w:p w14:paraId="7F3C4BF4">
      <w:pPr>
        <w:spacing w:line="5873" w:lineRule="exact"/>
        <w:ind w:firstLine="464"/>
      </w:pPr>
      <w:r>
        <w:rPr>
          <w:position w:val="-117"/>
        </w:rPr>
        <w:drawing>
          <wp:inline distT="0" distB="0" distL="0" distR="0">
            <wp:extent cx="5486400" cy="372935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8"/>
                    <a:stretch>
                      <a:fillRect/>
                    </a:stretch>
                  </pic:blipFill>
                  <pic:spPr>
                    <a:xfrm>
                      <a:off x="0" y="0"/>
                      <a:ext cx="5486400" cy="3729355"/>
                    </a:xfrm>
                    <a:prstGeom prst="rect">
                      <a:avLst/>
                    </a:prstGeom>
                  </pic:spPr>
                </pic:pic>
              </a:graphicData>
            </a:graphic>
          </wp:inline>
        </w:drawing>
      </w:r>
    </w:p>
    <w:p w14:paraId="771B9184">
      <w:pPr>
        <w:spacing w:before="191" w:line="220" w:lineRule="auto"/>
        <w:ind w:left="2321"/>
        <w:rPr>
          <w:rFonts w:ascii="宋体" w:hAnsi="宋体" w:eastAsia="宋体" w:cs="宋体"/>
          <w:sz w:val="18"/>
          <w:szCs w:val="18"/>
        </w:rPr>
      </w:pPr>
      <w:r>
        <w:rPr>
          <w:rFonts w:ascii="宋体" w:hAnsi="宋体" w:eastAsia="宋体" w:cs="宋体"/>
          <w:b/>
          <w:bCs/>
          <w:spacing w:val="-1"/>
          <w:sz w:val="18"/>
          <w:szCs w:val="18"/>
        </w:rPr>
        <w:t>图</w:t>
      </w:r>
      <w:r>
        <w:rPr>
          <w:rFonts w:ascii="Times New Roman" w:hAnsi="Times New Roman" w:eastAsia="Times New Roman" w:cs="Times New Roman"/>
          <w:b/>
          <w:bCs/>
          <w:spacing w:val="-1"/>
          <w:sz w:val="18"/>
          <w:szCs w:val="18"/>
        </w:rPr>
        <w:t>1</w:t>
      </w:r>
      <w:r>
        <w:rPr>
          <w:rFonts w:hint="eastAsia" w:ascii="Times New Roman" w:hAnsi="Times New Roman" w:eastAsia="宋体" w:cs="Times New Roman"/>
          <w:b/>
          <w:bCs/>
          <w:spacing w:val="-1"/>
          <w:sz w:val="18"/>
          <w:szCs w:val="18"/>
          <w:lang w:eastAsia="zh-CN"/>
        </w:rPr>
        <w:t>—</w:t>
      </w:r>
      <w:r>
        <w:rPr>
          <w:rFonts w:ascii="Times New Roman" w:hAnsi="Times New Roman" w:eastAsia="Times New Roman" w:cs="Times New Roman"/>
          <w:b/>
          <w:bCs/>
          <w:spacing w:val="-1"/>
          <w:sz w:val="18"/>
          <w:szCs w:val="18"/>
        </w:rPr>
        <w:t>2</w:t>
      </w:r>
      <w:r>
        <w:rPr>
          <w:rFonts w:ascii="宋体" w:hAnsi="宋体" w:eastAsia="宋体" w:cs="宋体"/>
          <w:b/>
          <w:bCs/>
          <w:spacing w:val="-1"/>
          <w:sz w:val="18"/>
          <w:szCs w:val="18"/>
        </w:rPr>
        <w:t>杭锦旗国土空间总体规划（</w:t>
      </w:r>
      <w:r>
        <w:rPr>
          <w:rFonts w:ascii="Times New Roman" w:hAnsi="Times New Roman" w:eastAsia="Times New Roman" w:cs="Times New Roman"/>
          <w:b/>
          <w:bCs/>
          <w:spacing w:val="-1"/>
          <w:sz w:val="18"/>
          <w:szCs w:val="18"/>
        </w:rPr>
        <w:t>2021</w:t>
      </w:r>
      <w:r>
        <w:rPr>
          <w:rFonts w:hint="eastAsia" w:ascii="Times New Roman" w:hAnsi="Times New Roman" w:eastAsia="宋体" w:cs="Times New Roman"/>
          <w:b/>
          <w:bCs/>
          <w:spacing w:val="-1"/>
          <w:sz w:val="18"/>
          <w:szCs w:val="18"/>
          <w:lang w:eastAsia="zh-CN"/>
        </w:rPr>
        <w:t>—</w:t>
      </w:r>
      <w:r>
        <w:rPr>
          <w:rFonts w:ascii="Times New Roman" w:hAnsi="Times New Roman" w:eastAsia="Times New Roman" w:cs="Times New Roman"/>
          <w:b/>
          <w:bCs/>
          <w:spacing w:val="-2"/>
          <w:sz w:val="18"/>
          <w:szCs w:val="18"/>
        </w:rPr>
        <w:t>2035</w:t>
      </w:r>
      <w:r>
        <w:rPr>
          <w:rFonts w:ascii="宋体" w:hAnsi="宋体" w:eastAsia="宋体" w:cs="宋体"/>
          <w:b/>
          <w:bCs/>
          <w:spacing w:val="-2"/>
          <w:sz w:val="18"/>
          <w:szCs w:val="18"/>
        </w:rPr>
        <w:t>）城镇职能分工规划图</w:t>
      </w:r>
    </w:p>
    <w:p w14:paraId="79DCB435">
      <w:pPr>
        <w:spacing w:line="220" w:lineRule="auto"/>
        <w:rPr>
          <w:rFonts w:ascii="宋体" w:hAnsi="宋体" w:eastAsia="宋体" w:cs="宋体"/>
          <w:sz w:val="18"/>
          <w:szCs w:val="18"/>
        </w:rPr>
        <w:sectPr>
          <w:headerReference r:id="rId10" w:type="default"/>
          <w:footerReference r:id="rId11" w:type="default"/>
          <w:pgSz w:w="11907" w:h="16841"/>
          <w:pgMar w:top="1091" w:right="1384" w:bottom="1168" w:left="1373" w:header="859" w:footer="991" w:gutter="0"/>
          <w:cols w:space="720" w:num="1"/>
        </w:sectPr>
      </w:pPr>
    </w:p>
    <w:p w14:paraId="3207C654">
      <w:pPr>
        <w:pStyle w:val="2"/>
        <w:spacing w:line="283" w:lineRule="auto"/>
      </w:pPr>
    </w:p>
    <w:p w14:paraId="06173156">
      <w:pPr>
        <w:spacing w:before="78" w:line="219" w:lineRule="auto"/>
        <w:ind w:left="55"/>
        <w:rPr>
          <w:rFonts w:ascii="宋体" w:hAnsi="宋体" w:eastAsia="宋体" w:cs="宋体"/>
          <w:sz w:val="24"/>
          <w:szCs w:val="24"/>
        </w:rPr>
      </w:pPr>
      <w:r>
        <w:rPr>
          <w:rFonts w:ascii="宋体" w:hAnsi="宋体" w:eastAsia="宋体" w:cs="宋体"/>
          <w:spacing w:val="-4"/>
          <w:sz w:val="24"/>
          <w:szCs w:val="24"/>
        </w:rPr>
        <w:t>1.2.6产业空间布局</w:t>
      </w:r>
    </w:p>
    <w:p w14:paraId="115F5810">
      <w:pPr>
        <w:spacing w:before="180" w:line="219" w:lineRule="auto"/>
        <w:ind w:left="521"/>
        <w:rPr>
          <w:rFonts w:ascii="宋体" w:hAnsi="宋体" w:eastAsia="宋体" w:cs="宋体"/>
          <w:sz w:val="24"/>
          <w:szCs w:val="24"/>
        </w:rPr>
      </w:pPr>
      <w:r>
        <w:rPr>
          <w:rFonts w:ascii="宋体" w:hAnsi="宋体" w:eastAsia="宋体" w:cs="宋体"/>
          <w:spacing w:val="-1"/>
          <w:sz w:val="24"/>
          <w:szCs w:val="24"/>
        </w:rPr>
        <w:t>工业发展空间布局形成</w:t>
      </w:r>
      <w:r>
        <w:rPr>
          <w:rFonts w:ascii="Times New Roman" w:hAnsi="Times New Roman" w:eastAsia="Times New Roman" w:cs="Times New Roman"/>
          <w:spacing w:val="-1"/>
          <w:sz w:val="24"/>
          <w:szCs w:val="24"/>
        </w:rPr>
        <w:t>“</w:t>
      </w:r>
      <w:r>
        <w:rPr>
          <w:rFonts w:ascii="宋体" w:hAnsi="宋体" w:eastAsia="宋体" w:cs="宋体"/>
          <w:spacing w:val="-1"/>
          <w:sz w:val="24"/>
          <w:szCs w:val="24"/>
        </w:rPr>
        <w:t>一轴、两园、三基地、多</w:t>
      </w:r>
      <w:r>
        <w:rPr>
          <w:rFonts w:ascii="宋体" w:hAnsi="宋体" w:eastAsia="宋体" w:cs="宋体"/>
          <w:spacing w:val="-2"/>
          <w:sz w:val="24"/>
          <w:szCs w:val="24"/>
        </w:rPr>
        <w:t>点</w:t>
      </w:r>
      <w:r>
        <w:rPr>
          <w:rFonts w:ascii="Times New Roman" w:hAnsi="Times New Roman" w:eastAsia="Times New Roman" w:cs="Times New Roman"/>
          <w:spacing w:val="-2"/>
          <w:sz w:val="24"/>
          <w:szCs w:val="24"/>
        </w:rPr>
        <w:t>”</w:t>
      </w:r>
      <w:r>
        <w:rPr>
          <w:rFonts w:ascii="宋体" w:hAnsi="宋体" w:eastAsia="宋体" w:cs="宋体"/>
          <w:spacing w:val="-2"/>
          <w:sz w:val="24"/>
          <w:szCs w:val="24"/>
        </w:rPr>
        <w:t>的工业发展空间布局。</w:t>
      </w:r>
    </w:p>
    <w:p w14:paraId="3F323C0C">
      <w:pPr>
        <w:spacing w:before="183" w:line="345" w:lineRule="auto"/>
        <w:ind w:left="501" w:right="212"/>
        <w:rPr>
          <w:rFonts w:ascii="宋体" w:hAnsi="宋体" w:eastAsia="宋体" w:cs="宋体"/>
          <w:sz w:val="24"/>
          <w:szCs w:val="24"/>
        </w:rPr>
      </w:pPr>
      <w:r>
        <w:rPr>
          <w:rFonts w:ascii="宋体" w:hAnsi="宋体" w:eastAsia="宋体" w:cs="宋体"/>
          <w:spacing w:val="-5"/>
          <w:sz w:val="24"/>
          <w:szCs w:val="24"/>
        </w:rPr>
        <w:t>“一轴”：旗域光伏等现代能源产业园区</w:t>
      </w:r>
      <w:r>
        <w:rPr>
          <w:rFonts w:ascii="宋体" w:hAnsi="宋体" w:eastAsia="宋体" w:cs="宋体"/>
          <w:spacing w:val="-6"/>
          <w:sz w:val="24"/>
          <w:szCs w:val="24"/>
        </w:rPr>
        <w:t>联动发展形成的现代能源产业发展轴。</w:t>
      </w:r>
      <w:r>
        <w:rPr>
          <w:rFonts w:ascii="宋体" w:hAnsi="宋体" w:eastAsia="宋体" w:cs="宋体"/>
          <w:spacing w:val="-2"/>
          <w:sz w:val="24"/>
          <w:szCs w:val="24"/>
        </w:rPr>
        <w:t>“两园”：独贵塔拉产业园和新能源产业园。</w:t>
      </w:r>
    </w:p>
    <w:p w14:paraId="7613F8B1">
      <w:pPr>
        <w:spacing w:before="35" w:line="346" w:lineRule="auto"/>
        <w:ind w:left="37" w:right="248" w:firstLine="464"/>
        <w:rPr>
          <w:rFonts w:ascii="宋体" w:hAnsi="宋体" w:eastAsia="宋体" w:cs="宋体"/>
          <w:sz w:val="24"/>
          <w:szCs w:val="24"/>
        </w:rPr>
      </w:pPr>
      <w:r>
        <w:rPr>
          <w:rFonts w:ascii="宋体" w:hAnsi="宋体" w:eastAsia="宋体" w:cs="宋体"/>
          <w:sz w:val="24"/>
          <w:szCs w:val="24"/>
        </w:rPr>
        <w:t>“三基地”：独贵塔拉产业园北项目区、独贵塔拉产业园南项目区及新能源产</w:t>
      </w:r>
      <w:r>
        <w:rPr>
          <w:rFonts w:ascii="宋体" w:hAnsi="宋体" w:eastAsia="宋体" w:cs="宋体"/>
          <w:spacing w:val="-9"/>
          <w:sz w:val="24"/>
          <w:szCs w:val="24"/>
        </w:rPr>
        <w:t>业园区。</w:t>
      </w:r>
    </w:p>
    <w:p w14:paraId="269569FD">
      <w:pPr>
        <w:spacing w:before="35" w:line="347" w:lineRule="auto"/>
        <w:ind w:left="38" w:right="175" w:firstLine="463"/>
        <w:rPr>
          <w:rFonts w:ascii="宋体" w:hAnsi="宋体" w:eastAsia="宋体" w:cs="宋体"/>
          <w:sz w:val="24"/>
          <w:szCs w:val="24"/>
        </w:rPr>
      </w:pPr>
      <w:r>
        <w:rPr>
          <w:rFonts w:ascii="宋体" w:hAnsi="宋体" w:eastAsia="宋体" w:cs="宋体"/>
          <w:spacing w:val="-1"/>
          <w:sz w:val="24"/>
          <w:szCs w:val="24"/>
        </w:rPr>
        <w:t>“多点”：风光发电站、塔然高勒煤矿、杭锦旗2号土生产区、配套</w:t>
      </w:r>
      <w:r>
        <w:rPr>
          <w:rFonts w:ascii="宋体" w:hAnsi="宋体" w:eastAsia="宋体" w:cs="宋体"/>
          <w:spacing w:val="-2"/>
          <w:sz w:val="24"/>
          <w:szCs w:val="24"/>
        </w:rPr>
        <w:t>生产服务</w:t>
      </w:r>
      <w:r>
        <w:rPr>
          <w:rFonts w:ascii="宋体" w:hAnsi="宋体" w:eastAsia="宋体" w:cs="宋体"/>
          <w:spacing w:val="-5"/>
          <w:sz w:val="24"/>
          <w:szCs w:val="24"/>
        </w:rPr>
        <w:t>基地等产业基地。</w:t>
      </w:r>
    </w:p>
    <w:p w14:paraId="747E41DD">
      <w:pPr>
        <w:spacing w:before="158" w:line="220" w:lineRule="auto"/>
        <w:ind w:left="60"/>
        <w:outlineLvl w:val="0"/>
        <w:rPr>
          <w:rFonts w:ascii="宋体" w:hAnsi="宋体" w:eastAsia="宋体" w:cs="宋体"/>
          <w:sz w:val="28"/>
          <w:szCs w:val="28"/>
        </w:rPr>
      </w:pPr>
      <w:bookmarkStart w:id="27" w:name="bookmark8"/>
      <w:bookmarkEnd w:id="27"/>
      <w:bookmarkStart w:id="28" w:name="bookmark7"/>
      <w:bookmarkEnd w:id="28"/>
      <w:r>
        <w:rPr>
          <w:rFonts w:ascii="宋体" w:hAnsi="宋体" w:eastAsia="宋体" w:cs="宋体"/>
          <w:b/>
          <w:bCs/>
          <w:spacing w:val="-6"/>
          <w:sz w:val="28"/>
          <w:szCs w:val="28"/>
        </w:rPr>
        <w:t>1.3城镇开发边界情况</w:t>
      </w:r>
    </w:p>
    <w:p w14:paraId="27F77384">
      <w:pPr>
        <w:spacing w:before="205" w:line="220" w:lineRule="auto"/>
        <w:ind w:left="518"/>
        <w:rPr>
          <w:rFonts w:ascii="宋体" w:hAnsi="宋体" w:eastAsia="宋体" w:cs="宋体"/>
          <w:sz w:val="24"/>
          <w:szCs w:val="24"/>
        </w:rPr>
      </w:pPr>
      <w:r>
        <w:rPr>
          <w:rFonts w:ascii="宋体" w:hAnsi="宋体" w:eastAsia="宋体" w:cs="宋体"/>
          <w:spacing w:val="-1"/>
          <w:sz w:val="24"/>
          <w:szCs w:val="24"/>
        </w:rPr>
        <w:t>全旗城镇开发边界划定范围总面积为54.</w:t>
      </w:r>
      <w:r>
        <w:rPr>
          <w:rFonts w:ascii="宋体" w:hAnsi="宋体" w:eastAsia="宋体" w:cs="宋体"/>
          <w:spacing w:val="-2"/>
          <w:sz w:val="24"/>
          <w:szCs w:val="24"/>
        </w:rPr>
        <w:t>78平方千米，全部为城镇集中建设区，</w:t>
      </w:r>
    </w:p>
    <w:p w14:paraId="2B82A5A4">
      <w:pPr>
        <w:spacing w:before="185" w:line="354" w:lineRule="auto"/>
        <w:ind w:left="37"/>
        <w:rPr>
          <w:rFonts w:ascii="宋体" w:hAnsi="宋体" w:eastAsia="宋体" w:cs="宋体"/>
          <w:sz w:val="24"/>
          <w:szCs w:val="24"/>
        </w:rPr>
      </w:pPr>
      <w:r>
        <w:rPr>
          <w:rFonts w:ascii="宋体" w:hAnsi="宋体" w:eastAsia="宋体" w:cs="宋体"/>
          <w:spacing w:val="-9"/>
          <w:sz w:val="24"/>
          <w:szCs w:val="24"/>
        </w:rPr>
        <w:t>划定对象包括杭锦旗主城区、杭锦经济开发区、独贵塔拉镇、吉日嘎朗图镇、巴拉贡镇、</w:t>
      </w:r>
      <w:r>
        <w:rPr>
          <w:rFonts w:ascii="宋体" w:hAnsi="宋体" w:eastAsia="宋体" w:cs="宋体"/>
          <w:spacing w:val="-6"/>
          <w:sz w:val="24"/>
          <w:szCs w:val="24"/>
        </w:rPr>
        <w:t>呼和木独镇、伊和乌素苏木。在城镇开发边界内建设，严格实行建设用地总量与强度双</w:t>
      </w:r>
      <w:r>
        <w:rPr>
          <w:rFonts w:ascii="宋体" w:hAnsi="宋体" w:eastAsia="宋体" w:cs="宋体"/>
          <w:spacing w:val="-2"/>
          <w:sz w:val="24"/>
          <w:szCs w:val="24"/>
        </w:rPr>
        <w:t>控，强化城镇开发边界对开发建设行为的刚性约束作用；城镇开发边界内预留战略留白</w:t>
      </w:r>
      <w:r>
        <w:rPr>
          <w:rFonts w:ascii="宋体" w:hAnsi="宋体" w:eastAsia="宋体" w:cs="宋体"/>
          <w:sz w:val="24"/>
          <w:szCs w:val="24"/>
        </w:rPr>
        <w:t>用地，为重大发展战略、重大技术变革和重大项目预留空间。在城镇开发边界外建设，</w:t>
      </w:r>
      <w:r>
        <w:rPr>
          <w:rFonts w:ascii="宋体" w:hAnsi="宋体" w:eastAsia="宋体" w:cs="宋体"/>
          <w:spacing w:val="-2"/>
          <w:sz w:val="24"/>
          <w:szCs w:val="24"/>
        </w:rPr>
        <w:t>在符合正面清单的同时，实施严格的建设项目用地标准控制制度，对于不符合工程建设项目用地控制指标等标准的项目严禁审批落地。</w:t>
      </w:r>
    </w:p>
    <w:p w14:paraId="246A9C68">
      <w:pPr>
        <w:spacing w:line="5942" w:lineRule="exact"/>
        <w:ind w:firstLine="163"/>
      </w:pPr>
      <w:r>
        <w:rPr>
          <w:position w:val="-118"/>
        </w:rPr>
        <w:drawing>
          <wp:inline distT="0" distB="0" distL="0" distR="0">
            <wp:extent cx="5586730" cy="377317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9"/>
                    <a:stretch>
                      <a:fillRect/>
                    </a:stretch>
                  </pic:blipFill>
                  <pic:spPr>
                    <a:xfrm>
                      <a:off x="0" y="0"/>
                      <a:ext cx="5587110" cy="3773423"/>
                    </a:xfrm>
                    <a:prstGeom prst="rect">
                      <a:avLst/>
                    </a:prstGeom>
                  </pic:spPr>
                </pic:pic>
              </a:graphicData>
            </a:graphic>
          </wp:inline>
        </w:drawing>
      </w:r>
    </w:p>
    <w:p w14:paraId="1843E4D1">
      <w:pPr>
        <w:spacing w:before="31" w:line="220" w:lineRule="auto"/>
        <w:ind w:left="2033"/>
        <w:rPr>
          <w:rFonts w:ascii="宋体" w:hAnsi="宋体" w:eastAsia="宋体" w:cs="宋体"/>
          <w:sz w:val="18"/>
          <w:szCs w:val="18"/>
        </w:rPr>
      </w:pPr>
      <w:r>
        <w:rPr>
          <w:rFonts w:ascii="宋体" w:hAnsi="宋体" w:eastAsia="宋体" w:cs="宋体"/>
          <w:b/>
          <w:bCs/>
          <w:spacing w:val="-1"/>
          <w:sz w:val="18"/>
          <w:szCs w:val="18"/>
        </w:rPr>
        <w:t>图</w:t>
      </w:r>
      <w:r>
        <w:rPr>
          <w:rFonts w:ascii="Times New Roman" w:hAnsi="Times New Roman" w:eastAsia="Times New Roman" w:cs="Times New Roman"/>
          <w:b/>
          <w:bCs/>
          <w:spacing w:val="-1"/>
          <w:sz w:val="18"/>
          <w:szCs w:val="18"/>
        </w:rPr>
        <w:t>1</w:t>
      </w:r>
      <w:r>
        <w:rPr>
          <w:rFonts w:hint="eastAsia" w:ascii="Times New Roman" w:hAnsi="Times New Roman" w:eastAsia="宋体" w:cs="Times New Roman"/>
          <w:b/>
          <w:bCs/>
          <w:spacing w:val="-1"/>
          <w:sz w:val="18"/>
          <w:szCs w:val="18"/>
          <w:lang w:eastAsia="zh-CN"/>
        </w:rPr>
        <w:t>—</w:t>
      </w:r>
      <w:r>
        <w:rPr>
          <w:rFonts w:ascii="Times New Roman" w:hAnsi="Times New Roman" w:eastAsia="Times New Roman" w:cs="Times New Roman"/>
          <w:b/>
          <w:bCs/>
          <w:spacing w:val="-1"/>
          <w:sz w:val="18"/>
          <w:szCs w:val="18"/>
        </w:rPr>
        <w:t>3</w:t>
      </w:r>
      <w:r>
        <w:rPr>
          <w:rFonts w:ascii="宋体" w:hAnsi="宋体" w:eastAsia="宋体" w:cs="宋体"/>
          <w:b/>
          <w:bCs/>
          <w:spacing w:val="-1"/>
          <w:sz w:val="18"/>
          <w:szCs w:val="18"/>
        </w:rPr>
        <w:t>杭锦旗国土空间总体规划（</w:t>
      </w:r>
      <w:r>
        <w:rPr>
          <w:rFonts w:ascii="Times New Roman" w:hAnsi="Times New Roman" w:eastAsia="Times New Roman" w:cs="Times New Roman"/>
          <w:b/>
          <w:bCs/>
          <w:spacing w:val="-1"/>
          <w:sz w:val="18"/>
          <w:szCs w:val="18"/>
        </w:rPr>
        <w:t>2021</w:t>
      </w:r>
      <w:r>
        <w:rPr>
          <w:rFonts w:hint="eastAsia" w:ascii="Times New Roman" w:hAnsi="Times New Roman" w:eastAsia="宋体" w:cs="Times New Roman"/>
          <w:b/>
          <w:bCs/>
          <w:spacing w:val="-1"/>
          <w:sz w:val="18"/>
          <w:szCs w:val="18"/>
          <w:lang w:eastAsia="zh-CN"/>
        </w:rPr>
        <w:t>—</w:t>
      </w:r>
      <w:r>
        <w:rPr>
          <w:rFonts w:ascii="Times New Roman" w:hAnsi="Times New Roman" w:eastAsia="Times New Roman" w:cs="Times New Roman"/>
          <w:b/>
          <w:bCs/>
          <w:spacing w:val="-1"/>
          <w:sz w:val="18"/>
          <w:szCs w:val="18"/>
        </w:rPr>
        <w:t>2035</w:t>
      </w:r>
      <w:r>
        <w:rPr>
          <w:rFonts w:ascii="宋体" w:hAnsi="宋体" w:eastAsia="宋体" w:cs="宋体"/>
          <w:b/>
          <w:bCs/>
          <w:spacing w:val="-1"/>
          <w:sz w:val="18"/>
          <w:szCs w:val="18"/>
        </w:rPr>
        <w:t>）旗</w:t>
      </w:r>
      <w:r>
        <w:rPr>
          <w:rFonts w:ascii="宋体" w:hAnsi="宋体" w:eastAsia="宋体" w:cs="宋体"/>
          <w:b/>
          <w:bCs/>
          <w:spacing w:val="-2"/>
          <w:sz w:val="18"/>
          <w:szCs w:val="18"/>
        </w:rPr>
        <w:t>域国土空间控制线规划图</w:t>
      </w:r>
    </w:p>
    <w:p w14:paraId="6507553D">
      <w:pPr>
        <w:spacing w:line="220" w:lineRule="auto"/>
        <w:rPr>
          <w:rFonts w:ascii="宋体" w:hAnsi="宋体" w:eastAsia="宋体" w:cs="宋体"/>
          <w:sz w:val="18"/>
          <w:szCs w:val="18"/>
        </w:rPr>
        <w:sectPr>
          <w:headerReference r:id="rId12" w:type="default"/>
          <w:footerReference r:id="rId13" w:type="default"/>
          <w:pgSz w:w="11907" w:h="16841"/>
          <w:pgMar w:top="1091" w:right="1358" w:bottom="1167" w:left="1390" w:header="859" w:footer="991" w:gutter="0"/>
          <w:cols w:space="720" w:num="1"/>
        </w:sectPr>
      </w:pPr>
    </w:p>
    <w:p w14:paraId="4513EAE5">
      <w:pPr>
        <w:pStyle w:val="2"/>
        <w:spacing w:line="283" w:lineRule="auto"/>
      </w:pPr>
    </w:p>
    <w:p w14:paraId="6EFC673A">
      <w:pPr>
        <w:spacing w:before="78" w:line="220" w:lineRule="auto"/>
        <w:ind w:left="55"/>
        <w:rPr>
          <w:rFonts w:ascii="宋体" w:hAnsi="宋体" w:eastAsia="宋体" w:cs="宋体"/>
          <w:sz w:val="24"/>
          <w:szCs w:val="24"/>
        </w:rPr>
      </w:pPr>
      <w:r>
        <w:rPr>
          <w:rFonts w:ascii="宋体" w:hAnsi="宋体" w:eastAsia="宋体" w:cs="宋体"/>
          <w:spacing w:val="-5"/>
          <w:sz w:val="24"/>
          <w:szCs w:val="24"/>
        </w:rPr>
        <w:t>1.3.1中心城区城镇开发边界情况</w:t>
      </w:r>
    </w:p>
    <w:p w14:paraId="780CC00D">
      <w:pPr>
        <w:spacing w:before="179" w:line="220" w:lineRule="auto"/>
        <w:ind w:left="509"/>
        <w:rPr>
          <w:rFonts w:ascii="宋体" w:hAnsi="宋体" w:eastAsia="宋体" w:cs="宋体"/>
          <w:sz w:val="24"/>
          <w:szCs w:val="24"/>
        </w:rPr>
      </w:pPr>
      <w:r>
        <w:rPr>
          <w:rFonts w:ascii="宋体" w:hAnsi="宋体" w:eastAsia="宋体" w:cs="宋体"/>
          <w:spacing w:val="-6"/>
          <w:sz w:val="24"/>
          <w:szCs w:val="24"/>
        </w:rPr>
        <w:t>1.中心城区控制范围</w:t>
      </w:r>
    </w:p>
    <w:p w14:paraId="2A14F072">
      <w:pPr>
        <w:spacing w:before="184" w:line="350" w:lineRule="auto"/>
        <w:ind w:left="39" w:right="72" w:firstLine="480"/>
        <w:rPr>
          <w:rFonts w:ascii="宋体" w:hAnsi="宋体" w:eastAsia="宋体" w:cs="宋体"/>
          <w:sz w:val="24"/>
          <w:szCs w:val="24"/>
        </w:rPr>
      </w:pPr>
      <w:r>
        <w:rPr>
          <w:rFonts w:ascii="宋体" w:hAnsi="宋体" w:eastAsia="宋体" w:cs="宋体"/>
          <w:spacing w:val="2"/>
          <w:sz w:val="24"/>
          <w:szCs w:val="24"/>
        </w:rPr>
        <w:t>规划至2035年，中心城区控制范围为</w:t>
      </w:r>
      <w:r>
        <w:rPr>
          <w:rFonts w:ascii="宋体" w:hAnsi="宋体" w:eastAsia="宋体" w:cs="宋体"/>
          <w:spacing w:val="1"/>
          <w:sz w:val="24"/>
          <w:szCs w:val="24"/>
        </w:rPr>
        <w:t>2577.69公顷（北至外环路、南以杭锦经</w:t>
      </w:r>
      <w:r>
        <w:rPr>
          <w:rFonts w:ascii="宋体" w:hAnsi="宋体" w:eastAsia="宋体" w:cs="宋体"/>
          <w:spacing w:val="-6"/>
          <w:sz w:val="24"/>
          <w:szCs w:val="24"/>
        </w:rPr>
        <w:t>济开发区新能源产业片区为界、东接陶赖沟生态廊道、西临穿沙公路</w:t>
      </w:r>
      <w:r>
        <w:rPr>
          <w:rFonts w:ascii="宋体" w:hAnsi="宋体" w:eastAsia="宋体" w:cs="宋体"/>
          <w:spacing w:val="1"/>
          <w:sz w:val="24"/>
          <w:szCs w:val="24"/>
        </w:rPr>
        <w:t>），</w:t>
      </w:r>
      <w:r>
        <w:rPr>
          <w:rFonts w:ascii="宋体" w:hAnsi="宋体" w:eastAsia="宋体" w:cs="宋体"/>
          <w:spacing w:val="-6"/>
          <w:sz w:val="24"/>
          <w:szCs w:val="24"/>
        </w:rPr>
        <w:t>中心城区城镇</w:t>
      </w:r>
      <w:r>
        <w:rPr>
          <w:rFonts w:ascii="宋体" w:hAnsi="宋体" w:eastAsia="宋体" w:cs="宋体"/>
          <w:spacing w:val="-4"/>
          <w:sz w:val="24"/>
          <w:szCs w:val="24"/>
        </w:rPr>
        <w:t>开发边界为1606.98公顷。</w:t>
      </w:r>
    </w:p>
    <w:p w14:paraId="3FD23FA7">
      <w:pPr>
        <w:spacing w:before="31" w:line="220" w:lineRule="auto"/>
        <w:ind w:left="494"/>
        <w:rPr>
          <w:rFonts w:ascii="宋体" w:hAnsi="宋体" w:eastAsia="宋体" w:cs="宋体"/>
          <w:sz w:val="24"/>
          <w:szCs w:val="24"/>
        </w:rPr>
      </w:pPr>
      <w:r>
        <w:rPr>
          <w:rFonts w:ascii="宋体" w:hAnsi="宋体" w:eastAsia="宋体" w:cs="宋体"/>
          <w:spacing w:val="-3"/>
          <w:sz w:val="24"/>
          <w:szCs w:val="24"/>
        </w:rPr>
        <w:t>2.城市发展策略</w:t>
      </w:r>
    </w:p>
    <w:p w14:paraId="31FE0052">
      <w:pPr>
        <w:spacing w:before="182" w:line="220" w:lineRule="auto"/>
        <w:ind w:left="517"/>
        <w:rPr>
          <w:rFonts w:ascii="宋体" w:hAnsi="宋体" w:eastAsia="宋体" w:cs="宋体"/>
          <w:sz w:val="24"/>
          <w:szCs w:val="24"/>
        </w:rPr>
      </w:pPr>
      <w:r>
        <w:rPr>
          <w:rFonts w:ascii="宋体" w:hAnsi="宋体" w:eastAsia="宋体" w:cs="宋体"/>
          <w:sz w:val="24"/>
          <w:szCs w:val="24"/>
        </w:rPr>
        <w:t>杭锦旗中心城区空间发展策略为“北优、南</w:t>
      </w:r>
      <w:r>
        <w:rPr>
          <w:rFonts w:ascii="宋体" w:hAnsi="宋体" w:eastAsia="宋体" w:cs="宋体"/>
          <w:spacing w:val="-1"/>
          <w:sz w:val="24"/>
          <w:szCs w:val="24"/>
        </w:rPr>
        <w:t>融、东留、西控”。</w:t>
      </w:r>
    </w:p>
    <w:p w14:paraId="64318399">
      <w:pPr>
        <w:spacing w:before="183" w:line="350" w:lineRule="auto"/>
        <w:ind w:left="38" w:firstLine="463"/>
        <w:rPr>
          <w:rFonts w:ascii="宋体" w:hAnsi="宋体" w:eastAsia="宋体" w:cs="宋体"/>
          <w:sz w:val="24"/>
          <w:szCs w:val="24"/>
        </w:rPr>
      </w:pPr>
      <w:r>
        <w:rPr>
          <w:rFonts w:ascii="宋体" w:hAnsi="宋体" w:eastAsia="宋体" w:cs="宋体"/>
          <w:spacing w:val="-1"/>
          <w:sz w:val="24"/>
          <w:szCs w:val="24"/>
        </w:rPr>
        <w:t>“北优”：北侧受城郊村和天然牧草地的影响，北部空间发展重点</w:t>
      </w:r>
      <w:r>
        <w:rPr>
          <w:rFonts w:ascii="宋体" w:hAnsi="宋体" w:eastAsia="宋体" w:cs="宋体"/>
          <w:spacing w:val="-2"/>
          <w:sz w:val="24"/>
          <w:szCs w:val="24"/>
        </w:rPr>
        <w:t>为优化调整，优化百灵路以北片区用地功能，结合空闲地完善路网结构，增加道路用地、公园绿</w:t>
      </w:r>
      <w:r>
        <w:rPr>
          <w:rFonts w:ascii="宋体" w:hAnsi="宋体" w:eastAsia="宋体" w:cs="宋体"/>
          <w:sz w:val="24"/>
          <w:szCs w:val="24"/>
        </w:rPr>
        <w:t>地、公共服务用地，科学划分地块尺度，增加道路网密度，完善公共服务配套等内容。</w:t>
      </w:r>
    </w:p>
    <w:p w14:paraId="0D002889">
      <w:pPr>
        <w:spacing w:before="33" w:line="353" w:lineRule="auto"/>
        <w:ind w:left="37" w:right="72" w:firstLine="464"/>
        <w:rPr>
          <w:rFonts w:ascii="宋体" w:hAnsi="宋体" w:eastAsia="宋体" w:cs="宋体"/>
          <w:sz w:val="24"/>
          <w:szCs w:val="24"/>
        </w:rPr>
      </w:pPr>
      <w:r>
        <w:rPr>
          <w:rFonts w:ascii="宋体" w:hAnsi="宋体" w:eastAsia="宋体" w:cs="宋体"/>
          <w:spacing w:val="-7"/>
          <w:sz w:val="24"/>
          <w:szCs w:val="24"/>
        </w:rPr>
        <w:t>“南融”：按照</w:t>
      </w:r>
      <w:r>
        <w:rPr>
          <w:rFonts w:ascii="Times New Roman" w:hAnsi="Times New Roman" w:eastAsia="Times New Roman" w:cs="Times New Roman"/>
          <w:spacing w:val="-7"/>
          <w:sz w:val="24"/>
          <w:szCs w:val="24"/>
        </w:rPr>
        <w:t>“</w:t>
      </w:r>
      <w:r>
        <w:rPr>
          <w:rFonts w:ascii="宋体" w:hAnsi="宋体" w:eastAsia="宋体" w:cs="宋体"/>
          <w:spacing w:val="-7"/>
          <w:sz w:val="24"/>
          <w:szCs w:val="24"/>
        </w:rPr>
        <w:t>产城融合</w:t>
      </w:r>
      <w:r>
        <w:rPr>
          <w:rFonts w:ascii="Times New Roman" w:hAnsi="Times New Roman" w:eastAsia="Times New Roman" w:cs="Times New Roman"/>
          <w:spacing w:val="-7"/>
          <w:sz w:val="24"/>
          <w:szCs w:val="24"/>
        </w:rPr>
        <w:t>”</w:t>
      </w:r>
      <w:r>
        <w:rPr>
          <w:rFonts w:ascii="宋体" w:hAnsi="宋体" w:eastAsia="宋体" w:cs="宋体"/>
          <w:spacing w:val="-7"/>
          <w:sz w:val="24"/>
          <w:szCs w:val="24"/>
        </w:rPr>
        <w:t>理念，南部重点发展为衔接新能源产业园区的服务功能，</w:t>
      </w:r>
      <w:r>
        <w:rPr>
          <w:rFonts w:ascii="宋体" w:hAnsi="宋体" w:eastAsia="宋体" w:cs="宋体"/>
          <w:spacing w:val="-4"/>
          <w:sz w:val="24"/>
          <w:szCs w:val="24"/>
        </w:rPr>
        <w:t>增加居住用地、公共服务用地等。“东留”：向东</w:t>
      </w:r>
      <w:r>
        <w:rPr>
          <w:rFonts w:ascii="宋体" w:hAnsi="宋体" w:eastAsia="宋体" w:cs="宋体"/>
          <w:spacing w:val="-5"/>
          <w:sz w:val="24"/>
          <w:szCs w:val="24"/>
        </w:rPr>
        <w:t>为城市愿景主要发展方向，旗级公</w:t>
      </w:r>
      <w:r>
        <w:rPr>
          <w:rFonts w:ascii="宋体" w:hAnsi="宋体" w:eastAsia="宋体" w:cs="宋体"/>
          <w:spacing w:val="-2"/>
          <w:sz w:val="24"/>
          <w:szCs w:val="24"/>
        </w:rPr>
        <w:t>共服务设施布置在东部陶赖沟沿岸，服务水平良好，结合陶赖沟优良的景观风貌，预留</w:t>
      </w:r>
      <w:r>
        <w:rPr>
          <w:rFonts w:ascii="宋体" w:hAnsi="宋体" w:eastAsia="宋体" w:cs="宋体"/>
          <w:spacing w:val="-3"/>
          <w:sz w:val="24"/>
          <w:szCs w:val="24"/>
        </w:rPr>
        <w:t>陶赖沟以东片区作为发展备用地。</w:t>
      </w:r>
    </w:p>
    <w:p w14:paraId="5A6D6159">
      <w:pPr>
        <w:spacing w:before="33" w:line="347" w:lineRule="auto"/>
        <w:ind w:left="42" w:right="78" w:firstLine="459"/>
        <w:rPr>
          <w:rFonts w:ascii="宋体" w:hAnsi="宋体" w:eastAsia="宋体" w:cs="宋体"/>
          <w:sz w:val="24"/>
          <w:szCs w:val="24"/>
        </w:rPr>
      </w:pPr>
      <w:r>
        <w:rPr>
          <w:rFonts w:ascii="宋体" w:hAnsi="宋体" w:eastAsia="宋体" w:cs="宋体"/>
          <w:spacing w:val="-1"/>
          <w:sz w:val="24"/>
          <w:szCs w:val="24"/>
        </w:rPr>
        <w:t>“西控”：西侧用地发展受特殊用地和对外交通用地影响，区</w:t>
      </w:r>
      <w:r>
        <w:rPr>
          <w:rFonts w:ascii="宋体" w:hAnsi="宋体" w:eastAsia="宋体" w:cs="宋体"/>
          <w:spacing w:val="-2"/>
          <w:sz w:val="24"/>
          <w:szCs w:val="24"/>
        </w:rPr>
        <w:t>域主要对现状用地进</w:t>
      </w:r>
      <w:r>
        <w:rPr>
          <w:rFonts w:ascii="宋体" w:hAnsi="宋体" w:eastAsia="宋体" w:cs="宋体"/>
          <w:spacing w:val="-10"/>
          <w:sz w:val="24"/>
          <w:szCs w:val="24"/>
        </w:rPr>
        <w:t>行管控。</w:t>
      </w:r>
    </w:p>
    <w:p w14:paraId="3F8B8F0A">
      <w:pPr>
        <w:spacing w:before="31" w:line="220" w:lineRule="auto"/>
        <w:ind w:left="496"/>
        <w:rPr>
          <w:rFonts w:ascii="宋体" w:hAnsi="宋体" w:eastAsia="宋体" w:cs="宋体"/>
          <w:sz w:val="24"/>
          <w:szCs w:val="24"/>
        </w:rPr>
      </w:pPr>
      <w:r>
        <w:rPr>
          <w:rFonts w:ascii="宋体" w:hAnsi="宋体" w:eastAsia="宋体" w:cs="宋体"/>
          <w:spacing w:val="-4"/>
          <w:sz w:val="24"/>
          <w:szCs w:val="24"/>
        </w:rPr>
        <w:t>3.人口规模</w:t>
      </w:r>
    </w:p>
    <w:p w14:paraId="6908321D">
      <w:pPr>
        <w:spacing w:before="182" w:line="220" w:lineRule="auto"/>
        <w:ind w:left="540"/>
        <w:rPr>
          <w:rFonts w:ascii="宋体" w:hAnsi="宋体" w:eastAsia="宋体" w:cs="宋体"/>
          <w:sz w:val="24"/>
          <w:szCs w:val="24"/>
        </w:rPr>
      </w:pPr>
      <w:r>
        <w:rPr>
          <w:rFonts w:ascii="宋体" w:hAnsi="宋体" w:eastAsia="宋体" w:cs="宋体"/>
          <w:spacing w:val="-9"/>
          <w:sz w:val="24"/>
          <w:szCs w:val="24"/>
        </w:rPr>
        <w:t>中心城区人口规模：</w:t>
      </w:r>
    </w:p>
    <w:p w14:paraId="2D0673F9">
      <w:pPr>
        <w:spacing w:before="179" w:line="347" w:lineRule="auto"/>
        <w:ind w:left="519" w:right="2941"/>
        <w:rPr>
          <w:rFonts w:ascii="宋体" w:hAnsi="宋体" w:eastAsia="宋体" w:cs="宋体"/>
          <w:sz w:val="24"/>
          <w:szCs w:val="24"/>
        </w:rPr>
      </w:pPr>
      <w:r>
        <w:rPr>
          <w:rFonts w:ascii="宋体" w:hAnsi="宋体" w:eastAsia="宋体" w:cs="宋体"/>
          <w:spacing w:val="-2"/>
          <w:sz w:val="24"/>
          <w:szCs w:val="24"/>
        </w:rPr>
        <w:t>规划至2025年中心城区常住人口规模为7.00</w:t>
      </w:r>
      <w:r>
        <w:rPr>
          <w:rFonts w:ascii="宋体" w:hAnsi="宋体" w:eastAsia="宋体" w:cs="宋体"/>
          <w:spacing w:val="-3"/>
          <w:sz w:val="24"/>
          <w:szCs w:val="24"/>
        </w:rPr>
        <w:t>万人；</w:t>
      </w:r>
      <w:r>
        <w:rPr>
          <w:rFonts w:ascii="宋体" w:hAnsi="宋体" w:eastAsia="宋体" w:cs="宋体"/>
          <w:spacing w:val="-2"/>
          <w:sz w:val="24"/>
          <w:szCs w:val="24"/>
        </w:rPr>
        <w:t>规划至2035年中心城区常住人口规模为7.62</w:t>
      </w:r>
      <w:r>
        <w:rPr>
          <w:rFonts w:ascii="宋体" w:hAnsi="宋体" w:eastAsia="宋体" w:cs="宋体"/>
          <w:spacing w:val="-3"/>
          <w:sz w:val="24"/>
          <w:szCs w:val="24"/>
        </w:rPr>
        <w:t>万人。</w:t>
      </w:r>
    </w:p>
    <w:p w14:paraId="0FEA074F">
      <w:pPr>
        <w:spacing w:before="32" w:line="220" w:lineRule="auto"/>
        <w:ind w:left="490"/>
        <w:rPr>
          <w:rFonts w:ascii="宋体" w:hAnsi="宋体" w:eastAsia="宋体" w:cs="宋体"/>
          <w:sz w:val="24"/>
          <w:szCs w:val="24"/>
        </w:rPr>
      </w:pPr>
      <w:r>
        <w:rPr>
          <w:rFonts w:ascii="宋体" w:hAnsi="宋体" w:eastAsia="宋体" w:cs="宋体"/>
          <w:spacing w:val="-4"/>
          <w:sz w:val="24"/>
          <w:szCs w:val="24"/>
        </w:rPr>
        <w:t>4.中心城区用地规模</w:t>
      </w:r>
    </w:p>
    <w:p w14:paraId="11F9297D">
      <w:pPr>
        <w:spacing w:before="183" w:line="347" w:lineRule="auto"/>
        <w:ind w:left="46" w:right="145" w:firstLine="471"/>
        <w:rPr>
          <w:rFonts w:ascii="宋体" w:hAnsi="宋体" w:eastAsia="宋体" w:cs="宋体"/>
          <w:sz w:val="24"/>
          <w:szCs w:val="24"/>
        </w:rPr>
      </w:pPr>
      <w:r>
        <w:rPr>
          <w:rFonts w:ascii="宋体" w:hAnsi="宋体" w:eastAsia="宋体" w:cs="宋体"/>
          <w:sz w:val="24"/>
          <w:szCs w:val="24"/>
        </w:rPr>
        <w:t>根据中心城区用地现状增长速度，综合考虑各类用地需求，规划至</w:t>
      </w:r>
      <w:r>
        <w:rPr>
          <w:rFonts w:ascii="宋体" w:hAnsi="宋体" w:eastAsia="宋体" w:cs="宋体"/>
          <w:spacing w:val="-1"/>
          <w:sz w:val="24"/>
          <w:szCs w:val="24"/>
        </w:rPr>
        <w:t>2035年，中心城区建设用地规模控制在1606.98公顷，人均建设用地210.89平方</w:t>
      </w:r>
      <w:r>
        <w:rPr>
          <w:rFonts w:ascii="宋体" w:hAnsi="宋体" w:eastAsia="宋体" w:cs="宋体"/>
          <w:spacing w:val="-2"/>
          <w:sz w:val="24"/>
          <w:szCs w:val="24"/>
        </w:rPr>
        <w:t>米/人。</w:t>
      </w:r>
    </w:p>
    <w:p w14:paraId="4D11E652">
      <w:pPr>
        <w:spacing w:before="151" w:line="220" w:lineRule="auto"/>
        <w:ind w:left="55"/>
        <w:rPr>
          <w:rFonts w:ascii="宋体" w:hAnsi="宋体" w:eastAsia="宋体" w:cs="宋体"/>
          <w:sz w:val="24"/>
          <w:szCs w:val="24"/>
        </w:rPr>
      </w:pPr>
      <w:r>
        <w:rPr>
          <w:rFonts w:ascii="宋体" w:hAnsi="宋体" w:eastAsia="宋体" w:cs="宋体"/>
          <w:spacing w:val="-5"/>
          <w:sz w:val="24"/>
          <w:szCs w:val="24"/>
        </w:rPr>
        <w:t>1.3.2巴拉贡镇城镇开发边界情况</w:t>
      </w:r>
    </w:p>
    <w:p w14:paraId="43B082A7">
      <w:pPr>
        <w:spacing w:before="183" w:line="352" w:lineRule="auto"/>
        <w:ind w:left="39" w:right="9" w:firstLine="504"/>
        <w:rPr>
          <w:rFonts w:ascii="宋体" w:hAnsi="宋体" w:eastAsia="宋体" w:cs="宋体"/>
          <w:sz w:val="24"/>
          <w:szCs w:val="24"/>
        </w:rPr>
      </w:pPr>
      <w:r>
        <w:rPr>
          <w:rFonts w:ascii="宋体" w:hAnsi="宋体" w:eastAsia="宋体" w:cs="宋体"/>
          <w:spacing w:val="-4"/>
          <w:sz w:val="24"/>
          <w:szCs w:val="24"/>
        </w:rPr>
        <w:t>巴拉贡镇落实城镇开发边界面积为451.67公顷</w:t>
      </w:r>
      <w:r>
        <w:rPr>
          <w:rFonts w:ascii="宋体" w:hAnsi="宋体" w:eastAsia="宋体" w:cs="宋体"/>
          <w:spacing w:val="-5"/>
          <w:sz w:val="24"/>
          <w:szCs w:val="24"/>
        </w:rPr>
        <w:t>，占全域国土总面积0.23%。坚持节</w:t>
      </w:r>
      <w:r>
        <w:rPr>
          <w:rFonts w:ascii="宋体" w:hAnsi="宋体" w:eastAsia="宋体" w:cs="宋体"/>
          <w:spacing w:val="-9"/>
          <w:sz w:val="24"/>
          <w:szCs w:val="24"/>
        </w:rPr>
        <w:t>约集约、紧凑发展、保护优先的原则，科学统筹发展安全的基本关系。在确保粮食安全、</w:t>
      </w:r>
      <w:r>
        <w:rPr>
          <w:rFonts w:ascii="宋体" w:hAnsi="宋体" w:eastAsia="宋体" w:cs="宋体"/>
          <w:spacing w:val="-6"/>
          <w:sz w:val="24"/>
          <w:szCs w:val="24"/>
        </w:rPr>
        <w:t>生态安全等资源环境底线约束的基础上，因地制宜，基于自然地理格局和城市发展规律，</w:t>
      </w:r>
      <w:r>
        <w:rPr>
          <w:rFonts w:ascii="宋体" w:hAnsi="宋体" w:eastAsia="宋体" w:cs="宋体"/>
          <w:spacing w:val="-4"/>
          <w:sz w:val="24"/>
          <w:szCs w:val="24"/>
        </w:rPr>
        <w:t>合理划定城镇开发边界。</w:t>
      </w:r>
    </w:p>
    <w:p w14:paraId="59F83ED7">
      <w:pPr>
        <w:spacing w:line="352" w:lineRule="auto"/>
        <w:rPr>
          <w:rFonts w:ascii="宋体" w:hAnsi="宋体" w:eastAsia="宋体" w:cs="宋体"/>
          <w:sz w:val="24"/>
          <w:szCs w:val="24"/>
        </w:rPr>
        <w:sectPr>
          <w:headerReference r:id="rId14" w:type="default"/>
          <w:footerReference r:id="rId15" w:type="default"/>
          <w:pgSz w:w="11907" w:h="16841"/>
          <w:pgMar w:top="1091" w:right="1339" w:bottom="1168" w:left="1390" w:header="859" w:footer="991" w:gutter="0"/>
          <w:cols w:space="720" w:num="1"/>
        </w:sectPr>
      </w:pPr>
    </w:p>
    <w:p w14:paraId="6A19C791">
      <w:pPr>
        <w:pStyle w:val="2"/>
        <w:spacing w:line="325" w:lineRule="auto"/>
      </w:pPr>
    </w:p>
    <w:p w14:paraId="5C751050">
      <w:pPr>
        <w:spacing w:line="6022" w:lineRule="exact"/>
        <w:ind w:firstLine="150"/>
      </w:pPr>
      <w:r>
        <w:rPr>
          <w:position w:val="-120"/>
        </w:rPr>
        <w:drawing>
          <wp:inline distT="0" distB="0" distL="0" distR="0">
            <wp:extent cx="5603875" cy="382397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0"/>
                    <a:stretch>
                      <a:fillRect/>
                    </a:stretch>
                  </pic:blipFill>
                  <pic:spPr>
                    <a:xfrm>
                      <a:off x="0" y="0"/>
                      <a:ext cx="5604509" cy="3824223"/>
                    </a:xfrm>
                    <a:prstGeom prst="rect">
                      <a:avLst/>
                    </a:prstGeom>
                  </pic:spPr>
                </pic:pic>
              </a:graphicData>
            </a:graphic>
          </wp:inline>
        </w:drawing>
      </w:r>
    </w:p>
    <w:p w14:paraId="6AA13007">
      <w:pPr>
        <w:spacing w:before="34" w:line="220" w:lineRule="auto"/>
        <w:ind w:left="2917"/>
        <w:rPr>
          <w:rFonts w:ascii="宋体" w:hAnsi="宋体" w:eastAsia="宋体" w:cs="宋体"/>
          <w:sz w:val="18"/>
          <w:szCs w:val="18"/>
        </w:rPr>
      </w:pPr>
      <w:r>
        <w:rPr>
          <w:rFonts w:ascii="宋体" w:hAnsi="宋体" w:eastAsia="宋体" w:cs="宋体"/>
          <w:b/>
          <w:bCs/>
          <w:spacing w:val="-4"/>
          <w:sz w:val="18"/>
          <w:szCs w:val="18"/>
        </w:rPr>
        <w:t>图</w:t>
      </w:r>
      <w:r>
        <w:rPr>
          <w:rFonts w:ascii="Times New Roman" w:hAnsi="Times New Roman" w:eastAsia="Times New Roman" w:cs="Times New Roman"/>
          <w:b/>
          <w:bCs/>
          <w:spacing w:val="-4"/>
          <w:sz w:val="18"/>
          <w:szCs w:val="18"/>
        </w:rPr>
        <w:t>1</w:t>
      </w:r>
      <w:r>
        <w:rPr>
          <w:rFonts w:hint="eastAsia" w:ascii="Times New Roman" w:hAnsi="Times New Roman" w:eastAsia="宋体" w:cs="Times New Roman"/>
          <w:b/>
          <w:bCs/>
          <w:spacing w:val="-4"/>
          <w:sz w:val="18"/>
          <w:szCs w:val="18"/>
          <w:lang w:eastAsia="zh-CN"/>
        </w:rPr>
        <w:t>—</w:t>
      </w:r>
      <w:r>
        <w:rPr>
          <w:rFonts w:ascii="Times New Roman" w:hAnsi="Times New Roman" w:eastAsia="Times New Roman" w:cs="Times New Roman"/>
          <w:b/>
          <w:bCs/>
          <w:spacing w:val="-4"/>
          <w:sz w:val="18"/>
          <w:szCs w:val="18"/>
        </w:rPr>
        <w:t>4</w:t>
      </w:r>
      <w:r>
        <w:rPr>
          <w:rFonts w:ascii="宋体" w:hAnsi="宋体" w:eastAsia="宋体" w:cs="宋体"/>
          <w:b/>
          <w:bCs/>
          <w:spacing w:val="-4"/>
          <w:sz w:val="18"/>
          <w:szCs w:val="18"/>
        </w:rPr>
        <w:t>巴拉贡镇城镇国土空间控制线规划图</w:t>
      </w:r>
    </w:p>
    <w:p w14:paraId="55C8FCA2">
      <w:pPr>
        <w:spacing w:before="269" w:line="219" w:lineRule="auto"/>
        <w:ind w:left="535"/>
        <w:rPr>
          <w:rFonts w:ascii="宋体" w:hAnsi="宋体" w:eastAsia="宋体" w:cs="宋体"/>
          <w:sz w:val="24"/>
          <w:szCs w:val="24"/>
        </w:rPr>
      </w:pPr>
      <w:r>
        <w:rPr>
          <w:rFonts w:ascii="宋体" w:hAnsi="宋体" w:eastAsia="宋体" w:cs="宋体"/>
          <w:spacing w:val="-1"/>
          <w:sz w:val="24"/>
          <w:szCs w:val="24"/>
        </w:rPr>
        <w:t>1.3.3独贵塔拉镇（含塔然高勒管委会）</w:t>
      </w:r>
      <w:r>
        <w:rPr>
          <w:rFonts w:ascii="宋体" w:hAnsi="宋体" w:eastAsia="宋体" w:cs="宋体"/>
          <w:spacing w:val="-2"/>
          <w:sz w:val="24"/>
          <w:szCs w:val="24"/>
        </w:rPr>
        <w:t>城镇开发边界情况</w:t>
      </w:r>
    </w:p>
    <w:p w14:paraId="62728E59">
      <w:pPr>
        <w:spacing w:before="180" w:line="345" w:lineRule="auto"/>
        <w:ind w:left="55" w:right="31" w:firstLine="463"/>
        <w:rPr>
          <w:rFonts w:ascii="宋体" w:hAnsi="宋体" w:eastAsia="宋体" w:cs="宋体"/>
          <w:sz w:val="24"/>
          <w:szCs w:val="24"/>
        </w:rPr>
      </w:pPr>
      <w:r>
        <w:rPr>
          <w:rFonts w:ascii="宋体" w:hAnsi="宋体" w:eastAsia="宋体" w:cs="宋体"/>
          <w:spacing w:val="-4"/>
          <w:sz w:val="24"/>
          <w:szCs w:val="24"/>
        </w:rPr>
        <w:t>严格按照面积上限要求，合理落实城镇开发边界1487.07公顷，均为城镇集中建设区，无弹性发展区和特别用途区。</w:t>
      </w:r>
    </w:p>
    <w:p w14:paraId="1DD3D891">
      <w:pPr>
        <w:spacing w:line="5742" w:lineRule="exact"/>
        <w:ind w:firstLine="296"/>
      </w:pPr>
      <w:r>
        <w:rPr>
          <w:position w:val="-114"/>
        </w:rPr>
        <w:drawing>
          <wp:inline distT="0" distB="0" distL="0" distR="0">
            <wp:extent cx="5417820" cy="364617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81"/>
                    <a:stretch>
                      <a:fillRect/>
                    </a:stretch>
                  </pic:blipFill>
                  <pic:spPr>
                    <a:xfrm>
                      <a:off x="0" y="0"/>
                      <a:ext cx="5418454" cy="3646170"/>
                    </a:xfrm>
                    <a:prstGeom prst="rect">
                      <a:avLst/>
                    </a:prstGeom>
                  </pic:spPr>
                </pic:pic>
              </a:graphicData>
            </a:graphic>
          </wp:inline>
        </w:drawing>
      </w:r>
    </w:p>
    <w:p w14:paraId="3047268D">
      <w:pPr>
        <w:spacing w:before="31" w:line="220" w:lineRule="auto"/>
        <w:ind w:left="3005"/>
        <w:rPr>
          <w:rFonts w:ascii="宋体" w:hAnsi="宋体" w:eastAsia="宋体" w:cs="宋体"/>
          <w:sz w:val="18"/>
          <w:szCs w:val="18"/>
        </w:rPr>
      </w:pPr>
      <w:r>
        <w:rPr>
          <w:rFonts w:ascii="宋体" w:hAnsi="宋体" w:eastAsia="宋体" w:cs="宋体"/>
          <w:b/>
          <w:bCs/>
          <w:spacing w:val="-3"/>
          <w:sz w:val="18"/>
          <w:szCs w:val="18"/>
        </w:rPr>
        <w:t>图</w:t>
      </w:r>
      <w:r>
        <w:rPr>
          <w:rFonts w:ascii="Times New Roman" w:hAnsi="Times New Roman" w:eastAsia="Times New Roman" w:cs="Times New Roman"/>
          <w:b/>
          <w:bCs/>
          <w:spacing w:val="-3"/>
          <w:sz w:val="18"/>
          <w:szCs w:val="18"/>
        </w:rPr>
        <w:t>1</w:t>
      </w:r>
      <w:r>
        <w:rPr>
          <w:rFonts w:hint="eastAsia" w:ascii="Times New Roman" w:hAnsi="Times New Roman" w:eastAsia="宋体" w:cs="Times New Roman"/>
          <w:b/>
          <w:bCs/>
          <w:spacing w:val="-3"/>
          <w:sz w:val="18"/>
          <w:szCs w:val="18"/>
          <w:lang w:eastAsia="zh-CN"/>
        </w:rPr>
        <w:t>—</w:t>
      </w:r>
      <w:r>
        <w:rPr>
          <w:rFonts w:ascii="Times New Roman" w:hAnsi="Times New Roman" w:eastAsia="Times New Roman" w:cs="Times New Roman"/>
          <w:b/>
          <w:bCs/>
          <w:spacing w:val="-3"/>
          <w:sz w:val="18"/>
          <w:szCs w:val="18"/>
        </w:rPr>
        <w:t>5</w:t>
      </w:r>
      <w:r>
        <w:rPr>
          <w:rFonts w:ascii="宋体" w:hAnsi="宋体" w:eastAsia="宋体" w:cs="宋体"/>
          <w:b/>
          <w:bCs/>
          <w:spacing w:val="-3"/>
          <w:sz w:val="18"/>
          <w:szCs w:val="18"/>
        </w:rPr>
        <w:t>独贵塔拉镇国土空间控制线规划图</w:t>
      </w:r>
    </w:p>
    <w:p w14:paraId="7CCAB396">
      <w:pPr>
        <w:spacing w:line="220" w:lineRule="auto"/>
        <w:rPr>
          <w:rFonts w:ascii="宋体" w:hAnsi="宋体" w:eastAsia="宋体" w:cs="宋体"/>
          <w:sz w:val="18"/>
          <w:szCs w:val="18"/>
        </w:rPr>
        <w:sectPr>
          <w:footerReference r:id="rId16" w:type="default"/>
          <w:pgSz w:w="11907" w:h="16841"/>
          <w:pgMar w:top="1091" w:right="1384" w:bottom="1167" w:left="1390" w:header="859" w:footer="991" w:gutter="0"/>
          <w:cols w:space="720" w:num="1"/>
        </w:sectPr>
      </w:pPr>
    </w:p>
    <w:p w14:paraId="78BF5A39">
      <w:pPr>
        <w:pStyle w:val="2"/>
        <w:spacing w:line="283" w:lineRule="auto"/>
      </w:pPr>
    </w:p>
    <w:p w14:paraId="1E90041F">
      <w:pPr>
        <w:spacing w:before="78" w:line="220" w:lineRule="auto"/>
        <w:ind w:left="535"/>
        <w:rPr>
          <w:rFonts w:ascii="宋体" w:hAnsi="宋体" w:eastAsia="宋体" w:cs="宋体"/>
          <w:sz w:val="24"/>
          <w:szCs w:val="24"/>
        </w:rPr>
      </w:pPr>
      <w:r>
        <w:rPr>
          <w:rFonts w:ascii="宋体" w:hAnsi="宋体" w:eastAsia="宋体" w:cs="宋体"/>
          <w:spacing w:val="-3"/>
          <w:sz w:val="24"/>
          <w:szCs w:val="24"/>
        </w:rPr>
        <w:t>1.3.4呼和木独镇城镇开发边界情况</w:t>
      </w:r>
    </w:p>
    <w:p w14:paraId="5415223F">
      <w:pPr>
        <w:spacing w:before="181" w:line="345" w:lineRule="auto"/>
        <w:ind w:left="39" w:firstLine="480"/>
        <w:rPr>
          <w:rFonts w:ascii="宋体" w:hAnsi="宋体" w:eastAsia="宋体" w:cs="宋体"/>
          <w:sz w:val="24"/>
          <w:szCs w:val="24"/>
        </w:rPr>
      </w:pPr>
      <w:r>
        <w:rPr>
          <w:rFonts w:ascii="宋体" w:hAnsi="宋体" w:eastAsia="宋体" w:cs="宋体"/>
          <w:spacing w:val="-7"/>
          <w:sz w:val="24"/>
          <w:szCs w:val="24"/>
        </w:rPr>
        <w:t>按照集约适度、绿色发展要求划定城镇开发边界97.93公顷，占全域总面积的0.08%，</w:t>
      </w:r>
      <w:r>
        <w:rPr>
          <w:rFonts w:ascii="宋体" w:hAnsi="宋体" w:eastAsia="宋体" w:cs="宋体"/>
          <w:spacing w:val="-5"/>
          <w:sz w:val="24"/>
          <w:szCs w:val="24"/>
        </w:rPr>
        <w:t>均为城镇集中建设区。</w:t>
      </w:r>
    </w:p>
    <w:p w14:paraId="58FD6610">
      <w:pPr>
        <w:spacing w:line="6117" w:lineRule="exact"/>
        <w:ind w:firstLine="90"/>
      </w:pPr>
      <w:r>
        <w:rPr>
          <w:position w:val="-122"/>
        </w:rPr>
        <w:drawing>
          <wp:inline distT="0" distB="0" distL="0" distR="0">
            <wp:extent cx="5680075" cy="388429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82"/>
                    <a:stretch>
                      <a:fillRect/>
                    </a:stretch>
                  </pic:blipFill>
                  <pic:spPr>
                    <a:xfrm>
                      <a:off x="0" y="0"/>
                      <a:ext cx="5680202" cy="3884929"/>
                    </a:xfrm>
                    <a:prstGeom prst="rect">
                      <a:avLst/>
                    </a:prstGeom>
                  </pic:spPr>
                </pic:pic>
              </a:graphicData>
            </a:graphic>
          </wp:inline>
        </w:drawing>
      </w:r>
    </w:p>
    <w:p w14:paraId="29E8B232">
      <w:pPr>
        <w:spacing w:before="29" w:line="220" w:lineRule="auto"/>
        <w:ind w:left="3005"/>
        <w:rPr>
          <w:rFonts w:ascii="宋体" w:hAnsi="宋体" w:eastAsia="宋体" w:cs="宋体"/>
          <w:sz w:val="18"/>
          <w:szCs w:val="18"/>
        </w:rPr>
      </w:pPr>
      <w:r>
        <w:rPr>
          <w:rFonts w:ascii="宋体" w:hAnsi="宋体" w:eastAsia="宋体" w:cs="宋体"/>
          <w:b/>
          <w:bCs/>
          <w:spacing w:val="-3"/>
          <w:sz w:val="18"/>
          <w:szCs w:val="18"/>
        </w:rPr>
        <w:t>图</w:t>
      </w:r>
      <w:r>
        <w:rPr>
          <w:rFonts w:ascii="Times New Roman" w:hAnsi="Times New Roman" w:eastAsia="Times New Roman" w:cs="Times New Roman"/>
          <w:b/>
          <w:bCs/>
          <w:spacing w:val="-3"/>
          <w:sz w:val="18"/>
          <w:szCs w:val="18"/>
        </w:rPr>
        <w:t>1</w:t>
      </w:r>
      <w:r>
        <w:rPr>
          <w:rFonts w:hint="eastAsia" w:ascii="Times New Roman" w:hAnsi="Times New Roman" w:eastAsia="宋体" w:cs="Times New Roman"/>
          <w:b/>
          <w:bCs/>
          <w:spacing w:val="-3"/>
          <w:sz w:val="18"/>
          <w:szCs w:val="18"/>
          <w:lang w:eastAsia="zh-CN"/>
        </w:rPr>
        <w:t>—</w:t>
      </w:r>
      <w:r>
        <w:rPr>
          <w:rFonts w:ascii="Times New Roman" w:hAnsi="Times New Roman" w:eastAsia="Times New Roman" w:cs="Times New Roman"/>
          <w:b/>
          <w:bCs/>
          <w:spacing w:val="-3"/>
          <w:sz w:val="18"/>
          <w:szCs w:val="18"/>
        </w:rPr>
        <w:t>6</w:t>
      </w:r>
      <w:r>
        <w:rPr>
          <w:rFonts w:ascii="宋体" w:hAnsi="宋体" w:eastAsia="宋体" w:cs="宋体"/>
          <w:b/>
          <w:bCs/>
          <w:spacing w:val="-3"/>
          <w:sz w:val="18"/>
          <w:szCs w:val="18"/>
        </w:rPr>
        <w:t>呼和木独镇国土空间控制线规划图</w:t>
      </w:r>
    </w:p>
    <w:p w14:paraId="5BC2FF76">
      <w:pPr>
        <w:spacing w:before="269" w:line="220" w:lineRule="auto"/>
        <w:ind w:left="55"/>
        <w:rPr>
          <w:rFonts w:ascii="宋体" w:hAnsi="宋体" w:eastAsia="宋体" w:cs="宋体"/>
          <w:sz w:val="24"/>
          <w:szCs w:val="24"/>
        </w:rPr>
      </w:pPr>
      <w:r>
        <w:rPr>
          <w:rFonts w:ascii="宋体" w:hAnsi="宋体" w:eastAsia="宋体" w:cs="宋体"/>
          <w:spacing w:val="-3"/>
          <w:sz w:val="24"/>
          <w:szCs w:val="24"/>
        </w:rPr>
        <w:t>1.3.5吉日嘎郎图镇城镇开发边界情况</w:t>
      </w:r>
    </w:p>
    <w:p w14:paraId="5F35175A">
      <w:pPr>
        <w:spacing w:before="181" w:line="346" w:lineRule="auto"/>
        <w:ind w:left="40" w:right="122" w:firstLine="479"/>
        <w:rPr>
          <w:rFonts w:ascii="宋体" w:hAnsi="宋体" w:eastAsia="宋体" w:cs="宋体"/>
          <w:sz w:val="24"/>
          <w:szCs w:val="24"/>
        </w:rPr>
      </w:pPr>
      <w:r>
        <w:rPr>
          <w:rFonts w:ascii="宋体" w:hAnsi="宋体" w:eastAsia="宋体" w:cs="宋体"/>
          <w:spacing w:val="-8"/>
          <w:sz w:val="24"/>
          <w:szCs w:val="24"/>
        </w:rPr>
        <w:t>严格按照面积上限要求，合理落实城镇开发边界93.32公顷，均为城镇集中建设区，</w:t>
      </w:r>
      <w:r>
        <w:rPr>
          <w:rFonts w:ascii="宋体" w:hAnsi="宋体" w:eastAsia="宋体" w:cs="宋体"/>
          <w:spacing w:val="-4"/>
          <w:sz w:val="24"/>
          <w:szCs w:val="24"/>
        </w:rPr>
        <w:t>无弹性发展区和特别用途区。</w:t>
      </w:r>
    </w:p>
    <w:p w14:paraId="7525D81E">
      <w:pPr>
        <w:spacing w:line="346" w:lineRule="auto"/>
        <w:rPr>
          <w:rFonts w:ascii="宋体" w:hAnsi="宋体" w:eastAsia="宋体" w:cs="宋体"/>
          <w:sz w:val="24"/>
          <w:szCs w:val="24"/>
        </w:rPr>
        <w:sectPr>
          <w:headerReference r:id="rId17" w:type="default"/>
          <w:footerReference r:id="rId18" w:type="default"/>
          <w:pgSz w:w="11907" w:h="16841"/>
          <w:pgMar w:top="1091" w:right="1227" w:bottom="1168" w:left="1390" w:header="859" w:footer="991" w:gutter="0"/>
          <w:cols w:space="720" w:num="1"/>
        </w:sectPr>
      </w:pPr>
    </w:p>
    <w:p w14:paraId="265F660C">
      <w:pPr>
        <w:pStyle w:val="2"/>
        <w:spacing w:line="325" w:lineRule="auto"/>
      </w:pPr>
    </w:p>
    <w:p w14:paraId="5924178F">
      <w:pPr>
        <w:spacing w:line="5899" w:lineRule="exact"/>
        <w:ind w:firstLine="256"/>
      </w:pPr>
      <w:r>
        <w:rPr>
          <w:position w:val="-117"/>
        </w:rPr>
        <w:drawing>
          <wp:inline distT="0" distB="0" distL="0" distR="0">
            <wp:extent cx="5468620" cy="374586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83"/>
                    <a:stretch>
                      <a:fillRect/>
                    </a:stretch>
                  </pic:blipFill>
                  <pic:spPr>
                    <a:xfrm>
                      <a:off x="0" y="0"/>
                      <a:ext cx="5469000" cy="3746245"/>
                    </a:xfrm>
                    <a:prstGeom prst="rect">
                      <a:avLst/>
                    </a:prstGeom>
                  </pic:spPr>
                </pic:pic>
              </a:graphicData>
            </a:graphic>
          </wp:inline>
        </w:drawing>
      </w:r>
    </w:p>
    <w:p w14:paraId="0650EEBB">
      <w:pPr>
        <w:spacing w:before="37" w:line="220" w:lineRule="auto"/>
        <w:ind w:left="2917"/>
        <w:rPr>
          <w:rFonts w:ascii="宋体" w:hAnsi="宋体" w:eastAsia="宋体" w:cs="宋体"/>
          <w:sz w:val="18"/>
          <w:szCs w:val="18"/>
        </w:rPr>
      </w:pPr>
      <w:r>
        <w:rPr>
          <w:rFonts w:ascii="宋体" w:hAnsi="宋体" w:eastAsia="宋体" w:cs="宋体"/>
          <w:b/>
          <w:bCs/>
          <w:spacing w:val="-3"/>
          <w:sz w:val="18"/>
          <w:szCs w:val="18"/>
        </w:rPr>
        <w:t>图</w:t>
      </w:r>
      <w:r>
        <w:rPr>
          <w:rFonts w:ascii="Times New Roman" w:hAnsi="Times New Roman" w:eastAsia="Times New Roman" w:cs="Times New Roman"/>
          <w:b/>
          <w:bCs/>
          <w:spacing w:val="-3"/>
          <w:sz w:val="18"/>
          <w:szCs w:val="18"/>
        </w:rPr>
        <w:t>1</w:t>
      </w:r>
      <w:r>
        <w:rPr>
          <w:rFonts w:hint="eastAsia" w:ascii="Times New Roman" w:hAnsi="Times New Roman" w:eastAsia="宋体" w:cs="Times New Roman"/>
          <w:b/>
          <w:bCs/>
          <w:spacing w:val="-3"/>
          <w:sz w:val="18"/>
          <w:szCs w:val="18"/>
          <w:lang w:eastAsia="zh-CN"/>
        </w:rPr>
        <w:t>—</w:t>
      </w:r>
      <w:r>
        <w:rPr>
          <w:rFonts w:ascii="Times New Roman" w:hAnsi="Times New Roman" w:eastAsia="Times New Roman" w:cs="Times New Roman"/>
          <w:b/>
          <w:bCs/>
          <w:spacing w:val="-3"/>
          <w:sz w:val="18"/>
          <w:szCs w:val="18"/>
        </w:rPr>
        <w:t>7</w:t>
      </w:r>
      <w:r>
        <w:rPr>
          <w:rFonts w:ascii="宋体" w:hAnsi="宋体" w:eastAsia="宋体" w:cs="宋体"/>
          <w:b/>
          <w:bCs/>
          <w:spacing w:val="-3"/>
          <w:sz w:val="18"/>
          <w:szCs w:val="18"/>
        </w:rPr>
        <w:t>吉日嘎郎图镇国土空间控制线规划图</w:t>
      </w:r>
    </w:p>
    <w:p w14:paraId="51EA6A70">
      <w:pPr>
        <w:spacing w:before="269" w:line="220" w:lineRule="auto"/>
        <w:ind w:left="55"/>
        <w:rPr>
          <w:rFonts w:ascii="宋体" w:hAnsi="宋体" w:eastAsia="宋体" w:cs="宋体"/>
          <w:sz w:val="24"/>
          <w:szCs w:val="24"/>
        </w:rPr>
      </w:pPr>
      <w:r>
        <w:rPr>
          <w:rFonts w:ascii="宋体" w:hAnsi="宋体" w:eastAsia="宋体" w:cs="宋体"/>
          <w:spacing w:val="-2"/>
          <w:sz w:val="24"/>
          <w:szCs w:val="24"/>
        </w:rPr>
        <w:t>1.3.1伊和乌素苏木城镇开发边界情况</w:t>
      </w:r>
    </w:p>
    <w:p w14:paraId="5D793B32">
      <w:pPr>
        <w:spacing w:before="180" w:line="345" w:lineRule="auto"/>
        <w:ind w:left="40" w:right="100" w:firstLine="480"/>
        <w:rPr>
          <w:rFonts w:ascii="宋体" w:hAnsi="宋体" w:eastAsia="宋体" w:cs="宋体"/>
          <w:sz w:val="24"/>
          <w:szCs w:val="24"/>
        </w:rPr>
      </w:pPr>
      <w:r>
        <w:rPr>
          <w:rFonts w:ascii="宋体" w:hAnsi="宋体" w:eastAsia="宋体" w:cs="宋体"/>
          <w:sz w:val="24"/>
          <w:szCs w:val="24"/>
        </w:rPr>
        <w:t>按照集约适度、绿色发展要求划定城镇开发边界1115.57</w:t>
      </w:r>
      <w:r>
        <w:rPr>
          <w:rFonts w:ascii="宋体" w:hAnsi="宋体" w:eastAsia="宋体" w:cs="宋体"/>
          <w:spacing w:val="-1"/>
          <w:sz w:val="24"/>
          <w:szCs w:val="24"/>
        </w:rPr>
        <w:t>公顷，占全域总面积的</w:t>
      </w:r>
      <w:r>
        <w:rPr>
          <w:rFonts w:ascii="宋体" w:hAnsi="宋体" w:eastAsia="宋体" w:cs="宋体"/>
          <w:spacing w:val="-3"/>
          <w:sz w:val="24"/>
          <w:szCs w:val="24"/>
        </w:rPr>
        <w:t>0.23%，均为城镇集中建设区。</w:t>
      </w:r>
    </w:p>
    <w:p w14:paraId="0B822E67">
      <w:pPr>
        <w:spacing w:line="5910" w:lineRule="exact"/>
        <w:ind w:firstLine="228"/>
      </w:pPr>
      <w:r>
        <w:rPr>
          <w:position w:val="-118"/>
        </w:rPr>
        <w:drawing>
          <wp:inline distT="0" distB="0" distL="0" distR="0">
            <wp:extent cx="5502275" cy="375285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84"/>
                    <a:stretch>
                      <a:fillRect/>
                    </a:stretch>
                  </pic:blipFill>
                  <pic:spPr>
                    <a:xfrm>
                      <a:off x="0" y="0"/>
                      <a:ext cx="5502909" cy="3753345"/>
                    </a:xfrm>
                    <a:prstGeom prst="rect">
                      <a:avLst/>
                    </a:prstGeom>
                  </pic:spPr>
                </pic:pic>
              </a:graphicData>
            </a:graphic>
          </wp:inline>
        </w:drawing>
      </w:r>
    </w:p>
    <w:p w14:paraId="5F07422D">
      <w:pPr>
        <w:spacing w:before="29" w:line="220" w:lineRule="auto"/>
        <w:ind w:left="2917"/>
        <w:rPr>
          <w:rFonts w:ascii="宋体" w:hAnsi="宋体" w:eastAsia="宋体" w:cs="宋体"/>
          <w:sz w:val="18"/>
          <w:szCs w:val="18"/>
        </w:rPr>
      </w:pPr>
      <w:r>
        <w:rPr>
          <w:rFonts w:ascii="宋体" w:hAnsi="宋体" w:eastAsia="宋体" w:cs="宋体"/>
          <w:b/>
          <w:bCs/>
          <w:spacing w:val="-3"/>
          <w:sz w:val="18"/>
          <w:szCs w:val="18"/>
        </w:rPr>
        <w:t>图</w:t>
      </w:r>
      <w:r>
        <w:rPr>
          <w:rFonts w:ascii="Times New Roman" w:hAnsi="Times New Roman" w:eastAsia="Times New Roman" w:cs="Times New Roman"/>
          <w:b/>
          <w:bCs/>
          <w:spacing w:val="-3"/>
          <w:sz w:val="18"/>
          <w:szCs w:val="18"/>
        </w:rPr>
        <w:t>1</w:t>
      </w:r>
      <w:r>
        <w:rPr>
          <w:rFonts w:hint="eastAsia" w:ascii="Times New Roman" w:hAnsi="Times New Roman" w:eastAsia="宋体" w:cs="Times New Roman"/>
          <w:b/>
          <w:bCs/>
          <w:spacing w:val="-3"/>
          <w:sz w:val="18"/>
          <w:szCs w:val="18"/>
          <w:lang w:eastAsia="zh-CN"/>
        </w:rPr>
        <w:t>—</w:t>
      </w:r>
      <w:r>
        <w:rPr>
          <w:rFonts w:ascii="Times New Roman" w:hAnsi="Times New Roman" w:eastAsia="Times New Roman" w:cs="Times New Roman"/>
          <w:b/>
          <w:bCs/>
          <w:spacing w:val="-3"/>
          <w:sz w:val="18"/>
          <w:szCs w:val="18"/>
        </w:rPr>
        <w:t>8</w:t>
      </w:r>
      <w:r>
        <w:rPr>
          <w:rFonts w:ascii="宋体" w:hAnsi="宋体" w:eastAsia="宋体" w:cs="宋体"/>
          <w:b/>
          <w:bCs/>
          <w:spacing w:val="-3"/>
          <w:sz w:val="18"/>
          <w:szCs w:val="18"/>
        </w:rPr>
        <w:t>伊和乌素苏木国土空间控制线规划图</w:t>
      </w:r>
    </w:p>
    <w:p w14:paraId="046A0D6C">
      <w:pPr>
        <w:spacing w:line="220" w:lineRule="auto"/>
        <w:rPr>
          <w:rFonts w:ascii="宋体" w:hAnsi="宋体" w:eastAsia="宋体" w:cs="宋体"/>
          <w:sz w:val="18"/>
          <w:szCs w:val="18"/>
        </w:rPr>
        <w:sectPr>
          <w:footerReference r:id="rId19" w:type="default"/>
          <w:pgSz w:w="11907" w:h="16841"/>
          <w:pgMar w:top="1091" w:right="1384" w:bottom="1168" w:left="1390" w:header="859" w:footer="991" w:gutter="0"/>
          <w:cols w:space="720" w:num="1"/>
        </w:sectPr>
      </w:pPr>
    </w:p>
    <w:p w14:paraId="3770EBD9">
      <w:pPr>
        <w:pStyle w:val="2"/>
        <w:spacing w:line="277" w:lineRule="auto"/>
      </w:pPr>
    </w:p>
    <w:p w14:paraId="712D0D42">
      <w:pPr>
        <w:spacing w:before="91" w:line="219" w:lineRule="auto"/>
        <w:ind w:left="60"/>
        <w:outlineLvl w:val="0"/>
        <w:rPr>
          <w:rFonts w:ascii="宋体" w:hAnsi="宋体" w:eastAsia="宋体" w:cs="宋体"/>
          <w:sz w:val="28"/>
          <w:szCs w:val="28"/>
        </w:rPr>
      </w:pPr>
      <w:bookmarkStart w:id="29" w:name="bookmark9"/>
      <w:bookmarkEnd w:id="29"/>
      <w:bookmarkStart w:id="30" w:name="bookmark10"/>
      <w:bookmarkEnd w:id="30"/>
      <w:r>
        <w:rPr>
          <w:rFonts w:ascii="宋体" w:hAnsi="宋体" w:eastAsia="宋体" w:cs="宋体"/>
          <w:b/>
          <w:bCs/>
          <w:spacing w:val="-4"/>
          <w:sz w:val="28"/>
          <w:szCs w:val="28"/>
        </w:rPr>
        <w:t>1.4杭锦旗国土空间总体规划对详规单元划定的约束和传导</w:t>
      </w:r>
    </w:p>
    <w:p w14:paraId="31E5101E">
      <w:pPr>
        <w:pStyle w:val="2"/>
        <w:spacing w:line="246" w:lineRule="auto"/>
      </w:pPr>
    </w:p>
    <w:p w14:paraId="3646EECF">
      <w:pPr>
        <w:spacing w:before="78" w:line="220" w:lineRule="auto"/>
        <w:ind w:left="55"/>
        <w:rPr>
          <w:rFonts w:ascii="宋体" w:hAnsi="宋体" w:eastAsia="宋体" w:cs="宋体"/>
          <w:sz w:val="24"/>
          <w:szCs w:val="24"/>
        </w:rPr>
      </w:pPr>
      <w:r>
        <w:rPr>
          <w:rFonts w:ascii="宋体" w:hAnsi="宋体" w:eastAsia="宋体" w:cs="宋体"/>
          <w:spacing w:val="-3"/>
          <w:sz w:val="24"/>
          <w:szCs w:val="24"/>
        </w:rPr>
        <w:t>1.4.1对城镇发展区管控要求</w:t>
      </w:r>
    </w:p>
    <w:p w14:paraId="6A1D8372">
      <w:pPr>
        <w:spacing w:before="179" w:line="219" w:lineRule="auto"/>
        <w:ind w:left="518"/>
        <w:rPr>
          <w:rFonts w:ascii="宋体" w:hAnsi="宋体" w:eastAsia="宋体" w:cs="宋体"/>
          <w:sz w:val="24"/>
          <w:szCs w:val="24"/>
        </w:rPr>
      </w:pPr>
      <w:r>
        <w:rPr>
          <w:rFonts w:ascii="宋体" w:hAnsi="宋体" w:eastAsia="宋体" w:cs="宋体"/>
          <w:spacing w:val="-2"/>
          <w:sz w:val="24"/>
          <w:szCs w:val="24"/>
        </w:rPr>
        <w:t>城镇发展区采用</w:t>
      </w:r>
      <w:r>
        <w:rPr>
          <w:rFonts w:ascii="Times New Roman" w:hAnsi="Times New Roman" w:eastAsia="Times New Roman" w:cs="Times New Roman"/>
          <w:spacing w:val="-2"/>
          <w:sz w:val="24"/>
          <w:szCs w:val="24"/>
        </w:rPr>
        <w:t>“</w:t>
      </w:r>
      <w:r>
        <w:rPr>
          <w:rFonts w:ascii="宋体" w:hAnsi="宋体" w:eastAsia="宋体" w:cs="宋体"/>
          <w:spacing w:val="-2"/>
          <w:sz w:val="24"/>
          <w:szCs w:val="24"/>
        </w:rPr>
        <w:t>详细规划+规划许可</w:t>
      </w:r>
      <w:r>
        <w:rPr>
          <w:rFonts w:ascii="Times New Roman" w:hAnsi="Times New Roman" w:eastAsia="Times New Roman" w:cs="Times New Roman"/>
          <w:spacing w:val="-2"/>
          <w:sz w:val="24"/>
          <w:szCs w:val="24"/>
        </w:rPr>
        <w:t>”</w:t>
      </w:r>
      <w:r>
        <w:rPr>
          <w:rFonts w:ascii="宋体" w:hAnsi="宋体" w:eastAsia="宋体" w:cs="宋体"/>
          <w:spacing w:val="-2"/>
          <w:sz w:val="24"/>
          <w:szCs w:val="24"/>
        </w:rPr>
        <w:t>的方</w:t>
      </w:r>
      <w:r>
        <w:rPr>
          <w:rFonts w:ascii="宋体" w:hAnsi="宋体" w:eastAsia="宋体" w:cs="宋体"/>
          <w:spacing w:val="-3"/>
          <w:sz w:val="24"/>
          <w:szCs w:val="24"/>
        </w:rPr>
        <w:t>式进行管理，</w:t>
      </w:r>
    </w:p>
    <w:p w14:paraId="6EBD0F27">
      <w:pPr>
        <w:spacing w:before="184" w:line="350" w:lineRule="auto"/>
        <w:ind w:left="38" w:right="81" w:firstLine="479"/>
        <w:rPr>
          <w:rFonts w:ascii="宋体" w:hAnsi="宋体" w:eastAsia="宋体" w:cs="宋体"/>
          <w:sz w:val="24"/>
          <w:szCs w:val="24"/>
        </w:rPr>
      </w:pPr>
      <w:r>
        <w:rPr>
          <w:rFonts w:ascii="宋体" w:hAnsi="宋体" w:eastAsia="宋体" w:cs="宋体"/>
          <w:spacing w:val="-2"/>
          <w:sz w:val="24"/>
          <w:szCs w:val="24"/>
        </w:rPr>
        <w:t>划定控制性详规单元。对城镇建设用地的总体和单项指标严格管控，实施规划用途</w:t>
      </w:r>
      <w:r>
        <w:rPr>
          <w:rFonts w:ascii="宋体" w:hAnsi="宋体" w:eastAsia="宋体" w:cs="宋体"/>
          <w:sz w:val="24"/>
          <w:szCs w:val="24"/>
        </w:rPr>
        <w:t>管制与开发许可制度。注重城区特色塑造，禁止破坏性建设，</w:t>
      </w:r>
      <w:r>
        <w:rPr>
          <w:rFonts w:ascii="宋体" w:hAnsi="宋体" w:eastAsia="宋体" w:cs="宋体"/>
          <w:spacing w:val="-1"/>
          <w:sz w:val="24"/>
          <w:szCs w:val="24"/>
        </w:rPr>
        <w:t>对具有历史文化保护价</w:t>
      </w:r>
      <w:r>
        <w:rPr>
          <w:rFonts w:ascii="宋体" w:hAnsi="宋体" w:eastAsia="宋体" w:cs="宋体"/>
          <w:spacing w:val="-2"/>
          <w:sz w:val="24"/>
          <w:szCs w:val="24"/>
        </w:rPr>
        <w:t>值的不可移动文物、历史建筑必须予以保留保护。</w:t>
      </w:r>
    </w:p>
    <w:p w14:paraId="3DA11E5F">
      <w:pPr>
        <w:spacing w:before="34" w:line="351" w:lineRule="auto"/>
        <w:ind w:left="38" w:firstLine="479"/>
        <w:rPr>
          <w:rFonts w:ascii="宋体" w:hAnsi="宋体" w:eastAsia="宋体" w:cs="宋体"/>
          <w:sz w:val="24"/>
          <w:szCs w:val="24"/>
        </w:rPr>
      </w:pPr>
      <w:r>
        <w:rPr>
          <w:rFonts w:ascii="宋体" w:hAnsi="宋体" w:eastAsia="宋体" w:cs="宋体"/>
          <w:spacing w:val="-9"/>
          <w:sz w:val="24"/>
          <w:szCs w:val="24"/>
        </w:rPr>
        <w:t>优化城镇功能布局，节约集约利用土地，优先保障教育、医疗、文体、养老、交通、</w:t>
      </w:r>
      <w:r>
        <w:rPr>
          <w:rFonts w:ascii="宋体" w:hAnsi="宋体" w:eastAsia="宋体" w:cs="宋体"/>
          <w:spacing w:val="1"/>
          <w:sz w:val="24"/>
          <w:szCs w:val="24"/>
        </w:rPr>
        <w:t>绿化等公共基础设施的用地需求。引导产业向园区集中</w:t>
      </w:r>
      <w:r>
        <w:rPr>
          <w:rFonts w:ascii="宋体" w:hAnsi="宋体" w:eastAsia="宋体" w:cs="宋体"/>
          <w:sz w:val="24"/>
          <w:szCs w:val="24"/>
        </w:rPr>
        <w:t>，提升工业用地土地利用效率。</w:t>
      </w:r>
      <w:r>
        <w:rPr>
          <w:rFonts w:ascii="宋体" w:hAnsi="宋体" w:eastAsia="宋体" w:cs="宋体"/>
          <w:spacing w:val="-3"/>
          <w:sz w:val="24"/>
          <w:szCs w:val="24"/>
        </w:rPr>
        <w:t>加强绿线、蓝线、黄线、紫线的协同管控。</w:t>
      </w:r>
    </w:p>
    <w:p w14:paraId="119E77BD">
      <w:pPr>
        <w:spacing w:before="152" w:line="219" w:lineRule="auto"/>
        <w:ind w:left="55"/>
        <w:rPr>
          <w:rFonts w:ascii="宋体" w:hAnsi="宋体" w:eastAsia="宋体" w:cs="宋体"/>
          <w:sz w:val="24"/>
          <w:szCs w:val="24"/>
        </w:rPr>
      </w:pPr>
      <w:r>
        <w:rPr>
          <w:rFonts w:ascii="宋体" w:hAnsi="宋体" w:eastAsia="宋体" w:cs="宋体"/>
          <w:spacing w:val="-3"/>
          <w:sz w:val="24"/>
          <w:szCs w:val="24"/>
        </w:rPr>
        <w:t>1.4.2对详细规划的传导约束</w:t>
      </w:r>
    </w:p>
    <w:p w14:paraId="27571495">
      <w:pPr>
        <w:spacing w:before="183" w:line="350" w:lineRule="auto"/>
        <w:ind w:left="37" w:right="81" w:firstLine="483"/>
        <w:rPr>
          <w:rFonts w:ascii="宋体" w:hAnsi="宋体" w:eastAsia="宋体" w:cs="宋体"/>
          <w:sz w:val="24"/>
          <w:szCs w:val="24"/>
        </w:rPr>
      </w:pPr>
      <w:r>
        <w:rPr>
          <w:rFonts w:ascii="宋体" w:hAnsi="宋体" w:eastAsia="宋体" w:cs="宋体"/>
          <w:spacing w:val="-2"/>
          <w:sz w:val="24"/>
          <w:szCs w:val="24"/>
        </w:rPr>
        <w:t>详细规划编制单元是在城镇开发边界内按照公共服务设施服务范围、自然地理条</w:t>
      </w:r>
      <w:r>
        <w:rPr>
          <w:rFonts w:ascii="宋体" w:hAnsi="宋体" w:eastAsia="宋体" w:cs="宋体"/>
          <w:spacing w:val="-7"/>
          <w:sz w:val="24"/>
          <w:szCs w:val="24"/>
        </w:rPr>
        <w:t>件、规划管理要求，结合镇街行政界线等划定的空间单元，划定</w:t>
      </w:r>
      <w:r>
        <w:rPr>
          <w:rFonts w:ascii="Times New Roman" w:hAnsi="Times New Roman" w:eastAsia="Times New Roman" w:cs="Times New Roman"/>
          <w:spacing w:val="-7"/>
          <w:sz w:val="24"/>
          <w:szCs w:val="24"/>
        </w:rPr>
        <w:t>“</w:t>
      </w:r>
      <w:r>
        <w:rPr>
          <w:rFonts w:ascii="宋体" w:hAnsi="宋体" w:eastAsia="宋体" w:cs="宋体"/>
          <w:spacing w:val="-7"/>
          <w:sz w:val="24"/>
          <w:szCs w:val="24"/>
        </w:rPr>
        <w:t>四线</w:t>
      </w:r>
      <w:r>
        <w:rPr>
          <w:rFonts w:ascii="Times New Roman" w:hAnsi="Times New Roman" w:eastAsia="Times New Roman" w:cs="Times New Roman"/>
          <w:spacing w:val="-7"/>
          <w:sz w:val="24"/>
          <w:szCs w:val="24"/>
        </w:rPr>
        <w:t>”</w:t>
      </w:r>
      <w:r>
        <w:rPr>
          <w:rFonts w:ascii="宋体" w:hAnsi="宋体" w:eastAsia="宋体" w:cs="宋体"/>
          <w:spacing w:val="-7"/>
          <w:sz w:val="24"/>
          <w:szCs w:val="24"/>
        </w:rPr>
        <w:t>，明确基础设施、</w:t>
      </w:r>
      <w:r>
        <w:rPr>
          <w:rFonts w:ascii="宋体" w:hAnsi="宋体" w:eastAsia="宋体" w:cs="宋体"/>
          <w:spacing w:val="-3"/>
          <w:sz w:val="24"/>
          <w:szCs w:val="24"/>
        </w:rPr>
        <w:t>公共服务设施和综合防灾设施布局。</w:t>
      </w:r>
    </w:p>
    <w:p w14:paraId="678D4752">
      <w:pPr>
        <w:spacing w:before="154" w:line="219" w:lineRule="auto"/>
        <w:ind w:left="55"/>
        <w:rPr>
          <w:rFonts w:ascii="宋体" w:hAnsi="宋体" w:eastAsia="宋体" w:cs="宋体"/>
          <w:sz w:val="24"/>
          <w:szCs w:val="24"/>
        </w:rPr>
      </w:pPr>
      <w:r>
        <w:rPr>
          <w:rFonts w:ascii="宋体" w:hAnsi="宋体" w:eastAsia="宋体" w:cs="宋体"/>
          <w:spacing w:val="-3"/>
          <w:sz w:val="24"/>
          <w:szCs w:val="24"/>
        </w:rPr>
        <w:t>1.4.3对中心城区用地布局的规划</w:t>
      </w:r>
    </w:p>
    <w:p w14:paraId="1380BADD">
      <w:pPr>
        <w:spacing w:before="184" w:line="220" w:lineRule="auto"/>
        <w:ind w:left="535"/>
        <w:rPr>
          <w:rFonts w:ascii="宋体" w:hAnsi="宋体" w:eastAsia="宋体" w:cs="宋体"/>
          <w:sz w:val="24"/>
          <w:szCs w:val="24"/>
        </w:rPr>
      </w:pPr>
      <w:r>
        <w:rPr>
          <w:rFonts w:ascii="宋体" w:hAnsi="宋体" w:eastAsia="宋体" w:cs="宋体"/>
          <w:spacing w:val="-3"/>
          <w:sz w:val="24"/>
          <w:szCs w:val="24"/>
        </w:rPr>
        <w:t>1.优化中心城区空间结构</w:t>
      </w:r>
    </w:p>
    <w:p w14:paraId="52C04CD2">
      <w:pPr>
        <w:spacing w:before="181" w:line="346" w:lineRule="auto"/>
        <w:ind w:left="46" w:right="135" w:firstLine="471"/>
        <w:rPr>
          <w:rFonts w:ascii="宋体" w:hAnsi="宋体" w:eastAsia="宋体" w:cs="宋体"/>
          <w:sz w:val="24"/>
          <w:szCs w:val="24"/>
        </w:rPr>
      </w:pPr>
      <w:r>
        <w:rPr>
          <w:rFonts w:ascii="宋体" w:hAnsi="宋体" w:eastAsia="宋体" w:cs="宋体"/>
          <w:spacing w:val="-9"/>
          <w:sz w:val="24"/>
          <w:szCs w:val="24"/>
        </w:rPr>
        <w:t>基于现状城区空间基础，整合升级城市功能，提升中心城区品</w:t>
      </w:r>
      <w:r>
        <w:rPr>
          <w:rFonts w:ascii="宋体" w:hAnsi="宋体" w:eastAsia="宋体" w:cs="宋体"/>
          <w:spacing w:val="-10"/>
          <w:sz w:val="24"/>
          <w:szCs w:val="24"/>
        </w:rPr>
        <w:t>质，统筹空间资源，</w:t>
      </w:r>
      <w:r>
        <w:rPr>
          <w:rFonts w:ascii="宋体" w:hAnsi="宋体" w:eastAsia="宋体" w:cs="宋体"/>
          <w:spacing w:val="-2"/>
          <w:sz w:val="24"/>
          <w:szCs w:val="24"/>
        </w:rPr>
        <w:t>突出组团式布局结构，构建“一廊一环、两核三</w:t>
      </w:r>
      <w:r>
        <w:rPr>
          <w:rFonts w:ascii="宋体" w:hAnsi="宋体" w:eastAsia="宋体" w:cs="宋体"/>
          <w:spacing w:val="-3"/>
          <w:sz w:val="24"/>
          <w:szCs w:val="24"/>
        </w:rPr>
        <w:t>轴五片”的空间结构。</w:t>
      </w:r>
    </w:p>
    <w:p w14:paraId="61743C06">
      <w:pPr>
        <w:spacing w:before="32" w:line="220" w:lineRule="auto"/>
        <w:ind w:left="501"/>
        <w:rPr>
          <w:rFonts w:ascii="宋体" w:hAnsi="宋体" w:eastAsia="宋体" w:cs="宋体"/>
          <w:sz w:val="24"/>
          <w:szCs w:val="24"/>
        </w:rPr>
      </w:pPr>
      <w:r>
        <w:rPr>
          <w:rFonts w:ascii="宋体" w:hAnsi="宋体" w:eastAsia="宋体" w:cs="宋体"/>
          <w:spacing w:val="-1"/>
          <w:sz w:val="24"/>
          <w:szCs w:val="24"/>
        </w:rPr>
        <w:t>“一廊”：陶赖沟生态廊道，是中心城区重要的生态景观及城镇通风廊道。</w:t>
      </w:r>
    </w:p>
    <w:p w14:paraId="7C2EFF3F">
      <w:pPr>
        <w:spacing w:before="183" w:line="345" w:lineRule="auto"/>
        <w:ind w:left="41" w:right="83" w:firstLine="460"/>
        <w:rPr>
          <w:rFonts w:ascii="宋体" w:hAnsi="宋体" w:eastAsia="宋体" w:cs="宋体"/>
          <w:sz w:val="24"/>
          <w:szCs w:val="24"/>
        </w:rPr>
      </w:pPr>
      <w:r>
        <w:rPr>
          <w:rFonts w:ascii="宋体" w:hAnsi="宋体" w:eastAsia="宋体" w:cs="宋体"/>
          <w:spacing w:val="-1"/>
          <w:sz w:val="24"/>
          <w:szCs w:val="24"/>
        </w:rPr>
        <w:t>“一环”：防风减沙功能的环城林带，包含高速公路连接线、穿沙</w:t>
      </w:r>
      <w:r>
        <w:rPr>
          <w:rFonts w:ascii="宋体" w:hAnsi="宋体" w:eastAsia="宋体" w:cs="宋体"/>
          <w:spacing w:val="-2"/>
          <w:sz w:val="24"/>
          <w:szCs w:val="24"/>
        </w:rPr>
        <w:t>公路及北环路</w:t>
      </w:r>
      <w:r>
        <w:rPr>
          <w:rFonts w:ascii="宋体" w:hAnsi="宋体" w:eastAsia="宋体" w:cs="宋体"/>
          <w:spacing w:val="-7"/>
          <w:sz w:val="24"/>
          <w:szCs w:val="24"/>
        </w:rPr>
        <w:t>形成的林带。</w:t>
      </w:r>
    </w:p>
    <w:p w14:paraId="6BE4EA1A">
      <w:pPr>
        <w:spacing w:before="37" w:line="350" w:lineRule="auto"/>
        <w:ind w:left="38" w:right="7" w:firstLine="463"/>
        <w:jc w:val="both"/>
        <w:rPr>
          <w:rFonts w:ascii="宋体" w:hAnsi="宋体" w:eastAsia="宋体" w:cs="宋体"/>
          <w:sz w:val="24"/>
          <w:szCs w:val="24"/>
        </w:rPr>
      </w:pPr>
      <w:r>
        <w:rPr>
          <w:rFonts w:ascii="宋体" w:hAnsi="宋体" w:eastAsia="宋体" w:cs="宋体"/>
          <w:spacing w:val="-4"/>
          <w:sz w:val="24"/>
          <w:szCs w:val="24"/>
        </w:rPr>
        <w:t>“两核”：杭锦老城综合服务核心、北部商贸服</w:t>
      </w:r>
      <w:r>
        <w:rPr>
          <w:rFonts w:ascii="宋体" w:hAnsi="宋体" w:eastAsia="宋体" w:cs="宋体"/>
          <w:spacing w:val="-5"/>
          <w:sz w:val="24"/>
          <w:szCs w:val="24"/>
        </w:rPr>
        <w:t>务核心。“三轴”，即以杭锦大</w:t>
      </w:r>
      <w:r>
        <w:rPr>
          <w:rFonts w:ascii="宋体" w:hAnsi="宋体" w:eastAsia="宋体" w:cs="宋体"/>
          <w:sz w:val="24"/>
          <w:szCs w:val="24"/>
        </w:rPr>
        <w:t>街发展轴、库布齐大街发展轴、锡尼路发展轴，是锡尼镇中心城区生活、就业、交通、</w:t>
      </w:r>
      <w:r>
        <w:rPr>
          <w:rFonts w:ascii="宋体" w:hAnsi="宋体" w:eastAsia="宋体" w:cs="宋体"/>
          <w:spacing w:val="-5"/>
          <w:sz w:val="24"/>
          <w:szCs w:val="24"/>
        </w:rPr>
        <w:t>服务的主要轴线。</w:t>
      </w:r>
    </w:p>
    <w:p w14:paraId="72B16B3A">
      <w:pPr>
        <w:pStyle w:val="2"/>
        <w:spacing w:line="284" w:lineRule="auto"/>
        <w:rPr>
          <w:rFonts w:ascii="宋体" w:hAnsi="宋体" w:eastAsia="宋体" w:cs="宋体"/>
          <w:sz w:val="24"/>
          <w:szCs w:val="24"/>
        </w:rPr>
      </w:pPr>
      <w:r>
        <w:rPr>
          <w:rFonts w:ascii="宋体" w:hAnsi="宋体" w:eastAsia="宋体" w:cs="宋体"/>
          <w:spacing w:val="-1"/>
          <w:sz w:val="24"/>
          <w:szCs w:val="24"/>
        </w:rPr>
        <w:t>“五片”：指草原小镇风貌区、中部综合生活服务区、产城融合片区</w:t>
      </w:r>
      <w:r>
        <w:rPr>
          <w:rFonts w:ascii="宋体" w:hAnsi="宋体" w:eastAsia="宋体" w:cs="宋体"/>
          <w:spacing w:val="-2"/>
          <w:sz w:val="24"/>
          <w:szCs w:val="24"/>
        </w:rPr>
        <w:t>、行政服务片</w:t>
      </w:r>
      <w:r>
        <w:rPr>
          <w:rFonts w:ascii="宋体" w:hAnsi="宋体" w:eastAsia="宋体" w:cs="宋体"/>
          <w:spacing w:val="-6"/>
          <w:sz w:val="24"/>
          <w:szCs w:val="24"/>
        </w:rPr>
        <w:t>区以及乡村旅游服务片区。草原小镇风貌区即百灵路以北区域，规划提升路网密度，控</w:t>
      </w:r>
      <w:r>
        <w:rPr>
          <w:rFonts w:ascii="宋体" w:hAnsi="宋体" w:eastAsia="宋体" w:cs="宋体"/>
          <w:spacing w:val="-2"/>
          <w:sz w:val="24"/>
          <w:szCs w:val="24"/>
        </w:rPr>
        <w:t>制街道宽度与建筑高度比，打造草原</w:t>
      </w:r>
      <w:bookmarkStart w:id="63" w:name="_GoBack"/>
      <w:bookmarkEnd w:id="63"/>
      <w:r>
        <w:rPr>
          <w:rFonts w:ascii="宋体" w:hAnsi="宋体" w:eastAsia="宋体" w:cs="宋体"/>
          <w:spacing w:val="-2"/>
          <w:sz w:val="24"/>
          <w:szCs w:val="24"/>
        </w:rPr>
        <w:t>风情特色商业文化功能片区。中部综合生活服务区即老城中心区域，片区以城市更新为主，完善街头绿地空间，提高公园绿地服务水平及</w:t>
      </w:r>
      <w:r>
        <w:rPr>
          <w:rFonts w:ascii="宋体" w:hAnsi="宋体" w:eastAsia="宋体" w:cs="宋体"/>
          <w:sz w:val="24"/>
          <w:szCs w:val="24"/>
        </w:rPr>
        <w:t>服务品质，展现现代小城镇风貌。行政服务片区即锡尼北路以东区域，以行政、教育、</w:t>
      </w:r>
      <w:r>
        <w:rPr>
          <w:rFonts w:ascii="宋体" w:hAnsi="宋体" w:eastAsia="宋体" w:cs="宋体"/>
          <w:spacing w:val="-5"/>
          <w:sz w:val="24"/>
          <w:szCs w:val="24"/>
        </w:rPr>
        <w:t>文化设施为一体的综合服务片区。产城融合片区即杭锦大街以南片区，结合新能源产业</w:t>
      </w:r>
      <w:r>
        <w:rPr>
          <w:rFonts w:ascii="宋体" w:hAnsi="宋体" w:eastAsia="宋体" w:cs="宋体"/>
          <w:spacing w:val="-2"/>
          <w:sz w:val="24"/>
          <w:szCs w:val="24"/>
        </w:rPr>
        <w:t>园区，围绕产城融合理念，建设区域产城融合示范区营造宜居宜业生活区。</w:t>
      </w:r>
      <w:r>
        <w:rPr>
          <w:rFonts w:ascii="宋体" w:hAnsi="宋体" w:eastAsia="宋体" w:cs="宋体"/>
          <w:spacing w:val="-3"/>
          <w:sz w:val="24"/>
          <w:szCs w:val="24"/>
        </w:rPr>
        <w:t>结合陶赖沟</w:t>
      </w:r>
      <w:r>
        <w:rPr>
          <w:rFonts w:ascii="宋体" w:hAnsi="宋体" w:eastAsia="宋体" w:cs="宋体"/>
          <w:spacing w:val="-2"/>
          <w:sz w:val="24"/>
          <w:szCs w:val="24"/>
        </w:rPr>
        <w:t>生态廊道规划乡村旅游服务片区，优先保障生态基地，强化生态功能，逐步完善旅游配</w:t>
      </w:r>
      <w:r>
        <w:rPr>
          <w:rFonts w:ascii="宋体" w:hAnsi="宋体" w:eastAsia="宋体" w:cs="宋体"/>
          <w:spacing w:val="-3"/>
          <w:sz w:val="24"/>
          <w:szCs w:val="24"/>
        </w:rPr>
        <w:t>套设施，形成区域生态旅游服务核心。</w:t>
      </w:r>
    </w:p>
    <w:p w14:paraId="073F659F">
      <w:pPr>
        <w:spacing w:before="33" w:line="220" w:lineRule="auto"/>
        <w:ind w:left="521"/>
        <w:rPr>
          <w:rFonts w:ascii="宋体" w:hAnsi="宋体" w:eastAsia="宋体" w:cs="宋体"/>
          <w:sz w:val="24"/>
          <w:szCs w:val="24"/>
        </w:rPr>
      </w:pPr>
      <w:r>
        <w:rPr>
          <w:rFonts w:ascii="宋体" w:hAnsi="宋体" w:eastAsia="宋体" w:cs="宋体"/>
          <w:spacing w:val="-6"/>
          <w:sz w:val="24"/>
          <w:szCs w:val="24"/>
        </w:rPr>
        <w:t>2.国土空间规划分区</w:t>
      </w:r>
    </w:p>
    <w:p w14:paraId="7DBD62F3">
      <w:pPr>
        <w:spacing w:before="179" w:line="353" w:lineRule="auto"/>
        <w:ind w:left="37" w:firstLine="482"/>
        <w:rPr>
          <w:rFonts w:ascii="宋体" w:hAnsi="宋体" w:eastAsia="宋体" w:cs="宋体"/>
          <w:sz w:val="24"/>
          <w:szCs w:val="24"/>
        </w:rPr>
      </w:pPr>
      <w:r>
        <w:rPr>
          <w:rFonts w:ascii="宋体" w:hAnsi="宋体" w:eastAsia="宋体" w:cs="宋体"/>
          <w:sz w:val="24"/>
          <w:szCs w:val="24"/>
        </w:rPr>
        <w:t>居住生活区（742.95公顷</w:t>
      </w:r>
      <w:r>
        <w:rPr>
          <w:rFonts w:ascii="宋体" w:hAnsi="宋体" w:eastAsia="宋体" w:cs="宋体"/>
          <w:spacing w:val="-2"/>
          <w:sz w:val="24"/>
          <w:szCs w:val="24"/>
        </w:rPr>
        <w:t>）：</w:t>
      </w:r>
      <w:r>
        <w:rPr>
          <w:rFonts w:ascii="宋体" w:hAnsi="宋体" w:eastAsia="宋体" w:cs="宋体"/>
          <w:sz w:val="24"/>
          <w:szCs w:val="24"/>
        </w:rPr>
        <w:t>配套教育设施用地、城镇社区</w:t>
      </w:r>
      <w:r>
        <w:rPr>
          <w:rFonts w:ascii="宋体" w:hAnsi="宋体" w:eastAsia="宋体" w:cs="宋体"/>
          <w:spacing w:val="-1"/>
          <w:sz w:val="24"/>
          <w:szCs w:val="24"/>
        </w:rPr>
        <w:t>服务设施用地、公园</w:t>
      </w:r>
      <w:r>
        <w:rPr>
          <w:rFonts w:ascii="宋体" w:hAnsi="宋体" w:eastAsia="宋体" w:cs="宋体"/>
          <w:spacing w:val="-5"/>
          <w:sz w:val="24"/>
          <w:szCs w:val="24"/>
        </w:rPr>
        <w:t>绿地和商业用地。鼓励沿街商业与居住用地混合，混合用地中商业建筑面积占比应控制</w:t>
      </w:r>
      <w:r>
        <w:rPr>
          <w:rFonts w:ascii="宋体" w:hAnsi="宋体" w:eastAsia="宋体" w:cs="宋体"/>
          <w:sz w:val="24"/>
          <w:szCs w:val="24"/>
        </w:rPr>
        <w:t>在总建筑面积的30%以下。居住生活区内禁止新增破坏居住空间人居环境的各类设施，</w:t>
      </w:r>
      <w:r>
        <w:rPr>
          <w:rFonts w:ascii="宋体" w:hAnsi="宋体" w:eastAsia="宋体" w:cs="宋体"/>
          <w:spacing w:val="-1"/>
          <w:sz w:val="24"/>
          <w:szCs w:val="24"/>
        </w:rPr>
        <w:t>交通设施应采取稳静化处理手段，市政设施宜采</w:t>
      </w:r>
      <w:r>
        <w:rPr>
          <w:rFonts w:ascii="宋体" w:hAnsi="宋体" w:eastAsia="宋体" w:cs="宋体"/>
          <w:spacing w:val="-2"/>
          <w:sz w:val="24"/>
          <w:szCs w:val="24"/>
        </w:rPr>
        <w:t>用隐蔽化处理手段建设。</w:t>
      </w:r>
    </w:p>
    <w:p w14:paraId="5B617FCE">
      <w:pPr>
        <w:spacing w:before="33" w:line="350" w:lineRule="auto"/>
        <w:ind w:left="38" w:right="63" w:firstLine="482"/>
        <w:rPr>
          <w:rFonts w:hint="eastAsia" w:ascii="宋体" w:hAnsi="宋体" w:eastAsia="宋体" w:cs="宋体"/>
          <w:sz w:val="24"/>
          <w:szCs w:val="24"/>
          <w:lang w:eastAsia="zh-CN"/>
        </w:rPr>
      </w:pPr>
      <w:r>
        <w:rPr>
          <w:rFonts w:ascii="宋体" w:hAnsi="宋体" w:eastAsia="宋体" w:cs="宋体"/>
          <w:sz w:val="24"/>
          <w:szCs w:val="24"/>
        </w:rPr>
        <w:t>综合服务区（228.85公顷</w:t>
      </w:r>
      <w:r>
        <w:rPr>
          <w:rFonts w:ascii="宋体" w:hAnsi="宋体" w:eastAsia="宋体" w:cs="宋体"/>
          <w:spacing w:val="-2"/>
          <w:sz w:val="24"/>
          <w:szCs w:val="24"/>
        </w:rPr>
        <w:t>）：</w:t>
      </w:r>
      <w:r>
        <w:rPr>
          <w:rFonts w:ascii="宋体" w:hAnsi="宋体" w:eastAsia="宋体" w:cs="宋体"/>
          <w:sz w:val="24"/>
          <w:szCs w:val="24"/>
        </w:rPr>
        <w:t>主要分布在陶赖沟西岸，以</w:t>
      </w:r>
      <w:r>
        <w:rPr>
          <w:rFonts w:ascii="宋体" w:hAnsi="宋体" w:eastAsia="宋体" w:cs="宋体"/>
          <w:spacing w:val="-1"/>
          <w:sz w:val="24"/>
          <w:szCs w:val="24"/>
        </w:rPr>
        <w:t>公共服务设施为主要用</w:t>
      </w:r>
      <w:r>
        <w:rPr>
          <w:rFonts w:ascii="宋体" w:hAnsi="宋体" w:eastAsia="宋体" w:cs="宋体"/>
          <w:spacing w:val="-4"/>
          <w:sz w:val="24"/>
          <w:szCs w:val="24"/>
        </w:rPr>
        <w:t>地类型，适当提升公园绿地、广场占比，营</w:t>
      </w:r>
      <w:r>
        <w:rPr>
          <w:rFonts w:ascii="宋体" w:hAnsi="宋体" w:eastAsia="宋体" w:cs="宋体"/>
          <w:spacing w:val="-5"/>
          <w:sz w:val="24"/>
          <w:szCs w:val="24"/>
        </w:rPr>
        <w:t>造舒适的环境。禁止在综合服务区内设置</w:t>
      </w:r>
      <w:r>
        <w:rPr>
          <w:rFonts w:ascii="宋体" w:hAnsi="宋体" w:eastAsia="宋体" w:cs="宋体"/>
          <w:spacing w:val="-1"/>
          <w:sz w:val="24"/>
          <w:szCs w:val="24"/>
        </w:rPr>
        <w:t>易燃易爆类建设项目</w:t>
      </w:r>
      <w:r>
        <w:rPr>
          <w:rFonts w:hint="eastAsia" w:ascii="宋体" w:hAnsi="宋体" w:eastAsia="宋体" w:cs="宋体"/>
          <w:spacing w:val="-1"/>
          <w:sz w:val="24"/>
          <w:szCs w:val="24"/>
          <w:lang w:eastAsia="zh-CN"/>
        </w:rPr>
        <w:t>。</w:t>
      </w:r>
    </w:p>
    <w:p w14:paraId="6679CA7B">
      <w:pPr>
        <w:spacing w:before="36" w:line="354" w:lineRule="auto"/>
        <w:ind w:left="38" w:right="66" w:firstLine="484"/>
        <w:rPr>
          <w:rFonts w:ascii="宋体" w:hAnsi="宋体" w:eastAsia="宋体" w:cs="宋体"/>
          <w:sz w:val="24"/>
          <w:szCs w:val="24"/>
        </w:rPr>
      </w:pPr>
      <w:r>
        <w:rPr>
          <w:rFonts w:ascii="宋体" w:hAnsi="宋体" w:eastAsia="宋体" w:cs="宋体"/>
          <w:sz w:val="24"/>
          <w:szCs w:val="24"/>
        </w:rPr>
        <w:t>商业商务区（331.59公顷</w:t>
      </w:r>
      <w:r>
        <w:rPr>
          <w:rFonts w:ascii="宋体" w:hAnsi="宋体" w:eastAsia="宋体" w:cs="宋体"/>
          <w:spacing w:val="-1"/>
          <w:sz w:val="24"/>
          <w:szCs w:val="24"/>
        </w:rPr>
        <w:t>）：</w:t>
      </w:r>
      <w:r>
        <w:rPr>
          <w:rFonts w:ascii="宋体" w:hAnsi="宋体" w:eastAsia="宋体" w:cs="宋体"/>
          <w:sz w:val="24"/>
          <w:szCs w:val="24"/>
        </w:rPr>
        <w:t>商业商务区主要集</w:t>
      </w:r>
      <w:r>
        <w:rPr>
          <w:rFonts w:ascii="宋体" w:hAnsi="宋体" w:eastAsia="宋体" w:cs="宋体"/>
          <w:spacing w:val="-1"/>
          <w:sz w:val="24"/>
          <w:szCs w:val="24"/>
        </w:rPr>
        <w:t>中在杭锦大街两侧，城区西南侧</w:t>
      </w:r>
      <w:r>
        <w:rPr>
          <w:rFonts w:ascii="宋体" w:hAnsi="宋体" w:eastAsia="宋体" w:cs="宋体"/>
          <w:spacing w:val="-2"/>
          <w:sz w:val="24"/>
          <w:szCs w:val="24"/>
        </w:rPr>
        <w:t>和北侧，杭锦大街两侧商业商务区鼓励混合居住用地，提升商务办公、酒店民宿用地比例，建筑退线应充分保障临街面出入口人流疏散要求，预留充足的开放空间。禁止设置易燃易爆类建设项目，严格控制公共停车场设置比例，有条件的地区应利用地下空间，</w:t>
      </w:r>
      <w:r>
        <w:rPr>
          <w:rFonts w:ascii="宋体" w:hAnsi="宋体" w:eastAsia="宋体" w:cs="宋体"/>
          <w:spacing w:val="-4"/>
          <w:sz w:val="24"/>
          <w:szCs w:val="24"/>
        </w:rPr>
        <w:t>建设人防设施和地下停车场。</w:t>
      </w:r>
    </w:p>
    <w:p w14:paraId="05B1B4AE">
      <w:pPr>
        <w:spacing w:before="35" w:line="346" w:lineRule="auto"/>
        <w:ind w:left="44" w:right="64" w:firstLine="476"/>
        <w:rPr>
          <w:rFonts w:ascii="宋体" w:hAnsi="宋体" w:eastAsia="宋体" w:cs="宋体"/>
          <w:sz w:val="24"/>
          <w:szCs w:val="24"/>
        </w:rPr>
      </w:pPr>
      <w:r>
        <w:rPr>
          <w:rFonts w:ascii="宋体" w:hAnsi="宋体" w:eastAsia="宋体" w:cs="宋体"/>
          <w:spacing w:val="-1"/>
          <w:sz w:val="24"/>
          <w:szCs w:val="24"/>
        </w:rPr>
        <w:t>工业发展区（13.85公顷</w:t>
      </w:r>
      <w:r>
        <w:rPr>
          <w:rFonts w:ascii="宋体" w:hAnsi="宋体" w:eastAsia="宋体" w:cs="宋体"/>
          <w:spacing w:val="-7"/>
          <w:sz w:val="24"/>
          <w:szCs w:val="24"/>
        </w:rPr>
        <w:t>）：</w:t>
      </w:r>
      <w:r>
        <w:rPr>
          <w:rFonts w:ascii="宋体" w:hAnsi="宋体" w:eastAsia="宋体" w:cs="宋体"/>
          <w:spacing w:val="-1"/>
          <w:sz w:val="24"/>
          <w:szCs w:val="24"/>
        </w:rPr>
        <w:t>主要用途是农产品加工功能</w:t>
      </w:r>
      <w:r>
        <w:rPr>
          <w:rFonts w:ascii="宋体" w:hAnsi="宋体" w:eastAsia="宋体" w:cs="宋体"/>
          <w:spacing w:val="-2"/>
          <w:sz w:val="24"/>
          <w:szCs w:val="24"/>
        </w:rPr>
        <w:t>，位于第四小学以南。提高防护绿地比例，减少工业用地对生活用地的干扰，划定工业用地控制线。</w:t>
      </w:r>
    </w:p>
    <w:p w14:paraId="6DD964D4">
      <w:pPr>
        <w:spacing w:before="32" w:line="347" w:lineRule="auto"/>
        <w:ind w:left="55" w:right="64" w:firstLine="462"/>
        <w:rPr>
          <w:rFonts w:ascii="宋体" w:hAnsi="宋体" w:eastAsia="宋体" w:cs="宋体"/>
          <w:sz w:val="24"/>
          <w:szCs w:val="24"/>
        </w:rPr>
      </w:pPr>
      <w:r>
        <w:rPr>
          <w:rFonts w:ascii="宋体" w:hAnsi="宋体" w:eastAsia="宋体" w:cs="宋体"/>
          <w:spacing w:val="-1"/>
          <w:sz w:val="24"/>
          <w:szCs w:val="24"/>
        </w:rPr>
        <w:t>物流仓储区（75.37公顷</w:t>
      </w:r>
      <w:r>
        <w:rPr>
          <w:rFonts w:ascii="宋体" w:hAnsi="宋体" w:eastAsia="宋体" w:cs="宋体"/>
          <w:spacing w:val="-11"/>
          <w:sz w:val="24"/>
          <w:szCs w:val="24"/>
        </w:rPr>
        <w:t>）：</w:t>
      </w:r>
      <w:r>
        <w:rPr>
          <w:rFonts w:ascii="宋体" w:hAnsi="宋体" w:eastAsia="宋体" w:cs="宋体"/>
          <w:spacing w:val="-1"/>
          <w:sz w:val="24"/>
          <w:szCs w:val="24"/>
        </w:rPr>
        <w:t>主要用途是现代物流和仓储用地，主要分布在中心镇</w:t>
      </w:r>
      <w:r>
        <w:rPr>
          <w:rFonts w:ascii="宋体" w:hAnsi="宋体" w:eastAsia="宋体" w:cs="宋体"/>
          <w:spacing w:val="-2"/>
          <w:sz w:val="24"/>
          <w:szCs w:val="24"/>
        </w:rPr>
        <w:t>区东南侧，围绕现状物流用地，配套小型公共服务、商业服务设施用地。</w:t>
      </w:r>
    </w:p>
    <w:p w14:paraId="24EE627E">
      <w:pPr>
        <w:spacing w:before="33" w:line="346" w:lineRule="auto"/>
        <w:ind w:left="42" w:right="136" w:firstLine="478"/>
        <w:rPr>
          <w:rFonts w:ascii="宋体" w:hAnsi="宋体" w:eastAsia="宋体" w:cs="宋体"/>
          <w:sz w:val="24"/>
          <w:szCs w:val="24"/>
        </w:rPr>
      </w:pPr>
      <w:r>
        <w:rPr>
          <w:rFonts w:ascii="宋体" w:hAnsi="宋体" w:eastAsia="宋体" w:cs="宋体"/>
          <w:spacing w:val="-1"/>
          <w:sz w:val="24"/>
          <w:szCs w:val="24"/>
        </w:rPr>
        <w:t>绿地休闲区（191.44公顷</w:t>
      </w:r>
      <w:r>
        <w:rPr>
          <w:rFonts w:ascii="宋体" w:hAnsi="宋体" w:eastAsia="宋体" w:cs="宋体"/>
          <w:spacing w:val="12"/>
          <w:sz w:val="24"/>
          <w:szCs w:val="24"/>
        </w:rPr>
        <w:t>）：</w:t>
      </w:r>
      <w:r>
        <w:rPr>
          <w:rFonts w:ascii="宋体" w:hAnsi="宋体" w:eastAsia="宋体" w:cs="宋体"/>
          <w:spacing w:val="-1"/>
          <w:sz w:val="24"/>
          <w:szCs w:val="24"/>
        </w:rPr>
        <w:t>围绕生态园、儿童公园、锡尼广场等结构性绿地建</w:t>
      </w:r>
      <w:r>
        <w:rPr>
          <w:rFonts w:ascii="宋体" w:hAnsi="宋体" w:eastAsia="宋体" w:cs="宋体"/>
          <w:spacing w:val="-3"/>
          <w:sz w:val="24"/>
          <w:szCs w:val="24"/>
        </w:rPr>
        <w:t>设，增加体育场地与健身设施供给。</w:t>
      </w:r>
    </w:p>
    <w:p w14:paraId="76874A75">
      <w:pPr>
        <w:spacing w:before="35" w:line="346" w:lineRule="auto"/>
        <w:ind w:left="38" w:right="136" w:firstLine="484"/>
        <w:rPr>
          <w:rFonts w:ascii="宋体" w:hAnsi="宋体" w:eastAsia="宋体" w:cs="宋体"/>
          <w:sz w:val="24"/>
          <w:szCs w:val="24"/>
        </w:rPr>
      </w:pPr>
      <w:r>
        <w:rPr>
          <w:rFonts w:ascii="宋体" w:hAnsi="宋体" w:eastAsia="宋体" w:cs="宋体"/>
          <w:sz w:val="24"/>
          <w:szCs w:val="24"/>
        </w:rPr>
        <w:t>交通枢纽区（9.53公顷</w:t>
      </w:r>
      <w:r>
        <w:rPr>
          <w:rFonts w:ascii="宋体" w:hAnsi="宋体" w:eastAsia="宋体" w:cs="宋体"/>
          <w:spacing w:val="-2"/>
          <w:sz w:val="24"/>
          <w:szCs w:val="24"/>
        </w:rPr>
        <w:t>）：</w:t>
      </w:r>
      <w:r>
        <w:rPr>
          <w:rFonts w:ascii="宋体" w:hAnsi="宋体" w:eastAsia="宋体" w:cs="宋体"/>
          <w:sz w:val="24"/>
          <w:szCs w:val="24"/>
        </w:rPr>
        <w:t>主要包括锡尼镇汽车站及</w:t>
      </w:r>
      <w:r>
        <w:rPr>
          <w:rFonts w:ascii="宋体" w:hAnsi="宋体" w:eastAsia="宋体" w:cs="宋体"/>
          <w:spacing w:val="-1"/>
          <w:sz w:val="24"/>
          <w:szCs w:val="24"/>
        </w:rPr>
        <w:t>周边地区，规划提升商业用</w:t>
      </w:r>
      <w:r>
        <w:rPr>
          <w:rFonts w:ascii="宋体" w:hAnsi="宋体" w:eastAsia="宋体" w:cs="宋体"/>
          <w:spacing w:val="-9"/>
          <w:sz w:val="24"/>
          <w:szCs w:val="24"/>
        </w:rPr>
        <w:t>地比例。</w:t>
      </w:r>
    </w:p>
    <w:p w14:paraId="0FBBBAEF">
      <w:pPr>
        <w:spacing w:before="35" w:line="345" w:lineRule="auto"/>
        <w:ind w:left="38" w:right="136" w:firstLine="482"/>
        <w:rPr>
          <w:rFonts w:ascii="宋体" w:hAnsi="宋体" w:eastAsia="宋体" w:cs="宋体"/>
          <w:sz w:val="24"/>
          <w:szCs w:val="24"/>
        </w:rPr>
      </w:pPr>
      <w:r>
        <w:rPr>
          <w:rFonts w:ascii="宋体" w:hAnsi="宋体" w:eastAsia="宋体" w:cs="宋体"/>
          <w:sz w:val="24"/>
          <w:szCs w:val="24"/>
        </w:rPr>
        <w:t>历史文化区（2.99公顷</w:t>
      </w:r>
      <w:r>
        <w:rPr>
          <w:rFonts w:ascii="宋体" w:hAnsi="宋体" w:eastAsia="宋体" w:cs="宋体"/>
          <w:spacing w:val="-2"/>
          <w:sz w:val="24"/>
          <w:szCs w:val="24"/>
        </w:rPr>
        <w:t>）：</w:t>
      </w:r>
      <w:r>
        <w:rPr>
          <w:rFonts w:ascii="宋体" w:hAnsi="宋体" w:eastAsia="宋体" w:cs="宋体"/>
          <w:sz w:val="24"/>
          <w:szCs w:val="24"/>
        </w:rPr>
        <w:t>主要包括杭锦旗古如歌博物馆</w:t>
      </w:r>
      <w:r>
        <w:rPr>
          <w:rFonts w:ascii="宋体" w:hAnsi="宋体" w:eastAsia="宋体" w:cs="宋体"/>
          <w:spacing w:val="-1"/>
          <w:sz w:val="24"/>
          <w:szCs w:val="24"/>
        </w:rPr>
        <w:t>保护范围及其建设控制</w:t>
      </w:r>
      <w:r>
        <w:rPr>
          <w:rFonts w:ascii="宋体" w:hAnsi="宋体" w:eastAsia="宋体" w:cs="宋体"/>
          <w:spacing w:val="-10"/>
          <w:sz w:val="24"/>
          <w:szCs w:val="24"/>
        </w:rPr>
        <w:t>地带。</w:t>
      </w:r>
    </w:p>
    <w:p w14:paraId="33DD4054">
      <w:pPr>
        <w:spacing w:before="37" w:line="219" w:lineRule="auto"/>
        <w:ind w:left="529"/>
        <w:rPr>
          <w:rFonts w:ascii="宋体" w:hAnsi="宋体" w:eastAsia="宋体" w:cs="宋体"/>
          <w:sz w:val="24"/>
          <w:szCs w:val="24"/>
        </w:rPr>
      </w:pPr>
      <w:r>
        <w:rPr>
          <w:rFonts w:ascii="宋体" w:hAnsi="宋体" w:eastAsia="宋体" w:cs="宋体"/>
          <w:spacing w:val="-1"/>
          <w:sz w:val="24"/>
          <w:szCs w:val="24"/>
        </w:rPr>
        <w:t>战略预留区（10.42公顷</w:t>
      </w:r>
      <w:r>
        <w:rPr>
          <w:rFonts w:ascii="宋体" w:hAnsi="宋体" w:eastAsia="宋体" w:cs="宋体"/>
          <w:spacing w:val="-2"/>
          <w:sz w:val="24"/>
          <w:szCs w:val="24"/>
        </w:rPr>
        <w:t>）：</w:t>
      </w:r>
      <w:r>
        <w:rPr>
          <w:rFonts w:ascii="宋体" w:hAnsi="宋体" w:eastAsia="宋体" w:cs="宋体"/>
          <w:spacing w:val="-1"/>
          <w:sz w:val="24"/>
          <w:szCs w:val="24"/>
        </w:rPr>
        <w:t>主要分布在</w:t>
      </w:r>
      <w:r>
        <w:rPr>
          <w:rFonts w:ascii="宋体" w:hAnsi="宋体" w:eastAsia="宋体" w:cs="宋体"/>
          <w:spacing w:val="-2"/>
          <w:sz w:val="24"/>
          <w:szCs w:val="24"/>
        </w:rPr>
        <w:t>中心城区东部陶赖沟河道两侧。</w:t>
      </w:r>
    </w:p>
    <w:p w14:paraId="35FD89AB">
      <w:pPr>
        <w:pStyle w:val="2"/>
        <w:spacing w:line="283" w:lineRule="auto"/>
        <w:rPr>
          <w:rFonts w:ascii="宋体" w:hAnsi="宋体" w:eastAsia="宋体" w:cs="宋体"/>
          <w:sz w:val="24"/>
          <w:szCs w:val="24"/>
        </w:rPr>
      </w:pPr>
      <w:r>
        <w:rPr>
          <w:rFonts w:ascii="宋体" w:hAnsi="宋体" w:eastAsia="宋体" w:cs="宋体"/>
          <w:spacing w:val="-2"/>
          <w:sz w:val="24"/>
          <w:szCs w:val="24"/>
        </w:rPr>
        <w:t>乡村发展区。乡村发展区是以农民生活、农牧林业生产为主导用途的国土空间，严</w:t>
      </w:r>
      <w:r>
        <w:rPr>
          <w:rFonts w:ascii="宋体" w:hAnsi="宋体" w:eastAsia="宋体" w:cs="宋体"/>
          <w:spacing w:val="-6"/>
          <w:sz w:val="24"/>
          <w:szCs w:val="24"/>
        </w:rPr>
        <w:t>控大规模的城镇建设。严格控制耕地转为非耕地，实行占用耕地补偿制度。可</w:t>
      </w:r>
      <w:r>
        <w:rPr>
          <w:rFonts w:ascii="宋体" w:hAnsi="宋体" w:eastAsia="宋体" w:cs="宋体"/>
          <w:spacing w:val="-7"/>
          <w:sz w:val="24"/>
          <w:szCs w:val="24"/>
        </w:rPr>
        <w:t>适当开发</w:t>
      </w:r>
      <w:r>
        <w:rPr>
          <w:rFonts w:ascii="宋体" w:hAnsi="宋体" w:eastAsia="宋体" w:cs="宋体"/>
          <w:spacing w:val="-2"/>
          <w:sz w:val="24"/>
          <w:szCs w:val="24"/>
        </w:rPr>
        <w:t>与现代农业发展相匹配的农业综合体项目，推进现代农业用地安排，合理引导种植业内部结构调整，确保农业结构调整不破坏土壤耕作层，鼓励各类社会主体参与农业适度规</w:t>
      </w:r>
      <w:r>
        <w:rPr>
          <w:rFonts w:ascii="宋体" w:hAnsi="宋体" w:eastAsia="宋体" w:cs="宋体"/>
          <w:spacing w:val="-9"/>
          <w:sz w:val="24"/>
          <w:szCs w:val="24"/>
        </w:rPr>
        <w:t>模经营。</w:t>
      </w:r>
    </w:p>
    <w:p w14:paraId="4BAD42F8">
      <w:pPr>
        <w:spacing w:before="36" w:line="352" w:lineRule="auto"/>
        <w:ind w:left="39" w:right="29" w:firstLine="496"/>
        <w:jc w:val="both"/>
        <w:rPr>
          <w:rFonts w:ascii="宋体" w:hAnsi="宋体" w:eastAsia="宋体" w:cs="宋体"/>
          <w:sz w:val="24"/>
          <w:szCs w:val="24"/>
        </w:rPr>
      </w:pPr>
      <w:r>
        <w:rPr>
          <w:rFonts w:ascii="宋体" w:hAnsi="宋体" w:eastAsia="宋体" w:cs="宋体"/>
          <w:spacing w:val="-2"/>
          <w:sz w:val="24"/>
          <w:szCs w:val="24"/>
        </w:rPr>
        <w:t>引导村庄集中建设布局，合理预留村庄产业用地，建设用地管理应符合村庄规划和农民建房的相关管控要求。允许进行区域性基础设施建设、生态环境保护建设、旅游开发建设及特殊用地建设，合理控制开发强度和影响范围。实施农用地使用权行政许可</w:t>
      </w:r>
      <w:r>
        <w:rPr>
          <w:rFonts w:ascii="宋体" w:hAnsi="宋体" w:eastAsia="宋体" w:cs="宋体"/>
          <w:spacing w:val="-5"/>
          <w:sz w:val="24"/>
          <w:szCs w:val="24"/>
        </w:rPr>
        <w:t>和实施村庄建设许可。</w:t>
      </w:r>
    </w:p>
    <w:p w14:paraId="7F255878">
      <w:pPr>
        <w:spacing w:before="36" w:line="220" w:lineRule="auto"/>
        <w:ind w:left="522"/>
        <w:rPr>
          <w:rFonts w:ascii="宋体" w:hAnsi="宋体" w:eastAsia="宋体" w:cs="宋体"/>
          <w:sz w:val="24"/>
          <w:szCs w:val="24"/>
        </w:rPr>
      </w:pPr>
      <w:r>
        <w:rPr>
          <w:rFonts w:ascii="宋体" w:hAnsi="宋体" w:eastAsia="宋体" w:cs="宋体"/>
          <w:spacing w:val="-3"/>
          <w:sz w:val="24"/>
          <w:szCs w:val="24"/>
        </w:rPr>
        <w:t>3.公共服务设施与社区生活圈</w:t>
      </w:r>
    </w:p>
    <w:p w14:paraId="06C835DA">
      <w:pPr>
        <w:spacing w:before="182" w:line="220" w:lineRule="auto"/>
        <w:ind w:left="524"/>
        <w:rPr>
          <w:rFonts w:ascii="宋体" w:hAnsi="宋体" w:eastAsia="宋体" w:cs="宋体"/>
          <w:sz w:val="24"/>
          <w:szCs w:val="24"/>
        </w:rPr>
      </w:pPr>
      <w:r>
        <w:rPr>
          <w:rFonts w:ascii="宋体" w:hAnsi="宋体" w:eastAsia="宋体" w:cs="宋体"/>
          <w:spacing w:val="-1"/>
          <w:sz w:val="24"/>
          <w:szCs w:val="24"/>
        </w:rPr>
        <w:t>（1）中心城区公共服务设施体系</w:t>
      </w:r>
    </w:p>
    <w:p w14:paraId="733B8935">
      <w:pPr>
        <w:spacing w:before="179" w:line="353" w:lineRule="auto"/>
        <w:ind w:left="39" w:right="29" w:firstLine="481"/>
        <w:rPr>
          <w:rFonts w:ascii="宋体" w:hAnsi="宋体" w:eastAsia="宋体" w:cs="宋体"/>
          <w:sz w:val="24"/>
          <w:szCs w:val="24"/>
        </w:rPr>
      </w:pPr>
      <w:r>
        <w:rPr>
          <w:rFonts w:ascii="宋体" w:hAnsi="宋体" w:eastAsia="宋体" w:cs="宋体"/>
          <w:sz w:val="24"/>
          <w:szCs w:val="24"/>
        </w:rPr>
        <w:t>构建“旗级</w:t>
      </w:r>
      <w:r>
        <w:rPr>
          <w:rFonts w:hint="eastAsia" w:ascii="宋体" w:hAnsi="宋体" w:eastAsia="宋体" w:cs="宋体"/>
          <w:sz w:val="24"/>
          <w:szCs w:val="24"/>
          <w:lang w:eastAsia="zh-CN"/>
        </w:rPr>
        <w:t>—</w:t>
      </w:r>
      <w:r>
        <w:rPr>
          <w:rFonts w:ascii="宋体" w:hAnsi="宋体" w:eastAsia="宋体" w:cs="宋体"/>
          <w:sz w:val="24"/>
          <w:szCs w:val="24"/>
        </w:rPr>
        <w:t>生活圈”两级公共服务设施体系。本次规</w:t>
      </w:r>
      <w:r>
        <w:rPr>
          <w:rFonts w:ascii="宋体" w:hAnsi="宋体" w:eastAsia="宋体" w:cs="宋体"/>
          <w:spacing w:val="-1"/>
          <w:sz w:val="24"/>
          <w:szCs w:val="24"/>
        </w:rPr>
        <w:t>划依托现状公共服务设施体</w:t>
      </w:r>
      <w:r>
        <w:rPr>
          <w:rFonts w:ascii="宋体" w:hAnsi="宋体" w:eastAsia="宋体" w:cs="宋体"/>
          <w:spacing w:val="-11"/>
          <w:sz w:val="24"/>
          <w:szCs w:val="24"/>
        </w:rPr>
        <w:t>系，统筹教育、医疗、文化、体育、养老及社会保障等各项</w:t>
      </w:r>
      <w:r>
        <w:rPr>
          <w:rFonts w:ascii="宋体" w:hAnsi="宋体" w:eastAsia="宋体" w:cs="宋体"/>
          <w:spacing w:val="-12"/>
          <w:sz w:val="24"/>
          <w:szCs w:val="24"/>
        </w:rPr>
        <w:t>设施布局，强弱项、补短板，</w:t>
      </w:r>
      <w:r>
        <w:rPr>
          <w:rFonts w:ascii="宋体" w:hAnsi="宋体" w:eastAsia="宋体" w:cs="宋体"/>
          <w:spacing w:val="-6"/>
          <w:sz w:val="24"/>
          <w:szCs w:val="24"/>
        </w:rPr>
        <w:t>合理确定用地规模、空间布局、人均指标控制，形成多层次、全覆盖、人</w:t>
      </w:r>
      <w:r>
        <w:rPr>
          <w:rFonts w:ascii="宋体" w:hAnsi="宋体" w:eastAsia="宋体" w:cs="宋体"/>
          <w:spacing w:val="-7"/>
          <w:sz w:val="24"/>
          <w:szCs w:val="24"/>
        </w:rPr>
        <w:t>性化的公共服</w:t>
      </w:r>
      <w:r>
        <w:rPr>
          <w:rFonts w:ascii="宋体" w:hAnsi="宋体" w:eastAsia="宋体" w:cs="宋体"/>
          <w:spacing w:val="-9"/>
          <w:sz w:val="24"/>
          <w:szCs w:val="24"/>
        </w:rPr>
        <w:t>务网络。</w:t>
      </w:r>
    </w:p>
    <w:p w14:paraId="46AB8AF8">
      <w:pPr>
        <w:spacing w:before="34" w:line="350" w:lineRule="auto"/>
        <w:ind w:left="38" w:right="29" w:firstLine="463"/>
        <w:rPr>
          <w:rFonts w:ascii="宋体" w:hAnsi="宋体" w:eastAsia="宋体" w:cs="宋体"/>
          <w:sz w:val="24"/>
          <w:szCs w:val="24"/>
        </w:rPr>
      </w:pPr>
      <w:r>
        <w:rPr>
          <w:rFonts w:ascii="宋体" w:hAnsi="宋体" w:eastAsia="宋体" w:cs="宋体"/>
          <w:spacing w:val="-1"/>
          <w:sz w:val="24"/>
          <w:szCs w:val="24"/>
        </w:rPr>
        <w:t>“旗级”大型公共服务设施。杭锦旗中心城区承载旗域城区大型活动以</w:t>
      </w:r>
      <w:r>
        <w:rPr>
          <w:rFonts w:ascii="宋体" w:hAnsi="宋体" w:eastAsia="宋体" w:cs="宋体"/>
          <w:spacing w:val="-2"/>
          <w:sz w:val="24"/>
          <w:szCs w:val="24"/>
        </w:rPr>
        <w:t>及城市综合</w:t>
      </w:r>
      <w:r>
        <w:rPr>
          <w:rFonts w:ascii="宋体" w:hAnsi="宋体" w:eastAsia="宋体" w:cs="宋体"/>
          <w:sz w:val="24"/>
          <w:szCs w:val="24"/>
        </w:rPr>
        <w:t>服务。规划旗级公共服务中心四处，包括位于中心城区的旗级</w:t>
      </w:r>
      <w:r>
        <w:rPr>
          <w:rFonts w:ascii="宋体" w:hAnsi="宋体" w:eastAsia="宋体" w:cs="宋体"/>
          <w:spacing w:val="-1"/>
          <w:sz w:val="24"/>
          <w:szCs w:val="24"/>
        </w:rPr>
        <w:t>行政中心、旗级商贸中</w:t>
      </w:r>
      <w:r>
        <w:rPr>
          <w:rFonts w:ascii="宋体" w:hAnsi="宋体" w:eastAsia="宋体" w:cs="宋体"/>
          <w:spacing w:val="-2"/>
          <w:sz w:val="24"/>
          <w:szCs w:val="24"/>
        </w:rPr>
        <w:t>心，以及位于滨河路东侧的旗级文化中心和老城片区的产城融合中心。</w:t>
      </w:r>
    </w:p>
    <w:p w14:paraId="612C8755">
      <w:pPr>
        <w:spacing w:before="37" w:line="350" w:lineRule="auto"/>
        <w:ind w:left="39" w:right="29" w:firstLine="480"/>
        <w:rPr>
          <w:rFonts w:ascii="宋体" w:hAnsi="宋体" w:eastAsia="宋体" w:cs="宋体"/>
          <w:sz w:val="24"/>
          <w:szCs w:val="24"/>
        </w:rPr>
      </w:pPr>
      <w:r>
        <w:rPr>
          <w:rFonts w:ascii="宋体" w:hAnsi="宋体" w:eastAsia="宋体" w:cs="宋体"/>
          <w:spacing w:val="-4"/>
          <w:sz w:val="24"/>
          <w:szCs w:val="24"/>
        </w:rPr>
        <w:t>社区生活圈。中心城区建设4个15分钟社区生活圈，8个5</w:t>
      </w:r>
      <w:r>
        <w:rPr>
          <w:rFonts w:hint="eastAsia" w:ascii="宋体" w:hAnsi="宋体" w:eastAsia="宋体" w:cs="宋体"/>
          <w:spacing w:val="-4"/>
          <w:sz w:val="24"/>
          <w:szCs w:val="24"/>
          <w:lang w:eastAsia="zh-CN"/>
        </w:rPr>
        <w:t>—</w:t>
      </w:r>
      <w:r>
        <w:rPr>
          <w:rFonts w:ascii="宋体" w:hAnsi="宋体" w:eastAsia="宋体" w:cs="宋体"/>
          <w:spacing w:val="-4"/>
          <w:sz w:val="24"/>
          <w:szCs w:val="24"/>
        </w:rPr>
        <w:t>10分钟生活圈。强</w:t>
      </w:r>
      <w:r>
        <w:rPr>
          <w:rFonts w:ascii="宋体" w:hAnsi="宋体" w:eastAsia="宋体" w:cs="宋体"/>
          <w:spacing w:val="-2"/>
          <w:sz w:val="24"/>
          <w:szCs w:val="24"/>
        </w:rPr>
        <w:t>化社区公共服务设施配套，鼓励公共服务设施和社区居住功能的复合，形成服务设施完</w:t>
      </w:r>
      <w:r>
        <w:rPr>
          <w:rFonts w:ascii="宋体" w:hAnsi="宋体" w:eastAsia="宋体" w:cs="宋体"/>
          <w:spacing w:val="-4"/>
          <w:sz w:val="24"/>
          <w:szCs w:val="24"/>
        </w:rPr>
        <w:t>善高效的居住生活环境。</w:t>
      </w:r>
    </w:p>
    <w:p w14:paraId="21FB87C0">
      <w:pPr>
        <w:spacing w:before="33" w:line="219" w:lineRule="auto"/>
        <w:ind w:left="524"/>
        <w:rPr>
          <w:rFonts w:ascii="宋体" w:hAnsi="宋体" w:eastAsia="宋体" w:cs="宋体"/>
          <w:sz w:val="24"/>
          <w:szCs w:val="24"/>
        </w:rPr>
      </w:pPr>
      <w:r>
        <w:rPr>
          <w:rFonts w:ascii="宋体" w:hAnsi="宋体" w:eastAsia="宋体" w:cs="宋体"/>
          <w:spacing w:val="-3"/>
          <w:sz w:val="24"/>
          <w:szCs w:val="24"/>
        </w:rPr>
        <w:t>（2）第144条机关团体用地规划</w:t>
      </w:r>
    </w:p>
    <w:p w14:paraId="62C35546">
      <w:pPr>
        <w:spacing w:before="184" w:line="345" w:lineRule="auto"/>
        <w:ind w:left="42" w:right="101" w:firstLine="477"/>
        <w:rPr>
          <w:rFonts w:ascii="宋体" w:hAnsi="宋体" w:eastAsia="宋体" w:cs="宋体"/>
          <w:sz w:val="24"/>
          <w:szCs w:val="24"/>
        </w:rPr>
      </w:pPr>
      <w:r>
        <w:rPr>
          <w:rFonts w:ascii="宋体" w:hAnsi="宋体" w:eastAsia="宋体" w:cs="宋体"/>
          <w:sz w:val="24"/>
          <w:szCs w:val="24"/>
        </w:rPr>
        <w:t>规划机关团体用地面积为33.78公顷，规划保留现状机</w:t>
      </w:r>
      <w:r>
        <w:rPr>
          <w:rFonts w:ascii="宋体" w:hAnsi="宋体" w:eastAsia="宋体" w:cs="宋体"/>
          <w:spacing w:val="-1"/>
          <w:sz w:val="24"/>
          <w:szCs w:val="24"/>
        </w:rPr>
        <w:t>关团体用地，整合部分机</w:t>
      </w:r>
      <w:r>
        <w:rPr>
          <w:rFonts w:ascii="宋体" w:hAnsi="宋体" w:eastAsia="宋体" w:cs="宋体"/>
          <w:spacing w:val="-7"/>
          <w:sz w:val="24"/>
          <w:szCs w:val="24"/>
        </w:rPr>
        <w:t>关团体用地。</w:t>
      </w:r>
    </w:p>
    <w:p w14:paraId="369647B2">
      <w:pPr>
        <w:spacing w:before="35" w:line="220" w:lineRule="auto"/>
        <w:ind w:left="524"/>
        <w:rPr>
          <w:rFonts w:ascii="宋体" w:hAnsi="宋体" w:eastAsia="宋体" w:cs="宋体"/>
          <w:sz w:val="24"/>
          <w:szCs w:val="24"/>
        </w:rPr>
      </w:pPr>
      <w:r>
        <w:rPr>
          <w:rFonts w:ascii="宋体" w:hAnsi="宋体" w:eastAsia="宋体" w:cs="宋体"/>
          <w:spacing w:val="-3"/>
          <w:sz w:val="24"/>
          <w:szCs w:val="24"/>
        </w:rPr>
        <w:t>（3）第145条文教设施用地规划</w:t>
      </w:r>
    </w:p>
    <w:p w14:paraId="4FB9526B">
      <w:pPr>
        <w:spacing w:before="185" w:line="352" w:lineRule="auto"/>
        <w:ind w:left="36" w:right="40" w:firstLine="504"/>
        <w:rPr>
          <w:rFonts w:ascii="宋体" w:hAnsi="宋体" w:eastAsia="宋体" w:cs="宋体"/>
          <w:sz w:val="24"/>
          <w:szCs w:val="24"/>
        </w:rPr>
      </w:pPr>
      <w:r>
        <w:rPr>
          <w:rFonts w:ascii="宋体" w:hAnsi="宋体" w:eastAsia="宋体" w:cs="宋体"/>
          <w:spacing w:val="-1"/>
          <w:sz w:val="24"/>
          <w:szCs w:val="24"/>
        </w:rPr>
        <w:t>中心城区文化用地面积为18.32公顷，规划不再新建文化设施，均为现状文化设</w:t>
      </w:r>
      <w:r>
        <w:rPr>
          <w:rFonts w:ascii="宋体" w:hAnsi="宋体" w:eastAsia="宋体" w:cs="宋体"/>
          <w:spacing w:val="-8"/>
          <w:sz w:val="24"/>
          <w:szCs w:val="24"/>
        </w:rPr>
        <w:t>施保留提升。按照十五分钟、十分钟社区生活圈配套，结合《社区生活圈规划技术指南》</w:t>
      </w:r>
      <w:r>
        <w:rPr>
          <w:rFonts w:ascii="宋体" w:hAnsi="宋体" w:eastAsia="宋体" w:cs="宋体"/>
          <w:sz w:val="24"/>
          <w:szCs w:val="24"/>
        </w:rPr>
        <w:t>将文化活动站、小型多功能运动场地等5分钟社区生活圈配套内容</w:t>
      </w:r>
      <w:r>
        <w:rPr>
          <w:rFonts w:ascii="宋体" w:hAnsi="宋体" w:eastAsia="宋体" w:cs="宋体"/>
          <w:spacing w:val="-1"/>
          <w:sz w:val="24"/>
          <w:szCs w:val="24"/>
        </w:rPr>
        <w:t>结合居住用地、商</w:t>
      </w:r>
      <w:r>
        <w:rPr>
          <w:rFonts w:ascii="宋体" w:hAnsi="宋体" w:eastAsia="宋体" w:cs="宋体"/>
          <w:spacing w:val="-3"/>
          <w:sz w:val="24"/>
          <w:szCs w:val="24"/>
        </w:rPr>
        <w:t>业用地和公园绿地综合设置。</w:t>
      </w:r>
    </w:p>
    <w:p w14:paraId="37AF13D9">
      <w:pPr>
        <w:spacing w:before="35" w:line="345" w:lineRule="auto"/>
        <w:ind w:left="43" w:right="31" w:firstLine="477"/>
        <w:rPr>
          <w:rFonts w:ascii="宋体" w:hAnsi="宋体" w:eastAsia="宋体" w:cs="宋体"/>
          <w:sz w:val="24"/>
          <w:szCs w:val="24"/>
        </w:rPr>
      </w:pPr>
      <w:r>
        <w:rPr>
          <w:rFonts w:ascii="宋体" w:hAnsi="宋体" w:eastAsia="宋体" w:cs="宋体"/>
          <w:spacing w:val="-2"/>
          <w:sz w:val="24"/>
          <w:szCs w:val="24"/>
        </w:rPr>
        <w:t>教育设施用地规模为88.23公顷，保留初级中学三所中学，保留四所小学，保留九所幼儿园。规划新建一所综合高级中学和两所小学。</w:t>
      </w:r>
    </w:p>
    <w:p w14:paraId="2F59FC03">
      <w:pPr>
        <w:spacing w:before="36" w:line="220" w:lineRule="auto"/>
        <w:ind w:left="524"/>
        <w:rPr>
          <w:rFonts w:ascii="宋体" w:hAnsi="宋体" w:eastAsia="宋体" w:cs="宋体"/>
          <w:sz w:val="24"/>
          <w:szCs w:val="24"/>
        </w:rPr>
      </w:pPr>
      <w:r>
        <w:rPr>
          <w:rFonts w:ascii="宋体" w:hAnsi="宋体" w:eastAsia="宋体" w:cs="宋体"/>
          <w:spacing w:val="-3"/>
          <w:sz w:val="24"/>
          <w:szCs w:val="24"/>
        </w:rPr>
        <w:t>（4）第146条体育设施规划</w:t>
      </w:r>
    </w:p>
    <w:p w14:paraId="30A20583">
      <w:pPr>
        <w:pStyle w:val="2"/>
        <w:spacing w:line="283" w:lineRule="auto"/>
        <w:rPr>
          <w:rFonts w:ascii="宋体" w:hAnsi="宋体" w:eastAsia="宋体" w:cs="宋体"/>
          <w:sz w:val="24"/>
          <w:szCs w:val="24"/>
        </w:rPr>
      </w:pPr>
      <w:r>
        <w:rPr>
          <w:rFonts w:ascii="宋体" w:hAnsi="宋体" w:eastAsia="宋体" w:cs="宋体"/>
          <w:spacing w:val="-2"/>
          <w:sz w:val="24"/>
          <w:szCs w:val="24"/>
        </w:rPr>
        <w:t>规划对现有体育活动场地提质改造，配套改造和建设体育场、综合训练馆、游泳馆等体育设施。体育设施用地8.93公顷，</w:t>
      </w:r>
      <w:r>
        <w:rPr>
          <w:rFonts w:ascii="宋体" w:hAnsi="宋体" w:eastAsia="宋体" w:cs="宋体"/>
          <w:spacing w:val="-3"/>
          <w:sz w:val="24"/>
          <w:szCs w:val="24"/>
        </w:rPr>
        <w:t>人均1.17平方米/人。社区可结合城市公园和街头绿地配套体育设施和健身设施，</w:t>
      </w:r>
      <w:r>
        <w:rPr>
          <w:rFonts w:ascii="宋体" w:hAnsi="宋体" w:eastAsia="宋体" w:cs="宋体"/>
          <w:spacing w:val="-2"/>
          <w:sz w:val="24"/>
          <w:szCs w:val="24"/>
        </w:rPr>
        <w:t>提高日常体育健身覆盖率，规划期内新建一个小型全民健身馆，一个笼式足球场和一座</w:t>
      </w:r>
      <w:r>
        <w:rPr>
          <w:rFonts w:ascii="宋体" w:hAnsi="宋体" w:eastAsia="宋体" w:cs="宋体"/>
          <w:spacing w:val="-9"/>
          <w:sz w:val="24"/>
          <w:szCs w:val="24"/>
        </w:rPr>
        <w:t>游泳馆。</w:t>
      </w:r>
    </w:p>
    <w:p w14:paraId="410E623C">
      <w:pPr>
        <w:spacing w:before="34" w:line="220" w:lineRule="auto"/>
        <w:ind w:left="524"/>
        <w:rPr>
          <w:rFonts w:ascii="宋体" w:hAnsi="宋体" w:eastAsia="宋体" w:cs="宋体"/>
          <w:sz w:val="24"/>
          <w:szCs w:val="24"/>
        </w:rPr>
      </w:pPr>
      <w:r>
        <w:rPr>
          <w:rFonts w:ascii="宋体" w:hAnsi="宋体" w:eastAsia="宋体" w:cs="宋体"/>
          <w:spacing w:val="-3"/>
          <w:sz w:val="24"/>
          <w:szCs w:val="24"/>
        </w:rPr>
        <w:t>（5）第147条医疗卫生设施规划</w:t>
      </w:r>
    </w:p>
    <w:p w14:paraId="439B1AA9">
      <w:pPr>
        <w:spacing w:before="179" w:line="347" w:lineRule="auto"/>
        <w:ind w:left="40" w:right="65" w:firstLine="489"/>
        <w:rPr>
          <w:rFonts w:ascii="宋体" w:hAnsi="宋体" w:eastAsia="宋体" w:cs="宋体"/>
          <w:sz w:val="24"/>
          <w:szCs w:val="24"/>
        </w:rPr>
      </w:pPr>
      <w:r>
        <w:rPr>
          <w:rFonts w:ascii="宋体" w:hAnsi="宋体" w:eastAsia="宋体" w:cs="宋体"/>
          <w:spacing w:val="-2"/>
          <w:sz w:val="24"/>
          <w:szCs w:val="24"/>
        </w:rPr>
        <w:t>医疗服务设施用地面积15.50公顷，规划保留现状各类医疗设施，规划新建4个</w:t>
      </w:r>
      <w:r>
        <w:rPr>
          <w:rFonts w:ascii="宋体" w:hAnsi="宋体" w:eastAsia="宋体" w:cs="宋体"/>
          <w:sz w:val="24"/>
          <w:szCs w:val="24"/>
        </w:rPr>
        <w:t>社区级卫生服务中心。原则上15分钟</w:t>
      </w:r>
      <w:r>
        <w:rPr>
          <w:rFonts w:ascii="宋体" w:hAnsi="宋体" w:eastAsia="宋体" w:cs="宋体"/>
          <w:spacing w:val="-1"/>
          <w:sz w:val="24"/>
          <w:szCs w:val="24"/>
        </w:rPr>
        <w:t>生活圈内设置1个社区卫生服务中心，每个</w:t>
      </w:r>
      <w:r>
        <w:rPr>
          <w:rFonts w:ascii="宋体" w:hAnsi="宋体" w:eastAsia="宋体" w:cs="宋体"/>
          <w:spacing w:val="-4"/>
          <w:sz w:val="24"/>
          <w:szCs w:val="24"/>
        </w:rPr>
        <w:t>5</w:t>
      </w:r>
      <w:r>
        <w:rPr>
          <w:rFonts w:hint="eastAsia" w:ascii="宋体" w:hAnsi="宋体" w:eastAsia="宋体" w:cs="宋体"/>
          <w:spacing w:val="-4"/>
          <w:sz w:val="24"/>
          <w:szCs w:val="24"/>
          <w:lang w:eastAsia="zh-CN"/>
        </w:rPr>
        <w:t>—</w:t>
      </w:r>
      <w:r>
        <w:rPr>
          <w:rFonts w:ascii="宋体" w:hAnsi="宋体" w:eastAsia="宋体" w:cs="宋体"/>
          <w:spacing w:val="-4"/>
          <w:sz w:val="24"/>
          <w:szCs w:val="24"/>
        </w:rPr>
        <w:t>10分钟生活圈设立1个社区卫生服务站。</w:t>
      </w:r>
    </w:p>
    <w:p w14:paraId="5EC799D0">
      <w:pPr>
        <w:spacing w:before="180" w:line="219" w:lineRule="auto"/>
        <w:ind w:left="524"/>
        <w:rPr>
          <w:rFonts w:ascii="宋体" w:hAnsi="宋体" w:eastAsia="宋体" w:cs="宋体"/>
          <w:sz w:val="24"/>
          <w:szCs w:val="24"/>
        </w:rPr>
      </w:pPr>
      <w:r>
        <w:rPr>
          <w:rFonts w:ascii="宋体" w:hAnsi="宋体" w:eastAsia="宋体" w:cs="宋体"/>
          <w:spacing w:val="-3"/>
          <w:sz w:val="24"/>
          <w:szCs w:val="24"/>
        </w:rPr>
        <w:t>（6）第148条社会福利设施规划</w:t>
      </w:r>
    </w:p>
    <w:p w14:paraId="285C9883">
      <w:pPr>
        <w:spacing w:before="185" w:line="344" w:lineRule="auto"/>
        <w:ind w:left="55" w:right="77" w:firstLine="484"/>
        <w:rPr>
          <w:rFonts w:ascii="宋体" w:hAnsi="宋体" w:eastAsia="宋体" w:cs="宋体"/>
          <w:sz w:val="24"/>
          <w:szCs w:val="24"/>
        </w:rPr>
      </w:pPr>
      <w:r>
        <w:rPr>
          <w:rFonts w:ascii="宋体" w:hAnsi="宋体" w:eastAsia="宋体" w:cs="宋体"/>
          <w:spacing w:val="-1"/>
          <w:sz w:val="24"/>
          <w:szCs w:val="24"/>
        </w:rPr>
        <w:t>中心城区保留一处社会福利用地面积约2.19公顷。按照5</w:t>
      </w:r>
      <w:r>
        <w:rPr>
          <w:rFonts w:hint="eastAsia" w:ascii="宋体" w:hAnsi="宋体" w:eastAsia="宋体" w:cs="宋体"/>
          <w:spacing w:val="-1"/>
          <w:sz w:val="24"/>
          <w:szCs w:val="24"/>
          <w:lang w:eastAsia="zh-CN"/>
        </w:rPr>
        <w:t>—</w:t>
      </w:r>
      <w:r>
        <w:rPr>
          <w:rFonts w:ascii="宋体" w:hAnsi="宋体" w:eastAsia="宋体" w:cs="宋体"/>
          <w:spacing w:val="-1"/>
          <w:sz w:val="24"/>
          <w:szCs w:val="24"/>
        </w:rPr>
        <w:t>10分钟</w:t>
      </w:r>
      <w:r>
        <w:rPr>
          <w:rFonts w:ascii="宋体" w:hAnsi="宋体" w:eastAsia="宋体" w:cs="宋体"/>
          <w:spacing w:val="-2"/>
          <w:sz w:val="24"/>
          <w:szCs w:val="24"/>
        </w:rPr>
        <w:t>生活圈及居住区详细规划相关标准，布置社区级养老中心及老年日间照料中心等养老服务设施。</w:t>
      </w:r>
    </w:p>
    <w:p w14:paraId="09B7BE9C">
      <w:pPr>
        <w:spacing w:before="164" w:line="220" w:lineRule="auto"/>
        <w:ind w:left="60"/>
        <w:outlineLvl w:val="0"/>
        <w:rPr>
          <w:rFonts w:ascii="宋体" w:hAnsi="宋体" w:eastAsia="宋体" w:cs="宋体"/>
          <w:sz w:val="28"/>
          <w:szCs w:val="28"/>
        </w:rPr>
      </w:pPr>
      <w:bookmarkStart w:id="31" w:name="bookmark11"/>
      <w:bookmarkEnd w:id="31"/>
      <w:bookmarkStart w:id="32" w:name="bookmark12"/>
      <w:bookmarkEnd w:id="32"/>
      <w:r>
        <w:rPr>
          <w:rFonts w:ascii="宋体" w:hAnsi="宋体" w:eastAsia="宋体" w:cs="宋体"/>
          <w:b/>
          <w:bCs/>
          <w:spacing w:val="-9"/>
          <w:sz w:val="28"/>
          <w:szCs w:val="28"/>
        </w:rPr>
        <w:t>1.5自然地理及行政管理界线</w:t>
      </w:r>
    </w:p>
    <w:p w14:paraId="5DC473D2">
      <w:pPr>
        <w:pStyle w:val="2"/>
        <w:spacing w:line="245" w:lineRule="auto"/>
      </w:pPr>
    </w:p>
    <w:p w14:paraId="08B21793">
      <w:pPr>
        <w:spacing w:before="78" w:line="221" w:lineRule="auto"/>
        <w:ind w:left="55"/>
        <w:rPr>
          <w:rFonts w:ascii="宋体" w:hAnsi="宋体" w:eastAsia="宋体" w:cs="宋体"/>
          <w:sz w:val="24"/>
          <w:szCs w:val="24"/>
        </w:rPr>
      </w:pPr>
      <w:r>
        <w:rPr>
          <w:rFonts w:ascii="宋体" w:hAnsi="宋体" w:eastAsia="宋体" w:cs="宋体"/>
          <w:spacing w:val="-4"/>
          <w:sz w:val="24"/>
          <w:szCs w:val="24"/>
        </w:rPr>
        <w:t>1.5.1地理位置</w:t>
      </w:r>
    </w:p>
    <w:p w14:paraId="566B8358">
      <w:pPr>
        <w:spacing w:before="179" w:line="356" w:lineRule="auto"/>
        <w:ind w:left="37" w:right="61" w:firstLine="480"/>
        <w:jc w:val="both"/>
        <w:rPr>
          <w:rFonts w:ascii="宋体" w:hAnsi="宋体" w:eastAsia="宋体" w:cs="宋体"/>
          <w:sz w:val="24"/>
          <w:szCs w:val="24"/>
        </w:rPr>
      </w:pPr>
      <w:r>
        <w:rPr>
          <w:rFonts w:ascii="宋体" w:hAnsi="宋体" w:eastAsia="宋体" w:cs="宋体"/>
          <w:spacing w:val="-2"/>
          <w:sz w:val="24"/>
          <w:szCs w:val="24"/>
        </w:rPr>
        <w:t>杭锦旗位于内蒙古自治区鄂尔多斯市西北部，地跨鄂尔多斯高原与河套平原。面积1.89万平方公里。黄河在北部境内流经</w:t>
      </w:r>
      <w:r>
        <w:rPr>
          <w:rFonts w:ascii="宋体" w:hAnsi="宋体" w:eastAsia="宋体" w:cs="宋体"/>
          <w:spacing w:val="-3"/>
          <w:sz w:val="24"/>
          <w:szCs w:val="24"/>
        </w:rPr>
        <w:t>242公里。地理坐标北纬3922</w:t>
      </w:r>
      <w:r>
        <w:rPr>
          <w:rFonts w:ascii="Times New Roman" w:hAnsi="Times New Roman" w:eastAsia="Times New Roman" w:cs="Times New Roman"/>
          <w:spacing w:val="-3"/>
          <w:sz w:val="24"/>
          <w:szCs w:val="24"/>
        </w:rPr>
        <w:t>′</w:t>
      </w:r>
      <w:r>
        <w:rPr>
          <w:rFonts w:ascii="宋体" w:hAnsi="宋体" w:eastAsia="宋体" w:cs="宋体"/>
          <w:spacing w:val="-3"/>
          <w:sz w:val="24"/>
          <w:szCs w:val="24"/>
        </w:rPr>
        <w:t>33</w:t>
      </w:r>
      <w:r>
        <w:rPr>
          <w:rFonts w:ascii="Times New Roman" w:hAnsi="Times New Roman" w:eastAsia="Times New Roman" w:cs="Times New Roman"/>
          <w:spacing w:val="-3"/>
          <w:sz w:val="24"/>
          <w:szCs w:val="24"/>
        </w:rPr>
        <w:t>″</w:t>
      </w:r>
      <w:r>
        <w:rPr>
          <w:rFonts w:ascii="宋体" w:hAnsi="宋体" w:eastAsia="宋体" w:cs="宋体"/>
          <w:spacing w:val="-3"/>
          <w:sz w:val="24"/>
          <w:szCs w:val="24"/>
        </w:rPr>
        <w:t>~4052</w:t>
      </w:r>
      <w:r>
        <w:rPr>
          <w:rFonts w:ascii="Times New Roman" w:hAnsi="Times New Roman" w:eastAsia="Times New Roman" w:cs="Times New Roman"/>
          <w:spacing w:val="-3"/>
          <w:sz w:val="24"/>
          <w:szCs w:val="24"/>
        </w:rPr>
        <w:t>′</w:t>
      </w:r>
      <w:r>
        <w:rPr>
          <w:rFonts w:ascii="宋体" w:hAnsi="宋体" w:eastAsia="宋体" w:cs="宋体"/>
          <w:spacing w:val="-3"/>
          <w:sz w:val="24"/>
          <w:szCs w:val="24"/>
        </w:rPr>
        <w:t>14</w:t>
      </w:r>
      <w:r>
        <w:rPr>
          <w:rFonts w:ascii="Times New Roman" w:hAnsi="Times New Roman" w:eastAsia="Times New Roman" w:cs="Times New Roman"/>
          <w:spacing w:val="-3"/>
          <w:sz w:val="24"/>
          <w:szCs w:val="24"/>
        </w:rPr>
        <w:t>″</w:t>
      </w:r>
      <w:r>
        <w:rPr>
          <w:rFonts w:ascii="宋体" w:hAnsi="宋体" w:eastAsia="宋体" w:cs="宋体"/>
          <w:spacing w:val="-3"/>
          <w:sz w:val="24"/>
          <w:szCs w:val="24"/>
        </w:rPr>
        <w:t>东经10655</w:t>
      </w:r>
      <w:r>
        <w:rPr>
          <w:rFonts w:ascii="Times New Roman" w:hAnsi="Times New Roman" w:eastAsia="Times New Roman" w:cs="Times New Roman"/>
          <w:spacing w:val="-3"/>
          <w:sz w:val="24"/>
          <w:szCs w:val="24"/>
        </w:rPr>
        <w:t>′</w:t>
      </w:r>
      <w:r>
        <w:rPr>
          <w:rFonts w:ascii="宋体" w:hAnsi="宋体" w:eastAsia="宋体" w:cs="宋体"/>
          <w:spacing w:val="-3"/>
          <w:sz w:val="24"/>
          <w:szCs w:val="24"/>
        </w:rPr>
        <w:t>16</w:t>
      </w:r>
      <w:r>
        <w:rPr>
          <w:rFonts w:ascii="Times New Roman" w:hAnsi="Times New Roman" w:eastAsia="Times New Roman" w:cs="Times New Roman"/>
          <w:spacing w:val="-3"/>
          <w:sz w:val="24"/>
          <w:szCs w:val="24"/>
        </w:rPr>
        <w:t>″</w:t>
      </w:r>
      <w:r>
        <w:rPr>
          <w:rFonts w:ascii="宋体" w:hAnsi="宋体" w:eastAsia="宋体" w:cs="宋体"/>
          <w:spacing w:val="-3"/>
          <w:sz w:val="24"/>
          <w:szCs w:val="24"/>
        </w:rPr>
        <w:t>~10916</w:t>
      </w:r>
      <w:r>
        <w:rPr>
          <w:rFonts w:ascii="Times New Roman" w:hAnsi="Times New Roman" w:eastAsia="Times New Roman" w:cs="Times New Roman"/>
          <w:spacing w:val="-3"/>
          <w:sz w:val="24"/>
          <w:szCs w:val="24"/>
        </w:rPr>
        <w:t>′</w:t>
      </w:r>
      <w:r>
        <w:rPr>
          <w:rFonts w:ascii="宋体" w:hAnsi="宋体" w:eastAsia="宋体" w:cs="宋体"/>
          <w:spacing w:val="-3"/>
          <w:sz w:val="24"/>
          <w:szCs w:val="24"/>
        </w:rPr>
        <w:t>02</w:t>
      </w:r>
      <w:r>
        <w:rPr>
          <w:rFonts w:ascii="Times New Roman" w:hAnsi="Times New Roman" w:eastAsia="Times New Roman" w:cs="Times New Roman"/>
          <w:spacing w:val="-3"/>
          <w:sz w:val="24"/>
          <w:szCs w:val="24"/>
        </w:rPr>
        <w:t>″</w:t>
      </w:r>
      <w:r>
        <w:rPr>
          <w:rFonts w:ascii="宋体" w:hAnsi="宋体" w:eastAsia="宋体" w:cs="宋体"/>
          <w:spacing w:val="-3"/>
          <w:sz w:val="24"/>
          <w:szCs w:val="24"/>
        </w:rPr>
        <w:t>。北邻临河区、五原县和乌拉特前旗，南接鄂托克旗、乌</w:t>
      </w:r>
      <w:r>
        <w:rPr>
          <w:rFonts w:ascii="宋体" w:hAnsi="宋体" w:eastAsia="宋体" w:cs="宋体"/>
          <w:spacing w:val="-2"/>
          <w:sz w:val="24"/>
          <w:szCs w:val="24"/>
        </w:rPr>
        <w:t>审旗，西连磴口县和杭锦后旗，东靠达拉特旗、伊金霍洛旗和东胜区。旗内以其地形分</w:t>
      </w:r>
      <w:r>
        <w:rPr>
          <w:rFonts w:ascii="宋体" w:hAnsi="宋体" w:eastAsia="宋体" w:cs="宋体"/>
          <w:spacing w:val="-6"/>
          <w:sz w:val="24"/>
          <w:szCs w:val="24"/>
        </w:rPr>
        <w:t>为梁外、沿河两类型区域。梁外区草原广袤，沙漠绵亘，丘陵起伏，是林牧</w:t>
      </w:r>
      <w:r>
        <w:rPr>
          <w:rFonts w:ascii="宋体" w:hAnsi="宋体" w:eastAsia="宋体" w:cs="宋体"/>
          <w:spacing w:val="-7"/>
          <w:sz w:val="24"/>
          <w:szCs w:val="24"/>
        </w:rPr>
        <w:t>经济区。沿</w:t>
      </w:r>
      <w:r>
        <w:rPr>
          <w:rFonts w:ascii="宋体" w:hAnsi="宋体" w:eastAsia="宋体" w:cs="宋体"/>
          <w:spacing w:val="-2"/>
          <w:sz w:val="24"/>
          <w:szCs w:val="24"/>
        </w:rPr>
        <w:t>河区属黄河冲积平原，土地肥沃，渠道纵横，农田成方，屋舍俨然，是旗内主要的产粮</w:t>
      </w:r>
      <w:r>
        <w:rPr>
          <w:rFonts w:ascii="宋体" w:hAnsi="宋体" w:eastAsia="宋体" w:cs="宋体"/>
          <w:spacing w:val="-11"/>
          <w:sz w:val="24"/>
          <w:szCs w:val="24"/>
        </w:rPr>
        <w:t>区。</w:t>
      </w:r>
    </w:p>
    <w:p w14:paraId="781945FD">
      <w:pPr>
        <w:spacing w:before="29" w:line="220" w:lineRule="auto"/>
        <w:ind w:left="518"/>
        <w:rPr>
          <w:rFonts w:ascii="宋体" w:hAnsi="宋体" w:eastAsia="宋体" w:cs="宋体"/>
          <w:sz w:val="24"/>
          <w:szCs w:val="24"/>
        </w:rPr>
      </w:pPr>
      <w:r>
        <w:rPr>
          <w:rFonts w:ascii="宋体" w:hAnsi="宋体" w:eastAsia="宋体" w:cs="宋体"/>
          <w:spacing w:val="-4"/>
          <w:sz w:val="24"/>
          <w:szCs w:val="24"/>
        </w:rPr>
        <w:t>全旗东西长197公里，南北宽161公里，旗域土地总面积约</w:t>
      </w:r>
      <w:r>
        <w:rPr>
          <w:rFonts w:ascii="宋体" w:hAnsi="宋体" w:eastAsia="宋体" w:cs="宋体"/>
          <w:spacing w:val="-5"/>
          <w:sz w:val="24"/>
          <w:szCs w:val="24"/>
        </w:rPr>
        <w:t>为1.89万平方公里。</w:t>
      </w:r>
    </w:p>
    <w:p w14:paraId="4ED459C9">
      <w:pPr>
        <w:spacing w:before="180" w:line="347" w:lineRule="auto"/>
        <w:ind w:left="40" w:right="69"/>
        <w:rPr>
          <w:rFonts w:ascii="宋体" w:hAnsi="宋体" w:eastAsia="宋体" w:cs="宋体"/>
          <w:sz w:val="24"/>
          <w:szCs w:val="24"/>
        </w:rPr>
      </w:pPr>
      <w:r>
        <w:rPr>
          <w:rFonts w:ascii="宋体" w:hAnsi="宋体" w:eastAsia="宋体" w:cs="宋体"/>
          <w:spacing w:val="-6"/>
          <w:sz w:val="24"/>
          <w:szCs w:val="24"/>
        </w:rPr>
        <w:t>从地理区位角度看，杭锦旗位于内蒙</w:t>
      </w:r>
      <w:r>
        <w:rPr>
          <w:rFonts w:hint="eastAsia" w:ascii="宋体" w:hAnsi="宋体" w:eastAsia="宋体" w:cs="宋体"/>
          <w:spacing w:val="-6"/>
          <w:sz w:val="24"/>
          <w:szCs w:val="24"/>
          <w:lang w:eastAsia="zh-CN"/>
        </w:rPr>
        <w:t>古</w:t>
      </w:r>
      <w:r>
        <w:rPr>
          <w:rFonts w:ascii="宋体" w:hAnsi="宋体" w:eastAsia="宋体" w:cs="宋体"/>
          <w:spacing w:val="-6"/>
          <w:sz w:val="24"/>
          <w:szCs w:val="24"/>
        </w:rPr>
        <w:t>西部、呼包鄂榆城市群边缘，是呼包</w:t>
      </w:r>
      <w:r>
        <w:rPr>
          <w:rFonts w:ascii="宋体" w:hAnsi="宋体" w:eastAsia="宋体" w:cs="宋体"/>
          <w:spacing w:val="-7"/>
          <w:sz w:val="24"/>
          <w:szCs w:val="24"/>
        </w:rPr>
        <w:t>兰沿黄城镇发</w:t>
      </w:r>
      <w:r>
        <w:rPr>
          <w:rFonts w:ascii="宋体" w:hAnsi="宋体" w:eastAsia="宋体" w:cs="宋体"/>
          <w:spacing w:val="-5"/>
          <w:sz w:val="24"/>
          <w:szCs w:val="24"/>
        </w:rPr>
        <w:t>展带上的特色小城市。</w:t>
      </w:r>
    </w:p>
    <w:p w14:paraId="5CC979FC">
      <w:pPr>
        <w:spacing w:before="152" w:line="220" w:lineRule="auto"/>
        <w:ind w:left="55"/>
        <w:rPr>
          <w:rFonts w:ascii="宋体" w:hAnsi="宋体" w:eastAsia="宋体" w:cs="宋体"/>
          <w:sz w:val="24"/>
          <w:szCs w:val="24"/>
        </w:rPr>
      </w:pPr>
      <w:r>
        <w:rPr>
          <w:rFonts w:ascii="宋体" w:hAnsi="宋体" w:eastAsia="宋体" w:cs="宋体"/>
          <w:spacing w:val="-5"/>
          <w:sz w:val="24"/>
          <w:szCs w:val="24"/>
        </w:rPr>
        <w:t>1.5.2行政区划</w:t>
      </w:r>
    </w:p>
    <w:p w14:paraId="0E8217E2">
      <w:pPr>
        <w:spacing w:before="182" w:line="219" w:lineRule="auto"/>
        <w:ind w:left="517"/>
        <w:rPr>
          <w:rFonts w:ascii="宋体" w:hAnsi="宋体" w:eastAsia="宋体" w:cs="宋体"/>
          <w:sz w:val="24"/>
          <w:szCs w:val="24"/>
        </w:rPr>
      </w:pPr>
      <w:r>
        <w:rPr>
          <w:rFonts w:ascii="宋体" w:hAnsi="宋体" w:eastAsia="宋体" w:cs="宋体"/>
          <w:spacing w:val="-1"/>
          <w:sz w:val="24"/>
          <w:szCs w:val="24"/>
        </w:rPr>
        <w:t>杭锦旗行政隶属鄂尔多斯市，杭锦旗人民政府所在地</w:t>
      </w:r>
      <w:r>
        <w:rPr>
          <w:rFonts w:ascii="宋体" w:hAnsi="宋体" w:eastAsia="宋体" w:cs="宋体"/>
          <w:spacing w:val="-2"/>
          <w:sz w:val="24"/>
          <w:szCs w:val="24"/>
        </w:rPr>
        <w:t>位于中心城区锡尼镇。</w:t>
      </w:r>
    </w:p>
    <w:p w14:paraId="033B9F56">
      <w:pPr>
        <w:spacing w:before="185" w:line="344" w:lineRule="auto"/>
        <w:ind w:left="79" w:right="66" w:firstLine="437"/>
        <w:rPr>
          <w:rFonts w:ascii="宋体" w:hAnsi="宋体" w:eastAsia="宋体" w:cs="宋体"/>
          <w:sz w:val="24"/>
          <w:szCs w:val="24"/>
        </w:rPr>
      </w:pPr>
      <w:r>
        <w:rPr>
          <w:rFonts w:ascii="宋体" w:hAnsi="宋体" w:eastAsia="宋体" w:cs="宋体"/>
          <w:spacing w:val="-4"/>
          <w:sz w:val="24"/>
          <w:szCs w:val="24"/>
        </w:rPr>
        <w:t>杭锦旗辖5个镇和1个苏木和1个管委会，即锡尼镇、巴拉</w:t>
      </w:r>
      <w:r>
        <w:rPr>
          <w:rFonts w:ascii="宋体" w:hAnsi="宋体" w:eastAsia="宋体" w:cs="宋体"/>
          <w:spacing w:val="-5"/>
          <w:sz w:val="24"/>
          <w:szCs w:val="24"/>
        </w:rPr>
        <w:t>贡镇、呼和木独镇、吉</w:t>
      </w:r>
      <w:r>
        <w:rPr>
          <w:rFonts w:ascii="宋体" w:hAnsi="宋体" w:eastAsia="宋体" w:cs="宋体"/>
          <w:spacing w:val="-3"/>
          <w:sz w:val="24"/>
          <w:szCs w:val="24"/>
        </w:rPr>
        <w:t>日嘎朗图镇、独贵塔拉镇、伊和乌素苏木和塔然高勒管委会。全旗共辖76个</w:t>
      </w:r>
      <w:r>
        <w:rPr>
          <w:rFonts w:ascii="宋体" w:hAnsi="宋体" w:eastAsia="宋体" w:cs="宋体"/>
          <w:spacing w:val="-4"/>
          <w:sz w:val="24"/>
          <w:szCs w:val="24"/>
        </w:rPr>
        <w:t>嘎查村，</w:t>
      </w:r>
      <w:r>
        <w:rPr>
          <w:rFonts w:ascii="宋体" w:hAnsi="宋体" w:eastAsia="宋体" w:cs="宋体"/>
          <w:spacing w:val="-8"/>
          <w:sz w:val="24"/>
          <w:szCs w:val="24"/>
        </w:rPr>
        <w:t>10个社区居委会。</w:t>
      </w:r>
    </w:p>
    <w:p w14:paraId="3F33B27E">
      <w:pPr>
        <w:spacing w:line="219" w:lineRule="auto"/>
        <w:rPr>
          <w:rFonts w:ascii="宋体" w:hAnsi="宋体" w:eastAsia="宋体" w:cs="宋体"/>
          <w:sz w:val="24"/>
          <w:szCs w:val="24"/>
        </w:rPr>
        <w:sectPr>
          <w:headerReference r:id="rId20" w:type="default"/>
          <w:footerReference r:id="rId21" w:type="default"/>
          <w:pgSz w:w="11907" w:h="16841"/>
          <w:pgMar w:top="1091" w:right="1348" w:bottom="1169" w:left="1390" w:header="859" w:footer="991" w:gutter="0"/>
          <w:cols w:space="720" w:num="1"/>
        </w:sectPr>
      </w:pPr>
    </w:p>
    <w:p w14:paraId="3DD8EB9A">
      <w:pPr>
        <w:pStyle w:val="2"/>
        <w:spacing w:line="325" w:lineRule="auto"/>
      </w:pPr>
    </w:p>
    <w:p w14:paraId="3055623F">
      <w:pPr>
        <w:spacing w:line="7248" w:lineRule="exact"/>
        <w:ind w:firstLine="27"/>
      </w:pPr>
      <w:r>
        <w:rPr>
          <w:position w:val="-144"/>
        </w:rPr>
        <w:drawing>
          <wp:inline distT="0" distB="0" distL="0" distR="0">
            <wp:extent cx="5265420" cy="460248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85"/>
                    <a:stretch>
                      <a:fillRect/>
                    </a:stretch>
                  </pic:blipFill>
                  <pic:spPr>
                    <a:xfrm>
                      <a:off x="0" y="0"/>
                      <a:ext cx="5265547" cy="4602860"/>
                    </a:xfrm>
                    <a:prstGeom prst="rect">
                      <a:avLst/>
                    </a:prstGeom>
                  </pic:spPr>
                </pic:pic>
              </a:graphicData>
            </a:graphic>
          </wp:inline>
        </w:drawing>
      </w:r>
    </w:p>
    <w:p w14:paraId="6B620853">
      <w:pPr>
        <w:spacing w:before="196" w:line="220" w:lineRule="auto"/>
        <w:ind w:left="3639"/>
        <w:rPr>
          <w:rFonts w:ascii="宋体" w:hAnsi="宋体" w:eastAsia="宋体" w:cs="宋体"/>
          <w:sz w:val="18"/>
          <w:szCs w:val="18"/>
        </w:rPr>
      </w:pPr>
      <w:r>
        <w:rPr>
          <w:rFonts w:ascii="宋体" w:hAnsi="宋体" w:eastAsia="宋体" w:cs="宋体"/>
          <w:b/>
          <w:bCs/>
          <w:spacing w:val="-4"/>
          <w:sz w:val="18"/>
          <w:szCs w:val="18"/>
        </w:rPr>
        <w:t>图</w:t>
      </w:r>
      <w:r>
        <w:rPr>
          <w:rFonts w:ascii="Times New Roman" w:hAnsi="Times New Roman" w:eastAsia="Times New Roman" w:cs="Times New Roman"/>
          <w:b/>
          <w:bCs/>
          <w:spacing w:val="-4"/>
          <w:sz w:val="18"/>
          <w:szCs w:val="18"/>
        </w:rPr>
        <w:t>1</w:t>
      </w:r>
      <w:r>
        <w:rPr>
          <w:rFonts w:hint="eastAsia" w:ascii="Times New Roman" w:hAnsi="Times New Roman" w:eastAsia="宋体" w:cs="Times New Roman"/>
          <w:b/>
          <w:bCs/>
          <w:spacing w:val="-4"/>
          <w:sz w:val="18"/>
          <w:szCs w:val="18"/>
          <w:lang w:eastAsia="zh-CN"/>
        </w:rPr>
        <w:t>—</w:t>
      </w:r>
      <w:r>
        <w:rPr>
          <w:rFonts w:ascii="Times New Roman" w:hAnsi="Times New Roman" w:eastAsia="Times New Roman" w:cs="Times New Roman"/>
          <w:b/>
          <w:bCs/>
          <w:spacing w:val="-4"/>
          <w:sz w:val="18"/>
          <w:szCs w:val="18"/>
        </w:rPr>
        <w:t>9</w:t>
      </w:r>
      <w:r>
        <w:rPr>
          <w:rFonts w:ascii="宋体" w:hAnsi="宋体" w:eastAsia="宋体" w:cs="宋体"/>
          <w:b/>
          <w:bCs/>
          <w:spacing w:val="-4"/>
          <w:sz w:val="18"/>
          <w:szCs w:val="18"/>
        </w:rPr>
        <w:t>杭锦旗行政区划图</w:t>
      </w:r>
    </w:p>
    <w:p w14:paraId="394646DA">
      <w:pPr>
        <w:spacing w:before="272" w:line="220" w:lineRule="auto"/>
        <w:ind w:left="60"/>
        <w:outlineLvl w:val="0"/>
        <w:rPr>
          <w:rFonts w:ascii="宋体" w:hAnsi="宋体" w:eastAsia="宋体" w:cs="宋体"/>
          <w:sz w:val="28"/>
          <w:szCs w:val="28"/>
        </w:rPr>
      </w:pPr>
      <w:bookmarkStart w:id="33" w:name="bookmark14"/>
      <w:bookmarkEnd w:id="33"/>
      <w:bookmarkStart w:id="34" w:name="bookmark13"/>
      <w:bookmarkEnd w:id="34"/>
      <w:r>
        <w:rPr>
          <w:rFonts w:ascii="宋体" w:hAnsi="宋体" w:eastAsia="宋体" w:cs="宋体"/>
          <w:b/>
          <w:bCs/>
          <w:spacing w:val="-7"/>
          <w:sz w:val="28"/>
          <w:szCs w:val="28"/>
        </w:rPr>
        <w:t>1.6现状建设情况</w:t>
      </w:r>
    </w:p>
    <w:p w14:paraId="43883B33">
      <w:pPr>
        <w:spacing w:before="206" w:line="350" w:lineRule="auto"/>
        <w:ind w:left="65" w:right="30" w:firstLine="498"/>
        <w:jc w:val="both"/>
        <w:rPr>
          <w:rFonts w:ascii="宋体" w:hAnsi="宋体" w:eastAsia="宋体" w:cs="宋体"/>
          <w:sz w:val="24"/>
          <w:szCs w:val="24"/>
        </w:rPr>
      </w:pPr>
      <w:r>
        <w:rPr>
          <w:rFonts w:ascii="宋体" w:hAnsi="宋体" w:eastAsia="宋体" w:cs="宋体"/>
          <w:spacing w:val="-2"/>
          <w:sz w:val="24"/>
          <w:szCs w:val="24"/>
        </w:rPr>
        <w:t>目前，中心城区现状建设用地规模9.45平方公里，老城区百灵路以南、草原大街以北的道路框架基本形成，百灵路以北的棚户区正在拆迁，杭锦</w:t>
      </w:r>
      <w:r>
        <w:rPr>
          <w:rFonts w:ascii="宋体" w:hAnsi="宋体" w:eastAsia="宋体" w:cs="宋体"/>
          <w:spacing w:val="-3"/>
          <w:sz w:val="24"/>
          <w:szCs w:val="24"/>
        </w:rPr>
        <w:t>大街以南区域的棚户区</w:t>
      </w:r>
      <w:r>
        <w:rPr>
          <w:rFonts w:ascii="宋体" w:hAnsi="宋体" w:eastAsia="宋体" w:cs="宋体"/>
          <w:spacing w:val="-4"/>
          <w:sz w:val="24"/>
          <w:szCs w:val="24"/>
        </w:rPr>
        <w:t>尚未列入改造计划。现状建设用地呈现以下特征：</w:t>
      </w:r>
    </w:p>
    <w:p w14:paraId="2B1E6071">
      <w:pPr>
        <w:spacing w:before="152" w:line="220" w:lineRule="auto"/>
        <w:ind w:left="55"/>
        <w:rPr>
          <w:rFonts w:ascii="宋体" w:hAnsi="宋体" w:eastAsia="宋体" w:cs="宋体"/>
          <w:sz w:val="24"/>
          <w:szCs w:val="24"/>
        </w:rPr>
      </w:pPr>
      <w:r>
        <w:rPr>
          <w:rFonts w:ascii="宋体" w:hAnsi="宋体" w:eastAsia="宋体" w:cs="宋体"/>
          <w:spacing w:val="-3"/>
          <w:sz w:val="24"/>
          <w:szCs w:val="24"/>
        </w:rPr>
        <w:t>1.6.1人均建设用地指标偏高，用地比例</w:t>
      </w:r>
      <w:r>
        <w:rPr>
          <w:rFonts w:ascii="宋体" w:hAnsi="宋体" w:eastAsia="宋体" w:cs="宋体"/>
          <w:spacing w:val="-4"/>
          <w:sz w:val="24"/>
          <w:szCs w:val="24"/>
        </w:rPr>
        <w:t>失衡。</w:t>
      </w:r>
    </w:p>
    <w:p w14:paraId="252D1D06">
      <w:pPr>
        <w:spacing w:before="183" w:line="350" w:lineRule="auto"/>
        <w:ind w:left="39" w:right="30" w:firstLine="480"/>
        <w:jc w:val="both"/>
        <w:rPr>
          <w:rFonts w:ascii="宋体" w:hAnsi="宋体" w:eastAsia="宋体" w:cs="宋体"/>
          <w:sz w:val="24"/>
          <w:szCs w:val="24"/>
        </w:rPr>
      </w:pPr>
      <w:r>
        <w:rPr>
          <w:rFonts w:ascii="宋体" w:hAnsi="宋体" w:eastAsia="宋体" w:cs="宋体"/>
          <w:spacing w:val="-7"/>
          <w:sz w:val="24"/>
          <w:szCs w:val="24"/>
        </w:rPr>
        <w:t>现状人均建设用地181.7平方米，指标偏高。居住、公共设施比重较高，其中</w:t>
      </w:r>
      <w:r>
        <w:rPr>
          <w:rFonts w:ascii="宋体" w:hAnsi="宋体" w:eastAsia="宋体" w:cs="宋体"/>
          <w:spacing w:val="-8"/>
          <w:sz w:val="24"/>
          <w:szCs w:val="24"/>
        </w:rPr>
        <w:t>公共</w:t>
      </w:r>
      <w:r>
        <w:rPr>
          <w:rFonts w:ascii="宋体" w:hAnsi="宋体" w:eastAsia="宋体" w:cs="宋体"/>
          <w:spacing w:val="-2"/>
          <w:sz w:val="24"/>
          <w:szCs w:val="24"/>
        </w:rPr>
        <w:t>管理与公共服务设施用地占比12.7%。绿地与</w:t>
      </w:r>
      <w:r>
        <w:rPr>
          <w:rFonts w:ascii="宋体" w:hAnsi="宋体" w:eastAsia="宋体" w:cs="宋体"/>
          <w:spacing w:val="-3"/>
          <w:sz w:val="24"/>
          <w:szCs w:val="24"/>
        </w:rPr>
        <w:t>广场用地仅占7.8%，比重偏低，空间布局</w:t>
      </w:r>
      <w:r>
        <w:rPr>
          <w:rFonts w:ascii="宋体" w:hAnsi="宋体" w:eastAsia="宋体" w:cs="宋体"/>
          <w:spacing w:val="-2"/>
          <w:sz w:val="24"/>
          <w:szCs w:val="24"/>
        </w:rPr>
        <w:t>方面，绿地主要集中在外环路附近，可达性差，利用率不高。</w:t>
      </w:r>
    </w:p>
    <w:p w14:paraId="3BC3CA61">
      <w:pPr>
        <w:spacing w:before="157" w:line="220" w:lineRule="auto"/>
        <w:ind w:left="55"/>
        <w:rPr>
          <w:rFonts w:ascii="宋体" w:hAnsi="宋体" w:eastAsia="宋体" w:cs="宋体"/>
          <w:sz w:val="24"/>
          <w:szCs w:val="24"/>
        </w:rPr>
      </w:pPr>
      <w:r>
        <w:rPr>
          <w:rFonts w:ascii="宋体" w:hAnsi="宋体" w:eastAsia="宋体" w:cs="宋体"/>
          <w:spacing w:val="-4"/>
          <w:sz w:val="24"/>
          <w:szCs w:val="24"/>
        </w:rPr>
        <w:t>1.6.2城市功能交织</w:t>
      </w:r>
    </w:p>
    <w:p w14:paraId="67ED0432">
      <w:pPr>
        <w:spacing w:before="180" w:line="350" w:lineRule="auto"/>
        <w:ind w:left="42" w:right="30" w:firstLine="480"/>
        <w:jc w:val="both"/>
        <w:rPr>
          <w:rFonts w:ascii="宋体" w:hAnsi="宋体" w:eastAsia="宋体" w:cs="宋体"/>
          <w:sz w:val="24"/>
          <w:szCs w:val="24"/>
        </w:rPr>
      </w:pPr>
      <w:r>
        <w:rPr>
          <w:rFonts w:ascii="宋体" w:hAnsi="宋体" w:eastAsia="宋体" w:cs="宋体"/>
          <w:spacing w:val="-2"/>
          <w:sz w:val="24"/>
          <w:szCs w:val="24"/>
        </w:rPr>
        <w:t>老城区内各类用地相互混杂，行政办公和商业服务设施的布局较为零散，用地相互交织使得服务中心规模偏小，辐射能力有限，部分新建区未形成完备的居住环境和配套</w:t>
      </w:r>
      <w:r>
        <w:rPr>
          <w:rFonts w:ascii="宋体" w:hAnsi="宋体" w:eastAsia="宋体" w:cs="宋体"/>
          <w:spacing w:val="-5"/>
          <w:sz w:val="24"/>
          <w:szCs w:val="24"/>
        </w:rPr>
        <w:t>设施，缺乏城市活力。</w:t>
      </w:r>
    </w:p>
    <w:p w14:paraId="66481449">
      <w:pPr>
        <w:spacing w:line="350" w:lineRule="auto"/>
        <w:rPr>
          <w:rFonts w:ascii="宋体" w:hAnsi="宋体" w:eastAsia="宋体" w:cs="宋体"/>
          <w:sz w:val="24"/>
          <w:szCs w:val="24"/>
        </w:rPr>
        <w:sectPr>
          <w:footerReference r:id="rId22" w:type="default"/>
          <w:pgSz w:w="11907" w:h="16841"/>
          <w:pgMar w:top="1091" w:right="1384" w:bottom="1169" w:left="1390" w:header="859" w:footer="991" w:gutter="0"/>
          <w:cols w:space="720" w:num="1"/>
        </w:sectPr>
      </w:pPr>
    </w:p>
    <w:p w14:paraId="7ADCDB9F">
      <w:pPr>
        <w:pStyle w:val="2"/>
        <w:spacing w:line="283" w:lineRule="auto"/>
      </w:pPr>
    </w:p>
    <w:p w14:paraId="36F9AC0C">
      <w:pPr>
        <w:spacing w:before="78" w:line="219" w:lineRule="auto"/>
        <w:ind w:left="55"/>
        <w:rPr>
          <w:rFonts w:ascii="宋体" w:hAnsi="宋体" w:eastAsia="宋体" w:cs="宋体"/>
          <w:sz w:val="24"/>
          <w:szCs w:val="24"/>
        </w:rPr>
      </w:pPr>
      <w:r>
        <w:rPr>
          <w:rFonts w:ascii="宋体" w:hAnsi="宋体" w:eastAsia="宋体" w:cs="宋体"/>
          <w:spacing w:val="-2"/>
          <w:sz w:val="24"/>
          <w:szCs w:val="24"/>
        </w:rPr>
        <w:t>1.6.3公共服务设施配套不足，分布不</w:t>
      </w:r>
      <w:r>
        <w:rPr>
          <w:rFonts w:ascii="宋体" w:hAnsi="宋体" w:eastAsia="宋体" w:cs="宋体"/>
          <w:spacing w:val="-3"/>
          <w:sz w:val="24"/>
          <w:szCs w:val="24"/>
        </w:rPr>
        <w:t>均衡</w:t>
      </w:r>
    </w:p>
    <w:p w14:paraId="534580B1">
      <w:pPr>
        <w:spacing w:before="179" w:line="351" w:lineRule="auto"/>
        <w:ind w:left="38" w:right="57" w:firstLine="482"/>
        <w:jc w:val="both"/>
        <w:rPr>
          <w:rFonts w:ascii="宋体" w:hAnsi="宋体" w:eastAsia="宋体" w:cs="宋体"/>
          <w:sz w:val="24"/>
          <w:szCs w:val="24"/>
        </w:rPr>
      </w:pPr>
      <w:r>
        <w:rPr>
          <w:rFonts w:ascii="宋体" w:hAnsi="宋体" w:eastAsia="宋体" w:cs="宋体"/>
          <w:spacing w:val="-2"/>
          <w:sz w:val="24"/>
          <w:szCs w:val="24"/>
        </w:rPr>
        <w:t>建成区内配套教育设施分布不均衡，其中托幼设施尤为不足。教育设施用地相对紧缺，且布局相对集中，覆盖率不高。文化娱乐、体育设施、医疗设施总量不足，服务功</w:t>
      </w:r>
      <w:r>
        <w:rPr>
          <w:rFonts w:ascii="宋体" w:hAnsi="宋体" w:eastAsia="宋体" w:cs="宋体"/>
          <w:spacing w:val="-9"/>
          <w:sz w:val="24"/>
          <w:szCs w:val="24"/>
        </w:rPr>
        <w:t>能较差。</w:t>
      </w:r>
    </w:p>
    <w:p w14:paraId="1C1C40DB">
      <w:pPr>
        <w:spacing w:before="153" w:line="220" w:lineRule="auto"/>
        <w:ind w:left="55"/>
        <w:rPr>
          <w:rFonts w:ascii="宋体" w:hAnsi="宋体" w:eastAsia="宋体" w:cs="宋体"/>
          <w:sz w:val="24"/>
          <w:szCs w:val="24"/>
        </w:rPr>
      </w:pPr>
      <w:r>
        <w:rPr>
          <w:rFonts w:ascii="宋体" w:hAnsi="宋体" w:eastAsia="宋体" w:cs="宋体"/>
          <w:spacing w:val="-2"/>
          <w:sz w:val="24"/>
          <w:szCs w:val="24"/>
        </w:rPr>
        <w:t>1.6.4公园绿地配置偏低、开敞空间不</w:t>
      </w:r>
      <w:r>
        <w:rPr>
          <w:rFonts w:ascii="宋体" w:hAnsi="宋体" w:eastAsia="宋体" w:cs="宋体"/>
          <w:spacing w:val="-3"/>
          <w:sz w:val="24"/>
          <w:szCs w:val="24"/>
        </w:rPr>
        <w:t>完备</w:t>
      </w:r>
    </w:p>
    <w:p w14:paraId="1BCCCE7A">
      <w:pPr>
        <w:spacing w:before="181" w:line="346" w:lineRule="auto"/>
        <w:ind w:left="40" w:firstLine="480"/>
        <w:rPr>
          <w:rFonts w:ascii="宋体" w:hAnsi="宋体" w:eastAsia="宋体" w:cs="宋体"/>
          <w:sz w:val="24"/>
          <w:szCs w:val="24"/>
        </w:rPr>
      </w:pPr>
      <w:r>
        <w:rPr>
          <w:rFonts w:ascii="宋体" w:hAnsi="宋体" w:eastAsia="宋体" w:cs="宋体"/>
          <w:sz w:val="24"/>
          <w:szCs w:val="24"/>
        </w:rPr>
        <w:t>现状道路退线不足，沿街绿带难以形成，街道空间缺少必要绿地广场等开</w:t>
      </w:r>
      <w:r>
        <w:rPr>
          <w:rFonts w:ascii="宋体" w:hAnsi="宋体" w:eastAsia="宋体" w:cs="宋体"/>
          <w:spacing w:val="-1"/>
          <w:sz w:val="24"/>
          <w:szCs w:val="24"/>
        </w:rPr>
        <w:t>敞空间，</w:t>
      </w:r>
      <w:r>
        <w:rPr>
          <w:rFonts w:ascii="宋体" w:hAnsi="宋体" w:eastAsia="宋体" w:cs="宋体"/>
          <w:spacing w:val="-2"/>
          <w:sz w:val="24"/>
          <w:szCs w:val="24"/>
        </w:rPr>
        <w:t>绿地、公园、广场配置低，分布不均衡，尚未形成体系。</w:t>
      </w:r>
    </w:p>
    <w:p w14:paraId="214261B3">
      <w:pPr>
        <w:spacing w:before="161" w:line="221" w:lineRule="auto"/>
        <w:ind w:left="60"/>
        <w:outlineLvl w:val="0"/>
        <w:rPr>
          <w:rFonts w:ascii="宋体" w:hAnsi="宋体" w:eastAsia="宋体" w:cs="宋体"/>
          <w:sz w:val="28"/>
          <w:szCs w:val="28"/>
        </w:rPr>
      </w:pPr>
      <w:bookmarkStart w:id="35" w:name="bookmark16"/>
      <w:bookmarkEnd w:id="35"/>
      <w:bookmarkStart w:id="36" w:name="bookmark15"/>
      <w:bookmarkEnd w:id="36"/>
      <w:r>
        <w:rPr>
          <w:rFonts w:ascii="宋体" w:hAnsi="宋体" w:eastAsia="宋体" w:cs="宋体"/>
          <w:b/>
          <w:bCs/>
          <w:spacing w:val="-6"/>
          <w:sz w:val="28"/>
          <w:szCs w:val="28"/>
        </w:rPr>
        <w:t>1.7原控规单元划分及实施情况</w:t>
      </w:r>
    </w:p>
    <w:p w14:paraId="7FF2A41C">
      <w:pPr>
        <w:pStyle w:val="2"/>
        <w:spacing w:line="244" w:lineRule="auto"/>
      </w:pPr>
    </w:p>
    <w:p w14:paraId="4FDD69D6">
      <w:pPr>
        <w:spacing w:before="78" w:line="220" w:lineRule="auto"/>
        <w:ind w:left="55"/>
        <w:rPr>
          <w:rFonts w:ascii="宋体" w:hAnsi="宋体" w:eastAsia="宋体" w:cs="宋体"/>
          <w:sz w:val="24"/>
          <w:szCs w:val="24"/>
        </w:rPr>
      </w:pPr>
      <w:r>
        <w:rPr>
          <w:rFonts w:ascii="宋体" w:hAnsi="宋体" w:eastAsia="宋体" w:cs="宋体"/>
          <w:spacing w:val="-7"/>
          <w:sz w:val="24"/>
          <w:szCs w:val="24"/>
        </w:rPr>
        <w:t>1.7.1中心城区（锡尼镇）</w:t>
      </w:r>
    </w:p>
    <w:p w14:paraId="0BF8E56A">
      <w:pPr>
        <w:spacing w:before="181" w:line="355" w:lineRule="auto"/>
        <w:ind w:left="38" w:firstLine="479"/>
        <w:jc w:val="both"/>
        <w:rPr>
          <w:rFonts w:ascii="宋体" w:hAnsi="宋体" w:eastAsia="宋体" w:cs="宋体"/>
          <w:sz w:val="24"/>
          <w:szCs w:val="24"/>
        </w:rPr>
      </w:pPr>
      <w:r>
        <w:rPr>
          <w:rFonts w:ascii="宋体" w:hAnsi="宋体" w:eastAsia="宋体" w:cs="宋体"/>
          <w:spacing w:val="-2"/>
          <w:sz w:val="24"/>
          <w:szCs w:val="24"/>
        </w:rPr>
        <w:t>杭锦旗中心城区原控规单元综合考虑城市行政管理辖区、自然地貌、城市特征、功能区划分、主要道路、重要基础设施、城市空间景观组织、社会组织等要素确定。在控</w:t>
      </w:r>
      <w:r>
        <w:rPr>
          <w:rFonts w:ascii="宋体" w:hAnsi="宋体" w:eastAsia="宋体" w:cs="宋体"/>
          <w:sz w:val="24"/>
          <w:szCs w:val="24"/>
        </w:rPr>
        <w:t>制分区划分中，综合考虑文化、教育、体育、医疗卫生等设施的配置标准和服务要</w:t>
      </w:r>
      <w:r>
        <w:rPr>
          <w:rFonts w:ascii="宋体" w:hAnsi="宋体" w:eastAsia="宋体" w:cs="宋体"/>
          <w:spacing w:val="-1"/>
          <w:sz w:val="24"/>
          <w:szCs w:val="24"/>
        </w:rPr>
        <w:t>求，</w:t>
      </w:r>
      <w:r>
        <w:rPr>
          <w:rFonts w:ascii="宋体" w:hAnsi="宋体" w:eastAsia="宋体" w:cs="宋体"/>
          <w:spacing w:val="-2"/>
          <w:sz w:val="24"/>
          <w:szCs w:val="24"/>
        </w:rPr>
        <w:t>城市中心区、重点建设区、历史文化街区、高层建筑集中区、滨水区的控制单元规模可以适当减小。城市远期发展区、城市一般发展区、改建区控制单元规模可根据实际情况</w:t>
      </w:r>
      <w:r>
        <w:rPr>
          <w:rFonts w:ascii="宋体" w:hAnsi="宋体" w:eastAsia="宋体" w:cs="宋体"/>
          <w:spacing w:val="-8"/>
          <w:sz w:val="24"/>
          <w:szCs w:val="24"/>
        </w:rPr>
        <w:t>适当增大。</w:t>
      </w:r>
    </w:p>
    <w:p w14:paraId="080112EE">
      <w:pPr>
        <w:spacing w:before="31" w:line="220" w:lineRule="auto"/>
        <w:ind w:left="517"/>
        <w:rPr>
          <w:rFonts w:ascii="宋体" w:hAnsi="宋体" w:eastAsia="宋体" w:cs="宋体"/>
          <w:sz w:val="24"/>
          <w:szCs w:val="24"/>
        </w:rPr>
      </w:pPr>
      <w:r>
        <w:rPr>
          <w:rFonts w:ascii="宋体" w:hAnsi="宋体" w:eastAsia="宋体" w:cs="宋体"/>
          <w:spacing w:val="-1"/>
          <w:sz w:val="24"/>
          <w:szCs w:val="24"/>
        </w:rPr>
        <w:t>在上一版控规中，将杭锦旗中心城区规划范围内用地划分为6个控规单元。</w:t>
      </w:r>
    </w:p>
    <w:p w14:paraId="4867D21F">
      <w:pPr>
        <w:spacing w:before="145" w:line="5506" w:lineRule="exact"/>
        <w:ind w:firstLine="507"/>
      </w:pPr>
      <w:r>
        <w:rPr>
          <w:position w:val="-110"/>
        </w:rPr>
        <w:drawing>
          <wp:inline distT="0" distB="0" distL="0" distR="0">
            <wp:extent cx="4997450" cy="349631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86"/>
                    <a:stretch>
                      <a:fillRect/>
                    </a:stretch>
                  </pic:blipFill>
                  <pic:spPr>
                    <a:xfrm>
                      <a:off x="0" y="0"/>
                      <a:ext cx="4998084" cy="3496563"/>
                    </a:xfrm>
                    <a:prstGeom prst="rect">
                      <a:avLst/>
                    </a:prstGeom>
                  </pic:spPr>
                </pic:pic>
              </a:graphicData>
            </a:graphic>
          </wp:inline>
        </w:drawing>
      </w:r>
    </w:p>
    <w:p w14:paraId="1D29F6F3">
      <w:pPr>
        <w:spacing w:before="200" w:line="220" w:lineRule="auto"/>
        <w:ind w:left="3265"/>
        <w:rPr>
          <w:rFonts w:ascii="宋体" w:hAnsi="宋体" w:eastAsia="宋体" w:cs="宋体"/>
          <w:sz w:val="18"/>
          <w:szCs w:val="18"/>
        </w:rPr>
      </w:pPr>
      <w:r>
        <w:rPr>
          <w:rFonts w:ascii="宋体" w:hAnsi="宋体" w:eastAsia="宋体" w:cs="宋体"/>
          <w:b/>
          <w:bCs/>
          <w:spacing w:val="-4"/>
          <w:sz w:val="18"/>
          <w:szCs w:val="18"/>
        </w:rPr>
        <w:t>图</w:t>
      </w:r>
      <w:r>
        <w:rPr>
          <w:rFonts w:ascii="Times New Roman" w:hAnsi="Times New Roman" w:eastAsia="Times New Roman" w:cs="Times New Roman"/>
          <w:b/>
          <w:bCs/>
          <w:spacing w:val="-4"/>
          <w:sz w:val="18"/>
          <w:szCs w:val="18"/>
        </w:rPr>
        <w:t>1</w:t>
      </w:r>
      <w:r>
        <w:rPr>
          <w:rFonts w:hint="eastAsia" w:ascii="Times New Roman" w:hAnsi="Times New Roman" w:eastAsia="宋体" w:cs="Times New Roman"/>
          <w:b/>
          <w:bCs/>
          <w:spacing w:val="-4"/>
          <w:sz w:val="18"/>
          <w:szCs w:val="18"/>
          <w:lang w:eastAsia="zh-CN"/>
        </w:rPr>
        <w:t>—</w:t>
      </w:r>
      <w:r>
        <w:rPr>
          <w:rFonts w:ascii="Times New Roman" w:hAnsi="Times New Roman" w:eastAsia="Times New Roman" w:cs="Times New Roman"/>
          <w:b/>
          <w:bCs/>
          <w:spacing w:val="-4"/>
          <w:sz w:val="18"/>
          <w:szCs w:val="18"/>
        </w:rPr>
        <w:t>10</w:t>
      </w:r>
      <w:r>
        <w:rPr>
          <w:rFonts w:ascii="宋体" w:hAnsi="宋体" w:eastAsia="宋体" w:cs="宋体"/>
          <w:b/>
          <w:bCs/>
          <w:spacing w:val="-4"/>
          <w:sz w:val="18"/>
          <w:szCs w:val="18"/>
        </w:rPr>
        <w:t>原控规分区编号示意图</w:t>
      </w:r>
    </w:p>
    <w:p w14:paraId="0CC0F65F">
      <w:pPr>
        <w:spacing w:line="220" w:lineRule="auto"/>
        <w:rPr>
          <w:rFonts w:ascii="宋体" w:hAnsi="宋体" w:eastAsia="宋体" w:cs="宋体"/>
          <w:sz w:val="18"/>
          <w:szCs w:val="18"/>
        </w:rPr>
        <w:sectPr>
          <w:headerReference r:id="rId23" w:type="default"/>
          <w:footerReference r:id="rId24" w:type="default"/>
          <w:pgSz w:w="11907" w:h="16841"/>
          <w:pgMar w:top="1091" w:right="1358" w:bottom="1169" w:left="1390" w:header="859" w:footer="991" w:gutter="0"/>
          <w:cols w:space="720" w:num="1"/>
        </w:sectPr>
      </w:pPr>
    </w:p>
    <w:p w14:paraId="14765A7E">
      <w:pPr>
        <w:pStyle w:val="2"/>
        <w:spacing w:line="283" w:lineRule="auto"/>
      </w:pPr>
    </w:p>
    <w:p w14:paraId="474F5A72">
      <w:pPr>
        <w:spacing w:before="78" w:line="220" w:lineRule="auto"/>
        <w:ind w:left="55"/>
        <w:rPr>
          <w:rFonts w:ascii="宋体" w:hAnsi="宋体" w:eastAsia="宋体" w:cs="宋体"/>
          <w:sz w:val="24"/>
          <w:szCs w:val="24"/>
        </w:rPr>
      </w:pPr>
      <w:r>
        <w:rPr>
          <w:rFonts w:ascii="宋体" w:hAnsi="宋体" w:eastAsia="宋体" w:cs="宋体"/>
          <w:spacing w:val="-3"/>
          <w:sz w:val="24"/>
          <w:szCs w:val="24"/>
        </w:rPr>
        <w:t>1.7.2其他镇区及工业区</w:t>
      </w:r>
    </w:p>
    <w:p w14:paraId="68AA31C0">
      <w:pPr>
        <w:spacing w:before="179" w:line="350" w:lineRule="auto"/>
        <w:ind w:left="37" w:right="57" w:firstLine="506"/>
        <w:jc w:val="both"/>
        <w:rPr>
          <w:rFonts w:ascii="宋体" w:hAnsi="宋体" w:eastAsia="宋体" w:cs="宋体"/>
          <w:sz w:val="24"/>
          <w:szCs w:val="24"/>
        </w:rPr>
      </w:pPr>
      <w:r>
        <w:rPr>
          <w:rFonts w:ascii="宋体" w:hAnsi="宋体" w:eastAsia="宋体" w:cs="宋体"/>
          <w:spacing w:val="-2"/>
          <w:sz w:val="24"/>
          <w:szCs w:val="24"/>
        </w:rPr>
        <w:t>巴拉贡镇、呼和木独镇、吉日嘎朗图镇、独贵塔拉镇、</w:t>
      </w:r>
      <w:r>
        <w:rPr>
          <w:rFonts w:ascii="宋体" w:hAnsi="宋体" w:eastAsia="宋体" w:cs="宋体"/>
          <w:spacing w:val="-3"/>
          <w:sz w:val="24"/>
          <w:szCs w:val="24"/>
        </w:rPr>
        <w:t>伊和乌素苏木和塔然高勒管</w:t>
      </w:r>
      <w:r>
        <w:rPr>
          <w:rFonts w:ascii="宋体" w:hAnsi="宋体" w:eastAsia="宋体" w:cs="宋体"/>
          <w:spacing w:val="-2"/>
          <w:sz w:val="24"/>
          <w:szCs w:val="24"/>
        </w:rPr>
        <w:t>委会、锡尼镇南部工业园区（新能源产业园区）先后编制过镇区及工业园区的控制性详</w:t>
      </w:r>
      <w:r>
        <w:rPr>
          <w:rFonts w:ascii="宋体" w:hAnsi="宋体" w:eastAsia="宋体" w:cs="宋体"/>
          <w:spacing w:val="-8"/>
          <w:sz w:val="24"/>
          <w:szCs w:val="24"/>
        </w:rPr>
        <w:t>细规划，但由于编制时间较早，编制单位水平参差</w:t>
      </w:r>
      <w:r>
        <w:rPr>
          <w:rFonts w:ascii="宋体" w:hAnsi="宋体" w:eastAsia="宋体" w:cs="宋体"/>
          <w:spacing w:val="-9"/>
          <w:sz w:val="24"/>
          <w:szCs w:val="24"/>
        </w:rPr>
        <w:t>不齐，控规单元划分基本无参考价值。</w:t>
      </w:r>
    </w:p>
    <w:p w14:paraId="14A17830">
      <w:pPr>
        <w:spacing w:before="163" w:line="220" w:lineRule="auto"/>
        <w:ind w:left="60"/>
        <w:outlineLvl w:val="0"/>
        <w:rPr>
          <w:rFonts w:ascii="宋体" w:hAnsi="宋体" w:eastAsia="宋体" w:cs="宋体"/>
          <w:sz w:val="28"/>
          <w:szCs w:val="28"/>
        </w:rPr>
      </w:pPr>
      <w:bookmarkStart w:id="37" w:name="bookmark18"/>
      <w:bookmarkEnd w:id="37"/>
      <w:bookmarkStart w:id="38" w:name="bookmark17"/>
      <w:bookmarkEnd w:id="38"/>
      <w:r>
        <w:rPr>
          <w:rFonts w:ascii="宋体" w:hAnsi="宋体" w:eastAsia="宋体" w:cs="宋体"/>
          <w:b/>
          <w:bCs/>
          <w:spacing w:val="-8"/>
          <w:sz w:val="28"/>
          <w:szCs w:val="28"/>
        </w:rPr>
        <w:t>1.8存在问题</w:t>
      </w:r>
    </w:p>
    <w:p w14:paraId="1A35DA65">
      <w:pPr>
        <w:pStyle w:val="2"/>
        <w:spacing w:line="245" w:lineRule="auto"/>
      </w:pPr>
    </w:p>
    <w:p w14:paraId="6B6D9B98">
      <w:pPr>
        <w:spacing w:before="78" w:line="219" w:lineRule="auto"/>
        <w:ind w:left="55"/>
        <w:rPr>
          <w:rFonts w:ascii="宋体" w:hAnsi="宋体" w:eastAsia="宋体" w:cs="宋体"/>
          <w:sz w:val="24"/>
          <w:szCs w:val="24"/>
        </w:rPr>
      </w:pPr>
      <w:r>
        <w:rPr>
          <w:rFonts w:ascii="宋体" w:hAnsi="宋体" w:eastAsia="宋体" w:cs="宋体"/>
          <w:spacing w:val="-3"/>
          <w:sz w:val="24"/>
          <w:szCs w:val="24"/>
        </w:rPr>
        <w:t>1.8.1缺少传导管控功能</w:t>
      </w:r>
    </w:p>
    <w:p w14:paraId="565A7E8B">
      <w:pPr>
        <w:spacing w:before="181" w:line="351" w:lineRule="auto"/>
        <w:ind w:left="41" w:right="57" w:firstLine="479"/>
        <w:jc w:val="both"/>
        <w:rPr>
          <w:rFonts w:ascii="宋体" w:hAnsi="宋体" w:eastAsia="宋体" w:cs="宋体"/>
          <w:sz w:val="24"/>
          <w:szCs w:val="24"/>
        </w:rPr>
      </w:pPr>
      <w:r>
        <w:rPr>
          <w:rFonts w:ascii="宋体" w:hAnsi="宋体" w:eastAsia="宋体" w:cs="宋体"/>
          <w:spacing w:val="-2"/>
          <w:sz w:val="24"/>
          <w:szCs w:val="24"/>
        </w:rPr>
        <w:t>现行控制性详细规划编制虽然采用了分区的多层级空间划分方式，但在实际过程中</w:t>
      </w:r>
      <w:r>
        <w:rPr>
          <w:rFonts w:ascii="宋体" w:hAnsi="宋体" w:eastAsia="宋体" w:cs="宋体"/>
          <w:spacing w:val="-7"/>
          <w:sz w:val="24"/>
          <w:szCs w:val="24"/>
        </w:rPr>
        <w:t>只起到地块位置索引的作用，并未实现真正意义上的分层编制、分层管控，尚未建立起</w:t>
      </w:r>
      <w:r>
        <w:rPr>
          <w:rFonts w:ascii="宋体" w:hAnsi="宋体" w:eastAsia="宋体" w:cs="宋体"/>
          <w:spacing w:val="-2"/>
          <w:sz w:val="24"/>
          <w:szCs w:val="24"/>
        </w:rPr>
        <w:t>从城市总体规划到单个地块开发控制的有效传</w:t>
      </w:r>
      <w:r>
        <w:rPr>
          <w:rFonts w:ascii="宋体" w:hAnsi="宋体" w:eastAsia="宋体" w:cs="宋体"/>
          <w:spacing w:val="-3"/>
          <w:sz w:val="24"/>
          <w:szCs w:val="24"/>
        </w:rPr>
        <w:t>导。</w:t>
      </w:r>
    </w:p>
    <w:p w14:paraId="38E6F7C3">
      <w:pPr>
        <w:spacing w:before="153" w:line="220" w:lineRule="auto"/>
        <w:ind w:left="55"/>
        <w:rPr>
          <w:rFonts w:ascii="宋体" w:hAnsi="宋体" w:eastAsia="宋体" w:cs="宋体"/>
          <w:sz w:val="24"/>
          <w:szCs w:val="24"/>
        </w:rPr>
      </w:pPr>
      <w:r>
        <w:rPr>
          <w:rFonts w:ascii="宋体" w:hAnsi="宋体" w:eastAsia="宋体" w:cs="宋体"/>
          <w:spacing w:val="-3"/>
          <w:sz w:val="24"/>
          <w:szCs w:val="24"/>
        </w:rPr>
        <w:t>1.8.2边界划分不合理</w:t>
      </w:r>
    </w:p>
    <w:p w14:paraId="42DF306C">
      <w:pPr>
        <w:spacing w:before="182" w:line="352" w:lineRule="auto"/>
        <w:ind w:left="38" w:firstLine="481"/>
        <w:jc w:val="both"/>
        <w:rPr>
          <w:rFonts w:ascii="宋体" w:hAnsi="宋体" w:eastAsia="宋体" w:cs="宋体"/>
          <w:sz w:val="24"/>
          <w:szCs w:val="24"/>
        </w:rPr>
      </w:pPr>
      <w:r>
        <w:rPr>
          <w:rFonts w:ascii="宋体" w:hAnsi="宋体" w:eastAsia="宋体" w:cs="宋体"/>
          <w:sz w:val="24"/>
          <w:szCs w:val="24"/>
        </w:rPr>
        <w:t>现行控制性详细规划以自然地理界线、交通干线和开发建设功能等要素进</w:t>
      </w:r>
      <w:r>
        <w:rPr>
          <w:rFonts w:ascii="宋体" w:hAnsi="宋体" w:eastAsia="宋体" w:cs="宋体"/>
          <w:spacing w:val="-1"/>
          <w:sz w:val="24"/>
          <w:szCs w:val="24"/>
        </w:rPr>
        <w:t>行划分，</w:t>
      </w:r>
      <w:r>
        <w:rPr>
          <w:rFonts w:ascii="宋体" w:hAnsi="宋体" w:eastAsia="宋体" w:cs="宋体"/>
          <w:spacing w:val="-2"/>
          <w:sz w:val="24"/>
          <w:szCs w:val="24"/>
        </w:rPr>
        <w:t>与实际行政边界，街道管理辖区不吻合，从而导致公共服务设施、公园绿地、市政设施</w:t>
      </w:r>
      <w:r>
        <w:rPr>
          <w:rFonts w:ascii="宋体" w:hAnsi="宋体" w:eastAsia="宋体" w:cs="宋体"/>
          <w:spacing w:val="-1"/>
          <w:sz w:val="24"/>
          <w:szCs w:val="24"/>
        </w:rPr>
        <w:t>等社会公共资源配置不均衡甚至缺失，同时</w:t>
      </w:r>
      <w:r>
        <w:rPr>
          <w:rFonts w:ascii="宋体" w:hAnsi="宋体" w:eastAsia="宋体" w:cs="宋体"/>
          <w:spacing w:val="-2"/>
          <w:sz w:val="24"/>
          <w:szCs w:val="24"/>
        </w:rPr>
        <w:t>也造成各基层部门行政管理事权混乱，影响</w:t>
      </w:r>
      <w:r>
        <w:rPr>
          <w:rFonts w:ascii="宋体" w:hAnsi="宋体" w:eastAsia="宋体" w:cs="宋体"/>
          <w:spacing w:val="-5"/>
          <w:sz w:val="24"/>
          <w:szCs w:val="24"/>
        </w:rPr>
        <w:t>城市开发与建设。</w:t>
      </w:r>
    </w:p>
    <w:p w14:paraId="76847FFA">
      <w:pPr>
        <w:spacing w:before="157" w:line="219" w:lineRule="auto"/>
        <w:ind w:left="55"/>
        <w:rPr>
          <w:rFonts w:ascii="宋体" w:hAnsi="宋体" w:eastAsia="宋体" w:cs="宋体"/>
          <w:sz w:val="24"/>
          <w:szCs w:val="24"/>
        </w:rPr>
      </w:pPr>
      <w:r>
        <w:rPr>
          <w:rFonts w:ascii="宋体" w:hAnsi="宋体" w:eastAsia="宋体" w:cs="宋体"/>
          <w:spacing w:val="6"/>
          <w:sz w:val="24"/>
          <w:szCs w:val="24"/>
        </w:rPr>
        <w:t>1.8.3缺乏“刚弹兼备”</w:t>
      </w:r>
    </w:p>
    <w:p w14:paraId="0EB9772F">
      <w:pPr>
        <w:spacing w:before="182" w:line="346" w:lineRule="auto"/>
        <w:ind w:left="38" w:right="57" w:firstLine="509"/>
        <w:rPr>
          <w:rFonts w:ascii="宋体" w:hAnsi="宋体" w:eastAsia="宋体" w:cs="宋体"/>
          <w:sz w:val="24"/>
          <w:szCs w:val="24"/>
        </w:rPr>
      </w:pPr>
      <w:r>
        <w:rPr>
          <w:rFonts w:ascii="宋体" w:hAnsi="宋体" w:eastAsia="宋体" w:cs="宋体"/>
          <w:spacing w:val="-6"/>
          <w:sz w:val="24"/>
          <w:szCs w:val="24"/>
        </w:rPr>
        <w:t>由于总体规划和控制性详细规划之间的内容深度、传导方式与治理事权不清晰，导</w:t>
      </w:r>
      <w:r>
        <w:rPr>
          <w:rFonts w:ascii="宋体" w:hAnsi="宋体" w:eastAsia="宋体" w:cs="宋体"/>
          <w:spacing w:val="-2"/>
          <w:sz w:val="24"/>
          <w:szCs w:val="24"/>
        </w:rPr>
        <w:t>致规划“刚性控不住，弹性没留够”的问题频繁发生。</w:t>
      </w:r>
    </w:p>
    <w:p w14:paraId="76B9AD62">
      <w:pPr>
        <w:spacing w:line="346" w:lineRule="auto"/>
        <w:rPr>
          <w:rFonts w:ascii="宋体" w:hAnsi="宋体" w:eastAsia="宋体" w:cs="宋体"/>
          <w:sz w:val="24"/>
          <w:szCs w:val="24"/>
        </w:rPr>
        <w:sectPr>
          <w:footerReference r:id="rId25" w:type="default"/>
          <w:pgSz w:w="11907" w:h="16841"/>
          <w:pgMar w:top="1091" w:right="1358" w:bottom="1169" w:left="1390" w:header="859" w:footer="991" w:gutter="0"/>
          <w:cols w:space="720" w:num="1"/>
        </w:sectPr>
      </w:pPr>
    </w:p>
    <w:p w14:paraId="4FF909DC">
      <w:pPr>
        <w:pStyle w:val="2"/>
        <w:spacing w:line="272" w:lineRule="auto"/>
      </w:pPr>
    </w:p>
    <w:p w14:paraId="6F35EF20">
      <w:pPr>
        <w:spacing w:before="100" w:line="226" w:lineRule="auto"/>
        <w:ind w:left="38"/>
        <w:outlineLvl w:val="0"/>
        <w:rPr>
          <w:rFonts w:ascii="黑体" w:hAnsi="黑体" w:eastAsia="黑体" w:cs="黑体"/>
          <w:sz w:val="31"/>
          <w:szCs w:val="31"/>
        </w:rPr>
      </w:pPr>
      <w:bookmarkStart w:id="39" w:name="bookmark20"/>
      <w:bookmarkEnd w:id="39"/>
      <w:bookmarkStart w:id="40" w:name="bookmark19"/>
      <w:bookmarkEnd w:id="40"/>
      <w:bookmarkStart w:id="41" w:name="bookmark22"/>
      <w:bookmarkEnd w:id="41"/>
      <w:r>
        <w:rPr>
          <w:rFonts w:ascii="黑体" w:hAnsi="黑体" w:eastAsia="黑体" w:cs="黑体"/>
          <w:b/>
          <w:bCs/>
          <w:spacing w:val="2"/>
          <w:sz w:val="31"/>
          <w:szCs w:val="31"/>
        </w:rPr>
        <w:t>2单元划定思路</w:t>
      </w:r>
    </w:p>
    <w:p w14:paraId="46D3848A">
      <w:pPr>
        <w:pStyle w:val="2"/>
        <w:spacing w:line="264" w:lineRule="auto"/>
      </w:pPr>
    </w:p>
    <w:p w14:paraId="4AE12197">
      <w:pPr>
        <w:spacing w:before="91" w:line="221" w:lineRule="auto"/>
        <w:ind w:left="43"/>
        <w:outlineLvl w:val="0"/>
        <w:rPr>
          <w:rFonts w:ascii="宋体" w:hAnsi="宋体" w:eastAsia="宋体" w:cs="宋体"/>
          <w:sz w:val="28"/>
          <w:szCs w:val="28"/>
        </w:rPr>
      </w:pPr>
      <w:bookmarkStart w:id="42" w:name="bookmark21"/>
      <w:bookmarkEnd w:id="42"/>
      <w:r>
        <w:rPr>
          <w:rFonts w:ascii="宋体" w:hAnsi="宋体" w:eastAsia="宋体" w:cs="宋体"/>
          <w:b/>
          <w:bCs/>
          <w:spacing w:val="-6"/>
          <w:sz w:val="28"/>
          <w:szCs w:val="28"/>
        </w:rPr>
        <w:t>2.1划定原则</w:t>
      </w:r>
    </w:p>
    <w:p w14:paraId="21FF1C7E">
      <w:pPr>
        <w:spacing w:before="203" w:line="290" w:lineRule="auto"/>
        <w:ind w:left="56" w:right="94" w:firstLine="479"/>
        <w:rPr>
          <w:rFonts w:ascii="宋体" w:hAnsi="宋体" w:eastAsia="宋体" w:cs="宋体"/>
          <w:sz w:val="24"/>
          <w:szCs w:val="24"/>
        </w:rPr>
      </w:pPr>
      <w:r>
        <w:rPr>
          <w:rFonts w:ascii="宋体" w:hAnsi="宋体" w:eastAsia="宋体" w:cs="宋体"/>
          <w:spacing w:val="-4"/>
          <w:sz w:val="24"/>
          <w:szCs w:val="24"/>
        </w:rPr>
        <w:t>1.规模均好。单元划定应充分衔接社区生活圈、行政管理边界合理确</w:t>
      </w:r>
      <w:r>
        <w:rPr>
          <w:rFonts w:ascii="宋体" w:hAnsi="宋体" w:eastAsia="宋体" w:cs="宋体"/>
          <w:spacing w:val="-5"/>
          <w:sz w:val="24"/>
          <w:szCs w:val="24"/>
        </w:rPr>
        <w:t>定单元规模区</w:t>
      </w:r>
      <w:r>
        <w:rPr>
          <w:rFonts w:ascii="宋体" w:hAnsi="宋体" w:eastAsia="宋体" w:cs="宋体"/>
          <w:spacing w:val="-2"/>
          <w:sz w:val="24"/>
          <w:szCs w:val="24"/>
        </w:rPr>
        <w:t>间，同区位同类型的详规单元规模差距不宜过大，以保证规划管理的便利性。</w:t>
      </w:r>
    </w:p>
    <w:p w14:paraId="63CC2DA4">
      <w:pPr>
        <w:spacing w:before="181" w:line="312" w:lineRule="auto"/>
        <w:ind w:left="40" w:firstLine="480"/>
        <w:rPr>
          <w:rFonts w:ascii="宋体" w:hAnsi="宋体" w:eastAsia="宋体" w:cs="宋体"/>
          <w:sz w:val="24"/>
          <w:szCs w:val="24"/>
        </w:rPr>
      </w:pPr>
      <w:r>
        <w:rPr>
          <w:rFonts w:ascii="宋体" w:hAnsi="宋体" w:eastAsia="宋体" w:cs="宋体"/>
          <w:spacing w:val="-1"/>
          <w:sz w:val="24"/>
          <w:szCs w:val="24"/>
        </w:rPr>
        <w:t>2.编管一体。街区单元是对市级国土空间总体规划确定的规划片</w:t>
      </w:r>
      <w:r>
        <w:rPr>
          <w:rFonts w:ascii="宋体" w:hAnsi="宋体" w:eastAsia="宋体" w:cs="宋体"/>
          <w:spacing w:val="-2"/>
          <w:sz w:val="24"/>
          <w:szCs w:val="24"/>
        </w:rPr>
        <w:t>区的深化和细化，</w:t>
      </w:r>
      <w:r>
        <w:rPr>
          <w:rFonts w:ascii="宋体" w:hAnsi="宋体" w:eastAsia="宋体" w:cs="宋体"/>
          <w:spacing w:val="1"/>
          <w:sz w:val="24"/>
          <w:szCs w:val="24"/>
        </w:rPr>
        <w:t>单元划定应充分结合现行规划管理单元和国土空间总体规划（以下简称“总体</w:t>
      </w:r>
      <w:r>
        <w:rPr>
          <w:rFonts w:ascii="宋体" w:hAnsi="宋体" w:eastAsia="宋体" w:cs="宋体"/>
          <w:sz w:val="24"/>
          <w:szCs w:val="24"/>
        </w:rPr>
        <w:t>规划”）</w:t>
      </w:r>
      <w:r>
        <w:rPr>
          <w:rFonts w:ascii="宋体" w:hAnsi="宋体" w:eastAsia="宋体" w:cs="宋体"/>
          <w:spacing w:val="-2"/>
          <w:sz w:val="24"/>
          <w:szCs w:val="24"/>
        </w:rPr>
        <w:t>片区范围，同时做好新旧衔接和上下传导，加强规划管理的延续性。</w:t>
      </w:r>
    </w:p>
    <w:p w14:paraId="53A4B595">
      <w:pPr>
        <w:spacing w:before="182" w:line="313" w:lineRule="auto"/>
        <w:ind w:left="42" w:right="31" w:firstLine="480"/>
        <w:rPr>
          <w:rFonts w:ascii="宋体" w:hAnsi="宋体" w:eastAsia="宋体" w:cs="宋体"/>
          <w:sz w:val="24"/>
          <w:szCs w:val="24"/>
        </w:rPr>
      </w:pPr>
      <w:r>
        <w:rPr>
          <w:rFonts w:ascii="宋体" w:hAnsi="宋体" w:eastAsia="宋体" w:cs="宋体"/>
          <w:spacing w:val="-8"/>
          <w:sz w:val="24"/>
          <w:szCs w:val="24"/>
        </w:rPr>
        <w:t>3.便于实施。单元划定应充分考虑现状用地权属关系，</w:t>
      </w:r>
      <w:r>
        <w:rPr>
          <w:rFonts w:ascii="宋体" w:hAnsi="宋体" w:eastAsia="宋体" w:cs="宋体"/>
          <w:spacing w:val="-9"/>
          <w:sz w:val="24"/>
          <w:szCs w:val="24"/>
        </w:rPr>
        <w:t>尽量避免切割合法用地权属；</w:t>
      </w:r>
      <w:r>
        <w:rPr>
          <w:rFonts w:ascii="宋体" w:hAnsi="宋体" w:eastAsia="宋体" w:cs="宋体"/>
          <w:spacing w:val="-1"/>
          <w:sz w:val="24"/>
          <w:szCs w:val="24"/>
        </w:rPr>
        <w:t>以现状主要线性交通设施和大型山体、河流水系等</w:t>
      </w:r>
      <w:r>
        <w:rPr>
          <w:rFonts w:ascii="宋体" w:hAnsi="宋体" w:eastAsia="宋体" w:cs="宋体"/>
          <w:spacing w:val="-2"/>
          <w:sz w:val="24"/>
          <w:szCs w:val="24"/>
        </w:rPr>
        <w:t>自然地物为界，衔接15分钟社区生活圈、街道（镇）行政管理边界等，形成易于识别的单元边界。</w:t>
      </w:r>
    </w:p>
    <w:p w14:paraId="522683E0">
      <w:pPr>
        <w:spacing w:before="180" w:line="219" w:lineRule="auto"/>
        <w:jc w:val="right"/>
        <w:rPr>
          <w:rFonts w:ascii="宋体" w:hAnsi="宋体" w:eastAsia="宋体" w:cs="宋体"/>
          <w:sz w:val="24"/>
          <w:szCs w:val="24"/>
        </w:rPr>
      </w:pPr>
      <w:r>
        <w:rPr>
          <w:rFonts w:ascii="宋体" w:hAnsi="宋体" w:eastAsia="宋体" w:cs="宋体"/>
          <w:spacing w:val="-2"/>
          <w:sz w:val="24"/>
          <w:szCs w:val="24"/>
        </w:rPr>
        <w:t>4.功能完整。单元划定应充分衔接总体规划的用地布局，保证空间功能的完整性。</w:t>
      </w:r>
    </w:p>
    <w:p w14:paraId="62DF0C95">
      <w:pPr>
        <w:spacing w:before="309" w:line="221" w:lineRule="auto"/>
        <w:ind w:left="43"/>
        <w:outlineLvl w:val="0"/>
        <w:rPr>
          <w:rFonts w:ascii="宋体" w:hAnsi="宋体" w:eastAsia="宋体" w:cs="宋体"/>
          <w:sz w:val="28"/>
          <w:szCs w:val="28"/>
        </w:rPr>
      </w:pPr>
      <w:bookmarkStart w:id="43" w:name="bookmark24"/>
      <w:bookmarkEnd w:id="43"/>
      <w:bookmarkStart w:id="44" w:name="bookmark23"/>
      <w:bookmarkEnd w:id="44"/>
      <w:r>
        <w:rPr>
          <w:rFonts w:ascii="宋体" w:hAnsi="宋体" w:eastAsia="宋体" w:cs="宋体"/>
          <w:b/>
          <w:bCs/>
          <w:spacing w:val="-6"/>
          <w:sz w:val="28"/>
          <w:szCs w:val="28"/>
        </w:rPr>
        <w:t>2.2基础工作</w:t>
      </w:r>
    </w:p>
    <w:p w14:paraId="469EA1F4">
      <w:pPr>
        <w:pStyle w:val="2"/>
        <w:spacing w:line="244" w:lineRule="auto"/>
      </w:pPr>
    </w:p>
    <w:p w14:paraId="7CA95B0B">
      <w:pPr>
        <w:spacing w:before="79" w:line="218" w:lineRule="auto"/>
        <w:ind w:left="521"/>
        <w:rPr>
          <w:rFonts w:ascii="宋体" w:hAnsi="宋体" w:eastAsia="宋体" w:cs="宋体"/>
          <w:sz w:val="24"/>
          <w:szCs w:val="24"/>
        </w:rPr>
      </w:pPr>
      <w:r>
        <w:rPr>
          <w:rFonts w:ascii="宋体" w:hAnsi="宋体" w:eastAsia="宋体" w:cs="宋体"/>
          <w:spacing w:val="-2"/>
          <w:sz w:val="24"/>
          <w:szCs w:val="24"/>
        </w:rPr>
        <w:t>2.2.1现行详细规划评估</w:t>
      </w:r>
    </w:p>
    <w:p w14:paraId="339714CC">
      <w:pPr>
        <w:spacing w:before="303" w:line="350" w:lineRule="auto"/>
        <w:ind w:left="39" w:right="94" w:firstLine="484"/>
        <w:jc w:val="both"/>
        <w:rPr>
          <w:rFonts w:ascii="宋体" w:hAnsi="宋体" w:eastAsia="宋体" w:cs="宋体"/>
          <w:sz w:val="24"/>
          <w:szCs w:val="24"/>
        </w:rPr>
      </w:pPr>
      <w:r>
        <w:rPr>
          <w:rFonts w:ascii="宋体" w:hAnsi="宋体" w:eastAsia="宋体" w:cs="宋体"/>
          <w:spacing w:val="-2"/>
          <w:sz w:val="24"/>
          <w:szCs w:val="24"/>
        </w:rPr>
        <w:t>结合国土空间总体规划要求，从功能定位、用地布局、公服设施配套、基础设施建</w:t>
      </w:r>
      <w:r>
        <w:rPr>
          <w:rFonts w:ascii="宋体" w:hAnsi="宋体" w:eastAsia="宋体" w:cs="宋体"/>
          <w:spacing w:val="-6"/>
          <w:sz w:val="24"/>
          <w:szCs w:val="24"/>
        </w:rPr>
        <w:t>设、管控指标等方面，对现行控规开展实施评估，梳理总结规划实施成效与问题，</w:t>
      </w:r>
      <w:r>
        <w:rPr>
          <w:rFonts w:ascii="宋体" w:hAnsi="宋体" w:eastAsia="宋体" w:cs="宋体"/>
          <w:spacing w:val="-7"/>
          <w:sz w:val="24"/>
          <w:szCs w:val="24"/>
        </w:rPr>
        <w:t>对标</w:t>
      </w:r>
      <w:r>
        <w:rPr>
          <w:rFonts w:ascii="宋体" w:hAnsi="宋体" w:eastAsia="宋体" w:cs="宋体"/>
          <w:spacing w:val="-1"/>
          <w:sz w:val="24"/>
          <w:szCs w:val="24"/>
        </w:rPr>
        <w:t>新理念，针对新需求，提出延续内容和优化建议，确定修编重点</w:t>
      </w:r>
    </w:p>
    <w:p w14:paraId="3F086614">
      <w:pPr>
        <w:spacing w:before="156" w:line="220" w:lineRule="auto"/>
        <w:ind w:left="521"/>
        <w:rPr>
          <w:rFonts w:ascii="宋体" w:hAnsi="宋体" w:eastAsia="宋体" w:cs="宋体"/>
          <w:sz w:val="24"/>
          <w:szCs w:val="24"/>
        </w:rPr>
      </w:pPr>
      <w:r>
        <w:rPr>
          <w:rFonts w:ascii="宋体" w:hAnsi="宋体" w:eastAsia="宋体" w:cs="宋体"/>
          <w:spacing w:val="-3"/>
          <w:sz w:val="24"/>
          <w:szCs w:val="24"/>
        </w:rPr>
        <w:t>2.2.2统一工作底图</w:t>
      </w:r>
    </w:p>
    <w:p w14:paraId="4E90AF46">
      <w:pPr>
        <w:spacing w:before="183" w:line="353" w:lineRule="auto"/>
        <w:ind w:left="37" w:right="94" w:firstLine="482"/>
        <w:rPr>
          <w:rFonts w:ascii="宋体" w:hAnsi="宋体" w:eastAsia="宋体" w:cs="宋体"/>
          <w:sz w:val="24"/>
          <w:szCs w:val="24"/>
        </w:rPr>
      </w:pPr>
      <w:r>
        <w:rPr>
          <w:rFonts w:ascii="宋体" w:hAnsi="宋体" w:eastAsia="宋体" w:cs="宋体"/>
          <w:spacing w:val="-5"/>
          <w:sz w:val="24"/>
          <w:szCs w:val="24"/>
        </w:rPr>
        <w:t>按照《国土空间调查、规划、用途管制用地用海分类指南（试行）》要求，结合年</w:t>
      </w:r>
      <w:r>
        <w:rPr>
          <w:rFonts w:ascii="宋体" w:hAnsi="宋体" w:eastAsia="宋体" w:cs="宋体"/>
          <w:spacing w:val="-2"/>
          <w:sz w:val="24"/>
          <w:szCs w:val="24"/>
        </w:rPr>
        <w:t>度国土利用变更调查开展地类细化调查精准制作控规现状用地图，用地分类以三级类为</w:t>
      </w:r>
      <w:r>
        <w:rPr>
          <w:rFonts w:ascii="宋体" w:hAnsi="宋体" w:eastAsia="宋体" w:cs="宋体"/>
          <w:spacing w:val="-11"/>
          <w:sz w:val="24"/>
          <w:szCs w:val="24"/>
        </w:rPr>
        <w:t>主。</w:t>
      </w:r>
    </w:p>
    <w:p w14:paraId="38C4D80A">
      <w:pPr>
        <w:spacing w:before="142" w:line="219" w:lineRule="auto"/>
        <w:ind w:left="521"/>
        <w:rPr>
          <w:rFonts w:ascii="宋体" w:hAnsi="宋体" w:eastAsia="宋体" w:cs="宋体"/>
          <w:sz w:val="24"/>
          <w:szCs w:val="24"/>
        </w:rPr>
      </w:pPr>
      <w:r>
        <w:rPr>
          <w:rFonts w:ascii="宋体" w:hAnsi="宋体" w:eastAsia="宋体" w:cs="宋体"/>
          <w:spacing w:val="-3"/>
          <w:sz w:val="24"/>
          <w:szCs w:val="24"/>
        </w:rPr>
        <w:t>2.2.3强化研究支撑</w:t>
      </w:r>
    </w:p>
    <w:p w14:paraId="57836E19">
      <w:pPr>
        <w:spacing w:before="182" w:line="313" w:lineRule="auto"/>
        <w:ind w:left="37" w:right="28" w:firstLine="498"/>
        <w:rPr>
          <w:rFonts w:ascii="宋体" w:hAnsi="宋体" w:eastAsia="宋体" w:cs="宋体"/>
          <w:sz w:val="24"/>
          <w:szCs w:val="24"/>
        </w:rPr>
      </w:pPr>
      <w:r>
        <w:rPr>
          <w:rFonts w:ascii="宋体" w:hAnsi="宋体" w:eastAsia="宋体" w:cs="宋体"/>
          <w:spacing w:val="-4"/>
          <w:sz w:val="24"/>
          <w:szCs w:val="24"/>
        </w:rPr>
        <w:t>1.开展分区研究。为分解落实总体规划确定的指标任务和管控目标，加</w:t>
      </w:r>
      <w:r>
        <w:rPr>
          <w:rFonts w:ascii="宋体" w:hAnsi="宋体" w:eastAsia="宋体" w:cs="宋体"/>
          <w:spacing w:val="-5"/>
          <w:sz w:val="24"/>
          <w:szCs w:val="24"/>
        </w:rPr>
        <w:t>强总体规划</w:t>
      </w:r>
      <w:r>
        <w:rPr>
          <w:rFonts w:ascii="宋体" w:hAnsi="宋体" w:eastAsia="宋体" w:cs="宋体"/>
          <w:spacing w:val="-6"/>
          <w:sz w:val="24"/>
          <w:szCs w:val="24"/>
        </w:rPr>
        <w:t>对单元层级控规的传导，各市可根据实际开展分区研究，明确分区发展目标与建设容量，</w:t>
      </w:r>
      <w:r>
        <w:rPr>
          <w:rFonts w:ascii="宋体" w:hAnsi="宋体" w:eastAsia="宋体" w:cs="宋体"/>
          <w:spacing w:val="-3"/>
          <w:sz w:val="24"/>
          <w:szCs w:val="24"/>
        </w:rPr>
        <w:t>对各单元层级控规提出控制引导要求。</w:t>
      </w:r>
    </w:p>
    <w:p w14:paraId="18F95799">
      <w:pPr>
        <w:spacing w:before="181" w:line="289" w:lineRule="auto"/>
        <w:ind w:left="39" w:right="93" w:firstLine="481"/>
        <w:rPr>
          <w:rFonts w:ascii="宋体" w:hAnsi="宋体" w:eastAsia="宋体" w:cs="宋体"/>
          <w:sz w:val="24"/>
          <w:szCs w:val="24"/>
        </w:rPr>
      </w:pPr>
      <w:r>
        <w:rPr>
          <w:rFonts w:ascii="宋体" w:hAnsi="宋体" w:eastAsia="宋体" w:cs="宋体"/>
          <w:spacing w:val="-7"/>
          <w:sz w:val="24"/>
          <w:szCs w:val="24"/>
        </w:rPr>
        <w:t>2.明确单元主导功能。结合总体规划确定的发展目标、城镇性质和职能，衔</w:t>
      </w:r>
      <w:r>
        <w:rPr>
          <w:rFonts w:ascii="宋体" w:hAnsi="宋体" w:eastAsia="宋体" w:cs="宋体"/>
          <w:spacing w:val="-8"/>
          <w:sz w:val="24"/>
          <w:szCs w:val="24"/>
        </w:rPr>
        <w:t>接相关</w:t>
      </w:r>
      <w:r>
        <w:rPr>
          <w:rFonts w:ascii="宋体" w:hAnsi="宋体" w:eastAsia="宋体" w:cs="宋体"/>
          <w:spacing w:val="-1"/>
          <w:sz w:val="24"/>
          <w:szCs w:val="24"/>
        </w:rPr>
        <w:t>专项规划，统筹考虑单元发展条件，明确各单元</w:t>
      </w:r>
      <w:r>
        <w:rPr>
          <w:rFonts w:ascii="宋体" w:hAnsi="宋体" w:eastAsia="宋体" w:cs="宋体"/>
          <w:spacing w:val="-2"/>
          <w:sz w:val="24"/>
          <w:szCs w:val="24"/>
        </w:rPr>
        <w:t>主导功能和产业发展策略。</w:t>
      </w:r>
    </w:p>
    <w:p w14:paraId="06A127E0">
      <w:pPr>
        <w:spacing w:before="181" w:line="290" w:lineRule="auto"/>
        <w:ind w:left="67" w:right="93" w:firstLine="455"/>
        <w:rPr>
          <w:rFonts w:ascii="宋体" w:hAnsi="宋体" w:eastAsia="宋体" w:cs="宋体"/>
          <w:sz w:val="24"/>
          <w:szCs w:val="24"/>
        </w:rPr>
      </w:pPr>
      <w:r>
        <w:rPr>
          <w:rFonts w:ascii="宋体" w:hAnsi="宋体" w:eastAsia="宋体" w:cs="宋体"/>
          <w:spacing w:val="-4"/>
          <w:sz w:val="24"/>
          <w:szCs w:val="24"/>
        </w:rPr>
        <w:t>3.综合确定发展规模。落实国土空间规划约束性指标，结合发展建设实际和规划期</w:t>
      </w:r>
      <w:r>
        <w:rPr>
          <w:rFonts w:ascii="宋体" w:hAnsi="宋体" w:eastAsia="宋体" w:cs="宋体"/>
          <w:spacing w:val="-2"/>
          <w:sz w:val="24"/>
          <w:szCs w:val="24"/>
        </w:rPr>
        <w:t>内建设用地情况，分析现状人口变化情况，合理确定各单元服</w:t>
      </w:r>
      <w:r>
        <w:rPr>
          <w:rFonts w:ascii="宋体" w:hAnsi="宋体" w:eastAsia="宋体" w:cs="宋体"/>
          <w:spacing w:val="-3"/>
          <w:sz w:val="24"/>
          <w:szCs w:val="24"/>
        </w:rPr>
        <w:t>务管理人口，结合人口类</w:t>
      </w:r>
    </w:p>
    <w:p w14:paraId="5A3C42E4">
      <w:pPr>
        <w:spacing w:line="290" w:lineRule="auto"/>
        <w:rPr>
          <w:rFonts w:ascii="宋体" w:hAnsi="宋体" w:eastAsia="宋体" w:cs="宋体"/>
          <w:sz w:val="24"/>
          <w:szCs w:val="24"/>
        </w:rPr>
        <w:sectPr>
          <w:headerReference r:id="rId26" w:type="default"/>
          <w:footerReference r:id="rId27" w:type="default"/>
          <w:pgSz w:w="11907" w:h="16841"/>
          <w:pgMar w:top="1091" w:right="1320" w:bottom="1169" w:left="1390" w:header="859" w:footer="991" w:gutter="0"/>
          <w:cols w:space="720" w:num="1"/>
        </w:sectPr>
      </w:pPr>
    </w:p>
    <w:p w14:paraId="49FAEB13">
      <w:pPr>
        <w:pStyle w:val="2"/>
        <w:spacing w:line="283" w:lineRule="auto"/>
      </w:pPr>
    </w:p>
    <w:p w14:paraId="0A41AEFE">
      <w:pPr>
        <w:spacing w:before="78" w:line="219" w:lineRule="auto"/>
        <w:ind w:left="45"/>
        <w:rPr>
          <w:rFonts w:ascii="宋体" w:hAnsi="宋体" w:eastAsia="宋体" w:cs="宋体"/>
          <w:sz w:val="24"/>
          <w:szCs w:val="24"/>
        </w:rPr>
      </w:pPr>
      <w:r>
        <w:rPr>
          <w:rFonts w:ascii="宋体" w:hAnsi="宋体" w:eastAsia="宋体" w:cs="宋体"/>
          <w:spacing w:val="-2"/>
          <w:sz w:val="24"/>
          <w:szCs w:val="24"/>
        </w:rPr>
        <w:t>型及相应供给标准和综合承载力，综合平衡确定总建筑面积。</w:t>
      </w:r>
    </w:p>
    <w:p w14:paraId="3F79923B">
      <w:pPr>
        <w:spacing w:before="182" w:line="345" w:lineRule="auto"/>
        <w:ind w:left="41" w:right="56" w:firstLine="476"/>
        <w:rPr>
          <w:rFonts w:ascii="宋体" w:hAnsi="宋体" w:eastAsia="宋体" w:cs="宋体"/>
          <w:sz w:val="24"/>
          <w:szCs w:val="24"/>
        </w:rPr>
      </w:pPr>
      <w:r>
        <w:rPr>
          <w:rFonts w:ascii="宋体" w:hAnsi="宋体" w:eastAsia="宋体" w:cs="宋体"/>
          <w:spacing w:val="-6"/>
          <w:sz w:val="24"/>
          <w:szCs w:val="24"/>
        </w:rPr>
        <w:t>4.统筹安排用地布局。结合规划空间策略，在用地评价和用地选择的基础</w:t>
      </w:r>
      <w:r>
        <w:rPr>
          <w:rFonts w:ascii="宋体" w:hAnsi="宋体" w:eastAsia="宋体" w:cs="宋体"/>
          <w:spacing w:val="-7"/>
          <w:sz w:val="24"/>
          <w:szCs w:val="24"/>
        </w:rPr>
        <w:t>上，统筹</w:t>
      </w:r>
      <w:r>
        <w:rPr>
          <w:rFonts w:ascii="宋体" w:hAnsi="宋体" w:eastAsia="宋体" w:cs="宋体"/>
          <w:spacing w:val="-2"/>
          <w:sz w:val="24"/>
          <w:szCs w:val="24"/>
        </w:rPr>
        <w:t>各单元主导功能及周边用地布局关系，合理安排各类用地和设施。</w:t>
      </w:r>
    </w:p>
    <w:p w14:paraId="2037AD5F">
      <w:pPr>
        <w:spacing w:line="5073" w:lineRule="exact"/>
        <w:ind w:firstLine="723"/>
      </w:pPr>
      <w:r>
        <w:rPr>
          <w:position w:val="-101"/>
        </w:rPr>
        <w:drawing>
          <wp:inline distT="0" distB="0" distL="0" distR="0">
            <wp:extent cx="4867910" cy="322135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87"/>
                    <a:stretch>
                      <a:fillRect/>
                    </a:stretch>
                  </pic:blipFill>
                  <pic:spPr>
                    <a:xfrm>
                      <a:off x="0" y="0"/>
                      <a:ext cx="4868544" cy="3221989"/>
                    </a:xfrm>
                    <a:prstGeom prst="rect">
                      <a:avLst/>
                    </a:prstGeom>
                  </pic:spPr>
                </pic:pic>
              </a:graphicData>
            </a:graphic>
          </wp:inline>
        </w:drawing>
      </w:r>
    </w:p>
    <w:p w14:paraId="0C178177">
      <w:pPr>
        <w:spacing w:before="235" w:line="220" w:lineRule="auto"/>
        <w:ind w:left="3548"/>
        <w:rPr>
          <w:rFonts w:ascii="宋体" w:hAnsi="宋体" w:eastAsia="宋体" w:cs="宋体"/>
          <w:sz w:val="18"/>
          <w:szCs w:val="18"/>
        </w:rPr>
      </w:pPr>
      <w:r>
        <w:rPr>
          <w:rFonts w:ascii="宋体" w:hAnsi="宋体" w:eastAsia="宋体" w:cs="宋体"/>
          <w:b/>
          <w:bCs/>
          <w:spacing w:val="-4"/>
          <w:sz w:val="18"/>
          <w:szCs w:val="18"/>
        </w:rPr>
        <w:t>图</w:t>
      </w:r>
      <w:r>
        <w:rPr>
          <w:rFonts w:ascii="Times New Roman" w:hAnsi="Times New Roman" w:eastAsia="Times New Roman" w:cs="Times New Roman"/>
          <w:b/>
          <w:bCs/>
          <w:spacing w:val="-4"/>
          <w:sz w:val="18"/>
          <w:szCs w:val="18"/>
        </w:rPr>
        <w:t>2</w:t>
      </w:r>
      <w:r>
        <w:rPr>
          <w:rFonts w:hint="eastAsia" w:ascii="Times New Roman" w:hAnsi="Times New Roman" w:eastAsia="宋体" w:cs="Times New Roman"/>
          <w:b/>
          <w:bCs/>
          <w:spacing w:val="-4"/>
          <w:sz w:val="18"/>
          <w:szCs w:val="18"/>
          <w:lang w:eastAsia="zh-CN"/>
        </w:rPr>
        <w:t>—</w:t>
      </w:r>
      <w:r>
        <w:rPr>
          <w:rFonts w:ascii="Times New Roman" w:hAnsi="Times New Roman" w:eastAsia="Times New Roman" w:cs="Times New Roman"/>
          <w:b/>
          <w:bCs/>
          <w:spacing w:val="-4"/>
          <w:sz w:val="18"/>
          <w:szCs w:val="18"/>
        </w:rPr>
        <w:t>1</w:t>
      </w:r>
      <w:r>
        <w:rPr>
          <w:rFonts w:ascii="宋体" w:hAnsi="宋体" w:eastAsia="宋体" w:cs="宋体"/>
          <w:b/>
          <w:bCs/>
          <w:spacing w:val="-4"/>
          <w:sz w:val="18"/>
          <w:szCs w:val="18"/>
        </w:rPr>
        <w:t>单元划定技术路线图</w:t>
      </w:r>
    </w:p>
    <w:p w14:paraId="5CF8897F">
      <w:pPr>
        <w:spacing w:before="274" w:line="219" w:lineRule="auto"/>
        <w:ind w:left="43"/>
        <w:outlineLvl w:val="0"/>
        <w:rPr>
          <w:rFonts w:ascii="宋体" w:hAnsi="宋体" w:eastAsia="宋体" w:cs="宋体"/>
          <w:sz w:val="28"/>
          <w:szCs w:val="28"/>
        </w:rPr>
      </w:pPr>
      <w:bookmarkStart w:id="45" w:name="bookmark25"/>
      <w:bookmarkEnd w:id="45"/>
      <w:bookmarkStart w:id="46" w:name="bookmark26"/>
      <w:bookmarkEnd w:id="46"/>
      <w:r>
        <w:rPr>
          <w:rFonts w:ascii="宋体" w:hAnsi="宋体" w:eastAsia="宋体" w:cs="宋体"/>
          <w:b/>
          <w:bCs/>
          <w:spacing w:val="-4"/>
          <w:sz w:val="28"/>
          <w:szCs w:val="28"/>
        </w:rPr>
        <w:t>2.3划定单元规模与依据</w:t>
      </w:r>
    </w:p>
    <w:p w14:paraId="6EEC60BB">
      <w:pPr>
        <w:spacing w:before="205" w:line="354" w:lineRule="auto"/>
        <w:ind w:left="38" w:right="55" w:firstLine="481"/>
        <w:jc w:val="both"/>
        <w:rPr>
          <w:rFonts w:ascii="宋体" w:hAnsi="宋体" w:eastAsia="宋体" w:cs="宋体"/>
          <w:sz w:val="24"/>
          <w:szCs w:val="24"/>
        </w:rPr>
      </w:pPr>
      <w:r>
        <w:rPr>
          <w:rFonts w:ascii="宋体" w:hAnsi="宋体" w:eastAsia="宋体" w:cs="宋体"/>
          <w:spacing w:val="-2"/>
          <w:sz w:val="24"/>
          <w:szCs w:val="24"/>
        </w:rPr>
        <w:t>单元规模一般为1</w:t>
      </w:r>
      <w:r>
        <w:rPr>
          <w:rFonts w:hint="eastAsia" w:ascii="宋体" w:hAnsi="宋体" w:eastAsia="宋体" w:cs="宋体"/>
          <w:spacing w:val="-2"/>
          <w:sz w:val="24"/>
          <w:szCs w:val="24"/>
          <w:lang w:eastAsia="zh-CN"/>
        </w:rPr>
        <w:t>—</w:t>
      </w:r>
      <w:r>
        <w:rPr>
          <w:rFonts w:ascii="宋体" w:hAnsi="宋体" w:eastAsia="宋体" w:cs="宋体"/>
          <w:spacing w:val="-2"/>
          <w:sz w:val="24"/>
          <w:szCs w:val="24"/>
        </w:rPr>
        <w:t>5平方千米，中心城区的详规单元面积宜为1</w:t>
      </w:r>
      <w:r>
        <w:rPr>
          <w:rFonts w:hint="eastAsia" w:ascii="宋体" w:hAnsi="宋体" w:eastAsia="宋体" w:cs="宋体"/>
          <w:spacing w:val="-2"/>
          <w:sz w:val="24"/>
          <w:szCs w:val="24"/>
          <w:lang w:eastAsia="zh-CN"/>
        </w:rPr>
        <w:t>—</w:t>
      </w:r>
      <w:r>
        <w:rPr>
          <w:rFonts w:ascii="宋体" w:hAnsi="宋体" w:eastAsia="宋体" w:cs="宋体"/>
          <w:spacing w:val="-2"/>
          <w:sz w:val="24"/>
          <w:szCs w:val="24"/>
        </w:rPr>
        <w:t>3平方千米，新</w:t>
      </w:r>
      <w:r>
        <w:rPr>
          <w:rFonts w:ascii="宋体" w:hAnsi="宋体" w:eastAsia="宋体" w:cs="宋体"/>
          <w:sz w:val="24"/>
          <w:szCs w:val="24"/>
        </w:rPr>
        <w:t>城新区的详规单元面积宜为2</w:t>
      </w:r>
      <w:r>
        <w:rPr>
          <w:rFonts w:hint="eastAsia" w:ascii="宋体" w:hAnsi="宋体" w:eastAsia="宋体" w:cs="宋体"/>
          <w:sz w:val="24"/>
          <w:szCs w:val="24"/>
          <w:lang w:eastAsia="zh-CN"/>
        </w:rPr>
        <w:t>—</w:t>
      </w:r>
      <w:r>
        <w:rPr>
          <w:rFonts w:ascii="宋体" w:hAnsi="宋体" w:eastAsia="宋体" w:cs="宋体"/>
          <w:sz w:val="24"/>
          <w:szCs w:val="24"/>
        </w:rPr>
        <w:t>5平方千米；涉及历史保护、老</w:t>
      </w:r>
      <w:r>
        <w:rPr>
          <w:rFonts w:ascii="宋体" w:hAnsi="宋体" w:eastAsia="宋体" w:cs="宋体"/>
          <w:spacing w:val="-1"/>
          <w:sz w:val="24"/>
          <w:szCs w:val="24"/>
        </w:rPr>
        <w:t>城区的详规单元可适当</w:t>
      </w:r>
      <w:r>
        <w:rPr>
          <w:rFonts w:ascii="宋体" w:hAnsi="宋体" w:eastAsia="宋体" w:cs="宋体"/>
          <w:spacing w:val="-2"/>
          <w:sz w:val="24"/>
          <w:szCs w:val="24"/>
        </w:rPr>
        <w:t>缩小，以工业、物流业为主导功能的详规单元面积可适当扩大。战略留白单元按照国土空间总体规划确定的战略留白区范围，合理确定详规单元面积大小。城镇开发边界内零星“开天窗”非建设用地应整体纳入详规单元统一管控。</w:t>
      </w:r>
    </w:p>
    <w:p w14:paraId="4401D49F">
      <w:pPr>
        <w:spacing w:before="38" w:line="350" w:lineRule="auto"/>
        <w:ind w:left="40" w:firstLine="480"/>
        <w:jc w:val="both"/>
        <w:rPr>
          <w:rFonts w:ascii="宋体" w:hAnsi="宋体" w:eastAsia="宋体" w:cs="宋体"/>
          <w:sz w:val="24"/>
          <w:szCs w:val="24"/>
        </w:rPr>
      </w:pPr>
      <w:r>
        <w:rPr>
          <w:rFonts w:ascii="宋体" w:hAnsi="宋体" w:eastAsia="宋体" w:cs="宋体"/>
          <w:spacing w:val="-2"/>
          <w:sz w:val="24"/>
          <w:szCs w:val="24"/>
        </w:rPr>
        <w:t>详规单元划定应统筹考虑行政管理界线、主干路网与自然地理界限、权属边界、已</w:t>
      </w:r>
      <w:r>
        <w:rPr>
          <w:rFonts w:ascii="宋体" w:hAnsi="宋体" w:eastAsia="宋体" w:cs="宋体"/>
          <w:sz w:val="24"/>
          <w:szCs w:val="24"/>
        </w:rPr>
        <w:t>编控规单元边界、其他职能部门管理界线、重要要素整体性、规划功能完整性</w:t>
      </w:r>
      <w:r>
        <w:rPr>
          <w:rFonts w:ascii="宋体" w:hAnsi="宋体" w:eastAsia="宋体" w:cs="宋体"/>
          <w:spacing w:val="-1"/>
          <w:sz w:val="24"/>
          <w:szCs w:val="24"/>
        </w:rPr>
        <w:t>等因素，</w:t>
      </w:r>
      <w:r>
        <w:rPr>
          <w:rFonts w:ascii="宋体" w:hAnsi="宋体" w:eastAsia="宋体" w:cs="宋体"/>
          <w:spacing w:val="-5"/>
          <w:sz w:val="24"/>
          <w:szCs w:val="24"/>
        </w:rPr>
        <w:t>综合确定单元边界。</w:t>
      </w:r>
    </w:p>
    <w:p w14:paraId="153CBF97">
      <w:pPr>
        <w:spacing w:before="160" w:line="221" w:lineRule="auto"/>
        <w:ind w:left="43"/>
        <w:outlineLvl w:val="0"/>
        <w:rPr>
          <w:rFonts w:ascii="宋体" w:hAnsi="宋体" w:eastAsia="宋体" w:cs="宋体"/>
          <w:sz w:val="28"/>
          <w:szCs w:val="28"/>
        </w:rPr>
      </w:pPr>
      <w:bookmarkStart w:id="47" w:name="bookmark27"/>
      <w:bookmarkEnd w:id="47"/>
      <w:bookmarkStart w:id="48" w:name="bookmark28"/>
      <w:bookmarkEnd w:id="48"/>
      <w:r>
        <w:rPr>
          <w:rFonts w:ascii="宋体" w:hAnsi="宋体" w:eastAsia="宋体" w:cs="宋体"/>
          <w:b/>
          <w:bCs/>
          <w:spacing w:val="-6"/>
          <w:sz w:val="28"/>
          <w:szCs w:val="28"/>
        </w:rPr>
        <w:t>2.4划定方法</w:t>
      </w:r>
    </w:p>
    <w:p w14:paraId="58A3C06E">
      <w:pPr>
        <w:pStyle w:val="2"/>
        <w:spacing w:line="242" w:lineRule="auto"/>
      </w:pPr>
    </w:p>
    <w:p w14:paraId="24DC25BF">
      <w:pPr>
        <w:spacing w:before="79" w:line="220" w:lineRule="auto"/>
        <w:ind w:left="41"/>
        <w:rPr>
          <w:rFonts w:ascii="宋体" w:hAnsi="宋体" w:eastAsia="宋体" w:cs="宋体"/>
          <w:sz w:val="24"/>
          <w:szCs w:val="24"/>
        </w:rPr>
      </w:pPr>
      <w:r>
        <w:rPr>
          <w:rFonts w:ascii="宋体" w:hAnsi="宋体" w:eastAsia="宋体" w:cs="宋体"/>
          <w:spacing w:val="-3"/>
          <w:sz w:val="24"/>
          <w:szCs w:val="24"/>
        </w:rPr>
        <w:t>2.4.1预划阶段</w:t>
      </w:r>
    </w:p>
    <w:p w14:paraId="645956A0">
      <w:pPr>
        <w:spacing w:before="181" w:line="347" w:lineRule="auto"/>
        <w:ind w:left="40" w:right="59" w:firstLine="482"/>
        <w:rPr>
          <w:rFonts w:ascii="宋体" w:hAnsi="宋体" w:eastAsia="宋体" w:cs="宋体"/>
          <w:sz w:val="24"/>
          <w:szCs w:val="24"/>
        </w:rPr>
      </w:pPr>
      <w:r>
        <w:rPr>
          <w:rFonts w:ascii="宋体" w:hAnsi="宋体" w:eastAsia="宋体" w:cs="宋体"/>
          <w:spacing w:val="-2"/>
          <w:sz w:val="24"/>
          <w:szCs w:val="24"/>
        </w:rPr>
        <w:t>叠加城镇集中建设区、街道、工业园区的行政管辖界线、过境交通及自然地理界线等约束性要素，将集中连片的城镇集中建设区纳入街区单元。</w:t>
      </w:r>
    </w:p>
    <w:p w14:paraId="1FE6B506">
      <w:pPr>
        <w:spacing w:line="347" w:lineRule="auto"/>
        <w:rPr>
          <w:rFonts w:ascii="宋体" w:hAnsi="宋体" w:eastAsia="宋体" w:cs="宋体"/>
          <w:sz w:val="24"/>
          <w:szCs w:val="24"/>
        </w:rPr>
        <w:sectPr>
          <w:headerReference r:id="rId28" w:type="default"/>
          <w:footerReference r:id="rId29" w:type="default"/>
          <w:pgSz w:w="11907" w:h="16841"/>
          <w:pgMar w:top="1091" w:right="1358" w:bottom="1169" w:left="1390" w:header="859" w:footer="991" w:gutter="0"/>
          <w:cols w:space="720" w:num="1"/>
        </w:sectPr>
      </w:pPr>
    </w:p>
    <w:p w14:paraId="438490B4">
      <w:pPr>
        <w:pStyle w:val="2"/>
        <w:spacing w:line="283" w:lineRule="auto"/>
      </w:pPr>
    </w:p>
    <w:p w14:paraId="2CF5F6BB">
      <w:pPr>
        <w:spacing w:before="78" w:line="219" w:lineRule="auto"/>
        <w:ind w:left="41"/>
        <w:rPr>
          <w:rFonts w:ascii="宋体" w:hAnsi="宋体" w:eastAsia="宋体" w:cs="宋体"/>
          <w:sz w:val="24"/>
          <w:szCs w:val="24"/>
        </w:rPr>
      </w:pPr>
      <w:r>
        <w:rPr>
          <w:rFonts w:ascii="宋体" w:hAnsi="宋体" w:eastAsia="宋体" w:cs="宋体"/>
          <w:spacing w:val="-3"/>
          <w:sz w:val="24"/>
          <w:szCs w:val="24"/>
        </w:rPr>
        <w:t>2.4.2精划阶段</w:t>
      </w:r>
    </w:p>
    <w:p w14:paraId="7EDA376E">
      <w:pPr>
        <w:spacing w:before="180" w:line="347" w:lineRule="auto"/>
        <w:ind w:left="38" w:right="102" w:firstLine="484"/>
        <w:rPr>
          <w:rFonts w:ascii="宋体" w:hAnsi="宋体" w:eastAsia="宋体" w:cs="宋体"/>
          <w:sz w:val="24"/>
          <w:szCs w:val="24"/>
        </w:rPr>
      </w:pPr>
      <w:r>
        <w:rPr>
          <w:rFonts w:ascii="宋体" w:hAnsi="宋体" w:eastAsia="宋体" w:cs="宋体"/>
          <w:spacing w:val="-2"/>
          <w:sz w:val="24"/>
          <w:szCs w:val="24"/>
        </w:rPr>
        <w:t>叠加国土空间总体规划15分钟社区生活圈、城市重要交通干道等约束性要素，将</w:t>
      </w:r>
      <w:r>
        <w:rPr>
          <w:rFonts w:ascii="宋体" w:hAnsi="宋体" w:eastAsia="宋体" w:cs="宋体"/>
          <w:spacing w:val="-3"/>
          <w:sz w:val="24"/>
          <w:szCs w:val="24"/>
        </w:rPr>
        <w:t>集中连片的城镇集中建设区纳入街区单元。</w:t>
      </w:r>
    </w:p>
    <w:p w14:paraId="517312DB">
      <w:pPr>
        <w:spacing w:before="33" w:line="346" w:lineRule="auto"/>
        <w:ind w:left="39" w:right="100" w:firstLine="494"/>
        <w:rPr>
          <w:rFonts w:ascii="宋体" w:hAnsi="宋体" w:eastAsia="宋体" w:cs="宋体"/>
          <w:sz w:val="24"/>
          <w:szCs w:val="24"/>
        </w:rPr>
      </w:pPr>
      <w:r>
        <w:rPr>
          <w:rFonts w:ascii="宋体" w:hAnsi="宋体" w:eastAsia="宋体" w:cs="宋体"/>
          <w:spacing w:val="-1"/>
          <w:sz w:val="24"/>
          <w:szCs w:val="24"/>
        </w:rPr>
        <w:t>当预划结果与主干路、15分钟社区生活圈有冲突时，优</w:t>
      </w:r>
      <w:r>
        <w:rPr>
          <w:rFonts w:ascii="宋体" w:hAnsi="宋体" w:eastAsia="宋体" w:cs="宋体"/>
          <w:spacing w:val="-2"/>
          <w:sz w:val="24"/>
          <w:szCs w:val="24"/>
        </w:rPr>
        <w:t>先顺序：预划结果＜15分</w:t>
      </w:r>
      <w:r>
        <w:rPr>
          <w:rFonts w:ascii="宋体" w:hAnsi="宋体" w:eastAsia="宋体" w:cs="宋体"/>
          <w:spacing w:val="-4"/>
          <w:sz w:val="24"/>
          <w:szCs w:val="24"/>
        </w:rPr>
        <w:t>钟社区生活圈＜主干路。</w:t>
      </w:r>
    </w:p>
    <w:p w14:paraId="0F732A06">
      <w:pPr>
        <w:spacing w:before="153" w:line="221" w:lineRule="auto"/>
        <w:ind w:left="41"/>
        <w:rPr>
          <w:rFonts w:ascii="宋体" w:hAnsi="宋体" w:eastAsia="宋体" w:cs="宋体"/>
          <w:sz w:val="24"/>
          <w:szCs w:val="24"/>
        </w:rPr>
      </w:pPr>
      <w:r>
        <w:rPr>
          <w:rFonts w:ascii="宋体" w:hAnsi="宋体" w:eastAsia="宋体" w:cs="宋体"/>
          <w:spacing w:val="-3"/>
          <w:sz w:val="24"/>
          <w:szCs w:val="24"/>
        </w:rPr>
        <w:t>2.4.3细划阶段</w:t>
      </w:r>
    </w:p>
    <w:p w14:paraId="2A0585E4">
      <w:pPr>
        <w:spacing w:before="179" w:line="351" w:lineRule="auto"/>
        <w:ind w:left="39" w:right="30" w:firstLine="506"/>
        <w:jc w:val="both"/>
        <w:rPr>
          <w:rFonts w:ascii="宋体" w:hAnsi="宋体" w:eastAsia="宋体" w:cs="宋体"/>
          <w:sz w:val="24"/>
          <w:szCs w:val="24"/>
        </w:rPr>
      </w:pPr>
      <w:r>
        <w:rPr>
          <w:rFonts w:ascii="宋体" w:hAnsi="宋体" w:eastAsia="宋体" w:cs="宋体"/>
          <w:spacing w:val="-2"/>
          <w:sz w:val="24"/>
          <w:szCs w:val="24"/>
        </w:rPr>
        <w:t>以精划结果为基础，按照单元规模及单元主导功能</w:t>
      </w:r>
      <w:r>
        <w:rPr>
          <w:rFonts w:ascii="宋体" w:hAnsi="宋体" w:eastAsia="宋体" w:cs="宋体"/>
          <w:spacing w:val="-3"/>
          <w:sz w:val="24"/>
          <w:szCs w:val="24"/>
        </w:rPr>
        <w:t>等合理性要素进行叠加比对。如</w:t>
      </w:r>
      <w:r>
        <w:rPr>
          <w:rFonts w:ascii="宋体" w:hAnsi="宋体" w:eastAsia="宋体" w:cs="宋体"/>
          <w:spacing w:val="-2"/>
          <w:sz w:val="24"/>
          <w:szCs w:val="24"/>
        </w:rPr>
        <w:t>主导功能存在冲突，按照主导功能拆分单元；如单元规模存在不均衡，则进行单元的融</w:t>
      </w:r>
      <w:r>
        <w:rPr>
          <w:rFonts w:ascii="宋体" w:hAnsi="宋体" w:eastAsia="宋体" w:cs="宋体"/>
          <w:spacing w:val="-8"/>
          <w:sz w:val="24"/>
          <w:szCs w:val="24"/>
        </w:rPr>
        <w:t>合或拆分。</w:t>
      </w:r>
    </w:p>
    <w:p w14:paraId="1A092FFC">
      <w:pPr>
        <w:spacing w:line="351" w:lineRule="auto"/>
        <w:rPr>
          <w:rFonts w:ascii="宋体" w:hAnsi="宋体" w:eastAsia="宋体" w:cs="宋体"/>
          <w:sz w:val="24"/>
          <w:szCs w:val="24"/>
        </w:rPr>
        <w:sectPr>
          <w:footerReference r:id="rId30" w:type="default"/>
          <w:pgSz w:w="11907" w:h="16841"/>
          <w:pgMar w:top="1091" w:right="1384" w:bottom="1169" w:left="1390" w:header="859" w:footer="991" w:gutter="0"/>
          <w:cols w:space="720" w:num="1"/>
        </w:sectPr>
      </w:pPr>
    </w:p>
    <w:p w14:paraId="6E87D4A7">
      <w:pPr>
        <w:pStyle w:val="2"/>
        <w:spacing w:line="272" w:lineRule="auto"/>
      </w:pPr>
    </w:p>
    <w:p w14:paraId="735F8FE4">
      <w:pPr>
        <w:spacing w:before="101" w:line="225" w:lineRule="auto"/>
        <w:ind w:left="41"/>
        <w:outlineLvl w:val="0"/>
        <w:rPr>
          <w:rFonts w:ascii="黑体" w:hAnsi="黑体" w:eastAsia="黑体" w:cs="黑体"/>
          <w:sz w:val="31"/>
          <w:szCs w:val="31"/>
        </w:rPr>
      </w:pPr>
      <w:bookmarkStart w:id="49" w:name="bookmark29"/>
      <w:bookmarkEnd w:id="49"/>
      <w:bookmarkStart w:id="50" w:name="bookmark32"/>
      <w:bookmarkEnd w:id="50"/>
      <w:bookmarkStart w:id="51" w:name="bookmark30"/>
      <w:bookmarkEnd w:id="51"/>
      <w:r>
        <w:rPr>
          <w:rFonts w:ascii="黑体" w:hAnsi="黑体" w:eastAsia="黑体" w:cs="黑体"/>
          <w:b/>
          <w:bCs/>
          <w:spacing w:val="3"/>
          <w:sz w:val="31"/>
          <w:szCs w:val="31"/>
        </w:rPr>
        <w:t>3单元划定结果及分析</w:t>
      </w:r>
    </w:p>
    <w:p w14:paraId="3568BC7F">
      <w:pPr>
        <w:pStyle w:val="2"/>
        <w:spacing w:line="265" w:lineRule="auto"/>
      </w:pPr>
    </w:p>
    <w:p w14:paraId="548215F3">
      <w:pPr>
        <w:spacing w:before="91" w:line="220" w:lineRule="auto"/>
        <w:ind w:left="45"/>
        <w:outlineLvl w:val="0"/>
        <w:rPr>
          <w:rFonts w:ascii="宋体" w:hAnsi="宋体" w:eastAsia="宋体" w:cs="宋体"/>
          <w:sz w:val="28"/>
          <w:szCs w:val="28"/>
        </w:rPr>
      </w:pPr>
      <w:bookmarkStart w:id="52" w:name="bookmark31"/>
      <w:bookmarkEnd w:id="52"/>
      <w:r>
        <w:rPr>
          <w:rFonts w:ascii="宋体" w:hAnsi="宋体" w:eastAsia="宋体" w:cs="宋体"/>
          <w:b/>
          <w:bCs/>
          <w:spacing w:val="-6"/>
          <w:sz w:val="28"/>
          <w:szCs w:val="28"/>
        </w:rPr>
        <w:t>3.1单元编码规则</w:t>
      </w:r>
    </w:p>
    <w:p w14:paraId="0CDE7061">
      <w:pPr>
        <w:spacing w:before="206" w:line="346" w:lineRule="auto"/>
        <w:ind w:left="40" w:right="75" w:firstLine="478"/>
        <w:rPr>
          <w:rFonts w:ascii="宋体" w:hAnsi="宋体" w:eastAsia="宋体" w:cs="宋体"/>
          <w:sz w:val="24"/>
          <w:szCs w:val="24"/>
        </w:rPr>
      </w:pPr>
      <w:r>
        <w:rPr>
          <w:rFonts w:ascii="宋体" w:hAnsi="宋体" w:eastAsia="宋体" w:cs="宋体"/>
          <w:spacing w:val="-2"/>
          <w:sz w:val="24"/>
          <w:szCs w:val="24"/>
        </w:rPr>
        <w:t>根据《内蒙古自治区城镇开发边界内详细规划编制单元划定技术导则（试行）》要</w:t>
      </w:r>
      <w:r>
        <w:rPr>
          <w:rFonts w:ascii="宋体" w:hAnsi="宋体" w:eastAsia="宋体" w:cs="宋体"/>
          <w:spacing w:val="-1"/>
          <w:sz w:val="24"/>
          <w:szCs w:val="24"/>
        </w:rPr>
        <w:t>求，结合行政管理界线、主干路网与自然地理界限、权属边界、已编控规单元边界、</w:t>
      </w:r>
    </w:p>
    <w:p w14:paraId="50529723">
      <w:pPr>
        <w:spacing w:before="32" w:line="220" w:lineRule="auto"/>
        <w:ind w:left="39"/>
        <w:rPr>
          <w:rFonts w:ascii="宋体" w:hAnsi="宋体" w:eastAsia="宋体" w:cs="宋体"/>
          <w:sz w:val="24"/>
          <w:szCs w:val="24"/>
        </w:rPr>
      </w:pPr>
      <w:r>
        <w:rPr>
          <w:rFonts w:ascii="宋体" w:hAnsi="宋体" w:eastAsia="宋体" w:cs="宋体"/>
          <w:spacing w:val="-2"/>
          <w:sz w:val="24"/>
          <w:szCs w:val="24"/>
        </w:rPr>
        <w:t>其他职能部门管理界线、重要要素整体性、规划功能完整性等因素。</w:t>
      </w:r>
    </w:p>
    <w:p w14:paraId="3ED9785B">
      <w:pPr>
        <w:spacing w:before="182" w:line="345" w:lineRule="auto"/>
        <w:ind w:left="37" w:right="74" w:firstLine="481"/>
        <w:rPr>
          <w:rFonts w:ascii="宋体" w:hAnsi="宋体" w:eastAsia="宋体" w:cs="宋体"/>
          <w:sz w:val="24"/>
          <w:szCs w:val="24"/>
        </w:rPr>
      </w:pPr>
      <w:r>
        <w:rPr>
          <w:rFonts w:ascii="宋体" w:hAnsi="宋体" w:eastAsia="宋体" w:cs="宋体"/>
          <w:spacing w:val="-4"/>
          <w:sz w:val="24"/>
          <w:szCs w:val="24"/>
        </w:rPr>
        <w:t>本次杭锦旗详细规划单元编码以“6位县级行政区代码+3位乡镇代码+3位单元类型代码+3位顺序码”。</w:t>
      </w:r>
    </w:p>
    <w:p w14:paraId="62CCE2F6">
      <w:pPr>
        <w:spacing w:before="163" w:line="221" w:lineRule="auto"/>
        <w:ind w:left="45"/>
        <w:outlineLvl w:val="0"/>
        <w:rPr>
          <w:rFonts w:ascii="宋体" w:hAnsi="宋体" w:eastAsia="宋体" w:cs="宋体"/>
          <w:sz w:val="28"/>
          <w:szCs w:val="28"/>
        </w:rPr>
      </w:pPr>
      <w:bookmarkStart w:id="53" w:name="bookmark34"/>
      <w:bookmarkEnd w:id="53"/>
      <w:bookmarkStart w:id="54" w:name="bookmark33"/>
      <w:bookmarkEnd w:id="54"/>
      <w:r>
        <w:rPr>
          <w:rFonts w:ascii="宋体" w:hAnsi="宋体" w:eastAsia="宋体" w:cs="宋体"/>
          <w:b/>
          <w:bCs/>
          <w:spacing w:val="-6"/>
          <w:sz w:val="28"/>
          <w:szCs w:val="28"/>
        </w:rPr>
        <w:t>3.2单元划定</w:t>
      </w:r>
    </w:p>
    <w:p w14:paraId="7E7F66F1">
      <w:pPr>
        <w:spacing w:before="205" w:line="350" w:lineRule="auto"/>
        <w:ind w:left="56" w:firstLine="463"/>
        <w:jc w:val="both"/>
        <w:rPr>
          <w:rFonts w:ascii="宋体" w:hAnsi="宋体" w:eastAsia="宋体" w:cs="宋体"/>
          <w:sz w:val="24"/>
          <w:szCs w:val="24"/>
        </w:rPr>
      </w:pPr>
      <w:r>
        <w:rPr>
          <w:rFonts w:ascii="宋体" w:hAnsi="宋体" w:eastAsia="宋体" w:cs="宋体"/>
          <w:spacing w:val="-2"/>
          <w:sz w:val="24"/>
          <w:szCs w:val="24"/>
        </w:rPr>
        <w:t>依据城市发展建设和保护利用需求，以及上位国土空间总体规划确定的单元内主导</w:t>
      </w:r>
      <w:r>
        <w:rPr>
          <w:rFonts w:ascii="宋体" w:hAnsi="宋体" w:eastAsia="宋体" w:cs="宋体"/>
          <w:sz w:val="24"/>
          <w:szCs w:val="24"/>
        </w:rPr>
        <w:t>国土空间二级分区，综合考虑单元范围内的主要土地用途、要素特点及规划管控需</w:t>
      </w:r>
      <w:r>
        <w:rPr>
          <w:rFonts w:ascii="宋体" w:hAnsi="宋体" w:eastAsia="宋体" w:cs="宋体"/>
          <w:spacing w:val="-1"/>
          <w:sz w:val="24"/>
          <w:szCs w:val="24"/>
        </w:rPr>
        <w:t>要、</w:t>
      </w:r>
      <w:r>
        <w:rPr>
          <w:rFonts w:ascii="宋体" w:hAnsi="宋体" w:eastAsia="宋体" w:cs="宋体"/>
          <w:spacing w:val="-5"/>
          <w:sz w:val="24"/>
          <w:szCs w:val="24"/>
        </w:rPr>
        <w:t>因地制宜划分不同单元类型。</w:t>
      </w:r>
    </w:p>
    <w:p w14:paraId="0B9BAEE0">
      <w:pPr>
        <w:spacing w:before="32" w:line="347" w:lineRule="auto"/>
        <w:ind w:left="43" w:right="74" w:firstLine="475"/>
        <w:rPr>
          <w:rFonts w:ascii="宋体" w:hAnsi="宋体" w:eastAsia="宋体" w:cs="宋体"/>
          <w:sz w:val="24"/>
          <w:szCs w:val="24"/>
        </w:rPr>
      </w:pPr>
      <w:r>
        <w:rPr>
          <w:rFonts w:ascii="宋体" w:hAnsi="宋体" w:eastAsia="宋体" w:cs="宋体"/>
          <w:spacing w:val="-2"/>
          <w:sz w:val="24"/>
          <w:szCs w:val="24"/>
        </w:rPr>
        <w:t>本次杭锦旗详细规划单元划定共32个，其中锡尼镇中心城区和工业园区规划单元7个，其他乡镇规划单元25个，单元主导功能计数如下：</w:t>
      </w:r>
    </w:p>
    <w:p w14:paraId="365E7AB9">
      <w:pPr>
        <w:spacing w:before="32" w:line="220" w:lineRule="auto"/>
        <w:ind w:left="522"/>
        <w:rPr>
          <w:rFonts w:ascii="宋体" w:hAnsi="宋体" w:eastAsia="宋体" w:cs="宋体"/>
          <w:sz w:val="24"/>
          <w:szCs w:val="24"/>
        </w:rPr>
      </w:pPr>
      <w:r>
        <w:rPr>
          <w:rFonts w:ascii="宋体" w:hAnsi="宋体" w:eastAsia="宋体" w:cs="宋体"/>
          <w:spacing w:val="-3"/>
          <w:sz w:val="24"/>
          <w:szCs w:val="24"/>
        </w:rPr>
        <w:t>商业商务类：共计5个单元。</w:t>
      </w:r>
    </w:p>
    <w:p w14:paraId="6503A156">
      <w:pPr>
        <w:spacing w:before="181" w:line="354" w:lineRule="auto"/>
        <w:ind w:left="518" w:right="5342" w:firstLine="1"/>
        <w:jc w:val="both"/>
        <w:rPr>
          <w:rFonts w:ascii="宋体" w:hAnsi="宋体" w:eastAsia="宋体" w:cs="宋体"/>
          <w:sz w:val="24"/>
          <w:szCs w:val="24"/>
        </w:rPr>
      </w:pPr>
      <w:r>
        <w:rPr>
          <w:rFonts w:ascii="宋体" w:hAnsi="宋体" w:eastAsia="宋体" w:cs="宋体"/>
          <w:spacing w:val="-5"/>
          <w:sz w:val="24"/>
          <w:szCs w:val="24"/>
        </w:rPr>
        <w:t>居住生活类：共计11个单元。</w:t>
      </w:r>
      <w:r>
        <w:rPr>
          <w:rFonts w:ascii="宋体" w:hAnsi="宋体" w:eastAsia="宋体" w:cs="宋体"/>
          <w:sz w:val="24"/>
          <w:szCs w:val="24"/>
        </w:rPr>
        <w:t>综合服务类：共计7个单元。工业发展类：共计7个单元。物流仓储类：共计2个单元。</w:t>
      </w:r>
      <w:r>
        <w:rPr>
          <w:rFonts w:ascii="宋体" w:hAnsi="宋体" w:eastAsia="宋体" w:cs="宋体"/>
          <w:spacing w:val="-7"/>
          <w:sz w:val="24"/>
          <w:szCs w:val="24"/>
        </w:rPr>
        <w:t>单元类型计数如下：</w:t>
      </w:r>
    </w:p>
    <w:p w14:paraId="620052DF">
      <w:pPr>
        <w:spacing w:before="35" w:line="351" w:lineRule="auto"/>
        <w:ind w:left="518" w:right="6542"/>
        <w:rPr>
          <w:rFonts w:ascii="宋体" w:hAnsi="宋体" w:eastAsia="宋体" w:cs="宋体"/>
          <w:sz w:val="24"/>
          <w:szCs w:val="24"/>
        </w:rPr>
      </w:pPr>
      <w:r>
        <w:rPr>
          <w:rFonts w:ascii="宋体" w:hAnsi="宋体" w:eastAsia="宋体" w:cs="宋体"/>
          <w:spacing w:val="-8"/>
          <w:sz w:val="24"/>
          <w:szCs w:val="24"/>
        </w:rPr>
        <w:t>城市更新单元2个。</w:t>
      </w:r>
      <w:r>
        <w:rPr>
          <w:rFonts w:ascii="宋体" w:hAnsi="宋体" w:eastAsia="宋体" w:cs="宋体"/>
          <w:spacing w:val="-1"/>
          <w:sz w:val="24"/>
          <w:szCs w:val="24"/>
        </w:rPr>
        <w:t>城乡融合单元14</w:t>
      </w:r>
      <w:r>
        <w:rPr>
          <w:rFonts w:hint="eastAsia" w:ascii="宋体" w:hAnsi="宋体" w:eastAsia="宋体" w:cs="宋体"/>
          <w:spacing w:val="-1"/>
          <w:sz w:val="24"/>
          <w:szCs w:val="24"/>
          <w:lang w:eastAsia="zh-CN"/>
        </w:rPr>
        <w:t>个。</w:t>
      </w:r>
      <w:r>
        <w:rPr>
          <w:rFonts w:ascii="宋体" w:hAnsi="宋体" w:eastAsia="宋体" w:cs="宋体"/>
          <w:spacing w:val="-5"/>
          <w:sz w:val="24"/>
          <w:szCs w:val="24"/>
        </w:rPr>
        <w:t>重点开发单元16</w:t>
      </w:r>
      <w:r>
        <w:rPr>
          <w:rFonts w:hint="eastAsia" w:ascii="宋体" w:hAnsi="宋体" w:eastAsia="宋体" w:cs="宋体"/>
          <w:spacing w:val="-5"/>
          <w:sz w:val="24"/>
          <w:szCs w:val="24"/>
          <w:lang w:eastAsia="zh-CN"/>
        </w:rPr>
        <w:t>个</w:t>
      </w:r>
      <w:r>
        <w:rPr>
          <w:rFonts w:ascii="宋体" w:hAnsi="宋体" w:eastAsia="宋体" w:cs="宋体"/>
          <w:spacing w:val="-5"/>
          <w:sz w:val="24"/>
          <w:szCs w:val="24"/>
        </w:rPr>
        <w:t>。</w:t>
      </w:r>
    </w:p>
    <w:p w14:paraId="671C846B">
      <w:pPr>
        <w:spacing w:line="351" w:lineRule="auto"/>
        <w:rPr>
          <w:rFonts w:ascii="宋体" w:hAnsi="宋体" w:eastAsia="宋体" w:cs="宋体"/>
          <w:sz w:val="24"/>
          <w:szCs w:val="24"/>
        </w:rPr>
        <w:sectPr>
          <w:headerReference r:id="rId31" w:type="default"/>
          <w:footerReference r:id="rId32" w:type="default"/>
          <w:pgSz w:w="11907" w:h="16841"/>
          <w:pgMar w:top="1091" w:right="1339" w:bottom="1168" w:left="1390" w:header="859" w:footer="991" w:gutter="0"/>
          <w:cols w:space="720" w:num="1"/>
        </w:sectPr>
      </w:pPr>
    </w:p>
    <w:p w14:paraId="7F14AC01">
      <w:pPr>
        <w:pStyle w:val="2"/>
        <w:spacing w:line="297" w:lineRule="auto"/>
      </w:pPr>
    </w:p>
    <w:p w14:paraId="14E95346">
      <w:pPr>
        <w:spacing w:before="78" w:line="217" w:lineRule="auto"/>
        <w:ind w:left="4671"/>
        <w:rPr>
          <w:rFonts w:ascii="仿宋" w:hAnsi="仿宋" w:eastAsia="仿宋" w:cs="仿宋"/>
          <w:sz w:val="24"/>
          <w:szCs w:val="24"/>
        </w:rPr>
      </w:pPr>
      <w:r>
        <w:rPr>
          <w:rFonts w:ascii="仿宋" w:hAnsi="仿宋" w:eastAsia="仿宋" w:cs="仿宋"/>
          <w:b/>
          <w:bCs/>
          <w:spacing w:val="-3"/>
          <w:sz w:val="24"/>
          <w:szCs w:val="24"/>
        </w:rPr>
        <w:t>附表各单元主导功能和类型数量及面积汇总表</w:t>
      </w:r>
    </w:p>
    <w:p w14:paraId="13150A6C">
      <w:pPr>
        <w:spacing w:before="213"/>
      </w:pPr>
    </w:p>
    <w:tbl>
      <w:tblPr>
        <w:tblStyle w:val="5"/>
        <w:tblW w:w="14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05"/>
        <w:gridCol w:w="1108"/>
        <w:gridCol w:w="1109"/>
        <w:gridCol w:w="1108"/>
        <w:gridCol w:w="1108"/>
        <w:gridCol w:w="1109"/>
        <w:gridCol w:w="1111"/>
        <w:gridCol w:w="1108"/>
        <w:gridCol w:w="1111"/>
        <w:gridCol w:w="1111"/>
        <w:gridCol w:w="1149"/>
        <w:gridCol w:w="1589"/>
      </w:tblGrid>
      <w:tr w14:paraId="4DD0D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505" w:type="dxa"/>
            <w:vMerge w:val="restart"/>
            <w:tcBorders>
              <w:bottom w:val="nil"/>
            </w:tcBorders>
            <w:vAlign w:val="top"/>
          </w:tcPr>
          <w:p w14:paraId="004E7D2F">
            <w:pPr>
              <w:spacing w:line="256" w:lineRule="auto"/>
              <w:rPr>
                <w:rFonts w:ascii="Arial"/>
                <w:sz w:val="21"/>
              </w:rPr>
            </w:pPr>
          </w:p>
          <w:p w14:paraId="5EE4EBDA">
            <w:pPr>
              <w:spacing w:line="257" w:lineRule="auto"/>
              <w:rPr>
                <w:rFonts w:ascii="Arial"/>
                <w:sz w:val="21"/>
              </w:rPr>
            </w:pPr>
          </w:p>
          <w:p w14:paraId="1626157D">
            <w:pPr>
              <w:pStyle w:val="6"/>
              <w:spacing w:before="68" w:line="230" w:lineRule="auto"/>
              <w:ind w:left="446" w:right="115" w:hanging="311"/>
            </w:pPr>
            <w:r>
              <w:rPr>
                <w:b/>
                <w:bCs/>
                <w:spacing w:val="-5"/>
              </w:rPr>
              <w:t>单元分区（行</w:t>
            </w:r>
            <w:r>
              <w:rPr>
                <w:b/>
                <w:bCs/>
                <w:spacing w:val="-8"/>
              </w:rPr>
              <w:t>政区）</w:t>
            </w:r>
          </w:p>
        </w:tc>
        <w:tc>
          <w:tcPr>
            <w:tcW w:w="5542" w:type="dxa"/>
            <w:gridSpan w:val="5"/>
            <w:vAlign w:val="top"/>
          </w:tcPr>
          <w:p w14:paraId="67057188">
            <w:pPr>
              <w:spacing w:line="371" w:lineRule="auto"/>
              <w:rPr>
                <w:rFonts w:ascii="Arial"/>
                <w:sz w:val="21"/>
              </w:rPr>
            </w:pPr>
          </w:p>
          <w:p w14:paraId="7474F2C7">
            <w:pPr>
              <w:pStyle w:val="6"/>
              <w:spacing w:before="68" w:line="218" w:lineRule="auto"/>
              <w:ind w:left="2152"/>
            </w:pPr>
            <w:r>
              <w:rPr>
                <w:b/>
                <w:bCs/>
                <w:spacing w:val="-4"/>
              </w:rPr>
              <w:t>单元主导功能</w:t>
            </w:r>
          </w:p>
        </w:tc>
        <w:tc>
          <w:tcPr>
            <w:tcW w:w="3330" w:type="dxa"/>
            <w:gridSpan w:val="3"/>
            <w:vAlign w:val="top"/>
          </w:tcPr>
          <w:p w14:paraId="5D4EFC67">
            <w:pPr>
              <w:spacing w:line="371" w:lineRule="auto"/>
              <w:rPr>
                <w:rFonts w:ascii="Arial"/>
                <w:sz w:val="21"/>
              </w:rPr>
            </w:pPr>
          </w:p>
          <w:p w14:paraId="159E8DD2">
            <w:pPr>
              <w:pStyle w:val="6"/>
              <w:spacing w:before="68" w:line="218" w:lineRule="auto"/>
              <w:ind w:left="1259"/>
            </w:pPr>
            <w:r>
              <w:rPr>
                <w:b/>
                <w:bCs/>
                <w:spacing w:val="-5"/>
              </w:rPr>
              <w:t>单元类型</w:t>
            </w:r>
          </w:p>
        </w:tc>
        <w:tc>
          <w:tcPr>
            <w:tcW w:w="1111" w:type="dxa"/>
            <w:vAlign w:val="top"/>
          </w:tcPr>
          <w:p w14:paraId="094B9CCB">
            <w:pPr>
              <w:pStyle w:val="6"/>
              <w:spacing w:before="306" w:line="230" w:lineRule="auto"/>
              <w:ind w:left="251" w:right="126" w:hanging="99"/>
            </w:pPr>
            <w:r>
              <w:rPr>
                <w:b/>
                <w:bCs/>
                <w:spacing w:val="-6"/>
              </w:rPr>
              <w:t>单元数量</w:t>
            </w:r>
            <w:r>
              <w:rPr>
                <w:b/>
                <w:bCs/>
                <w:spacing w:val="-8"/>
              </w:rPr>
              <w:t>（个）</w:t>
            </w:r>
          </w:p>
        </w:tc>
        <w:tc>
          <w:tcPr>
            <w:tcW w:w="1149" w:type="dxa"/>
            <w:vAlign w:val="top"/>
          </w:tcPr>
          <w:p w14:paraId="4C112919">
            <w:pPr>
              <w:pStyle w:val="6"/>
              <w:spacing w:before="304" w:line="231" w:lineRule="auto"/>
              <w:ind w:left="387" w:right="145" w:hanging="216"/>
            </w:pPr>
            <w:r>
              <w:rPr>
                <w:b/>
                <w:bCs/>
                <w:spacing w:val="-6"/>
              </w:rPr>
              <w:t>面积（公</w:t>
            </w:r>
            <w:r>
              <w:rPr>
                <w:b/>
                <w:bCs/>
                <w:spacing w:val="-12"/>
              </w:rPr>
              <w:t>顷）</w:t>
            </w:r>
          </w:p>
        </w:tc>
        <w:tc>
          <w:tcPr>
            <w:tcW w:w="1589" w:type="dxa"/>
            <w:vAlign w:val="top"/>
          </w:tcPr>
          <w:p w14:paraId="7E45B1B6">
            <w:pPr>
              <w:pStyle w:val="6"/>
              <w:spacing w:before="34" w:line="218" w:lineRule="auto"/>
              <w:ind w:left="177"/>
            </w:pPr>
            <w:r>
              <w:rPr>
                <w:b/>
                <w:bCs/>
                <w:spacing w:val="-4"/>
              </w:rPr>
              <w:t>单元内建设用</w:t>
            </w:r>
          </w:p>
          <w:p w14:paraId="76EE6EDE">
            <w:pPr>
              <w:pStyle w:val="6"/>
              <w:spacing w:before="23" w:line="218" w:lineRule="auto"/>
              <w:ind w:left="173"/>
            </w:pPr>
            <w:r>
              <w:rPr>
                <w:b/>
                <w:bCs/>
                <w:spacing w:val="-4"/>
              </w:rPr>
              <w:t>地面积占单元</w:t>
            </w:r>
          </w:p>
          <w:p w14:paraId="24528439">
            <w:pPr>
              <w:pStyle w:val="6"/>
              <w:spacing w:before="25" w:line="220" w:lineRule="auto"/>
              <w:ind w:left="287"/>
            </w:pPr>
            <w:r>
              <w:rPr>
                <w:b/>
                <w:bCs/>
                <w:spacing w:val="-5"/>
              </w:rPr>
              <w:t>总面积比例</w:t>
            </w:r>
          </w:p>
          <w:p w14:paraId="58110895">
            <w:pPr>
              <w:pStyle w:val="6"/>
              <w:spacing w:before="22" w:line="208" w:lineRule="auto"/>
              <w:ind w:left="543"/>
            </w:pPr>
            <w:r>
              <w:rPr>
                <w:b/>
                <w:bCs/>
                <w:spacing w:val="-7"/>
              </w:rPr>
              <w:t>（%）</w:t>
            </w:r>
          </w:p>
        </w:tc>
      </w:tr>
      <w:tr w14:paraId="7C8E7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505" w:type="dxa"/>
            <w:vMerge w:val="continue"/>
            <w:tcBorders>
              <w:top w:val="nil"/>
            </w:tcBorders>
            <w:vAlign w:val="top"/>
          </w:tcPr>
          <w:p w14:paraId="10B14E3F">
            <w:pPr>
              <w:rPr>
                <w:rFonts w:ascii="Arial"/>
                <w:sz w:val="21"/>
              </w:rPr>
            </w:pPr>
          </w:p>
        </w:tc>
        <w:tc>
          <w:tcPr>
            <w:tcW w:w="1108" w:type="dxa"/>
            <w:vAlign w:val="top"/>
          </w:tcPr>
          <w:p w14:paraId="248E43B2">
            <w:pPr>
              <w:pStyle w:val="6"/>
              <w:spacing w:before="30" w:line="223" w:lineRule="auto"/>
              <w:ind w:left="460" w:right="130" w:hanging="319"/>
            </w:pPr>
            <w:r>
              <w:rPr>
                <w:b/>
                <w:bCs/>
                <w:spacing w:val="-5"/>
              </w:rPr>
              <w:t>居住生活</w:t>
            </w:r>
            <w:r>
              <w:rPr>
                <w:b/>
                <w:bCs/>
                <w:spacing w:val="-3"/>
              </w:rPr>
              <w:t>类</w:t>
            </w:r>
          </w:p>
        </w:tc>
        <w:tc>
          <w:tcPr>
            <w:tcW w:w="1109" w:type="dxa"/>
            <w:vAlign w:val="top"/>
          </w:tcPr>
          <w:p w14:paraId="620B13D4">
            <w:pPr>
              <w:pStyle w:val="6"/>
              <w:spacing w:before="30" w:line="223" w:lineRule="auto"/>
              <w:ind w:left="460" w:right="131" w:hanging="316"/>
            </w:pPr>
            <w:r>
              <w:rPr>
                <w:b/>
                <w:bCs/>
                <w:spacing w:val="-6"/>
              </w:rPr>
              <w:t>综合服务</w:t>
            </w:r>
            <w:r>
              <w:rPr>
                <w:b/>
                <w:bCs/>
                <w:spacing w:val="-3"/>
              </w:rPr>
              <w:t>类</w:t>
            </w:r>
          </w:p>
        </w:tc>
        <w:tc>
          <w:tcPr>
            <w:tcW w:w="1108" w:type="dxa"/>
            <w:vAlign w:val="top"/>
          </w:tcPr>
          <w:p w14:paraId="2F68E720">
            <w:pPr>
              <w:pStyle w:val="6"/>
              <w:spacing w:before="30" w:line="223" w:lineRule="auto"/>
              <w:ind w:left="460" w:right="129" w:hanging="311"/>
            </w:pPr>
            <w:r>
              <w:rPr>
                <w:b/>
                <w:bCs/>
                <w:spacing w:val="-7"/>
              </w:rPr>
              <w:t>商业商务</w:t>
            </w:r>
            <w:r>
              <w:rPr>
                <w:b/>
                <w:bCs/>
                <w:spacing w:val="-3"/>
              </w:rPr>
              <w:t>类</w:t>
            </w:r>
          </w:p>
        </w:tc>
        <w:tc>
          <w:tcPr>
            <w:tcW w:w="1108" w:type="dxa"/>
            <w:vAlign w:val="top"/>
          </w:tcPr>
          <w:p w14:paraId="0F2C911B">
            <w:pPr>
              <w:pStyle w:val="6"/>
              <w:spacing w:before="30" w:line="223" w:lineRule="auto"/>
              <w:ind w:left="462" w:right="129" w:hanging="314"/>
            </w:pPr>
            <w:r>
              <w:rPr>
                <w:b/>
                <w:bCs/>
                <w:spacing w:val="-6"/>
              </w:rPr>
              <w:t>工业发展</w:t>
            </w:r>
            <w:r>
              <w:rPr>
                <w:b/>
                <w:bCs/>
                <w:spacing w:val="-3"/>
              </w:rPr>
              <w:t>类</w:t>
            </w:r>
          </w:p>
        </w:tc>
        <w:tc>
          <w:tcPr>
            <w:tcW w:w="1109" w:type="dxa"/>
            <w:vAlign w:val="top"/>
          </w:tcPr>
          <w:p w14:paraId="3993EB38">
            <w:pPr>
              <w:pStyle w:val="6"/>
              <w:spacing w:before="30" w:line="223" w:lineRule="auto"/>
              <w:ind w:left="462" w:right="129" w:hanging="318"/>
            </w:pPr>
            <w:r>
              <w:rPr>
                <w:b/>
                <w:bCs/>
                <w:spacing w:val="-5"/>
              </w:rPr>
              <w:t>物流仓储</w:t>
            </w:r>
            <w:r>
              <w:rPr>
                <w:b/>
                <w:bCs/>
                <w:spacing w:val="-3"/>
              </w:rPr>
              <w:t>类</w:t>
            </w:r>
          </w:p>
        </w:tc>
        <w:tc>
          <w:tcPr>
            <w:tcW w:w="1111" w:type="dxa"/>
            <w:vAlign w:val="top"/>
          </w:tcPr>
          <w:p w14:paraId="6793E2F9">
            <w:pPr>
              <w:pStyle w:val="6"/>
              <w:spacing w:before="30" w:line="223" w:lineRule="auto"/>
              <w:ind w:left="359" w:right="131" w:hanging="211"/>
            </w:pPr>
            <w:r>
              <w:rPr>
                <w:b/>
                <w:bCs/>
                <w:spacing w:val="-6"/>
              </w:rPr>
              <w:t>城市更新</w:t>
            </w:r>
            <w:r>
              <w:rPr>
                <w:b/>
                <w:bCs/>
                <w:spacing w:val="-7"/>
              </w:rPr>
              <w:t>单元</w:t>
            </w:r>
          </w:p>
        </w:tc>
        <w:tc>
          <w:tcPr>
            <w:tcW w:w="1108" w:type="dxa"/>
            <w:vAlign w:val="top"/>
          </w:tcPr>
          <w:p w14:paraId="619EEA37">
            <w:pPr>
              <w:pStyle w:val="6"/>
              <w:spacing w:before="30" w:line="223" w:lineRule="auto"/>
              <w:ind w:left="357" w:right="130" w:hanging="211"/>
            </w:pPr>
            <w:r>
              <w:rPr>
                <w:b/>
                <w:bCs/>
                <w:spacing w:val="-6"/>
              </w:rPr>
              <w:t>城乡融合</w:t>
            </w:r>
            <w:r>
              <w:rPr>
                <w:b/>
                <w:bCs/>
                <w:spacing w:val="-7"/>
              </w:rPr>
              <w:t>单元</w:t>
            </w:r>
          </w:p>
        </w:tc>
        <w:tc>
          <w:tcPr>
            <w:tcW w:w="1111" w:type="dxa"/>
            <w:vAlign w:val="top"/>
          </w:tcPr>
          <w:p w14:paraId="6F12FE46">
            <w:pPr>
              <w:pStyle w:val="6"/>
              <w:spacing w:before="30" w:line="223" w:lineRule="auto"/>
              <w:ind w:left="357" w:right="130" w:hanging="206"/>
            </w:pPr>
            <w:r>
              <w:rPr>
                <w:b/>
                <w:bCs/>
                <w:spacing w:val="-7"/>
              </w:rPr>
              <w:t>重点开发单元</w:t>
            </w:r>
          </w:p>
        </w:tc>
        <w:tc>
          <w:tcPr>
            <w:tcW w:w="1111" w:type="dxa"/>
            <w:vAlign w:val="top"/>
          </w:tcPr>
          <w:p w14:paraId="6B52C9DE">
            <w:pPr>
              <w:pStyle w:val="6"/>
              <w:spacing w:before="168" w:line="219" w:lineRule="auto"/>
              <w:ind w:left="363"/>
            </w:pPr>
            <w:r>
              <w:rPr>
                <w:b/>
                <w:bCs/>
                <w:spacing w:val="-7"/>
              </w:rPr>
              <w:t>合计</w:t>
            </w:r>
          </w:p>
        </w:tc>
        <w:tc>
          <w:tcPr>
            <w:tcW w:w="1149" w:type="dxa"/>
            <w:vAlign w:val="top"/>
          </w:tcPr>
          <w:p w14:paraId="64448842">
            <w:pPr>
              <w:pStyle w:val="6"/>
              <w:spacing w:before="168" w:line="219" w:lineRule="auto"/>
              <w:ind w:left="382"/>
            </w:pPr>
            <w:r>
              <w:rPr>
                <w:b/>
                <w:bCs/>
                <w:spacing w:val="-7"/>
              </w:rPr>
              <w:t>合计</w:t>
            </w:r>
          </w:p>
        </w:tc>
        <w:tc>
          <w:tcPr>
            <w:tcW w:w="1589" w:type="dxa"/>
            <w:vAlign w:val="top"/>
          </w:tcPr>
          <w:p w14:paraId="25B06028">
            <w:pPr>
              <w:rPr>
                <w:rFonts w:ascii="Arial"/>
                <w:sz w:val="21"/>
              </w:rPr>
            </w:pPr>
          </w:p>
        </w:tc>
      </w:tr>
      <w:tr w14:paraId="597C4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505" w:type="dxa"/>
            <w:vAlign w:val="top"/>
          </w:tcPr>
          <w:p w14:paraId="21DA39C5">
            <w:pPr>
              <w:pStyle w:val="6"/>
              <w:spacing w:before="39" w:line="211" w:lineRule="auto"/>
              <w:ind w:left="446"/>
            </w:pPr>
            <w:r>
              <w:rPr>
                <w:b/>
                <w:bCs/>
                <w:spacing w:val="-5"/>
              </w:rPr>
              <w:t>锡尼镇</w:t>
            </w:r>
          </w:p>
        </w:tc>
        <w:tc>
          <w:tcPr>
            <w:tcW w:w="1108" w:type="dxa"/>
            <w:vAlign w:val="top"/>
          </w:tcPr>
          <w:p w14:paraId="72842042">
            <w:pPr>
              <w:pStyle w:val="6"/>
              <w:spacing w:before="82" w:line="184" w:lineRule="auto"/>
              <w:ind w:left="507"/>
              <w:rPr>
                <w:sz w:val="19"/>
                <w:szCs w:val="19"/>
              </w:rPr>
            </w:pPr>
            <w:r>
              <w:rPr>
                <w:sz w:val="19"/>
                <w:szCs w:val="19"/>
              </w:rPr>
              <w:t>6</w:t>
            </w:r>
          </w:p>
        </w:tc>
        <w:tc>
          <w:tcPr>
            <w:tcW w:w="1109" w:type="dxa"/>
            <w:vAlign w:val="top"/>
          </w:tcPr>
          <w:p w14:paraId="70454295">
            <w:pPr>
              <w:pStyle w:val="6"/>
              <w:spacing w:before="82" w:line="184" w:lineRule="auto"/>
              <w:ind w:left="509"/>
              <w:rPr>
                <w:sz w:val="19"/>
                <w:szCs w:val="19"/>
              </w:rPr>
            </w:pPr>
            <w:r>
              <w:rPr>
                <w:sz w:val="19"/>
                <w:szCs w:val="19"/>
              </w:rPr>
              <w:t>2</w:t>
            </w:r>
          </w:p>
        </w:tc>
        <w:tc>
          <w:tcPr>
            <w:tcW w:w="1108" w:type="dxa"/>
            <w:vAlign w:val="top"/>
          </w:tcPr>
          <w:p w14:paraId="0A7F7C09">
            <w:pPr>
              <w:pStyle w:val="6"/>
              <w:spacing w:before="82" w:line="184" w:lineRule="auto"/>
              <w:ind w:left="509"/>
              <w:rPr>
                <w:sz w:val="19"/>
                <w:szCs w:val="19"/>
              </w:rPr>
            </w:pPr>
            <w:r>
              <w:rPr>
                <w:sz w:val="19"/>
                <w:szCs w:val="19"/>
              </w:rPr>
              <w:t>2</w:t>
            </w:r>
          </w:p>
        </w:tc>
        <w:tc>
          <w:tcPr>
            <w:tcW w:w="1108" w:type="dxa"/>
            <w:vAlign w:val="top"/>
          </w:tcPr>
          <w:p w14:paraId="024F42FA">
            <w:pPr>
              <w:pStyle w:val="6"/>
              <w:spacing w:before="82" w:line="184" w:lineRule="auto"/>
              <w:ind w:left="510"/>
              <w:rPr>
                <w:sz w:val="19"/>
                <w:szCs w:val="19"/>
              </w:rPr>
            </w:pPr>
            <w:r>
              <w:rPr>
                <w:sz w:val="19"/>
                <w:szCs w:val="19"/>
              </w:rPr>
              <w:t>2</w:t>
            </w:r>
          </w:p>
        </w:tc>
        <w:tc>
          <w:tcPr>
            <w:tcW w:w="1109" w:type="dxa"/>
            <w:vAlign w:val="top"/>
          </w:tcPr>
          <w:p w14:paraId="79F5FF43">
            <w:pPr>
              <w:rPr>
                <w:rFonts w:ascii="Arial"/>
                <w:sz w:val="21"/>
              </w:rPr>
            </w:pPr>
          </w:p>
        </w:tc>
        <w:tc>
          <w:tcPr>
            <w:tcW w:w="1111" w:type="dxa"/>
            <w:vAlign w:val="top"/>
          </w:tcPr>
          <w:p w14:paraId="22CF3EF8">
            <w:pPr>
              <w:pStyle w:val="6"/>
              <w:spacing w:before="78" w:line="177" w:lineRule="auto"/>
              <w:ind w:left="509"/>
            </w:pPr>
            <w:r>
              <w:rPr>
                <w:b/>
                <w:bCs/>
                <w:spacing w:val="-3"/>
              </w:rPr>
              <w:t>2</w:t>
            </w:r>
          </w:p>
        </w:tc>
        <w:tc>
          <w:tcPr>
            <w:tcW w:w="1108" w:type="dxa"/>
            <w:vAlign w:val="top"/>
          </w:tcPr>
          <w:p w14:paraId="65E9320E">
            <w:pPr>
              <w:pStyle w:val="6"/>
              <w:spacing w:before="78" w:line="177" w:lineRule="auto"/>
              <w:ind w:left="504"/>
            </w:pPr>
            <w:r>
              <w:rPr>
                <w:b/>
                <w:bCs/>
                <w:spacing w:val="-3"/>
              </w:rPr>
              <w:t>4</w:t>
            </w:r>
          </w:p>
        </w:tc>
        <w:tc>
          <w:tcPr>
            <w:tcW w:w="1111" w:type="dxa"/>
            <w:vAlign w:val="top"/>
          </w:tcPr>
          <w:p w14:paraId="774446AB">
            <w:pPr>
              <w:pStyle w:val="6"/>
              <w:spacing w:before="78" w:line="177" w:lineRule="auto"/>
              <w:ind w:left="507"/>
            </w:pPr>
            <w:r>
              <w:rPr>
                <w:b/>
                <w:bCs/>
                <w:spacing w:val="-3"/>
              </w:rPr>
              <w:t>6</w:t>
            </w:r>
          </w:p>
        </w:tc>
        <w:tc>
          <w:tcPr>
            <w:tcW w:w="1111" w:type="dxa"/>
            <w:vAlign w:val="top"/>
          </w:tcPr>
          <w:p w14:paraId="73855CE4">
            <w:pPr>
              <w:pStyle w:val="6"/>
              <w:spacing w:before="77" w:line="178" w:lineRule="auto"/>
              <w:ind w:left="471"/>
            </w:pPr>
            <w:r>
              <w:rPr>
                <w:b/>
                <w:bCs/>
                <w:spacing w:val="-8"/>
              </w:rPr>
              <w:t>12</w:t>
            </w:r>
          </w:p>
        </w:tc>
        <w:tc>
          <w:tcPr>
            <w:tcW w:w="1149" w:type="dxa"/>
            <w:vAlign w:val="top"/>
          </w:tcPr>
          <w:p w14:paraId="085C0AB4">
            <w:pPr>
              <w:pStyle w:val="6"/>
              <w:spacing w:before="77" w:line="178" w:lineRule="auto"/>
              <w:ind w:left="161"/>
            </w:pPr>
            <w:r>
              <w:rPr>
                <w:b/>
                <w:bCs/>
                <w:spacing w:val="-3"/>
              </w:rPr>
              <w:t>2312.979</w:t>
            </w:r>
          </w:p>
        </w:tc>
        <w:tc>
          <w:tcPr>
            <w:tcW w:w="1589" w:type="dxa"/>
            <w:vAlign w:val="top"/>
          </w:tcPr>
          <w:p w14:paraId="015F929F">
            <w:pPr>
              <w:pStyle w:val="6"/>
              <w:spacing w:before="78" w:line="177" w:lineRule="auto"/>
              <w:ind w:left="481"/>
            </w:pPr>
            <w:r>
              <w:rPr>
                <w:b/>
                <w:bCs/>
                <w:spacing w:val="-3"/>
              </w:rPr>
              <w:t>96.50%</w:t>
            </w:r>
          </w:p>
        </w:tc>
      </w:tr>
      <w:tr w14:paraId="542B2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505" w:type="dxa"/>
            <w:vAlign w:val="top"/>
          </w:tcPr>
          <w:p w14:paraId="4CDA96A5">
            <w:pPr>
              <w:pStyle w:val="6"/>
              <w:spacing w:before="39" w:line="211" w:lineRule="auto"/>
              <w:ind w:left="236"/>
            </w:pPr>
            <w:r>
              <w:rPr>
                <w:b/>
                <w:bCs/>
                <w:spacing w:val="-4"/>
              </w:rPr>
              <w:t>独贵塔拉镇</w:t>
            </w:r>
          </w:p>
        </w:tc>
        <w:tc>
          <w:tcPr>
            <w:tcW w:w="1108" w:type="dxa"/>
            <w:vAlign w:val="top"/>
          </w:tcPr>
          <w:p w14:paraId="77606D4F">
            <w:pPr>
              <w:pStyle w:val="6"/>
              <w:spacing w:before="82" w:line="184" w:lineRule="auto"/>
              <w:ind w:left="508"/>
              <w:rPr>
                <w:sz w:val="19"/>
                <w:szCs w:val="19"/>
              </w:rPr>
            </w:pPr>
            <w:r>
              <w:rPr>
                <w:sz w:val="19"/>
                <w:szCs w:val="19"/>
              </w:rPr>
              <w:t>2</w:t>
            </w:r>
          </w:p>
        </w:tc>
        <w:tc>
          <w:tcPr>
            <w:tcW w:w="1109" w:type="dxa"/>
            <w:vAlign w:val="top"/>
          </w:tcPr>
          <w:p w14:paraId="4801A057">
            <w:pPr>
              <w:pStyle w:val="6"/>
              <w:spacing w:before="82" w:line="184" w:lineRule="auto"/>
              <w:ind w:left="509"/>
              <w:rPr>
                <w:sz w:val="19"/>
                <w:szCs w:val="19"/>
              </w:rPr>
            </w:pPr>
            <w:r>
              <w:rPr>
                <w:sz w:val="19"/>
                <w:szCs w:val="19"/>
              </w:rPr>
              <w:t>2</w:t>
            </w:r>
          </w:p>
        </w:tc>
        <w:tc>
          <w:tcPr>
            <w:tcW w:w="1108" w:type="dxa"/>
            <w:vAlign w:val="top"/>
          </w:tcPr>
          <w:p w14:paraId="7C8A49CA">
            <w:pPr>
              <w:pStyle w:val="6"/>
              <w:spacing w:before="82" w:line="184" w:lineRule="auto"/>
              <w:ind w:left="511"/>
              <w:rPr>
                <w:sz w:val="19"/>
                <w:szCs w:val="19"/>
              </w:rPr>
            </w:pPr>
            <w:r>
              <w:rPr>
                <w:sz w:val="19"/>
                <w:szCs w:val="19"/>
              </w:rPr>
              <w:t>3</w:t>
            </w:r>
          </w:p>
        </w:tc>
        <w:tc>
          <w:tcPr>
            <w:tcW w:w="1108" w:type="dxa"/>
            <w:vAlign w:val="top"/>
          </w:tcPr>
          <w:p w14:paraId="4A0C06D1">
            <w:pPr>
              <w:pStyle w:val="6"/>
              <w:spacing w:before="82" w:line="184" w:lineRule="auto"/>
              <w:ind w:left="510"/>
              <w:rPr>
                <w:sz w:val="19"/>
                <w:szCs w:val="19"/>
              </w:rPr>
            </w:pPr>
            <w:r>
              <w:rPr>
                <w:sz w:val="19"/>
                <w:szCs w:val="19"/>
              </w:rPr>
              <w:t>2</w:t>
            </w:r>
          </w:p>
        </w:tc>
        <w:tc>
          <w:tcPr>
            <w:tcW w:w="1109" w:type="dxa"/>
            <w:vAlign w:val="top"/>
          </w:tcPr>
          <w:p w14:paraId="7BF88A34">
            <w:pPr>
              <w:pStyle w:val="6"/>
              <w:spacing w:before="82" w:line="184" w:lineRule="auto"/>
              <w:ind w:left="511"/>
              <w:rPr>
                <w:sz w:val="19"/>
                <w:szCs w:val="19"/>
              </w:rPr>
            </w:pPr>
            <w:r>
              <w:rPr>
                <w:sz w:val="19"/>
                <w:szCs w:val="19"/>
              </w:rPr>
              <w:t>2</w:t>
            </w:r>
          </w:p>
        </w:tc>
        <w:tc>
          <w:tcPr>
            <w:tcW w:w="1111" w:type="dxa"/>
            <w:vAlign w:val="top"/>
          </w:tcPr>
          <w:p w14:paraId="1587161A">
            <w:pPr>
              <w:rPr>
                <w:rFonts w:ascii="Arial"/>
                <w:sz w:val="21"/>
              </w:rPr>
            </w:pPr>
          </w:p>
        </w:tc>
        <w:tc>
          <w:tcPr>
            <w:tcW w:w="1108" w:type="dxa"/>
            <w:vAlign w:val="top"/>
          </w:tcPr>
          <w:p w14:paraId="0BBA8471">
            <w:pPr>
              <w:pStyle w:val="6"/>
              <w:spacing w:before="78" w:line="177" w:lineRule="auto"/>
              <w:ind w:left="504"/>
            </w:pPr>
            <w:r>
              <w:rPr>
                <w:b/>
                <w:bCs/>
                <w:spacing w:val="-3"/>
              </w:rPr>
              <w:t>4</w:t>
            </w:r>
          </w:p>
        </w:tc>
        <w:tc>
          <w:tcPr>
            <w:tcW w:w="1111" w:type="dxa"/>
            <w:vAlign w:val="top"/>
          </w:tcPr>
          <w:p w14:paraId="4E6D7B35">
            <w:pPr>
              <w:pStyle w:val="6"/>
              <w:spacing w:before="79" w:line="176" w:lineRule="auto"/>
              <w:ind w:left="510"/>
            </w:pPr>
            <w:r>
              <w:rPr>
                <w:b/>
                <w:bCs/>
                <w:spacing w:val="-3"/>
              </w:rPr>
              <w:t>7</w:t>
            </w:r>
          </w:p>
        </w:tc>
        <w:tc>
          <w:tcPr>
            <w:tcW w:w="1111" w:type="dxa"/>
            <w:vAlign w:val="top"/>
          </w:tcPr>
          <w:p w14:paraId="05C9CD05">
            <w:pPr>
              <w:pStyle w:val="6"/>
              <w:spacing w:before="77" w:line="178" w:lineRule="auto"/>
              <w:ind w:left="471"/>
            </w:pPr>
            <w:r>
              <w:rPr>
                <w:b/>
                <w:bCs/>
                <w:spacing w:val="-8"/>
              </w:rPr>
              <w:t>11</w:t>
            </w:r>
          </w:p>
        </w:tc>
        <w:tc>
          <w:tcPr>
            <w:tcW w:w="1149" w:type="dxa"/>
            <w:vAlign w:val="top"/>
          </w:tcPr>
          <w:p w14:paraId="3D258440">
            <w:pPr>
              <w:pStyle w:val="6"/>
              <w:spacing w:before="77" w:line="178" w:lineRule="auto"/>
              <w:ind w:left="174"/>
            </w:pPr>
            <w:r>
              <w:rPr>
                <w:b/>
                <w:bCs/>
                <w:spacing w:val="-5"/>
              </w:rPr>
              <w:t>1459.078</w:t>
            </w:r>
          </w:p>
        </w:tc>
        <w:tc>
          <w:tcPr>
            <w:tcW w:w="1589" w:type="dxa"/>
            <w:vAlign w:val="top"/>
          </w:tcPr>
          <w:p w14:paraId="70DF6960">
            <w:pPr>
              <w:pStyle w:val="6"/>
              <w:spacing w:before="78" w:line="177" w:lineRule="auto"/>
              <w:ind w:left="481"/>
            </w:pPr>
            <w:r>
              <w:rPr>
                <w:b/>
                <w:bCs/>
                <w:spacing w:val="-3"/>
              </w:rPr>
              <w:t>99.25%</w:t>
            </w:r>
          </w:p>
        </w:tc>
      </w:tr>
      <w:tr w14:paraId="0A685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505" w:type="dxa"/>
            <w:vAlign w:val="top"/>
          </w:tcPr>
          <w:p w14:paraId="3E4D8DD6">
            <w:pPr>
              <w:pStyle w:val="6"/>
              <w:spacing w:before="39" w:line="211" w:lineRule="auto"/>
              <w:ind w:left="133"/>
            </w:pPr>
            <w:r>
              <w:rPr>
                <w:b/>
                <w:bCs/>
                <w:spacing w:val="-4"/>
              </w:rPr>
              <w:t>伊和乌素苏木</w:t>
            </w:r>
          </w:p>
        </w:tc>
        <w:tc>
          <w:tcPr>
            <w:tcW w:w="1108" w:type="dxa"/>
            <w:vAlign w:val="top"/>
          </w:tcPr>
          <w:p w14:paraId="2B48FF34">
            <w:pPr>
              <w:pStyle w:val="6"/>
              <w:spacing w:before="81" w:line="185" w:lineRule="auto"/>
              <w:ind w:left="520"/>
              <w:rPr>
                <w:sz w:val="19"/>
                <w:szCs w:val="19"/>
              </w:rPr>
            </w:pPr>
            <w:r>
              <w:rPr>
                <w:sz w:val="19"/>
                <w:szCs w:val="19"/>
              </w:rPr>
              <w:t>1</w:t>
            </w:r>
          </w:p>
        </w:tc>
        <w:tc>
          <w:tcPr>
            <w:tcW w:w="1109" w:type="dxa"/>
            <w:vAlign w:val="top"/>
          </w:tcPr>
          <w:p w14:paraId="7D9844DE">
            <w:pPr>
              <w:pStyle w:val="6"/>
              <w:spacing w:before="81" w:line="185" w:lineRule="auto"/>
              <w:ind w:left="521"/>
              <w:rPr>
                <w:sz w:val="19"/>
                <w:szCs w:val="19"/>
              </w:rPr>
            </w:pPr>
            <w:r>
              <w:rPr>
                <w:sz w:val="19"/>
                <w:szCs w:val="19"/>
              </w:rPr>
              <w:t>1</w:t>
            </w:r>
          </w:p>
        </w:tc>
        <w:tc>
          <w:tcPr>
            <w:tcW w:w="1108" w:type="dxa"/>
            <w:vAlign w:val="top"/>
          </w:tcPr>
          <w:p w14:paraId="435EE871">
            <w:pPr>
              <w:rPr>
                <w:rFonts w:ascii="Arial"/>
                <w:sz w:val="21"/>
              </w:rPr>
            </w:pPr>
          </w:p>
        </w:tc>
        <w:tc>
          <w:tcPr>
            <w:tcW w:w="1108" w:type="dxa"/>
            <w:vAlign w:val="top"/>
          </w:tcPr>
          <w:p w14:paraId="15A544C4">
            <w:pPr>
              <w:pStyle w:val="6"/>
              <w:spacing w:before="82" w:line="184" w:lineRule="auto"/>
              <w:ind w:left="510"/>
              <w:rPr>
                <w:sz w:val="19"/>
                <w:szCs w:val="19"/>
              </w:rPr>
            </w:pPr>
            <w:r>
              <w:rPr>
                <w:sz w:val="19"/>
                <w:szCs w:val="19"/>
              </w:rPr>
              <w:t>2</w:t>
            </w:r>
          </w:p>
        </w:tc>
        <w:tc>
          <w:tcPr>
            <w:tcW w:w="1109" w:type="dxa"/>
            <w:vAlign w:val="top"/>
          </w:tcPr>
          <w:p w14:paraId="0072B8C8">
            <w:pPr>
              <w:rPr>
                <w:rFonts w:ascii="Arial"/>
                <w:sz w:val="21"/>
              </w:rPr>
            </w:pPr>
          </w:p>
        </w:tc>
        <w:tc>
          <w:tcPr>
            <w:tcW w:w="1111" w:type="dxa"/>
            <w:vAlign w:val="top"/>
          </w:tcPr>
          <w:p w14:paraId="2D98DB7E">
            <w:pPr>
              <w:rPr>
                <w:rFonts w:ascii="Arial"/>
                <w:sz w:val="21"/>
              </w:rPr>
            </w:pPr>
          </w:p>
        </w:tc>
        <w:tc>
          <w:tcPr>
            <w:tcW w:w="1108" w:type="dxa"/>
            <w:vAlign w:val="top"/>
          </w:tcPr>
          <w:p w14:paraId="737E3C25">
            <w:pPr>
              <w:pStyle w:val="6"/>
              <w:spacing w:before="78" w:line="177" w:lineRule="auto"/>
              <w:ind w:left="507"/>
            </w:pPr>
            <w:r>
              <w:rPr>
                <w:b/>
                <w:bCs/>
                <w:spacing w:val="-3"/>
              </w:rPr>
              <w:t>2</w:t>
            </w:r>
          </w:p>
        </w:tc>
        <w:tc>
          <w:tcPr>
            <w:tcW w:w="1111" w:type="dxa"/>
            <w:vAlign w:val="top"/>
          </w:tcPr>
          <w:p w14:paraId="5C3210AF">
            <w:pPr>
              <w:pStyle w:val="6"/>
              <w:spacing w:before="78" w:line="177" w:lineRule="auto"/>
              <w:ind w:left="508"/>
            </w:pPr>
            <w:r>
              <w:rPr>
                <w:b/>
                <w:bCs/>
                <w:spacing w:val="-3"/>
              </w:rPr>
              <w:t>2</w:t>
            </w:r>
          </w:p>
        </w:tc>
        <w:tc>
          <w:tcPr>
            <w:tcW w:w="1111" w:type="dxa"/>
            <w:vAlign w:val="top"/>
          </w:tcPr>
          <w:p w14:paraId="0F06A73B">
            <w:pPr>
              <w:pStyle w:val="6"/>
              <w:spacing w:before="78" w:line="177" w:lineRule="auto"/>
              <w:ind w:left="508"/>
            </w:pPr>
            <w:r>
              <w:rPr>
                <w:b/>
                <w:bCs/>
                <w:spacing w:val="-3"/>
              </w:rPr>
              <w:t>4</w:t>
            </w:r>
          </w:p>
        </w:tc>
        <w:tc>
          <w:tcPr>
            <w:tcW w:w="1149" w:type="dxa"/>
            <w:vAlign w:val="top"/>
          </w:tcPr>
          <w:p w14:paraId="48D42902">
            <w:pPr>
              <w:pStyle w:val="6"/>
              <w:spacing w:before="77" w:line="178" w:lineRule="auto"/>
              <w:ind w:left="174"/>
            </w:pPr>
            <w:r>
              <w:rPr>
                <w:b/>
                <w:bCs/>
                <w:spacing w:val="-5"/>
              </w:rPr>
              <w:t>1168.299</w:t>
            </w:r>
          </w:p>
        </w:tc>
        <w:tc>
          <w:tcPr>
            <w:tcW w:w="1589" w:type="dxa"/>
            <w:vAlign w:val="top"/>
          </w:tcPr>
          <w:p w14:paraId="04CA4707">
            <w:pPr>
              <w:pStyle w:val="6"/>
              <w:spacing w:before="77" w:line="178" w:lineRule="auto"/>
              <w:ind w:left="481"/>
            </w:pPr>
            <w:r>
              <w:rPr>
                <w:b/>
                <w:bCs/>
                <w:spacing w:val="-3"/>
              </w:rPr>
              <w:t>98.91%</w:t>
            </w:r>
          </w:p>
        </w:tc>
      </w:tr>
      <w:tr w14:paraId="19692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505" w:type="dxa"/>
            <w:vAlign w:val="top"/>
          </w:tcPr>
          <w:p w14:paraId="4D14EB51">
            <w:pPr>
              <w:pStyle w:val="6"/>
              <w:spacing w:before="37" w:line="213" w:lineRule="auto"/>
              <w:ind w:left="139"/>
            </w:pPr>
            <w:r>
              <w:rPr>
                <w:b/>
                <w:bCs/>
                <w:spacing w:val="-5"/>
              </w:rPr>
              <w:t>吉日嘎郎图镇</w:t>
            </w:r>
          </w:p>
        </w:tc>
        <w:tc>
          <w:tcPr>
            <w:tcW w:w="1108" w:type="dxa"/>
            <w:vAlign w:val="top"/>
          </w:tcPr>
          <w:p w14:paraId="4FE0A14D">
            <w:pPr>
              <w:pStyle w:val="6"/>
              <w:spacing w:before="81" w:line="185" w:lineRule="auto"/>
              <w:ind w:left="520"/>
              <w:rPr>
                <w:sz w:val="19"/>
                <w:szCs w:val="19"/>
              </w:rPr>
            </w:pPr>
            <w:r>
              <w:rPr>
                <w:sz w:val="19"/>
                <w:szCs w:val="19"/>
              </w:rPr>
              <w:t>1</w:t>
            </w:r>
          </w:p>
        </w:tc>
        <w:tc>
          <w:tcPr>
            <w:tcW w:w="1109" w:type="dxa"/>
            <w:vAlign w:val="top"/>
          </w:tcPr>
          <w:p w14:paraId="623A967E">
            <w:pPr>
              <w:rPr>
                <w:rFonts w:ascii="Arial"/>
                <w:sz w:val="21"/>
              </w:rPr>
            </w:pPr>
          </w:p>
        </w:tc>
        <w:tc>
          <w:tcPr>
            <w:tcW w:w="1108" w:type="dxa"/>
            <w:vAlign w:val="top"/>
          </w:tcPr>
          <w:p w14:paraId="47B68F01">
            <w:pPr>
              <w:rPr>
                <w:rFonts w:ascii="Arial"/>
                <w:sz w:val="21"/>
              </w:rPr>
            </w:pPr>
          </w:p>
        </w:tc>
        <w:tc>
          <w:tcPr>
            <w:tcW w:w="1108" w:type="dxa"/>
            <w:vAlign w:val="top"/>
          </w:tcPr>
          <w:p w14:paraId="5CD68C6B">
            <w:pPr>
              <w:rPr>
                <w:rFonts w:ascii="Arial"/>
                <w:sz w:val="21"/>
              </w:rPr>
            </w:pPr>
          </w:p>
        </w:tc>
        <w:tc>
          <w:tcPr>
            <w:tcW w:w="1109" w:type="dxa"/>
            <w:vAlign w:val="top"/>
          </w:tcPr>
          <w:p w14:paraId="3057427B">
            <w:pPr>
              <w:rPr>
                <w:rFonts w:ascii="Arial"/>
                <w:sz w:val="21"/>
              </w:rPr>
            </w:pPr>
          </w:p>
        </w:tc>
        <w:tc>
          <w:tcPr>
            <w:tcW w:w="1111" w:type="dxa"/>
            <w:vAlign w:val="top"/>
          </w:tcPr>
          <w:p w14:paraId="18BFF173">
            <w:pPr>
              <w:rPr>
                <w:rFonts w:ascii="Arial"/>
                <w:sz w:val="21"/>
              </w:rPr>
            </w:pPr>
          </w:p>
        </w:tc>
        <w:tc>
          <w:tcPr>
            <w:tcW w:w="1108" w:type="dxa"/>
            <w:vAlign w:val="top"/>
          </w:tcPr>
          <w:p w14:paraId="5571FC05">
            <w:pPr>
              <w:pStyle w:val="6"/>
              <w:spacing w:before="75" w:line="180" w:lineRule="auto"/>
              <w:ind w:left="520"/>
            </w:pPr>
            <w:r>
              <w:rPr>
                <w:b/>
                <w:bCs/>
                <w:spacing w:val="-3"/>
              </w:rPr>
              <w:t>1</w:t>
            </w:r>
          </w:p>
        </w:tc>
        <w:tc>
          <w:tcPr>
            <w:tcW w:w="1111" w:type="dxa"/>
            <w:vAlign w:val="top"/>
          </w:tcPr>
          <w:p w14:paraId="66C1DD62">
            <w:pPr>
              <w:rPr>
                <w:rFonts w:ascii="Arial"/>
                <w:sz w:val="21"/>
              </w:rPr>
            </w:pPr>
          </w:p>
        </w:tc>
        <w:tc>
          <w:tcPr>
            <w:tcW w:w="1111" w:type="dxa"/>
            <w:vAlign w:val="top"/>
          </w:tcPr>
          <w:p w14:paraId="0F264635">
            <w:pPr>
              <w:pStyle w:val="6"/>
              <w:spacing w:before="75" w:line="180" w:lineRule="auto"/>
              <w:ind w:left="524"/>
            </w:pPr>
            <w:r>
              <w:rPr>
                <w:b/>
                <w:bCs/>
                <w:spacing w:val="-3"/>
              </w:rPr>
              <w:t>1</w:t>
            </w:r>
          </w:p>
        </w:tc>
        <w:tc>
          <w:tcPr>
            <w:tcW w:w="1149" w:type="dxa"/>
            <w:vAlign w:val="top"/>
          </w:tcPr>
          <w:p w14:paraId="592121A9">
            <w:pPr>
              <w:pStyle w:val="6"/>
              <w:spacing w:before="76" w:line="179" w:lineRule="auto"/>
              <w:ind w:left="212"/>
            </w:pPr>
            <w:r>
              <w:rPr>
                <w:b/>
                <w:bCs/>
                <w:spacing w:val="-3"/>
              </w:rPr>
              <w:t>94.2644</w:t>
            </w:r>
          </w:p>
        </w:tc>
        <w:tc>
          <w:tcPr>
            <w:tcW w:w="1589" w:type="dxa"/>
            <w:vAlign w:val="top"/>
          </w:tcPr>
          <w:p w14:paraId="04438E93">
            <w:pPr>
              <w:pStyle w:val="6"/>
              <w:spacing w:before="76" w:line="179" w:lineRule="auto"/>
              <w:ind w:left="481"/>
            </w:pPr>
            <w:r>
              <w:rPr>
                <w:b/>
                <w:bCs/>
                <w:spacing w:val="-3"/>
              </w:rPr>
              <w:t>99.00%</w:t>
            </w:r>
          </w:p>
        </w:tc>
      </w:tr>
      <w:tr w14:paraId="57A2F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1505" w:type="dxa"/>
            <w:vAlign w:val="top"/>
          </w:tcPr>
          <w:p w14:paraId="23DB565E">
            <w:pPr>
              <w:pStyle w:val="6"/>
              <w:spacing w:before="37" w:line="211" w:lineRule="auto"/>
              <w:ind w:left="132"/>
            </w:pPr>
            <w:r>
              <w:rPr>
                <w:b/>
                <w:bCs/>
                <w:spacing w:val="-6"/>
              </w:rPr>
              <w:t>呼和木独镇</w:t>
            </w:r>
          </w:p>
        </w:tc>
        <w:tc>
          <w:tcPr>
            <w:tcW w:w="1108" w:type="dxa"/>
            <w:vAlign w:val="top"/>
          </w:tcPr>
          <w:p w14:paraId="7E04FEFD">
            <w:pPr>
              <w:pStyle w:val="6"/>
              <w:spacing w:before="82" w:line="185" w:lineRule="auto"/>
              <w:ind w:left="520"/>
              <w:rPr>
                <w:sz w:val="19"/>
                <w:szCs w:val="19"/>
              </w:rPr>
            </w:pPr>
            <w:r>
              <w:rPr>
                <w:sz w:val="19"/>
                <w:szCs w:val="19"/>
              </w:rPr>
              <w:t>1</w:t>
            </w:r>
          </w:p>
        </w:tc>
        <w:tc>
          <w:tcPr>
            <w:tcW w:w="1109" w:type="dxa"/>
            <w:vAlign w:val="top"/>
          </w:tcPr>
          <w:p w14:paraId="710AC4F3">
            <w:pPr>
              <w:pStyle w:val="6"/>
              <w:spacing w:before="82" w:line="185" w:lineRule="auto"/>
              <w:ind w:left="521"/>
              <w:rPr>
                <w:sz w:val="19"/>
                <w:szCs w:val="19"/>
              </w:rPr>
            </w:pPr>
            <w:r>
              <w:rPr>
                <w:sz w:val="19"/>
                <w:szCs w:val="19"/>
              </w:rPr>
              <w:t>1</w:t>
            </w:r>
          </w:p>
        </w:tc>
        <w:tc>
          <w:tcPr>
            <w:tcW w:w="1108" w:type="dxa"/>
            <w:vAlign w:val="top"/>
          </w:tcPr>
          <w:p w14:paraId="51800E43">
            <w:pPr>
              <w:rPr>
                <w:rFonts w:ascii="Arial"/>
                <w:sz w:val="21"/>
              </w:rPr>
            </w:pPr>
          </w:p>
        </w:tc>
        <w:tc>
          <w:tcPr>
            <w:tcW w:w="1108" w:type="dxa"/>
            <w:vAlign w:val="top"/>
          </w:tcPr>
          <w:p w14:paraId="66DC81D8">
            <w:pPr>
              <w:rPr>
                <w:rFonts w:ascii="Arial"/>
                <w:sz w:val="21"/>
              </w:rPr>
            </w:pPr>
          </w:p>
        </w:tc>
        <w:tc>
          <w:tcPr>
            <w:tcW w:w="1109" w:type="dxa"/>
            <w:vAlign w:val="top"/>
          </w:tcPr>
          <w:p w14:paraId="03EA2DA5">
            <w:pPr>
              <w:rPr>
                <w:rFonts w:ascii="Arial"/>
                <w:sz w:val="21"/>
              </w:rPr>
            </w:pPr>
          </w:p>
        </w:tc>
        <w:tc>
          <w:tcPr>
            <w:tcW w:w="1111" w:type="dxa"/>
            <w:vAlign w:val="top"/>
          </w:tcPr>
          <w:p w14:paraId="76EEBCEC">
            <w:pPr>
              <w:rPr>
                <w:rFonts w:ascii="Arial"/>
                <w:sz w:val="21"/>
              </w:rPr>
            </w:pPr>
          </w:p>
        </w:tc>
        <w:tc>
          <w:tcPr>
            <w:tcW w:w="1108" w:type="dxa"/>
            <w:vAlign w:val="top"/>
          </w:tcPr>
          <w:p w14:paraId="1A269CB9">
            <w:pPr>
              <w:pStyle w:val="6"/>
              <w:spacing w:before="76" w:line="177" w:lineRule="auto"/>
              <w:ind w:left="901"/>
            </w:pPr>
            <w:r>
              <w:rPr>
                <w:b/>
                <w:bCs/>
                <w:spacing w:val="-3"/>
              </w:rPr>
              <w:t>2</w:t>
            </w:r>
          </w:p>
        </w:tc>
        <w:tc>
          <w:tcPr>
            <w:tcW w:w="1111" w:type="dxa"/>
            <w:vAlign w:val="top"/>
          </w:tcPr>
          <w:p w14:paraId="03B3CC8F">
            <w:pPr>
              <w:rPr>
                <w:rFonts w:ascii="Arial"/>
                <w:sz w:val="21"/>
              </w:rPr>
            </w:pPr>
          </w:p>
        </w:tc>
        <w:tc>
          <w:tcPr>
            <w:tcW w:w="1111" w:type="dxa"/>
            <w:vAlign w:val="top"/>
          </w:tcPr>
          <w:p w14:paraId="1AE1CF17">
            <w:pPr>
              <w:pStyle w:val="6"/>
              <w:spacing w:before="76" w:line="177" w:lineRule="auto"/>
              <w:ind w:left="907"/>
            </w:pPr>
            <w:r>
              <w:rPr>
                <w:b/>
                <w:bCs/>
                <w:spacing w:val="-3"/>
              </w:rPr>
              <w:t>2</w:t>
            </w:r>
          </w:p>
        </w:tc>
        <w:tc>
          <w:tcPr>
            <w:tcW w:w="1149" w:type="dxa"/>
            <w:vAlign w:val="top"/>
          </w:tcPr>
          <w:p w14:paraId="6D8B1ED6">
            <w:pPr>
              <w:pStyle w:val="6"/>
              <w:spacing w:before="76" w:line="177" w:lineRule="auto"/>
              <w:ind w:left="308"/>
            </w:pPr>
            <w:r>
              <w:rPr>
                <w:b/>
                <w:bCs/>
                <w:spacing w:val="-3"/>
              </w:rPr>
              <w:t>98.0605</w:t>
            </w:r>
          </w:p>
        </w:tc>
        <w:tc>
          <w:tcPr>
            <w:tcW w:w="1589" w:type="dxa"/>
            <w:vAlign w:val="top"/>
          </w:tcPr>
          <w:p w14:paraId="1EEADA3E">
            <w:pPr>
              <w:pStyle w:val="6"/>
              <w:spacing w:before="76" w:line="177" w:lineRule="auto"/>
              <w:ind w:left="481"/>
            </w:pPr>
            <w:r>
              <w:rPr>
                <w:b/>
                <w:bCs/>
                <w:spacing w:val="-3"/>
              </w:rPr>
              <w:t>99.88%</w:t>
            </w:r>
          </w:p>
        </w:tc>
      </w:tr>
      <w:tr w14:paraId="221D3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1505" w:type="dxa"/>
            <w:vAlign w:val="top"/>
          </w:tcPr>
          <w:p w14:paraId="61C080EB">
            <w:pPr>
              <w:pStyle w:val="6"/>
              <w:spacing w:before="48" w:line="218" w:lineRule="auto"/>
              <w:ind w:left="370"/>
            </w:pPr>
            <w:r>
              <w:rPr>
                <w:b/>
                <w:bCs/>
                <w:spacing w:val="-10"/>
              </w:rPr>
              <w:t>巴拉贡镇</w:t>
            </w:r>
          </w:p>
        </w:tc>
        <w:tc>
          <w:tcPr>
            <w:tcW w:w="1108" w:type="dxa"/>
            <w:vAlign w:val="top"/>
          </w:tcPr>
          <w:p w14:paraId="4A472A84">
            <w:pPr>
              <w:rPr>
                <w:rFonts w:ascii="Arial"/>
                <w:sz w:val="21"/>
              </w:rPr>
            </w:pPr>
          </w:p>
        </w:tc>
        <w:tc>
          <w:tcPr>
            <w:tcW w:w="1109" w:type="dxa"/>
            <w:vAlign w:val="top"/>
          </w:tcPr>
          <w:p w14:paraId="7B576F00">
            <w:pPr>
              <w:pStyle w:val="6"/>
              <w:spacing w:before="91" w:line="185" w:lineRule="auto"/>
              <w:ind w:left="521"/>
              <w:rPr>
                <w:sz w:val="19"/>
                <w:szCs w:val="19"/>
              </w:rPr>
            </w:pPr>
            <w:r>
              <w:rPr>
                <w:sz w:val="19"/>
                <w:szCs w:val="19"/>
              </w:rPr>
              <w:t>1</w:t>
            </w:r>
          </w:p>
        </w:tc>
        <w:tc>
          <w:tcPr>
            <w:tcW w:w="1108" w:type="dxa"/>
            <w:vAlign w:val="top"/>
          </w:tcPr>
          <w:p w14:paraId="7013E869">
            <w:pPr>
              <w:rPr>
                <w:rFonts w:ascii="Arial"/>
                <w:sz w:val="21"/>
              </w:rPr>
            </w:pPr>
          </w:p>
        </w:tc>
        <w:tc>
          <w:tcPr>
            <w:tcW w:w="1108" w:type="dxa"/>
            <w:vAlign w:val="top"/>
          </w:tcPr>
          <w:p w14:paraId="0DD7F2B3">
            <w:pPr>
              <w:pStyle w:val="6"/>
              <w:spacing w:before="91" w:line="185" w:lineRule="auto"/>
              <w:ind w:left="522"/>
              <w:rPr>
                <w:sz w:val="19"/>
                <w:szCs w:val="19"/>
              </w:rPr>
            </w:pPr>
            <w:r>
              <w:rPr>
                <w:sz w:val="19"/>
                <w:szCs w:val="19"/>
              </w:rPr>
              <w:t>1</w:t>
            </w:r>
          </w:p>
        </w:tc>
        <w:tc>
          <w:tcPr>
            <w:tcW w:w="1109" w:type="dxa"/>
            <w:vAlign w:val="top"/>
          </w:tcPr>
          <w:p w14:paraId="79A0B59F">
            <w:pPr>
              <w:rPr>
                <w:rFonts w:ascii="Arial"/>
                <w:sz w:val="21"/>
              </w:rPr>
            </w:pPr>
          </w:p>
        </w:tc>
        <w:tc>
          <w:tcPr>
            <w:tcW w:w="1111" w:type="dxa"/>
            <w:vAlign w:val="top"/>
          </w:tcPr>
          <w:p w14:paraId="3DE78CE6">
            <w:pPr>
              <w:rPr>
                <w:rFonts w:ascii="Arial"/>
                <w:sz w:val="21"/>
              </w:rPr>
            </w:pPr>
          </w:p>
        </w:tc>
        <w:tc>
          <w:tcPr>
            <w:tcW w:w="1108" w:type="dxa"/>
            <w:vAlign w:val="top"/>
          </w:tcPr>
          <w:p w14:paraId="3769C7B6">
            <w:pPr>
              <w:pStyle w:val="6"/>
              <w:spacing w:before="85" w:line="180" w:lineRule="auto"/>
              <w:ind w:left="520"/>
            </w:pPr>
            <w:r>
              <w:rPr>
                <w:b/>
                <w:bCs/>
                <w:spacing w:val="-3"/>
              </w:rPr>
              <w:t>1</w:t>
            </w:r>
          </w:p>
        </w:tc>
        <w:tc>
          <w:tcPr>
            <w:tcW w:w="1111" w:type="dxa"/>
            <w:vAlign w:val="top"/>
          </w:tcPr>
          <w:p w14:paraId="408D07B9">
            <w:pPr>
              <w:pStyle w:val="6"/>
              <w:spacing w:before="85" w:line="180" w:lineRule="auto"/>
              <w:ind w:left="521"/>
            </w:pPr>
            <w:r>
              <w:rPr>
                <w:b/>
                <w:bCs/>
                <w:spacing w:val="-3"/>
              </w:rPr>
              <w:t>1</w:t>
            </w:r>
          </w:p>
        </w:tc>
        <w:tc>
          <w:tcPr>
            <w:tcW w:w="1111" w:type="dxa"/>
            <w:vAlign w:val="top"/>
          </w:tcPr>
          <w:p w14:paraId="55879DD0">
            <w:pPr>
              <w:pStyle w:val="6"/>
              <w:spacing w:before="86" w:line="179" w:lineRule="auto"/>
              <w:ind w:left="511"/>
            </w:pPr>
            <w:r>
              <w:rPr>
                <w:b/>
                <w:bCs/>
                <w:spacing w:val="-3"/>
              </w:rPr>
              <w:t>2</w:t>
            </w:r>
          </w:p>
        </w:tc>
        <w:tc>
          <w:tcPr>
            <w:tcW w:w="1149" w:type="dxa"/>
            <w:vAlign w:val="top"/>
          </w:tcPr>
          <w:p w14:paraId="26889860">
            <w:pPr>
              <w:pStyle w:val="6"/>
              <w:spacing w:before="85" w:line="180" w:lineRule="auto"/>
              <w:ind w:left="210"/>
            </w:pPr>
            <w:r>
              <w:rPr>
                <w:b/>
                <w:bCs/>
                <w:spacing w:val="-3"/>
              </w:rPr>
              <w:t>451.672</w:t>
            </w:r>
          </w:p>
        </w:tc>
        <w:tc>
          <w:tcPr>
            <w:tcW w:w="1589" w:type="dxa"/>
            <w:vAlign w:val="top"/>
          </w:tcPr>
          <w:p w14:paraId="2B85FD8F">
            <w:pPr>
              <w:pStyle w:val="6"/>
              <w:spacing w:before="85" w:line="180" w:lineRule="auto"/>
              <w:ind w:left="443"/>
            </w:pPr>
            <w:r>
              <w:rPr>
                <w:b/>
                <w:bCs/>
                <w:spacing w:val="-5"/>
              </w:rPr>
              <w:t>100.00%</w:t>
            </w:r>
          </w:p>
        </w:tc>
      </w:tr>
      <w:tr w14:paraId="67E85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505" w:type="dxa"/>
            <w:vAlign w:val="top"/>
          </w:tcPr>
          <w:p w14:paraId="72914689">
            <w:pPr>
              <w:pStyle w:val="6"/>
              <w:spacing w:before="56" w:line="219" w:lineRule="auto"/>
              <w:ind w:left="557"/>
            </w:pPr>
            <w:r>
              <w:rPr>
                <w:b/>
                <w:bCs/>
                <w:spacing w:val="-7"/>
              </w:rPr>
              <w:t>合计</w:t>
            </w:r>
          </w:p>
        </w:tc>
        <w:tc>
          <w:tcPr>
            <w:tcW w:w="1108" w:type="dxa"/>
            <w:vAlign w:val="top"/>
          </w:tcPr>
          <w:p w14:paraId="6790A20A">
            <w:pPr>
              <w:pStyle w:val="6"/>
              <w:spacing w:before="97" w:line="185" w:lineRule="auto"/>
              <w:ind w:left="470"/>
              <w:rPr>
                <w:sz w:val="19"/>
                <w:szCs w:val="19"/>
              </w:rPr>
            </w:pPr>
            <w:r>
              <w:rPr>
                <w:spacing w:val="-3"/>
                <w:sz w:val="19"/>
                <w:szCs w:val="19"/>
              </w:rPr>
              <w:t>11</w:t>
            </w:r>
          </w:p>
        </w:tc>
        <w:tc>
          <w:tcPr>
            <w:tcW w:w="1109" w:type="dxa"/>
            <w:vAlign w:val="top"/>
          </w:tcPr>
          <w:p w14:paraId="6FC5E03C">
            <w:pPr>
              <w:pStyle w:val="6"/>
              <w:spacing w:before="99" w:line="183" w:lineRule="auto"/>
              <w:ind w:left="511"/>
              <w:rPr>
                <w:sz w:val="19"/>
                <w:szCs w:val="19"/>
              </w:rPr>
            </w:pPr>
            <w:r>
              <w:rPr>
                <w:sz w:val="19"/>
                <w:szCs w:val="19"/>
              </w:rPr>
              <w:t>7</w:t>
            </w:r>
          </w:p>
        </w:tc>
        <w:tc>
          <w:tcPr>
            <w:tcW w:w="1108" w:type="dxa"/>
            <w:vAlign w:val="top"/>
          </w:tcPr>
          <w:p w14:paraId="0EB7D308">
            <w:pPr>
              <w:pStyle w:val="6"/>
              <w:spacing w:before="99" w:line="183" w:lineRule="auto"/>
              <w:ind w:left="511"/>
              <w:rPr>
                <w:sz w:val="19"/>
                <w:szCs w:val="19"/>
              </w:rPr>
            </w:pPr>
            <w:r>
              <w:rPr>
                <w:sz w:val="19"/>
                <w:szCs w:val="19"/>
              </w:rPr>
              <w:t>5</w:t>
            </w:r>
          </w:p>
        </w:tc>
        <w:tc>
          <w:tcPr>
            <w:tcW w:w="1108" w:type="dxa"/>
            <w:vAlign w:val="top"/>
          </w:tcPr>
          <w:p w14:paraId="2C61EC2C">
            <w:pPr>
              <w:pStyle w:val="6"/>
              <w:spacing w:before="99" w:line="183" w:lineRule="auto"/>
              <w:ind w:left="512"/>
              <w:rPr>
                <w:sz w:val="19"/>
                <w:szCs w:val="19"/>
              </w:rPr>
            </w:pPr>
            <w:r>
              <w:rPr>
                <w:sz w:val="19"/>
                <w:szCs w:val="19"/>
              </w:rPr>
              <w:t>7</w:t>
            </w:r>
          </w:p>
        </w:tc>
        <w:tc>
          <w:tcPr>
            <w:tcW w:w="1109" w:type="dxa"/>
            <w:vAlign w:val="top"/>
          </w:tcPr>
          <w:p w14:paraId="4D0FB396">
            <w:pPr>
              <w:pStyle w:val="6"/>
              <w:spacing w:before="98" w:line="184" w:lineRule="auto"/>
              <w:ind w:left="511"/>
              <w:rPr>
                <w:sz w:val="19"/>
                <w:szCs w:val="19"/>
              </w:rPr>
            </w:pPr>
            <w:r>
              <w:rPr>
                <w:sz w:val="19"/>
                <w:szCs w:val="19"/>
              </w:rPr>
              <w:t>2</w:t>
            </w:r>
          </w:p>
        </w:tc>
        <w:tc>
          <w:tcPr>
            <w:tcW w:w="1111" w:type="dxa"/>
            <w:vAlign w:val="top"/>
          </w:tcPr>
          <w:p w14:paraId="7102CA26">
            <w:pPr>
              <w:pStyle w:val="6"/>
              <w:spacing w:before="98" w:line="184" w:lineRule="auto"/>
              <w:ind w:left="511"/>
              <w:rPr>
                <w:sz w:val="19"/>
                <w:szCs w:val="19"/>
              </w:rPr>
            </w:pPr>
            <w:r>
              <w:rPr>
                <w:sz w:val="19"/>
                <w:szCs w:val="19"/>
              </w:rPr>
              <w:t>2</w:t>
            </w:r>
          </w:p>
        </w:tc>
        <w:tc>
          <w:tcPr>
            <w:tcW w:w="1108" w:type="dxa"/>
            <w:vAlign w:val="top"/>
          </w:tcPr>
          <w:p w14:paraId="4EBADD1E">
            <w:pPr>
              <w:pStyle w:val="6"/>
              <w:spacing w:before="97" w:line="185" w:lineRule="auto"/>
              <w:ind w:left="471"/>
              <w:rPr>
                <w:sz w:val="19"/>
                <w:szCs w:val="19"/>
              </w:rPr>
            </w:pPr>
            <w:r>
              <w:rPr>
                <w:spacing w:val="-3"/>
                <w:sz w:val="19"/>
                <w:szCs w:val="19"/>
              </w:rPr>
              <w:t>14</w:t>
            </w:r>
          </w:p>
        </w:tc>
        <w:tc>
          <w:tcPr>
            <w:tcW w:w="1111" w:type="dxa"/>
            <w:vAlign w:val="top"/>
          </w:tcPr>
          <w:p w14:paraId="70C9A9D5">
            <w:pPr>
              <w:pStyle w:val="6"/>
              <w:spacing w:before="97" w:line="185" w:lineRule="auto"/>
              <w:ind w:left="474"/>
              <w:rPr>
                <w:sz w:val="19"/>
                <w:szCs w:val="19"/>
              </w:rPr>
            </w:pPr>
            <w:r>
              <w:rPr>
                <w:spacing w:val="-3"/>
                <w:sz w:val="19"/>
                <w:szCs w:val="19"/>
              </w:rPr>
              <w:t>16</w:t>
            </w:r>
          </w:p>
        </w:tc>
        <w:tc>
          <w:tcPr>
            <w:tcW w:w="1111" w:type="dxa"/>
            <w:vAlign w:val="top"/>
          </w:tcPr>
          <w:p w14:paraId="7BBD67E3">
            <w:pPr>
              <w:pStyle w:val="6"/>
              <w:spacing w:before="98" w:line="184" w:lineRule="auto"/>
              <w:ind w:left="466"/>
              <w:rPr>
                <w:sz w:val="19"/>
                <w:szCs w:val="19"/>
              </w:rPr>
            </w:pPr>
            <w:r>
              <w:rPr>
                <w:spacing w:val="-1"/>
                <w:sz w:val="19"/>
                <w:szCs w:val="19"/>
              </w:rPr>
              <w:t>32</w:t>
            </w:r>
          </w:p>
        </w:tc>
        <w:tc>
          <w:tcPr>
            <w:tcW w:w="1149" w:type="dxa"/>
            <w:vAlign w:val="top"/>
          </w:tcPr>
          <w:p w14:paraId="10B7D54B">
            <w:pPr>
              <w:pStyle w:val="6"/>
              <w:spacing w:before="98" w:line="184" w:lineRule="auto"/>
              <w:ind w:left="135"/>
              <w:rPr>
                <w:sz w:val="19"/>
                <w:szCs w:val="19"/>
              </w:rPr>
            </w:pPr>
            <w:r>
              <w:rPr>
                <w:spacing w:val="3"/>
                <w:sz w:val="19"/>
                <w:szCs w:val="19"/>
              </w:rPr>
              <w:t>5584.3533</w:t>
            </w:r>
          </w:p>
        </w:tc>
        <w:tc>
          <w:tcPr>
            <w:tcW w:w="1589" w:type="dxa"/>
            <w:vAlign w:val="top"/>
          </w:tcPr>
          <w:p w14:paraId="31B3B92A">
            <w:pPr>
              <w:pStyle w:val="6"/>
              <w:spacing w:before="93" w:line="180" w:lineRule="auto"/>
              <w:ind w:left="481"/>
            </w:pPr>
            <w:r>
              <w:rPr>
                <w:b/>
                <w:bCs/>
                <w:spacing w:val="-3"/>
              </w:rPr>
              <w:t>98.11%</w:t>
            </w:r>
          </w:p>
        </w:tc>
      </w:tr>
    </w:tbl>
    <w:p w14:paraId="3C8DD036">
      <w:pPr>
        <w:pStyle w:val="2"/>
      </w:pPr>
    </w:p>
    <w:p w14:paraId="4A7561EC">
      <w:pPr>
        <w:sectPr>
          <w:headerReference r:id="rId33" w:type="default"/>
          <w:footerReference r:id="rId34" w:type="default"/>
          <w:pgSz w:w="16841" w:h="11907"/>
          <w:pgMar w:top="1091" w:right="1303" w:bottom="1166" w:left="1305" w:header="859" w:footer="989" w:gutter="0"/>
          <w:cols w:space="720" w:num="1"/>
        </w:sectPr>
      </w:pPr>
    </w:p>
    <w:p w14:paraId="374F2E84">
      <w:pPr>
        <w:pStyle w:val="2"/>
        <w:spacing w:line="324" w:lineRule="auto"/>
      </w:pPr>
    </w:p>
    <w:p w14:paraId="2CFD42A6">
      <w:pPr>
        <w:spacing w:line="8602" w:lineRule="exact"/>
        <w:ind w:firstLine="1195"/>
      </w:pPr>
      <w:r>
        <w:rPr>
          <w:position w:val="-172"/>
        </w:rPr>
        <w:drawing>
          <wp:inline distT="0" distB="0" distL="0" distR="0">
            <wp:extent cx="7714615" cy="546163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88"/>
                    <a:stretch>
                      <a:fillRect/>
                    </a:stretch>
                  </pic:blipFill>
                  <pic:spPr>
                    <a:xfrm>
                      <a:off x="0" y="0"/>
                      <a:ext cx="7714996" cy="5462015"/>
                    </a:xfrm>
                    <a:prstGeom prst="rect">
                      <a:avLst/>
                    </a:prstGeom>
                  </pic:spPr>
                </pic:pic>
              </a:graphicData>
            </a:graphic>
          </wp:inline>
        </w:drawing>
      </w:r>
    </w:p>
    <w:p w14:paraId="429CFC60">
      <w:pPr>
        <w:spacing w:before="193" w:line="220" w:lineRule="auto"/>
        <w:ind w:left="5382"/>
        <w:rPr>
          <w:rFonts w:ascii="宋体" w:hAnsi="宋体" w:eastAsia="宋体" w:cs="宋体"/>
          <w:sz w:val="18"/>
          <w:szCs w:val="18"/>
        </w:rPr>
      </w:pPr>
      <w:r>
        <w:rPr>
          <w:rFonts w:ascii="宋体" w:hAnsi="宋体" w:eastAsia="宋体" w:cs="宋体"/>
          <w:b/>
          <w:bCs/>
          <w:spacing w:val="-3"/>
          <w:sz w:val="18"/>
          <w:szCs w:val="18"/>
        </w:rPr>
        <w:t>图</w:t>
      </w:r>
      <w:r>
        <w:rPr>
          <w:rFonts w:ascii="Times New Roman" w:hAnsi="Times New Roman" w:eastAsia="Times New Roman" w:cs="Times New Roman"/>
          <w:b/>
          <w:bCs/>
          <w:spacing w:val="-3"/>
          <w:sz w:val="18"/>
          <w:szCs w:val="18"/>
        </w:rPr>
        <w:t>3</w:t>
      </w:r>
      <w:r>
        <w:rPr>
          <w:rFonts w:hint="eastAsia" w:ascii="Times New Roman" w:hAnsi="Times New Roman" w:eastAsia="宋体" w:cs="Times New Roman"/>
          <w:b/>
          <w:bCs/>
          <w:spacing w:val="-3"/>
          <w:sz w:val="18"/>
          <w:szCs w:val="18"/>
          <w:lang w:eastAsia="zh-CN"/>
        </w:rPr>
        <w:t>—</w:t>
      </w:r>
      <w:r>
        <w:rPr>
          <w:rFonts w:ascii="Times New Roman" w:hAnsi="Times New Roman" w:eastAsia="Times New Roman" w:cs="Times New Roman"/>
          <w:b/>
          <w:bCs/>
          <w:spacing w:val="-3"/>
          <w:sz w:val="18"/>
          <w:szCs w:val="18"/>
        </w:rPr>
        <w:t>1</w:t>
      </w:r>
      <w:r>
        <w:rPr>
          <w:rFonts w:ascii="宋体" w:hAnsi="宋体" w:eastAsia="宋体" w:cs="宋体"/>
          <w:b/>
          <w:bCs/>
          <w:spacing w:val="-3"/>
          <w:sz w:val="18"/>
          <w:szCs w:val="18"/>
        </w:rPr>
        <w:t>杭锦旗国土空间详细规划单元划定图</w:t>
      </w:r>
    </w:p>
    <w:p w14:paraId="70340BB0">
      <w:pPr>
        <w:spacing w:line="220" w:lineRule="auto"/>
        <w:rPr>
          <w:rFonts w:ascii="宋体" w:hAnsi="宋体" w:eastAsia="宋体" w:cs="宋体"/>
          <w:sz w:val="18"/>
          <w:szCs w:val="18"/>
        </w:rPr>
        <w:sectPr>
          <w:headerReference r:id="rId35" w:type="default"/>
          <w:footerReference r:id="rId36" w:type="default"/>
          <w:pgSz w:w="16841" w:h="11907"/>
          <w:pgMar w:top="1091" w:right="1387" w:bottom="1165" w:left="1389" w:header="859" w:footer="989" w:gutter="0"/>
          <w:cols w:space="720" w:num="1"/>
        </w:sectPr>
      </w:pPr>
    </w:p>
    <w:p w14:paraId="5AE210DC">
      <w:pPr>
        <w:pStyle w:val="2"/>
        <w:spacing w:line="395" w:lineRule="auto"/>
      </w:pPr>
    </w:p>
    <w:p w14:paraId="76128F18">
      <w:pPr>
        <w:spacing w:before="91" w:line="221" w:lineRule="auto"/>
        <w:ind w:left="45"/>
        <w:outlineLvl w:val="0"/>
        <w:rPr>
          <w:rFonts w:ascii="宋体" w:hAnsi="宋体" w:eastAsia="宋体" w:cs="宋体"/>
          <w:sz w:val="28"/>
          <w:szCs w:val="28"/>
        </w:rPr>
      </w:pPr>
      <w:bookmarkStart w:id="55" w:name="bookmark35"/>
      <w:bookmarkEnd w:id="55"/>
      <w:bookmarkStart w:id="56" w:name="bookmark36"/>
      <w:bookmarkEnd w:id="56"/>
      <w:r>
        <w:rPr>
          <w:rFonts w:ascii="宋体" w:hAnsi="宋体" w:eastAsia="宋体" w:cs="宋体"/>
          <w:b/>
          <w:bCs/>
          <w:spacing w:val="-5"/>
          <w:sz w:val="28"/>
          <w:szCs w:val="28"/>
        </w:rPr>
        <w:t>3.3详细规划单元划分方案</w:t>
      </w:r>
    </w:p>
    <w:p w14:paraId="2DB7B3B7">
      <w:pPr>
        <w:pStyle w:val="2"/>
        <w:spacing w:line="244" w:lineRule="auto"/>
      </w:pPr>
    </w:p>
    <w:p w14:paraId="389DA75E">
      <w:pPr>
        <w:spacing w:before="78" w:line="220" w:lineRule="auto"/>
        <w:ind w:left="42"/>
        <w:rPr>
          <w:rFonts w:ascii="宋体" w:hAnsi="宋体" w:eastAsia="宋体" w:cs="宋体"/>
          <w:sz w:val="24"/>
          <w:szCs w:val="24"/>
        </w:rPr>
      </w:pPr>
      <w:r>
        <w:rPr>
          <w:rFonts w:ascii="宋体" w:hAnsi="宋体" w:eastAsia="宋体" w:cs="宋体"/>
          <w:spacing w:val="-2"/>
          <w:sz w:val="24"/>
          <w:szCs w:val="24"/>
        </w:rPr>
        <w:t>3.3.1锡尼镇中心城区和工业园区单元划分</w:t>
      </w:r>
    </w:p>
    <w:p w14:paraId="6AA56809">
      <w:pPr>
        <w:spacing w:before="179" w:line="220" w:lineRule="auto"/>
        <w:ind w:left="535"/>
        <w:rPr>
          <w:rFonts w:ascii="宋体" w:hAnsi="宋体" w:eastAsia="宋体" w:cs="宋体"/>
          <w:sz w:val="24"/>
          <w:szCs w:val="24"/>
        </w:rPr>
      </w:pPr>
      <w:r>
        <w:rPr>
          <w:rFonts w:ascii="宋体" w:hAnsi="宋体" w:eastAsia="宋体" w:cs="宋体"/>
          <w:spacing w:val="-3"/>
          <w:sz w:val="24"/>
          <w:szCs w:val="24"/>
        </w:rPr>
        <w:t>1.锡尼镇呼和木独街以北商业市场</w:t>
      </w:r>
    </w:p>
    <w:p w14:paraId="287BD347">
      <w:pPr>
        <w:spacing w:before="145" w:line="9259" w:lineRule="exact"/>
        <w:ind w:firstLine="507"/>
      </w:pPr>
      <w:r>
        <w:rPr>
          <w:position w:val="-185"/>
        </w:rPr>
        <w:drawing>
          <wp:inline distT="0" distB="0" distL="0" distR="0">
            <wp:extent cx="5760085" cy="587883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89"/>
                    <a:stretch>
                      <a:fillRect/>
                    </a:stretch>
                  </pic:blipFill>
                  <pic:spPr>
                    <a:xfrm>
                      <a:off x="0" y="0"/>
                      <a:ext cx="5760085" cy="5879210"/>
                    </a:xfrm>
                    <a:prstGeom prst="rect">
                      <a:avLst/>
                    </a:prstGeom>
                  </pic:spPr>
                </pic:pic>
              </a:graphicData>
            </a:graphic>
          </wp:inline>
        </w:drawing>
      </w:r>
    </w:p>
    <w:p w14:paraId="134D91F5">
      <w:pPr>
        <w:spacing w:before="203" w:line="220" w:lineRule="auto"/>
        <w:ind w:left="519"/>
        <w:rPr>
          <w:rFonts w:ascii="宋体" w:hAnsi="宋体" w:eastAsia="宋体" w:cs="宋体"/>
          <w:sz w:val="24"/>
          <w:szCs w:val="24"/>
        </w:rPr>
      </w:pPr>
      <w:r>
        <w:rPr>
          <w:rFonts w:ascii="宋体" w:hAnsi="宋体" w:eastAsia="宋体" w:cs="宋体"/>
          <w:spacing w:val="-2"/>
          <w:sz w:val="24"/>
          <w:szCs w:val="24"/>
        </w:rPr>
        <w:t>面积：1275078平方米</w:t>
      </w:r>
    </w:p>
    <w:p w14:paraId="452F4723">
      <w:pPr>
        <w:spacing w:before="182" w:line="220" w:lineRule="auto"/>
        <w:ind w:left="520"/>
        <w:rPr>
          <w:rFonts w:ascii="宋体" w:hAnsi="宋体" w:eastAsia="宋体" w:cs="宋体"/>
          <w:sz w:val="24"/>
          <w:szCs w:val="24"/>
        </w:rPr>
      </w:pPr>
      <w:r>
        <w:rPr>
          <w:rFonts w:ascii="宋体" w:hAnsi="宋体" w:eastAsia="宋体" w:cs="宋体"/>
          <w:spacing w:val="-1"/>
          <w:sz w:val="24"/>
          <w:szCs w:val="24"/>
        </w:rPr>
        <w:t>主导功能：商业商务类</w:t>
      </w:r>
    </w:p>
    <w:p w14:paraId="19A4A15B">
      <w:pPr>
        <w:spacing w:before="180" w:line="220" w:lineRule="auto"/>
        <w:ind w:left="521"/>
        <w:rPr>
          <w:rFonts w:ascii="宋体" w:hAnsi="宋体" w:eastAsia="宋体" w:cs="宋体"/>
          <w:sz w:val="24"/>
          <w:szCs w:val="24"/>
        </w:rPr>
      </w:pPr>
      <w:r>
        <w:rPr>
          <w:rFonts w:ascii="宋体" w:hAnsi="宋体" w:eastAsia="宋体" w:cs="宋体"/>
          <w:spacing w:val="-2"/>
          <w:sz w:val="24"/>
          <w:szCs w:val="24"/>
        </w:rPr>
        <w:t>建设用地面积：1275171平方米</w:t>
      </w:r>
    </w:p>
    <w:p w14:paraId="31C69C38">
      <w:pPr>
        <w:spacing w:before="182" w:line="345" w:lineRule="auto"/>
        <w:ind w:left="40" w:right="478" w:firstLine="479"/>
        <w:rPr>
          <w:rFonts w:ascii="宋体" w:hAnsi="宋体" w:eastAsia="宋体" w:cs="宋体"/>
          <w:sz w:val="24"/>
          <w:szCs w:val="24"/>
        </w:rPr>
      </w:pPr>
      <w:r>
        <w:rPr>
          <w:rFonts w:ascii="宋体" w:hAnsi="宋体" w:eastAsia="宋体" w:cs="宋体"/>
          <w:spacing w:val="-7"/>
          <w:sz w:val="24"/>
          <w:szCs w:val="24"/>
        </w:rPr>
        <w:t>要求符合绿、蓝、红、黄四类控制线，建筑风格应与当地传统文化和城市风貌相协</w:t>
      </w:r>
      <w:r>
        <w:rPr>
          <w:rFonts w:ascii="宋体" w:hAnsi="宋体" w:eastAsia="宋体" w:cs="宋体"/>
          <w:spacing w:val="-2"/>
          <w:sz w:val="24"/>
          <w:szCs w:val="24"/>
        </w:rPr>
        <w:t>调，配备停车场、公共休息区、卫生间、餐饮区等配套设施。</w:t>
      </w:r>
    </w:p>
    <w:p w14:paraId="0C3FCFA0">
      <w:pPr>
        <w:spacing w:line="345" w:lineRule="auto"/>
        <w:rPr>
          <w:rFonts w:ascii="宋体" w:hAnsi="宋体" w:eastAsia="宋体" w:cs="宋体"/>
          <w:sz w:val="24"/>
          <w:szCs w:val="24"/>
        </w:rPr>
        <w:sectPr>
          <w:headerReference r:id="rId37" w:type="default"/>
          <w:footerReference r:id="rId38" w:type="default"/>
          <w:pgSz w:w="11907" w:h="16841"/>
          <w:pgMar w:top="1091" w:right="937" w:bottom="1168" w:left="1390" w:header="859" w:footer="991" w:gutter="0"/>
          <w:cols w:space="720" w:num="1"/>
        </w:sectPr>
      </w:pPr>
    </w:p>
    <w:p w14:paraId="2B99CF8C">
      <w:pPr>
        <w:pStyle w:val="2"/>
        <w:spacing w:line="283" w:lineRule="auto"/>
      </w:pPr>
    </w:p>
    <w:p w14:paraId="64D79125">
      <w:pPr>
        <w:spacing w:before="78" w:line="220" w:lineRule="auto"/>
        <w:ind w:left="41"/>
        <w:rPr>
          <w:rFonts w:ascii="宋体" w:hAnsi="宋体" w:eastAsia="宋体" w:cs="宋体"/>
          <w:sz w:val="24"/>
          <w:szCs w:val="24"/>
        </w:rPr>
      </w:pPr>
      <w:r>
        <w:rPr>
          <w:rFonts w:ascii="宋体" w:hAnsi="宋体" w:eastAsia="宋体" w:cs="宋体"/>
          <w:spacing w:val="-2"/>
          <w:sz w:val="24"/>
          <w:szCs w:val="24"/>
        </w:rPr>
        <w:t>2.锡尼镇百灵居住区</w:t>
      </w:r>
    </w:p>
    <w:p w14:paraId="704F402D">
      <w:pPr>
        <w:spacing w:before="144" w:line="9259" w:lineRule="exact"/>
        <w:ind w:firstLine="27"/>
      </w:pPr>
      <w:r>
        <w:rPr>
          <w:position w:val="-185"/>
        </w:rPr>
        <w:drawing>
          <wp:inline distT="0" distB="0" distL="0" distR="0">
            <wp:extent cx="5760085" cy="587883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90"/>
                    <a:stretch>
                      <a:fillRect/>
                    </a:stretch>
                  </pic:blipFill>
                  <pic:spPr>
                    <a:xfrm>
                      <a:off x="0" y="0"/>
                      <a:ext cx="5760085" cy="5879464"/>
                    </a:xfrm>
                    <a:prstGeom prst="rect">
                      <a:avLst/>
                    </a:prstGeom>
                  </pic:spPr>
                </pic:pic>
              </a:graphicData>
            </a:graphic>
          </wp:inline>
        </w:drawing>
      </w:r>
    </w:p>
    <w:p w14:paraId="6D4CF2A7">
      <w:pPr>
        <w:spacing w:before="256" w:line="351" w:lineRule="auto"/>
        <w:ind w:left="519" w:right="6222"/>
        <w:jc w:val="both"/>
        <w:rPr>
          <w:rFonts w:ascii="宋体" w:hAnsi="宋体" w:eastAsia="宋体" w:cs="宋体"/>
          <w:sz w:val="24"/>
          <w:szCs w:val="24"/>
        </w:rPr>
      </w:pPr>
      <w:r>
        <w:rPr>
          <w:rFonts w:ascii="宋体" w:hAnsi="宋体" w:eastAsia="宋体" w:cs="宋体"/>
          <w:spacing w:val="-2"/>
          <w:sz w:val="24"/>
          <w:szCs w:val="24"/>
        </w:rPr>
        <w:t>面积：2648569平方米主导功能：居住生活类</w:t>
      </w:r>
      <w:r>
        <w:rPr>
          <w:rFonts w:ascii="宋体" w:hAnsi="宋体" w:eastAsia="宋体" w:cs="宋体"/>
          <w:spacing w:val="-1"/>
          <w:sz w:val="24"/>
          <w:szCs w:val="24"/>
        </w:rPr>
        <w:t>规划人口：27000人</w:t>
      </w:r>
    </w:p>
    <w:p w14:paraId="427B9ACA">
      <w:pPr>
        <w:spacing w:before="32" w:line="220" w:lineRule="auto"/>
        <w:ind w:left="521"/>
        <w:rPr>
          <w:rFonts w:ascii="宋体" w:hAnsi="宋体" w:eastAsia="宋体" w:cs="宋体"/>
          <w:sz w:val="24"/>
          <w:szCs w:val="24"/>
        </w:rPr>
      </w:pPr>
      <w:r>
        <w:rPr>
          <w:rFonts w:ascii="宋体" w:hAnsi="宋体" w:eastAsia="宋体" w:cs="宋体"/>
          <w:spacing w:val="-2"/>
          <w:sz w:val="24"/>
          <w:szCs w:val="24"/>
        </w:rPr>
        <w:t>建设用地面积：2648832平方米</w:t>
      </w:r>
    </w:p>
    <w:p w14:paraId="1F83ABEE">
      <w:pPr>
        <w:spacing w:before="181" w:line="346" w:lineRule="auto"/>
        <w:ind w:left="40" w:right="30" w:firstLine="480"/>
        <w:rPr>
          <w:rFonts w:ascii="宋体" w:hAnsi="宋体" w:eastAsia="宋体" w:cs="宋体"/>
          <w:sz w:val="24"/>
          <w:szCs w:val="24"/>
        </w:rPr>
      </w:pPr>
      <w:r>
        <w:rPr>
          <w:rFonts w:ascii="宋体" w:hAnsi="宋体" w:eastAsia="宋体" w:cs="宋体"/>
          <w:spacing w:val="-5"/>
          <w:sz w:val="24"/>
          <w:szCs w:val="24"/>
        </w:rPr>
        <w:t>符合《城市居住区规划设计标准》和《城市综合防灾规划标准》，建筑要与当地的</w:t>
      </w:r>
      <w:r>
        <w:rPr>
          <w:rFonts w:ascii="宋体" w:hAnsi="宋体" w:eastAsia="宋体" w:cs="宋体"/>
          <w:spacing w:val="-1"/>
          <w:sz w:val="24"/>
          <w:szCs w:val="24"/>
        </w:rPr>
        <w:t>文化传统和历史背景相呼应，同时要注重建筑的时代性，使建筑</w:t>
      </w:r>
      <w:r>
        <w:rPr>
          <w:rFonts w:ascii="宋体" w:hAnsi="宋体" w:eastAsia="宋体" w:cs="宋体"/>
          <w:spacing w:val="-2"/>
          <w:sz w:val="24"/>
          <w:szCs w:val="24"/>
        </w:rPr>
        <w:t>与城市发展相协调。</w:t>
      </w:r>
    </w:p>
    <w:p w14:paraId="52BFD6A2">
      <w:pPr>
        <w:spacing w:line="346" w:lineRule="auto"/>
        <w:rPr>
          <w:rFonts w:ascii="宋体" w:hAnsi="宋体" w:eastAsia="宋体" w:cs="宋体"/>
          <w:sz w:val="24"/>
          <w:szCs w:val="24"/>
        </w:rPr>
        <w:sectPr>
          <w:footerReference r:id="rId39" w:type="default"/>
          <w:pgSz w:w="11907" w:h="16841"/>
          <w:pgMar w:top="1091" w:right="1384" w:bottom="1168" w:left="1390" w:header="859" w:footer="991" w:gutter="0"/>
          <w:cols w:space="720" w:num="1"/>
        </w:sectPr>
      </w:pPr>
    </w:p>
    <w:p w14:paraId="5EAC959B">
      <w:pPr>
        <w:pStyle w:val="2"/>
        <w:spacing w:line="283" w:lineRule="auto"/>
      </w:pPr>
    </w:p>
    <w:p w14:paraId="45D488EB">
      <w:pPr>
        <w:spacing w:before="78" w:line="220" w:lineRule="auto"/>
        <w:ind w:left="42"/>
        <w:rPr>
          <w:rFonts w:ascii="宋体" w:hAnsi="宋体" w:eastAsia="宋体" w:cs="宋体"/>
          <w:sz w:val="24"/>
          <w:szCs w:val="24"/>
        </w:rPr>
      </w:pPr>
      <w:r>
        <w:rPr>
          <w:rFonts w:ascii="宋体" w:hAnsi="宋体" w:eastAsia="宋体" w:cs="宋体"/>
          <w:spacing w:val="-3"/>
          <w:sz w:val="24"/>
          <w:szCs w:val="24"/>
        </w:rPr>
        <w:t>3.锡尼镇杭锦居住区</w:t>
      </w:r>
    </w:p>
    <w:p w14:paraId="14D80415">
      <w:pPr>
        <w:spacing w:before="144" w:line="9259" w:lineRule="exact"/>
        <w:ind w:firstLine="27"/>
      </w:pPr>
      <w:r>
        <w:rPr>
          <w:position w:val="-185"/>
        </w:rPr>
        <w:drawing>
          <wp:inline distT="0" distB="0" distL="0" distR="0">
            <wp:extent cx="5760085" cy="587883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91"/>
                    <a:stretch>
                      <a:fillRect/>
                    </a:stretch>
                  </pic:blipFill>
                  <pic:spPr>
                    <a:xfrm>
                      <a:off x="0" y="0"/>
                      <a:ext cx="5760085" cy="5879464"/>
                    </a:xfrm>
                    <a:prstGeom prst="rect">
                      <a:avLst/>
                    </a:prstGeom>
                  </pic:spPr>
                </pic:pic>
              </a:graphicData>
            </a:graphic>
          </wp:inline>
        </w:drawing>
      </w:r>
    </w:p>
    <w:p w14:paraId="663E77F6">
      <w:pPr>
        <w:spacing w:before="256" w:line="351" w:lineRule="auto"/>
        <w:ind w:left="519" w:right="6222"/>
        <w:jc w:val="both"/>
        <w:rPr>
          <w:rFonts w:ascii="宋体" w:hAnsi="宋体" w:eastAsia="宋体" w:cs="宋体"/>
          <w:sz w:val="24"/>
          <w:szCs w:val="24"/>
        </w:rPr>
      </w:pPr>
      <w:r>
        <w:rPr>
          <w:rFonts w:ascii="宋体" w:hAnsi="宋体" w:eastAsia="宋体" w:cs="宋体"/>
          <w:spacing w:val="-2"/>
          <w:sz w:val="24"/>
          <w:szCs w:val="24"/>
        </w:rPr>
        <w:t>面积：3956230平方米主导功能：居住生活类</w:t>
      </w:r>
      <w:r>
        <w:rPr>
          <w:rFonts w:ascii="宋体" w:hAnsi="宋体" w:eastAsia="宋体" w:cs="宋体"/>
          <w:spacing w:val="-1"/>
          <w:sz w:val="24"/>
          <w:szCs w:val="24"/>
        </w:rPr>
        <w:t>规划人口：32000人</w:t>
      </w:r>
    </w:p>
    <w:p w14:paraId="6B17FC01">
      <w:pPr>
        <w:spacing w:before="32" w:line="220" w:lineRule="auto"/>
        <w:ind w:left="521"/>
        <w:rPr>
          <w:rFonts w:ascii="宋体" w:hAnsi="宋体" w:eastAsia="宋体" w:cs="宋体"/>
          <w:sz w:val="24"/>
          <w:szCs w:val="24"/>
        </w:rPr>
      </w:pPr>
      <w:r>
        <w:rPr>
          <w:rFonts w:ascii="宋体" w:hAnsi="宋体" w:eastAsia="宋体" w:cs="宋体"/>
          <w:spacing w:val="-2"/>
          <w:sz w:val="24"/>
          <w:szCs w:val="24"/>
        </w:rPr>
        <w:t>建设用地面积：3956610平方米</w:t>
      </w:r>
    </w:p>
    <w:p w14:paraId="7195EC6E">
      <w:pPr>
        <w:spacing w:before="181" w:line="346" w:lineRule="auto"/>
        <w:ind w:left="40" w:right="30" w:firstLine="480"/>
        <w:rPr>
          <w:rFonts w:ascii="宋体" w:hAnsi="宋体" w:eastAsia="宋体" w:cs="宋体"/>
          <w:sz w:val="24"/>
          <w:szCs w:val="24"/>
        </w:rPr>
      </w:pPr>
      <w:r>
        <w:rPr>
          <w:rFonts w:ascii="宋体" w:hAnsi="宋体" w:eastAsia="宋体" w:cs="宋体"/>
          <w:spacing w:val="-5"/>
          <w:sz w:val="24"/>
          <w:szCs w:val="24"/>
        </w:rPr>
        <w:t>符合《城市居住区规划设计标准》和《城市综合防灾规划标准》，建筑要与当地的</w:t>
      </w:r>
      <w:r>
        <w:rPr>
          <w:rFonts w:ascii="宋体" w:hAnsi="宋体" w:eastAsia="宋体" w:cs="宋体"/>
          <w:spacing w:val="-1"/>
          <w:sz w:val="24"/>
          <w:szCs w:val="24"/>
        </w:rPr>
        <w:t>文化传统和历史背景相呼应，同时要注重建筑的时代性，使建筑</w:t>
      </w:r>
      <w:r>
        <w:rPr>
          <w:rFonts w:ascii="宋体" w:hAnsi="宋体" w:eastAsia="宋体" w:cs="宋体"/>
          <w:spacing w:val="-2"/>
          <w:sz w:val="24"/>
          <w:szCs w:val="24"/>
        </w:rPr>
        <w:t>与城市发展相协调。</w:t>
      </w:r>
    </w:p>
    <w:p w14:paraId="49BB7D8D">
      <w:pPr>
        <w:spacing w:line="346" w:lineRule="auto"/>
        <w:rPr>
          <w:rFonts w:ascii="宋体" w:hAnsi="宋体" w:eastAsia="宋体" w:cs="宋体"/>
          <w:sz w:val="24"/>
          <w:szCs w:val="24"/>
        </w:rPr>
        <w:sectPr>
          <w:footerReference r:id="rId40" w:type="default"/>
          <w:pgSz w:w="11907" w:h="16841"/>
          <w:pgMar w:top="1091" w:right="1384" w:bottom="1168" w:left="1390" w:header="859" w:footer="991" w:gutter="0"/>
          <w:cols w:space="720" w:num="1"/>
        </w:sectPr>
      </w:pPr>
    </w:p>
    <w:p w14:paraId="65730A3E">
      <w:pPr>
        <w:pStyle w:val="2"/>
        <w:spacing w:line="283" w:lineRule="auto"/>
      </w:pPr>
    </w:p>
    <w:p w14:paraId="07BFB4B8">
      <w:pPr>
        <w:spacing w:before="78" w:line="220" w:lineRule="auto"/>
        <w:ind w:left="37"/>
        <w:rPr>
          <w:rFonts w:ascii="宋体" w:hAnsi="宋体" w:eastAsia="宋体" w:cs="宋体"/>
          <w:sz w:val="24"/>
          <w:szCs w:val="24"/>
        </w:rPr>
      </w:pPr>
      <w:r>
        <w:rPr>
          <w:rFonts w:ascii="宋体" w:hAnsi="宋体" w:eastAsia="宋体" w:cs="宋体"/>
          <w:spacing w:val="-2"/>
          <w:sz w:val="24"/>
          <w:szCs w:val="24"/>
        </w:rPr>
        <w:t>4.锡尼镇锡尼居住区</w:t>
      </w:r>
    </w:p>
    <w:p w14:paraId="5EBD8BFA">
      <w:pPr>
        <w:spacing w:before="144" w:line="9259" w:lineRule="exact"/>
        <w:ind w:firstLine="27"/>
      </w:pPr>
      <w:r>
        <w:rPr>
          <w:position w:val="-185"/>
        </w:rPr>
        <w:drawing>
          <wp:inline distT="0" distB="0" distL="0" distR="0">
            <wp:extent cx="5760085" cy="587883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92"/>
                    <a:stretch>
                      <a:fillRect/>
                    </a:stretch>
                  </pic:blipFill>
                  <pic:spPr>
                    <a:xfrm>
                      <a:off x="0" y="0"/>
                      <a:ext cx="5760085" cy="5879464"/>
                    </a:xfrm>
                    <a:prstGeom prst="rect">
                      <a:avLst/>
                    </a:prstGeom>
                  </pic:spPr>
                </pic:pic>
              </a:graphicData>
            </a:graphic>
          </wp:inline>
        </w:drawing>
      </w:r>
    </w:p>
    <w:p w14:paraId="5BD7102B">
      <w:pPr>
        <w:spacing w:before="49" w:line="351" w:lineRule="auto"/>
        <w:ind w:left="519" w:right="6222"/>
        <w:jc w:val="both"/>
        <w:rPr>
          <w:rFonts w:ascii="宋体" w:hAnsi="宋体" w:eastAsia="宋体" w:cs="宋体"/>
          <w:sz w:val="24"/>
          <w:szCs w:val="24"/>
        </w:rPr>
      </w:pPr>
      <w:r>
        <w:rPr>
          <w:rFonts w:ascii="宋体" w:hAnsi="宋体" w:eastAsia="宋体" w:cs="宋体"/>
          <w:spacing w:val="-2"/>
          <w:sz w:val="24"/>
          <w:szCs w:val="24"/>
        </w:rPr>
        <w:t>面积：3988347平方米主导功能：居住生活类</w:t>
      </w:r>
      <w:r>
        <w:rPr>
          <w:rFonts w:ascii="宋体" w:hAnsi="宋体" w:eastAsia="宋体" w:cs="宋体"/>
          <w:spacing w:val="-1"/>
          <w:sz w:val="24"/>
          <w:szCs w:val="24"/>
        </w:rPr>
        <w:t>规划人口：35000人</w:t>
      </w:r>
    </w:p>
    <w:p w14:paraId="7E23783E">
      <w:pPr>
        <w:spacing w:before="29" w:line="220" w:lineRule="auto"/>
        <w:ind w:left="521"/>
        <w:rPr>
          <w:rFonts w:ascii="宋体" w:hAnsi="宋体" w:eastAsia="宋体" w:cs="宋体"/>
          <w:sz w:val="24"/>
          <w:szCs w:val="24"/>
        </w:rPr>
      </w:pPr>
      <w:r>
        <w:rPr>
          <w:rFonts w:ascii="宋体" w:hAnsi="宋体" w:eastAsia="宋体" w:cs="宋体"/>
          <w:spacing w:val="-2"/>
          <w:sz w:val="24"/>
          <w:szCs w:val="24"/>
        </w:rPr>
        <w:t>建设用地面积：3978724平方米</w:t>
      </w:r>
    </w:p>
    <w:p w14:paraId="3E721E86">
      <w:pPr>
        <w:spacing w:before="183" w:line="346" w:lineRule="auto"/>
        <w:ind w:left="40" w:right="30" w:firstLine="480"/>
        <w:rPr>
          <w:rFonts w:ascii="宋体" w:hAnsi="宋体" w:eastAsia="宋体" w:cs="宋体"/>
          <w:sz w:val="24"/>
          <w:szCs w:val="24"/>
        </w:rPr>
      </w:pPr>
      <w:r>
        <w:rPr>
          <w:rFonts w:ascii="宋体" w:hAnsi="宋体" w:eastAsia="宋体" w:cs="宋体"/>
          <w:spacing w:val="-5"/>
          <w:sz w:val="24"/>
          <w:szCs w:val="24"/>
        </w:rPr>
        <w:t>符合《城市居住区规划设计标准》和《城市综合防灾规划标准》，建筑要与当地的</w:t>
      </w:r>
      <w:r>
        <w:rPr>
          <w:rFonts w:ascii="宋体" w:hAnsi="宋体" w:eastAsia="宋体" w:cs="宋体"/>
          <w:spacing w:val="-1"/>
          <w:sz w:val="24"/>
          <w:szCs w:val="24"/>
        </w:rPr>
        <w:t>文化传统和历史背景相呼应，同时要注重建筑的时代性，使建筑</w:t>
      </w:r>
      <w:r>
        <w:rPr>
          <w:rFonts w:ascii="宋体" w:hAnsi="宋体" w:eastAsia="宋体" w:cs="宋体"/>
          <w:spacing w:val="-2"/>
          <w:sz w:val="24"/>
          <w:szCs w:val="24"/>
        </w:rPr>
        <w:t>与城市发展相协调。</w:t>
      </w:r>
    </w:p>
    <w:p w14:paraId="7623FFC7">
      <w:pPr>
        <w:spacing w:line="346" w:lineRule="auto"/>
        <w:rPr>
          <w:rFonts w:ascii="宋体" w:hAnsi="宋体" w:eastAsia="宋体" w:cs="宋体"/>
          <w:sz w:val="24"/>
          <w:szCs w:val="24"/>
        </w:rPr>
        <w:sectPr>
          <w:footerReference r:id="rId41" w:type="default"/>
          <w:pgSz w:w="11907" w:h="16841"/>
          <w:pgMar w:top="1091" w:right="1384" w:bottom="1168" w:left="1390" w:header="859" w:footer="991" w:gutter="0"/>
          <w:cols w:space="720" w:num="1"/>
        </w:sectPr>
      </w:pPr>
    </w:p>
    <w:p w14:paraId="5AA79670">
      <w:pPr>
        <w:pStyle w:val="2"/>
        <w:spacing w:line="283" w:lineRule="auto"/>
      </w:pPr>
    </w:p>
    <w:p w14:paraId="726DF500">
      <w:pPr>
        <w:spacing w:before="78" w:line="220" w:lineRule="auto"/>
        <w:ind w:left="42"/>
        <w:rPr>
          <w:rFonts w:ascii="宋体" w:hAnsi="宋体" w:eastAsia="宋体" w:cs="宋体"/>
          <w:sz w:val="24"/>
          <w:szCs w:val="24"/>
        </w:rPr>
      </w:pPr>
      <w:r>
        <w:rPr>
          <w:rFonts w:ascii="宋体" w:hAnsi="宋体" w:eastAsia="宋体" w:cs="宋体"/>
          <w:spacing w:val="-5"/>
          <w:sz w:val="24"/>
          <w:szCs w:val="24"/>
        </w:rPr>
        <w:t>5.锡尼镇109国道以南商贸物流服务区</w:t>
      </w:r>
    </w:p>
    <w:p w14:paraId="4C86D723">
      <w:pPr>
        <w:spacing w:before="144" w:line="9259" w:lineRule="exact"/>
        <w:ind w:firstLine="27"/>
      </w:pPr>
      <w:r>
        <w:rPr>
          <w:position w:val="-185"/>
        </w:rPr>
        <w:drawing>
          <wp:inline distT="0" distB="0" distL="0" distR="0">
            <wp:extent cx="5760085" cy="587883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93"/>
                    <a:stretch>
                      <a:fillRect/>
                    </a:stretch>
                  </pic:blipFill>
                  <pic:spPr>
                    <a:xfrm>
                      <a:off x="0" y="0"/>
                      <a:ext cx="5760085" cy="5879464"/>
                    </a:xfrm>
                    <a:prstGeom prst="rect">
                      <a:avLst/>
                    </a:prstGeom>
                  </pic:spPr>
                </pic:pic>
              </a:graphicData>
            </a:graphic>
          </wp:inline>
        </w:drawing>
      </w:r>
    </w:p>
    <w:p w14:paraId="7EE38B56">
      <w:pPr>
        <w:spacing w:before="49" w:line="351" w:lineRule="auto"/>
        <w:ind w:left="519" w:right="6222"/>
        <w:jc w:val="both"/>
        <w:rPr>
          <w:rFonts w:ascii="宋体" w:hAnsi="宋体" w:eastAsia="宋体" w:cs="宋体"/>
          <w:sz w:val="24"/>
          <w:szCs w:val="24"/>
        </w:rPr>
      </w:pPr>
      <w:r>
        <w:rPr>
          <w:rFonts w:ascii="宋体" w:hAnsi="宋体" w:eastAsia="宋体" w:cs="宋体"/>
          <w:spacing w:val="-2"/>
          <w:sz w:val="24"/>
          <w:szCs w:val="24"/>
        </w:rPr>
        <w:t>面积：2935059平方米主导功能：综合服务类规划人口：9000人</w:t>
      </w:r>
    </w:p>
    <w:p w14:paraId="0C3A727E">
      <w:pPr>
        <w:spacing w:before="29" w:line="220" w:lineRule="auto"/>
        <w:ind w:left="521"/>
        <w:rPr>
          <w:rFonts w:ascii="宋体" w:hAnsi="宋体" w:eastAsia="宋体" w:cs="宋体"/>
          <w:sz w:val="24"/>
          <w:szCs w:val="24"/>
        </w:rPr>
      </w:pPr>
      <w:r>
        <w:rPr>
          <w:rFonts w:ascii="宋体" w:hAnsi="宋体" w:eastAsia="宋体" w:cs="宋体"/>
          <w:spacing w:val="-2"/>
          <w:sz w:val="24"/>
          <w:szCs w:val="24"/>
        </w:rPr>
        <w:t>建设用地面积：2917045平方米</w:t>
      </w:r>
    </w:p>
    <w:p w14:paraId="3F3B2656">
      <w:pPr>
        <w:spacing w:before="183" w:line="350" w:lineRule="auto"/>
        <w:ind w:left="39" w:right="30" w:firstLine="480"/>
        <w:rPr>
          <w:rFonts w:ascii="宋体" w:hAnsi="宋体" w:eastAsia="宋体" w:cs="宋体"/>
          <w:sz w:val="24"/>
          <w:szCs w:val="24"/>
        </w:rPr>
      </w:pPr>
      <w:r>
        <w:rPr>
          <w:rFonts w:ascii="宋体" w:hAnsi="宋体" w:eastAsia="宋体" w:cs="宋体"/>
          <w:spacing w:val="-10"/>
          <w:sz w:val="24"/>
          <w:szCs w:val="24"/>
        </w:rPr>
        <w:t>符合《城市综合防灾规划标准》，注重功能性、实用性和</w:t>
      </w:r>
      <w:r>
        <w:rPr>
          <w:rFonts w:ascii="宋体" w:hAnsi="宋体" w:eastAsia="宋体" w:cs="宋体"/>
          <w:spacing w:val="-11"/>
          <w:sz w:val="24"/>
          <w:szCs w:val="24"/>
        </w:rPr>
        <w:t>美学性的结合，以实现物</w:t>
      </w:r>
      <w:r>
        <w:rPr>
          <w:rFonts w:ascii="宋体" w:hAnsi="宋体" w:eastAsia="宋体" w:cs="宋体"/>
          <w:spacing w:val="-2"/>
          <w:sz w:val="24"/>
          <w:szCs w:val="24"/>
        </w:rPr>
        <w:t>流运输的要求和建筑美学的统一，同时要注重建筑物的空间布局和流线设计，提高物流</w:t>
      </w:r>
      <w:r>
        <w:rPr>
          <w:rFonts w:ascii="宋体" w:hAnsi="宋体" w:eastAsia="宋体" w:cs="宋体"/>
          <w:spacing w:val="-5"/>
          <w:sz w:val="24"/>
          <w:szCs w:val="24"/>
        </w:rPr>
        <w:t>效率和管理效率。</w:t>
      </w:r>
    </w:p>
    <w:p w14:paraId="61CC9F65">
      <w:pPr>
        <w:spacing w:line="350" w:lineRule="auto"/>
        <w:rPr>
          <w:rFonts w:ascii="宋体" w:hAnsi="宋体" w:eastAsia="宋体" w:cs="宋体"/>
          <w:sz w:val="24"/>
          <w:szCs w:val="24"/>
        </w:rPr>
        <w:sectPr>
          <w:footerReference r:id="rId42" w:type="default"/>
          <w:pgSz w:w="11907" w:h="16841"/>
          <w:pgMar w:top="1091" w:right="1384" w:bottom="1168" w:left="1390" w:header="859" w:footer="991" w:gutter="0"/>
          <w:cols w:space="720" w:num="1"/>
        </w:sectPr>
      </w:pPr>
    </w:p>
    <w:p w14:paraId="56914032">
      <w:pPr>
        <w:pStyle w:val="2"/>
        <w:spacing w:line="283" w:lineRule="auto"/>
      </w:pPr>
    </w:p>
    <w:p w14:paraId="7DD10205">
      <w:pPr>
        <w:spacing w:before="78" w:line="220" w:lineRule="auto"/>
        <w:ind w:left="40"/>
        <w:rPr>
          <w:rFonts w:ascii="宋体" w:hAnsi="宋体" w:eastAsia="宋体" w:cs="宋体"/>
          <w:sz w:val="24"/>
          <w:szCs w:val="24"/>
        </w:rPr>
      </w:pPr>
      <w:r>
        <w:rPr>
          <w:rFonts w:ascii="宋体" w:hAnsi="宋体" w:eastAsia="宋体" w:cs="宋体"/>
          <w:spacing w:val="-3"/>
          <w:sz w:val="24"/>
          <w:szCs w:val="24"/>
        </w:rPr>
        <w:t>6.锡尼镇河东片区</w:t>
      </w:r>
    </w:p>
    <w:p w14:paraId="1D06A6CD">
      <w:pPr>
        <w:spacing w:before="144" w:line="9259" w:lineRule="exact"/>
        <w:ind w:firstLine="507"/>
      </w:pPr>
      <w:r>
        <w:rPr>
          <w:position w:val="-185"/>
        </w:rPr>
        <w:drawing>
          <wp:inline distT="0" distB="0" distL="0" distR="0">
            <wp:extent cx="5760085" cy="587883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94"/>
                    <a:stretch>
                      <a:fillRect/>
                    </a:stretch>
                  </pic:blipFill>
                  <pic:spPr>
                    <a:xfrm>
                      <a:off x="0" y="0"/>
                      <a:ext cx="5760085" cy="5879464"/>
                    </a:xfrm>
                    <a:prstGeom prst="rect">
                      <a:avLst/>
                    </a:prstGeom>
                  </pic:spPr>
                </pic:pic>
              </a:graphicData>
            </a:graphic>
          </wp:inline>
        </w:drawing>
      </w:r>
    </w:p>
    <w:p w14:paraId="555329A1">
      <w:pPr>
        <w:spacing w:before="204" w:line="220" w:lineRule="auto"/>
        <w:ind w:left="519"/>
        <w:rPr>
          <w:rFonts w:ascii="宋体" w:hAnsi="宋体" w:eastAsia="宋体" w:cs="宋体"/>
          <w:sz w:val="24"/>
          <w:szCs w:val="24"/>
        </w:rPr>
      </w:pPr>
      <w:r>
        <w:rPr>
          <w:rFonts w:ascii="宋体" w:hAnsi="宋体" w:eastAsia="宋体" w:cs="宋体"/>
          <w:spacing w:val="-2"/>
          <w:sz w:val="24"/>
          <w:szCs w:val="24"/>
        </w:rPr>
        <w:t>面积：1301377平方米</w:t>
      </w:r>
    </w:p>
    <w:p w14:paraId="4DDE2EDF">
      <w:pPr>
        <w:spacing w:before="180" w:line="220" w:lineRule="auto"/>
        <w:ind w:left="520"/>
        <w:rPr>
          <w:rFonts w:ascii="宋体" w:hAnsi="宋体" w:eastAsia="宋体" w:cs="宋体"/>
          <w:sz w:val="24"/>
          <w:szCs w:val="24"/>
        </w:rPr>
      </w:pPr>
      <w:r>
        <w:rPr>
          <w:rFonts w:ascii="宋体" w:hAnsi="宋体" w:eastAsia="宋体" w:cs="宋体"/>
          <w:spacing w:val="-1"/>
          <w:sz w:val="24"/>
          <w:szCs w:val="24"/>
        </w:rPr>
        <w:t>主导功能：综合服务类</w:t>
      </w:r>
    </w:p>
    <w:p w14:paraId="5EB16BDC">
      <w:pPr>
        <w:spacing w:before="181" w:line="220" w:lineRule="auto"/>
        <w:ind w:left="521"/>
        <w:rPr>
          <w:rFonts w:ascii="宋体" w:hAnsi="宋体" w:eastAsia="宋体" w:cs="宋体"/>
          <w:sz w:val="24"/>
          <w:szCs w:val="24"/>
        </w:rPr>
      </w:pPr>
      <w:r>
        <w:rPr>
          <w:rFonts w:ascii="宋体" w:hAnsi="宋体" w:eastAsia="宋体" w:cs="宋体"/>
          <w:spacing w:val="-2"/>
          <w:sz w:val="24"/>
          <w:szCs w:val="24"/>
        </w:rPr>
        <w:t>建设用地面积：1294899平方米</w:t>
      </w:r>
    </w:p>
    <w:p w14:paraId="6A4846D6">
      <w:pPr>
        <w:spacing w:before="182" w:line="350" w:lineRule="auto"/>
        <w:ind w:left="38" w:right="478" w:firstLine="481"/>
        <w:rPr>
          <w:rFonts w:ascii="宋体" w:hAnsi="宋体" w:eastAsia="宋体" w:cs="宋体"/>
          <w:sz w:val="24"/>
          <w:szCs w:val="24"/>
        </w:rPr>
      </w:pPr>
      <w:r>
        <w:rPr>
          <w:rFonts w:ascii="宋体" w:hAnsi="宋体" w:eastAsia="宋体" w:cs="宋体"/>
          <w:spacing w:val="-11"/>
          <w:sz w:val="24"/>
          <w:szCs w:val="24"/>
        </w:rPr>
        <w:t>符合《城市综合防灾规划标准》，以现代化、简洁大方的风格为主，注重空间布局</w:t>
      </w:r>
      <w:r>
        <w:rPr>
          <w:rFonts w:ascii="宋体" w:hAnsi="宋体" w:eastAsia="宋体" w:cs="宋体"/>
          <w:spacing w:val="-2"/>
          <w:sz w:val="24"/>
          <w:szCs w:val="24"/>
        </w:rPr>
        <w:t>的灵活性、建筑材料的耐用性和环保性、色彩搭配的专业性、标识系统的清晰性和绿色</w:t>
      </w:r>
      <w:r>
        <w:rPr>
          <w:rFonts w:ascii="宋体" w:hAnsi="宋体" w:eastAsia="宋体" w:cs="宋体"/>
          <w:spacing w:val="-7"/>
          <w:sz w:val="24"/>
          <w:szCs w:val="24"/>
        </w:rPr>
        <w:t>环保的理念。</w:t>
      </w:r>
    </w:p>
    <w:p w14:paraId="3AEC17A8">
      <w:pPr>
        <w:spacing w:line="350" w:lineRule="auto"/>
        <w:rPr>
          <w:rFonts w:ascii="宋体" w:hAnsi="宋体" w:eastAsia="宋体" w:cs="宋体"/>
          <w:sz w:val="24"/>
          <w:szCs w:val="24"/>
        </w:rPr>
        <w:sectPr>
          <w:headerReference r:id="rId43" w:type="default"/>
          <w:footerReference r:id="rId44" w:type="default"/>
          <w:pgSz w:w="11907" w:h="16841"/>
          <w:pgMar w:top="1091" w:right="937" w:bottom="1168" w:left="1390" w:header="859" w:footer="991" w:gutter="0"/>
          <w:cols w:space="720" w:num="1"/>
        </w:sectPr>
      </w:pPr>
    </w:p>
    <w:p w14:paraId="361B8329">
      <w:pPr>
        <w:pStyle w:val="2"/>
        <w:spacing w:line="283" w:lineRule="auto"/>
      </w:pPr>
    </w:p>
    <w:p w14:paraId="3C655EBC">
      <w:pPr>
        <w:spacing w:before="78" w:line="220" w:lineRule="auto"/>
        <w:ind w:left="43"/>
        <w:rPr>
          <w:rFonts w:ascii="宋体" w:hAnsi="宋体" w:eastAsia="宋体" w:cs="宋体"/>
          <w:sz w:val="24"/>
          <w:szCs w:val="24"/>
        </w:rPr>
      </w:pPr>
      <w:r>
        <w:rPr>
          <w:rFonts w:ascii="宋体" w:hAnsi="宋体" w:eastAsia="宋体" w:cs="宋体"/>
          <w:spacing w:val="-2"/>
          <w:sz w:val="24"/>
          <w:szCs w:val="24"/>
        </w:rPr>
        <w:t>7.锡尼镇南部新能源产业园区</w:t>
      </w:r>
    </w:p>
    <w:p w14:paraId="4713F0A2">
      <w:pPr>
        <w:spacing w:before="144" w:line="9259" w:lineRule="exact"/>
        <w:ind w:firstLine="27"/>
      </w:pPr>
      <w:r>
        <w:rPr>
          <w:position w:val="-185"/>
        </w:rPr>
        <w:drawing>
          <wp:inline distT="0" distB="0" distL="0" distR="0">
            <wp:extent cx="5760085" cy="587883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95"/>
                    <a:stretch>
                      <a:fillRect/>
                    </a:stretch>
                  </pic:blipFill>
                  <pic:spPr>
                    <a:xfrm>
                      <a:off x="0" y="0"/>
                      <a:ext cx="5760085" cy="5879464"/>
                    </a:xfrm>
                    <a:prstGeom prst="rect">
                      <a:avLst/>
                    </a:prstGeom>
                  </pic:spPr>
                </pic:pic>
              </a:graphicData>
            </a:graphic>
          </wp:inline>
        </w:drawing>
      </w:r>
    </w:p>
    <w:p w14:paraId="58A6592F">
      <w:pPr>
        <w:spacing w:before="48" w:line="220" w:lineRule="auto"/>
        <w:ind w:left="519"/>
        <w:rPr>
          <w:rFonts w:ascii="宋体" w:hAnsi="宋体" w:eastAsia="宋体" w:cs="宋体"/>
          <w:sz w:val="24"/>
          <w:szCs w:val="24"/>
        </w:rPr>
      </w:pPr>
      <w:r>
        <w:rPr>
          <w:rFonts w:ascii="宋体" w:hAnsi="宋体" w:eastAsia="宋体" w:cs="宋体"/>
          <w:spacing w:val="-2"/>
          <w:sz w:val="24"/>
          <w:szCs w:val="24"/>
        </w:rPr>
        <w:t>面积：6052734平方米</w:t>
      </w:r>
    </w:p>
    <w:p w14:paraId="17F0E69F">
      <w:pPr>
        <w:spacing w:before="180" w:line="220" w:lineRule="auto"/>
        <w:ind w:left="520"/>
        <w:rPr>
          <w:rFonts w:ascii="宋体" w:hAnsi="宋体" w:eastAsia="宋体" w:cs="宋体"/>
          <w:sz w:val="24"/>
          <w:szCs w:val="24"/>
        </w:rPr>
      </w:pPr>
      <w:r>
        <w:rPr>
          <w:rFonts w:ascii="宋体" w:hAnsi="宋体" w:eastAsia="宋体" w:cs="宋体"/>
          <w:spacing w:val="-1"/>
          <w:sz w:val="24"/>
          <w:szCs w:val="24"/>
        </w:rPr>
        <w:t>主导功能：工业发展类</w:t>
      </w:r>
    </w:p>
    <w:p w14:paraId="6CAE96F7">
      <w:pPr>
        <w:spacing w:before="181" w:line="220" w:lineRule="auto"/>
        <w:ind w:left="521"/>
        <w:rPr>
          <w:rFonts w:ascii="宋体" w:hAnsi="宋体" w:eastAsia="宋体" w:cs="宋体"/>
          <w:sz w:val="24"/>
          <w:szCs w:val="24"/>
        </w:rPr>
      </w:pPr>
      <w:r>
        <w:rPr>
          <w:rFonts w:ascii="宋体" w:hAnsi="宋体" w:eastAsia="宋体" w:cs="宋体"/>
          <w:spacing w:val="-2"/>
          <w:sz w:val="24"/>
          <w:szCs w:val="24"/>
        </w:rPr>
        <w:t>建设用地面积：5276823平方米</w:t>
      </w:r>
    </w:p>
    <w:p w14:paraId="13BAA427">
      <w:pPr>
        <w:spacing w:before="181" w:line="346" w:lineRule="auto"/>
        <w:ind w:left="61" w:firstLine="456"/>
        <w:rPr>
          <w:rFonts w:ascii="宋体" w:hAnsi="宋体" w:eastAsia="宋体" w:cs="宋体"/>
          <w:sz w:val="24"/>
          <w:szCs w:val="24"/>
        </w:rPr>
      </w:pPr>
      <w:r>
        <w:rPr>
          <w:rFonts w:ascii="宋体" w:hAnsi="宋体" w:eastAsia="宋体" w:cs="宋体"/>
          <w:sz w:val="24"/>
          <w:szCs w:val="24"/>
        </w:rPr>
        <w:t>注重功能性、实用性和美学性的结合，以实现生产工艺的要求和建筑美学的统</w:t>
      </w:r>
      <w:r>
        <w:rPr>
          <w:rFonts w:ascii="宋体" w:hAnsi="宋体" w:eastAsia="宋体" w:cs="宋体"/>
          <w:spacing w:val="-1"/>
          <w:sz w:val="24"/>
          <w:szCs w:val="24"/>
        </w:rPr>
        <w:t>一，</w:t>
      </w:r>
      <w:r>
        <w:rPr>
          <w:rFonts w:ascii="宋体" w:hAnsi="宋体" w:eastAsia="宋体" w:cs="宋体"/>
          <w:spacing w:val="-2"/>
          <w:sz w:val="24"/>
          <w:szCs w:val="24"/>
        </w:rPr>
        <w:t>同时要注重建筑物的空间布局和流线设计，提高生产效率和</w:t>
      </w:r>
      <w:r>
        <w:rPr>
          <w:rFonts w:ascii="宋体" w:hAnsi="宋体" w:eastAsia="宋体" w:cs="宋体"/>
          <w:spacing w:val="-3"/>
          <w:sz w:val="24"/>
          <w:szCs w:val="24"/>
        </w:rPr>
        <w:t>管理效率。</w:t>
      </w:r>
    </w:p>
    <w:p w14:paraId="2EA27264">
      <w:pPr>
        <w:spacing w:line="346" w:lineRule="auto"/>
        <w:rPr>
          <w:rFonts w:ascii="宋体" w:hAnsi="宋体" w:eastAsia="宋体" w:cs="宋体"/>
          <w:sz w:val="24"/>
          <w:szCs w:val="24"/>
        </w:rPr>
        <w:sectPr>
          <w:headerReference r:id="rId45" w:type="default"/>
          <w:footerReference r:id="rId46" w:type="default"/>
          <w:pgSz w:w="11907" w:h="16841"/>
          <w:pgMar w:top="1091" w:right="1358" w:bottom="1168" w:left="1390" w:header="859" w:footer="991" w:gutter="0"/>
          <w:cols w:space="720" w:num="1"/>
        </w:sectPr>
      </w:pPr>
    </w:p>
    <w:p w14:paraId="52042245">
      <w:pPr>
        <w:pStyle w:val="2"/>
        <w:spacing w:line="402" w:lineRule="auto"/>
      </w:pPr>
    </w:p>
    <w:p w14:paraId="34BF54A3">
      <w:pPr>
        <w:spacing w:before="78" w:line="220" w:lineRule="auto"/>
        <w:ind w:left="42"/>
        <w:rPr>
          <w:rFonts w:ascii="宋体" w:hAnsi="宋体" w:eastAsia="宋体" w:cs="宋体"/>
          <w:sz w:val="24"/>
          <w:szCs w:val="24"/>
        </w:rPr>
      </w:pPr>
      <w:r>
        <w:rPr>
          <w:rFonts w:ascii="宋体" w:hAnsi="宋体" w:eastAsia="宋体" w:cs="宋体"/>
          <w:spacing w:val="-3"/>
          <w:sz w:val="24"/>
          <w:szCs w:val="24"/>
        </w:rPr>
        <w:t>3.3.2乡镇规划单元</w:t>
      </w:r>
    </w:p>
    <w:p w14:paraId="0F30191D">
      <w:pPr>
        <w:spacing w:before="179" w:line="219" w:lineRule="auto"/>
        <w:ind w:left="55"/>
        <w:rPr>
          <w:rFonts w:ascii="宋体" w:hAnsi="宋体" w:eastAsia="宋体" w:cs="宋体"/>
          <w:sz w:val="24"/>
          <w:szCs w:val="24"/>
        </w:rPr>
      </w:pPr>
      <w:r>
        <w:rPr>
          <w:rFonts w:ascii="宋体" w:hAnsi="宋体" w:eastAsia="宋体" w:cs="宋体"/>
          <w:spacing w:val="-3"/>
          <w:sz w:val="24"/>
          <w:szCs w:val="24"/>
        </w:rPr>
        <w:t>1.锡尼布拉格嘎查采矿区</w:t>
      </w:r>
    </w:p>
    <w:p w14:paraId="108AB4CD">
      <w:pPr>
        <w:spacing w:before="183" w:line="345" w:lineRule="auto"/>
        <w:ind w:left="520" w:right="6489"/>
        <w:rPr>
          <w:rFonts w:ascii="宋体" w:hAnsi="宋体" w:eastAsia="宋体" w:cs="宋体"/>
          <w:sz w:val="24"/>
          <w:szCs w:val="24"/>
        </w:rPr>
      </w:pPr>
      <w:r>
        <w:rPr>
          <w:rFonts w:ascii="宋体" w:hAnsi="宋体" w:eastAsia="宋体" w:cs="宋体"/>
          <w:spacing w:val="-2"/>
          <w:sz w:val="24"/>
          <w:szCs w:val="24"/>
        </w:rPr>
        <w:t>单元面积：77017平方米</w:t>
      </w:r>
      <w:r>
        <w:rPr>
          <w:rFonts w:ascii="宋体" w:hAnsi="宋体" w:eastAsia="宋体" w:cs="宋体"/>
          <w:spacing w:val="-1"/>
          <w:sz w:val="24"/>
          <w:szCs w:val="24"/>
        </w:rPr>
        <w:t>主导功能：工业发展类</w:t>
      </w:r>
    </w:p>
    <w:p w14:paraId="56DB4944">
      <w:pPr>
        <w:spacing w:before="36" w:line="220" w:lineRule="auto"/>
        <w:ind w:left="521"/>
        <w:rPr>
          <w:rFonts w:ascii="宋体" w:hAnsi="宋体" w:eastAsia="宋体" w:cs="宋体"/>
          <w:sz w:val="24"/>
          <w:szCs w:val="24"/>
        </w:rPr>
      </w:pPr>
      <w:r>
        <w:rPr>
          <w:rFonts w:ascii="宋体" w:hAnsi="宋体" w:eastAsia="宋体" w:cs="宋体"/>
          <w:spacing w:val="-2"/>
          <w:sz w:val="24"/>
          <w:szCs w:val="24"/>
        </w:rPr>
        <w:t>建设用地面积：77027平方米</w:t>
      </w:r>
    </w:p>
    <w:p w14:paraId="68693629">
      <w:pPr>
        <w:spacing w:before="145" w:line="6414" w:lineRule="exact"/>
        <w:ind w:firstLine="507"/>
      </w:pPr>
      <w:r>
        <w:rPr>
          <w:position w:val="-128"/>
        </w:rPr>
        <w:drawing>
          <wp:inline distT="0" distB="0" distL="0" distR="0">
            <wp:extent cx="5760085" cy="407289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96"/>
                    <a:stretch>
                      <a:fillRect/>
                    </a:stretch>
                  </pic:blipFill>
                  <pic:spPr>
                    <a:xfrm>
                      <a:off x="0" y="0"/>
                      <a:ext cx="5760085" cy="4072890"/>
                    </a:xfrm>
                    <a:prstGeom prst="rect">
                      <a:avLst/>
                    </a:prstGeom>
                  </pic:spPr>
                </pic:pic>
              </a:graphicData>
            </a:graphic>
          </wp:inline>
        </w:drawing>
      </w:r>
    </w:p>
    <w:p w14:paraId="49C032FA">
      <w:pPr>
        <w:spacing w:line="6414" w:lineRule="exact"/>
        <w:sectPr>
          <w:headerReference r:id="rId47" w:type="default"/>
          <w:footerReference r:id="rId48" w:type="default"/>
          <w:pgSz w:w="11907" w:h="16841"/>
          <w:pgMar w:top="1091" w:right="937" w:bottom="1168" w:left="1390" w:header="859" w:footer="991" w:gutter="0"/>
          <w:cols w:space="720" w:num="1"/>
        </w:sectPr>
      </w:pPr>
    </w:p>
    <w:p w14:paraId="4B0CD0AF">
      <w:pPr>
        <w:pStyle w:val="2"/>
        <w:spacing w:line="283" w:lineRule="auto"/>
      </w:pPr>
    </w:p>
    <w:p w14:paraId="4EE3270F">
      <w:pPr>
        <w:spacing w:before="78" w:line="220" w:lineRule="auto"/>
        <w:ind w:left="41"/>
        <w:rPr>
          <w:rFonts w:ascii="宋体" w:hAnsi="宋体" w:eastAsia="宋体" w:cs="宋体"/>
          <w:sz w:val="24"/>
          <w:szCs w:val="24"/>
        </w:rPr>
      </w:pPr>
      <w:r>
        <w:rPr>
          <w:rFonts w:ascii="宋体" w:hAnsi="宋体" w:eastAsia="宋体" w:cs="宋体"/>
          <w:spacing w:val="-2"/>
          <w:sz w:val="24"/>
          <w:szCs w:val="24"/>
        </w:rPr>
        <w:t>2.浩绕柴达木嘎查集镇</w:t>
      </w:r>
    </w:p>
    <w:p w14:paraId="3D47CFA1">
      <w:pPr>
        <w:spacing w:before="179" w:line="347" w:lineRule="auto"/>
        <w:ind w:left="520" w:right="5922"/>
        <w:rPr>
          <w:rFonts w:ascii="宋体" w:hAnsi="宋体" w:eastAsia="宋体" w:cs="宋体"/>
          <w:sz w:val="24"/>
          <w:szCs w:val="24"/>
        </w:rPr>
      </w:pPr>
      <w:r>
        <w:rPr>
          <w:rFonts w:ascii="宋体" w:hAnsi="宋体" w:eastAsia="宋体" w:cs="宋体"/>
          <w:spacing w:val="-2"/>
          <w:sz w:val="24"/>
          <w:szCs w:val="24"/>
        </w:rPr>
        <w:t>单元面积：265195平方米</w:t>
      </w:r>
      <w:r>
        <w:rPr>
          <w:rFonts w:ascii="宋体" w:hAnsi="宋体" w:eastAsia="宋体" w:cs="宋体"/>
          <w:spacing w:val="-1"/>
          <w:sz w:val="24"/>
          <w:szCs w:val="24"/>
        </w:rPr>
        <w:t>主导功能：居住生活类</w:t>
      </w:r>
    </w:p>
    <w:p w14:paraId="572E90CC">
      <w:pPr>
        <w:spacing w:before="31" w:line="222" w:lineRule="auto"/>
        <w:ind w:left="519"/>
        <w:rPr>
          <w:rFonts w:ascii="宋体" w:hAnsi="宋体" w:eastAsia="宋体" w:cs="宋体"/>
          <w:sz w:val="24"/>
          <w:szCs w:val="24"/>
        </w:rPr>
      </w:pPr>
      <w:r>
        <w:rPr>
          <w:rFonts w:ascii="宋体" w:hAnsi="宋体" w:eastAsia="宋体" w:cs="宋体"/>
          <w:spacing w:val="-2"/>
          <w:sz w:val="24"/>
          <w:szCs w:val="24"/>
        </w:rPr>
        <w:t>规划人口：1000人</w:t>
      </w:r>
    </w:p>
    <w:p w14:paraId="50085596">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建设用地面积：265207平方米</w:t>
      </w:r>
    </w:p>
    <w:p w14:paraId="3844F82E">
      <w:pPr>
        <w:spacing w:before="144" w:line="6414" w:lineRule="exact"/>
        <w:ind w:firstLine="27"/>
      </w:pPr>
      <w:r>
        <w:rPr>
          <w:position w:val="-128"/>
        </w:rPr>
        <w:drawing>
          <wp:inline distT="0" distB="0" distL="0" distR="0">
            <wp:extent cx="5760085" cy="407289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97"/>
                    <a:stretch>
                      <a:fillRect/>
                    </a:stretch>
                  </pic:blipFill>
                  <pic:spPr>
                    <a:xfrm>
                      <a:off x="0" y="0"/>
                      <a:ext cx="5760085" cy="4072890"/>
                    </a:xfrm>
                    <a:prstGeom prst="rect">
                      <a:avLst/>
                    </a:prstGeom>
                  </pic:spPr>
                </pic:pic>
              </a:graphicData>
            </a:graphic>
          </wp:inline>
        </w:drawing>
      </w:r>
    </w:p>
    <w:p w14:paraId="1C79464D">
      <w:pPr>
        <w:spacing w:line="6414" w:lineRule="exact"/>
        <w:sectPr>
          <w:footerReference r:id="rId49" w:type="default"/>
          <w:pgSz w:w="11907" w:h="16841"/>
          <w:pgMar w:top="1091" w:right="1384" w:bottom="1169" w:left="1390" w:header="859" w:footer="991" w:gutter="0"/>
          <w:cols w:space="720" w:num="1"/>
        </w:sectPr>
      </w:pPr>
    </w:p>
    <w:p w14:paraId="16A0306D">
      <w:pPr>
        <w:pStyle w:val="2"/>
        <w:spacing w:line="283" w:lineRule="auto"/>
      </w:pPr>
    </w:p>
    <w:p w14:paraId="7222A643">
      <w:pPr>
        <w:spacing w:before="78" w:line="220" w:lineRule="auto"/>
        <w:ind w:left="42"/>
        <w:rPr>
          <w:rFonts w:ascii="宋体" w:hAnsi="宋体" w:eastAsia="宋体" w:cs="宋体"/>
          <w:sz w:val="24"/>
          <w:szCs w:val="24"/>
        </w:rPr>
      </w:pPr>
      <w:r>
        <w:rPr>
          <w:rFonts w:ascii="宋体" w:hAnsi="宋体" w:eastAsia="宋体" w:cs="宋体"/>
          <w:spacing w:val="-2"/>
          <w:sz w:val="24"/>
          <w:szCs w:val="24"/>
        </w:rPr>
        <w:t>3.道劳呼都格嘎查集镇</w:t>
      </w:r>
    </w:p>
    <w:p w14:paraId="11C84F85">
      <w:pPr>
        <w:spacing w:before="179" w:line="347" w:lineRule="auto"/>
        <w:ind w:left="520" w:right="5922"/>
        <w:rPr>
          <w:rFonts w:ascii="宋体" w:hAnsi="宋体" w:eastAsia="宋体" w:cs="宋体"/>
          <w:sz w:val="24"/>
          <w:szCs w:val="24"/>
        </w:rPr>
      </w:pPr>
      <w:r>
        <w:rPr>
          <w:rFonts w:ascii="宋体" w:hAnsi="宋体" w:eastAsia="宋体" w:cs="宋体"/>
          <w:spacing w:val="-2"/>
          <w:sz w:val="24"/>
          <w:szCs w:val="24"/>
        </w:rPr>
        <w:t>单元面积：164774平方米</w:t>
      </w:r>
      <w:r>
        <w:rPr>
          <w:rFonts w:ascii="宋体" w:hAnsi="宋体" w:eastAsia="宋体" w:cs="宋体"/>
          <w:spacing w:val="-1"/>
          <w:sz w:val="24"/>
          <w:szCs w:val="24"/>
        </w:rPr>
        <w:t>主导功能：商业商务类</w:t>
      </w:r>
    </w:p>
    <w:p w14:paraId="46DC3816">
      <w:pPr>
        <w:spacing w:before="31" w:line="222" w:lineRule="auto"/>
        <w:ind w:left="519"/>
        <w:rPr>
          <w:rFonts w:ascii="宋体" w:hAnsi="宋体" w:eastAsia="宋体" w:cs="宋体"/>
          <w:sz w:val="24"/>
          <w:szCs w:val="24"/>
        </w:rPr>
      </w:pPr>
      <w:r>
        <w:rPr>
          <w:rFonts w:ascii="宋体" w:hAnsi="宋体" w:eastAsia="宋体" w:cs="宋体"/>
          <w:spacing w:val="-2"/>
          <w:sz w:val="24"/>
          <w:szCs w:val="24"/>
        </w:rPr>
        <w:t>规划人口：500人</w:t>
      </w:r>
    </w:p>
    <w:p w14:paraId="15CB6408">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建设用地面积：164785平方米</w:t>
      </w:r>
    </w:p>
    <w:p w14:paraId="7B4B4E6A">
      <w:pPr>
        <w:spacing w:before="144" w:line="6414" w:lineRule="exact"/>
        <w:ind w:firstLine="27"/>
      </w:pPr>
      <w:r>
        <w:rPr>
          <w:position w:val="-128"/>
        </w:rPr>
        <w:drawing>
          <wp:inline distT="0" distB="0" distL="0" distR="0">
            <wp:extent cx="5760085" cy="407289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98"/>
                    <a:stretch>
                      <a:fillRect/>
                    </a:stretch>
                  </pic:blipFill>
                  <pic:spPr>
                    <a:xfrm>
                      <a:off x="0" y="0"/>
                      <a:ext cx="5760085" cy="4072890"/>
                    </a:xfrm>
                    <a:prstGeom prst="rect">
                      <a:avLst/>
                    </a:prstGeom>
                  </pic:spPr>
                </pic:pic>
              </a:graphicData>
            </a:graphic>
          </wp:inline>
        </w:drawing>
      </w:r>
    </w:p>
    <w:p w14:paraId="234BD449">
      <w:pPr>
        <w:spacing w:line="6414" w:lineRule="exact"/>
        <w:sectPr>
          <w:footerReference r:id="rId50" w:type="default"/>
          <w:pgSz w:w="11907" w:h="16841"/>
          <w:pgMar w:top="1091" w:right="1384" w:bottom="1168" w:left="1390" w:header="859" w:footer="991" w:gutter="0"/>
          <w:cols w:space="720" w:num="1"/>
        </w:sectPr>
      </w:pPr>
    </w:p>
    <w:p w14:paraId="4526935A">
      <w:pPr>
        <w:pStyle w:val="2"/>
        <w:spacing w:line="283" w:lineRule="auto"/>
      </w:pPr>
    </w:p>
    <w:p w14:paraId="584D1E1A">
      <w:pPr>
        <w:spacing w:before="78" w:line="219" w:lineRule="auto"/>
        <w:ind w:left="37"/>
        <w:rPr>
          <w:rFonts w:ascii="宋体" w:hAnsi="宋体" w:eastAsia="宋体" w:cs="宋体"/>
          <w:sz w:val="24"/>
          <w:szCs w:val="24"/>
        </w:rPr>
      </w:pPr>
      <w:r>
        <w:rPr>
          <w:rFonts w:ascii="宋体" w:hAnsi="宋体" w:eastAsia="宋体" w:cs="宋体"/>
          <w:spacing w:val="-3"/>
          <w:sz w:val="24"/>
          <w:szCs w:val="24"/>
        </w:rPr>
        <w:t>4.新井渠村集镇</w:t>
      </w:r>
    </w:p>
    <w:p w14:paraId="188A4AA2">
      <w:pPr>
        <w:spacing w:before="180" w:line="347" w:lineRule="auto"/>
        <w:ind w:left="520" w:right="5922"/>
        <w:rPr>
          <w:rFonts w:ascii="宋体" w:hAnsi="宋体" w:eastAsia="宋体" w:cs="宋体"/>
          <w:sz w:val="24"/>
          <w:szCs w:val="24"/>
        </w:rPr>
      </w:pPr>
      <w:r>
        <w:rPr>
          <w:rFonts w:ascii="宋体" w:hAnsi="宋体" w:eastAsia="宋体" w:cs="宋体"/>
          <w:spacing w:val="-2"/>
          <w:sz w:val="24"/>
          <w:szCs w:val="24"/>
        </w:rPr>
        <w:t>单元面积：302703平方米</w:t>
      </w:r>
      <w:r>
        <w:rPr>
          <w:rFonts w:ascii="宋体" w:hAnsi="宋体" w:eastAsia="宋体" w:cs="宋体"/>
          <w:spacing w:val="-1"/>
          <w:sz w:val="24"/>
          <w:szCs w:val="24"/>
        </w:rPr>
        <w:t>主导功能：居住生活类</w:t>
      </w:r>
    </w:p>
    <w:p w14:paraId="1E5239EE">
      <w:pPr>
        <w:spacing w:before="31" w:line="222" w:lineRule="auto"/>
        <w:ind w:left="519"/>
        <w:rPr>
          <w:rFonts w:ascii="宋体" w:hAnsi="宋体" w:eastAsia="宋体" w:cs="宋体"/>
          <w:sz w:val="24"/>
          <w:szCs w:val="24"/>
        </w:rPr>
      </w:pPr>
      <w:r>
        <w:rPr>
          <w:rFonts w:ascii="宋体" w:hAnsi="宋体" w:eastAsia="宋体" w:cs="宋体"/>
          <w:spacing w:val="-2"/>
          <w:sz w:val="24"/>
          <w:szCs w:val="24"/>
        </w:rPr>
        <w:t>规划人口：1000人</w:t>
      </w:r>
    </w:p>
    <w:p w14:paraId="3204B220">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建设用地面积：302738平方米</w:t>
      </w:r>
    </w:p>
    <w:p w14:paraId="3903A4B7">
      <w:pPr>
        <w:spacing w:before="144" w:line="6414" w:lineRule="exact"/>
        <w:ind w:firstLine="27"/>
      </w:pPr>
      <w:r>
        <w:rPr>
          <w:position w:val="-128"/>
        </w:rPr>
        <w:drawing>
          <wp:inline distT="0" distB="0" distL="0" distR="0">
            <wp:extent cx="5760085" cy="407289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99"/>
                    <a:stretch>
                      <a:fillRect/>
                    </a:stretch>
                  </pic:blipFill>
                  <pic:spPr>
                    <a:xfrm>
                      <a:off x="0" y="0"/>
                      <a:ext cx="5760085" cy="4072890"/>
                    </a:xfrm>
                    <a:prstGeom prst="rect">
                      <a:avLst/>
                    </a:prstGeom>
                  </pic:spPr>
                </pic:pic>
              </a:graphicData>
            </a:graphic>
          </wp:inline>
        </w:drawing>
      </w:r>
    </w:p>
    <w:p w14:paraId="1CAB5D50">
      <w:pPr>
        <w:spacing w:line="6414" w:lineRule="exact"/>
        <w:sectPr>
          <w:footerReference r:id="rId51" w:type="default"/>
          <w:pgSz w:w="11907" w:h="16841"/>
          <w:pgMar w:top="1091" w:right="1384" w:bottom="1168" w:left="1390" w:header="859" w:footer="991" w:gutter="0"/>
          <w:cols w:space="720" w:num="1"/>
        </w:sectPr>
      </w:pPr>
    </w:p>
    <w:p w14:paraId="04088653">
      <w:pPr>
        <w:pStyle w:val="2"/>
        <w:spacing w:line="283" w:lineRule="auto"/>
      </w:pPr>
    </w:p>
    <w:p w14:paraId="5F67535D">
      <w:pPr>
        <w:spacing w:before="78" w:line="219" w:lineRule="auto"/>
        <w:ind w:left="42"/>
        <w:rPr>
          <w:rFonts w:ascii="宋体" w:hAnsi="宋体" w:eastAsia="宋体" w:cs="宋体"/>
          <w:sz w:val="24"/>
          <w:szCs w:val="24"/>
        </w:rPr>
      </w:pPr>
      <w:r>
        <w:rPr>
          <w:rFonts w:ascii="宋体" w:hAnsi="宋体" w:eastAsia="宋体" w:cs="宋体"/>
          <w:spacing w:val="-4"/>
          <w:sz w:val="24"/>
          <w:szCs w:val="24"/>
        </w:rPr>
        <w:t>5.胜利村集镇</w:t>
      </w:r>
    </w:p>
    <w:p w14:paraId="22D05E71">
      <w:pPr>
        <w:spacing w:before="180" w:line="347" w:lineRule="auto"/>
        <w:ind w:left="520" w:right="5922"/>
        <w:rPr>
          <w:rFonts w:ascii="宋体" w:hAnsi="宋体" w:eastAsia="宋体" w:cs="宋体"/>
          <w:sz w:val="24"/>
          <w:szCs w:val="24"/>
        </w:rPr>
      </w:pPr>
      <w:r>
        <w:rPr>
          <w:rFonts w:ascii="宋体" w:hAnsi="宋体" w:eastAsia="宋体" w:cs="宋体"/>
          <w:spacing w:val="-2"/>
          <w:sz w:val="24"/>
          <w:szCs w:val="24"/>
        </w:rPr>
        <w:t>单元面积：162709平方米</w:t>
      </w:r>
      <w:r>
        <w:rPr>
          <w:rFonts w:ascii="宋体" w:hAnsi="宋体" w:eastAsia="宋体" w:cs="宋体"/>
          <w:spacing w:val="-1"/>
          <w:sz w:val="24"/>
          <w:szCs w:val="24"/>
        </w:rPr>
        <w:t>主导功能：居住生活类</w:t>
      </w:r>
    </w:p>
    <w:p w14:paraId="3CD8E8FE">
      <w:pPr>
        <w:spacing w:before="31" w:line="222" w:lineRule="auto"/>
        <w:ind w:left="519"/>
        <w:rPr>
          <w:rFonts w:ascii="宋体" w:hAnsi="宋体" w:eastAsia="宋体" w:cs="宋体"/>
          <w:sz w:val="24"/>
          <w:szCs w:val="24"/>
        </w:rPr>
      </w:pPr>
      <w:r>
        <w:rPr>
          <w:rFonts w:ascii="宋体" w:hAnsi="宋体" w:eastAsia="宋体" w:cs="宋体"/>
          <w:spacing w:val="-2"/>
          <w:sz w:val="24"/>
          <w:szCs w:val="24"/>
        </w:rPr>
        <w:t>规划人口：500人</w:t>
      </w:r>
    </w:p>
    <w:p w14:paraId="4D2CDDF9">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建设用地面积：161590平方米</w:t>
      </w:r>
    </w:p>
    <w:p w14:paraId="7E437C0A">
      <w:pPr>
        <w:spacing w:before="144" w:line="6414" w:lineRule="exact"/>
        <w:ind w:firstLine="27"/>
      </w:pPr>
      <w:r>
        <w:rPr>
          <w:position w:val="-128"/>
        </w:rPr>
        <w:drawing>
          <wp:inline distT="0" distB="0" distL="0" distR="0">
            <wp:extent cx="5760085" cy="407289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00"/>
                    <a:stretch>
                      <a:fillRect/>
                    </a:stretch>
                  </pic:blipFill>
                  <pic:spPr>
                    <a:xfrm>
                      <a:off x="0" y="0"/>
                      <a:ext cx="5760085" cy="4072890"/>
                    </a:xfrm>
                    <a:prstGeom prst="rect">
                      <a:avLst/>
                    </a:prstGeom>
                  </pic:spPr>
                </pic:pic>
              </a:graphicData>
            </a:graphic>
          </wp:inline>
        </w:drawing>
      </w:r>
    </w:p>
    <w:p w14:paraId="4A795B21">
      <w:pPr>
        <w:spacing w:line="6414" w:lineRule="exact"/>
        <w:sectPr>
          <w:footerReference r:id="rId52" w:type="default"/>
          <w:pgSz w:w="11907" w:h="16841"/>
          <w:pgMar w:top="1091" w:right="1384" w:bottom="1168" w:left="1390" w:header="859" w:footer="991" w:gutter="0"/>
          <w:cols w:space="720" w:num="1"/>
        </w:sectPr>
      </w:pPr>
    </w:p>
    <w:p w14:paraId="6F2AA4D2">
      <w:pPr>
        <w:pStyle w:val="2"/>
        <w:spacing w:line="283" w:lineRule="auto"/>
      </w:pPr>
    </w:p>
    <w:p w14:paraId="78922671">
      <w:pPr>
        <w:spacing w:before="78" w:line="220" w:lineRule="auto"/>
        <w:ind w:left="40"/>
        <w:rPr>
          <w:rFonts w:ascii="宋体" w:hAnsi="宋体" w:eastAsia="宋体" w:cs="宋体"/>
          <w:sz w:val="24"/>
          <w:szCs w:val="24"/>
        </w:rPr>
      </w:pPr>
      <w:r>
        <w:rPr>
          <w:rFonts w:ascii="宋体" w:hAnsi="宋体" w:eastAsia="宋体" w:cs="宋体"/>
          <w:spacing w:val="-2"/>
          <w:sz w:val="24"/>
          <w:szCs w:val="24"/>
        </w:rPr>
        <w:t>6.乌定补拉格嘎查物流区</w:t>
      </w:r>
    </w:p>
    <w:p w14:paraId="7E3BC970">
      <w:pPr>
        <w:spacing w:before="179" w:line="347" w:lineRule="auto"/>
        <w:ind w:left="520" w:right="5922"/>
        <w:rPr>
          <w:rFonts w:ascii="宋体" w:hAnsi="宋体" w:eastAsia="宋体" w:cs="宋体"/>
          <w:sz w:val="24"/>
          <w:szCs w:val="24"/>
        </w:rPr>
      </w:pPr>
      <w:r>
        <w:rPr>
          <w:rFonts w:ascii="宋体" w:hAnsi="宋体" w:eastAsia="宋体" w:cs="宋体"/>
          <w:spacing w:val="-2"/>
          <w:sz w:val="24"/>
          <w:szCs w:val="24"/>
        </w:rPr>
        <w:t>单元面积：700071平方米</w:t>
      </w:r>
      <w:r>
        <w:rPr>
          <w:rFonts w:ascii="宋体" w:hAnsi="宋体" w:eastAsia="宋体" w:cs="宋体"/>
          <w:spacing w:val="-1"/>
          <w:sz w:val="24"/>
          <w:szCs w:val="24"/>
        </w:rPr>
        <w:t>主导功能：物流仓储类</w:t>
      </w:r>
    </w:p>
    <w:p w14:paraId="3EDA6601">
      <w:pPr>
        <w:spacing w:before="31" w:line="220" w:lineRule="auto"/>
        <w:ind w:left="521"/>
        <w:rPr>
          <w:rFonts w:ascii="宋体" w:hAnsi="宋体" w:eastAsia="宋体" w:cs="宋体"/>
          <w:sz w:val="24"/>
          <w:szCs w:val="24"/>
        </w:rPr>
      </w:pPr>
      <w:r>
        <w:rPr>
          <w:rFonts w:ascii="宋体" w:hAnsi="宋体" w:eastAsia="宋体" w:cs="宋体"/>
          <w:spacing w:val="-2"/>
          <w:sz w:val="24"/>
          <w:szCs w:val="24"/>
        </w:rPr>
        <w:t>建设用地面积：700214平方米</w:t>
      </w:r>
    </w:p>
    <w:p w14:paraId="6F7F2ADD">
      <w:pPr>
        <w:spacing w:before="145" w:line="6414" w:lineRule="exact"/>
        <w:ind w:firstLine="27"/>
      </w:pPr>
      <w:r>
        <w:rPr>
          <w:position w:val="-128"/>
        </w:rPr>
        <w:drawing>
          <wp:inline distT="0" distB="0" distL="0" distR="0">
            <wp:extent cx="5760085" cy="407225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01"/>
                    <a:stretch>
                      <a:fillRect/>
                    </a:stretch>
                  </pic:blipFill>
                  <pic:spPr>
                    <a:xfrm>
                      <a:off x="0" y="0"/>
                      <a:ext cx="5760085" cy="4072763"/>
                    </a:xfrm>
                    <a:prstGeom prst="rect">
                      <a:avLst/>
                    </a:prstGeom>
                  </pic:spPr>
                </pic:pic>
              </a:graphicData>
            </a:graphic>
          </wp:inline>
        </w:drawing>
      </w:r>
    </w:p>
    <w:p w14:paraId="48EECF3E">
      <w:pPr>
        <w:spacing w:line="6414" w:lineRule="exact"/>
        <w:sectPr>
          <w:footerReference r:id="rId53" w:type="default"/>
          <w:pgSz w:w="11907" w:h="16841"/>
          <w:pgMar w:top="1091" w:right="1384" w:bottom="1168" w:left="1390" w:header="859" w:footer="991" w:gutter="0"/>
          <w:cols w:space="720" w:num="1"/>
        </w:sectPr>
      </w:pPr>
    </w:p>
    <w:p w14:paraId="32E675AF">
      <w:pPr>
        <w:pStyle w:val="2"/>
        <w:spacing w:line="283" w:lineRule="auto"/>
      </w:pPr>
    </w:p>
    <w:p w14:paraId="78C63A23">
      <w:pPr>
        <w:spacing w:before="78" w:line="219" w:lineRule="auto"/>
        <w:ind w:left="43"/>
        <w:rPr>
          <w:rFonts w:ascii="宋体" w:hAnsi="宋体" w:eastAsia="宋体" w:cs="宋体"/>
          <w:sz w:val="24"/>
          <w:szCs w:val="24"/>
        </w:rPr>
      </w:pPr>
      <w:r>
        <w:rPr>
          <w:rFonts w:ascii="宋体" w:hAnsi="宋体" w:eastAsia="宋体" w:cs="宋体"/>
          <w:spacing w:val="-3"/>
          <w:sz w:val="24"/>
          <w:szCs w:val="24"/>
        </w:rPr>
        <w:t>7.塔然高勒工业区</w:t>
      </w:r>
    </w:p>
    <w:p w14:paraId="4F20932B">
      <w:pPr>
        <w:spacing w:before="180" w:line="347" w:lineRule="auto"/>
        <w:ind w:left="520" w:right="5922"/>
        <w:rPr>
          <w:rFonts w:ascii="宋体" w:hAnsi="宋体" w:eastAsia="宋体" w:cs="宋体"/>
          <w:sz w:val="24"/>
          <w:szCs w:val="24"/>
        </w:rPr>
      </w:pPr>
      <w:r>
        <w:rPr>
          <w:rFonts w:ascii="宋体" w:hAnsi="宋体" w:eastAsia="宋体" w:cs="宋体"/>
          <w:spacing w:val="-2"/>
          <w:sz w:val="24"/>
          <w:szCs w:val="24"/>
        </w:rPr>
        <w:t>单元面积：796465平方米</w:t>
      </w:r>
      <w:r>
        <w:rPr>
          <w:rFonts w:ascii="宋体" w:hAnsi="宋体" w:eastAsia="宋体" w:cs="宋体"/>
          <w:spacing w:val="-1"/>
          <w:sz w:val="24"/>
          <w:szCs w:val="24"/>
        </w:rPr>
        <w:t>主导功能：工业发展类</w:t>
      </w:r>
    </w:p>
    <w:p w14:paraId="080B3173">
      <w:pPr>
        <w:spacing w:before="31" w:line="220" w:lineRule="auto"/>
        <w:ind w:left="521"/>
        <w:rPr>
          <w:rFonts w:ascii="宋体" w:hAnsi="宋体" w:eastAsia="宋体" w:cs="宋体"/>
          <w:sz w:val="24"/>
          <w:szCs w:val="24"/>
        </w:rPr>
      </w:pPr>
      <w:r>
        <w:rPr>
          <w:rFonts w:ascii="宋体" w:hAnsi="宋体" w:eastAsia="宋体" w:cs="宋体"/>
          <w:spacing w:val="-2"/>
          <w:sz w:val="24"/>
          <w:szCs w:val="24"/>
        </w:rPr>
        <w:t>建设用地面积：796644平方米</w:t>
      </w:r>
    </w:p>
    <w:p w14:paraId="17BAA2AC">
      <w:pPr>
        <w:spacing w:before="145" w:line="6414" w:lineRule="exact"/>
        <w:ind w:firstLine="27"/>
      </w:pPr>
      <w:r>
        <w:rPr>
          <w:position w:val="-128"/>
        </w:rPr>
        <w:drawing>
          <wp:inline distT="0" distB="0" distL="0" distR="0">
            <wp:extent cx="5760085" cy="407225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02"/>
                    <a:stretch>
                      <a:fillRect/>
                    </a:stretch>
                  </pic:blipFill>
                  <pic:spPr>
                    <a:xfrm>
                      <a:off x="0" y="0"/>
                      <a:ext cx="5760085" cy="4072763"/>
                    </a:xfrm>
                    <a:prstGeom prst="rect">
                      <a:avLst/>
                    </a:prstGeom>
                  </pic:spPr>
                </pic:pic>
              </a:graphicData>
            </a:graphic>
          </wp:inline>
        </w:drawing>
      </w:r>
    </w:p>
    <w:p w14:paraId="2AC9A39C">
      <w:pPr>
        <w:spacing w:line="6414" w:lineRule="exact"/>
        <w:sectPr>
          <w:footerReference r:id="rId54" w:type="default"/>
          <w:pgSz w:w="11907" w:h="16841"/>
          <w:pgMar w:top="1091" w:right="1384" w:bottom="1168" w:left="1390" w:header="859" w:footer="991" w:gutter="0"/>
          <w:cols w:space="720" w:num="1"/>
        </w:sectPr>
      </w:pPr>
    </w:p>
    <w:p w14:paraId="745A2410">
      <w:pPr>
        <w:pStyle w:val="2"/>
        <w:spacing w:line="284" w:lineRule="auto"/>
      </w:pPr>
    </w:p>
    <w:p w14:paraId="0DC592CD">
      <w:pPr>
        <w:spacing w:before="78" w:line="350" w:lineRule="auto"/>
        <w:ind w:left="519" w:right="5915" w:hanging="480"/>
        <w:rPr>
          <w:rFonts w:ascii="宋体" w:hAnsi="宋体" w:eastAsia="宋体" w:cs="宋体"/>
          <w:sz w:val="24"/>
          <w:szCs w:val="24"/>
        </w:rPr>
      </w:pPr>
      <w:r>
        <w:rPr>
          <w:rFonts w:ascii="宋体" w:hAnsi="宋体" w:eastAsia="宋体" w:cs="宋体"/>
          <w:spacing w:val="-2"/>
          <w:sz w:val="24"/>
          <w:szCs w:val="24"/>
        </w:rPr>
        <w:t>8.塔然高勒管委会综合服务区单元面积：595598平方米</w:t>
      </w:r>
      <w:r>
        <w:rPr>
          <w:rFonts w:ascii="宋体" w:hAnsi="宋体" w:eastAsia="宋体" w:cs="宋体"/>
          <w:spacing w:val="-1"/>
          <w:sz w:val="24"/>
          <w:szCs w:val="24"/>
        </w:rPr>
        <w:t>主导功能：综合服务类</w:t>
      </w:r>
    </w:p>
    <w:p w14:paraId="12D67E1E">
      <w:pPr>
        <w:spacing w:before="33" w:line="222" w:lineRule="auto"/>
        <w:ind w:left="519"/>
        <w:rPr>
          <w:rFonts w:ascii="宋体" w:hAnsi="宋体" w:eastAsia="宋体" w:cs="宋体"/>
          <w:sz w:val="24"/>
          <w:szCs w:val="24"/>
        </w:rPr>
      </w:pPr>
      <w:r>
        <w:rPr>
          <w:rFonts w:ascii="宋体" w:hAnsi="宋体" w:eastAsia="宋体" w:cs="宋体"/>
          <w:spacing w:val="-2"/>
          <w:sz w:val="24"/>
          <w:szCs w:val="24"/>
        </w:rPr>
        <w:t>规划人口：2598人</w:t>
      </w:r>
    </w:p>
    <w:p w14:paraId="164CA326">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建设用地面积：592738平方米</w:t>
      </w:r>
    </w:p>
    <w:p w14:paraId="273ED2F2">
      <w:pPr>
        <w:spacing w:before="144" w:line="6414" w:lineRule="exact"/>
        <w:ind w:firstLine="27"/>
      </w:pPr>
      <w:r>
        <w:rPr>
          <w:position w:val="-128"/>
        </w:rPr>
        <w:drawing>
          <wp:inline distT="0" distB="0" distL="0" distR="0">
            <wp:extent cx="5760085" cy="407289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03"/>
                    <a:stretch>
                      <a:fillRect/>
                    </a:stretch>
                  </pic:blipFill>
                  <pic:spPr>
                    <a:xfrm>
                      <a:off x="0" y="0"/>
                      <a:ext cx="5760085" cy="4072890"/>
                    </a:xfrm>
                    <a:prstGeom prst="rect">
                      <a:avLst/>
                    </a:prstGeom>
                  </pic:spPr>
                </pic:pic>
              </a:graphicData>
            </a:graphic>
          </wp:inline>
        </w:drawing>
      </w:r>
    </w:p>
    <w:p w14:paraId="7CECB189">
      <w:pPr>
        <w:spacing w:line="6414" w:lineRule="exact"/>
        <w:sectPr>
          <w:footerReference r:id="rId55" w:type="default"/>
          <w:pgSz w:w="11907" w:h="16841"/>
          <w:pgMar w:top="1091" w:right="1384" w:bottom="1168" w:left="1390" w:header="859" w:footer="991" w:gutter="0"/>
          <w:cols w:space="720" w:num="1"/>
        </w:sectPr>
      </w:pPr>
    </w:p>
    <w:p w14:paraId="6D90E793">
      <w:pPr>
        <w:pStyle w:val="2"/>
        <w:spacing w:line="283" w:lineRule="auto"/>
      </w:pPr>
    </w:p>
    <w:p w14:paraId="7D748CD6">
      <w:pPr>
        <w:spacing w:before="78" w:line="220" w:lineRule="auto"/>
        <w:ind w:left="39"/>
        <w:rPr>
          <w:rFonts w:ascii="宋体" w:hAnsi="宋体" w:eastAsia="宋体" w:cs="宋体"/>
          <w:sz w:val="24"/>
          <w:szCs w:val="24"/>
        </w:rPr>
      </w:pPr>
      <w:r>
        <w:rPr>
          <w:rFonts w:ascii="宋体" w:hAnsi="宋体" w:eastAsia="宋体" w:cs="宋体"/>
          <w:spacing w:val="-2"/>
          <w:sz w:val="24"/>
          <w:szCs w:val="24"/>
        </w:rPr>
        <w:t>9.独贵塔拉工业园区</w:t>
      </w:r>
    </w:p>
    <w:p w14:paraId="1F9A687B">
      <w:pPr>
        <w:spacing w:before="179" w:line="347" w:lineRule="auto"/>
        <w:ind w:left="520" w:right="5802"/>
        <w:rPr>
          <w:rFonts w:ascii="宋体" w:hAnsi="宋体" w:eastAsia="宋体" w:cs="宋体"/>
          <w:sz w:val="24"/>
          <w:szCs w:val="24"/>
        </w:rPr>
      </w:pPr>
      <w:r>
        <w:rPr>
          <w:rFonts w:ascii="宋体" w:hAnsi="宋体" w:eastAsia="宋体" w:cs="宋体"/>
          <w:spacing w:val="-2"/>
          <w:sz w:val="24"/>
          <w:szCs w:val="24"/>
        </w:rPr>
        <w:t>单元面积：8415216平方米</w:t>
      </w:r>
      <w:r>
        <w:rPr>
          <w:rFonts w:ascii="宋体" w:hAnsi="宋体" w:eastAsia="宋体" w:cs="宋体"/>
          <w:spacing w:val="-1"/>
          <w:sz w:val="24"/>
          <w:szCs w:val="24"/>
        </w:rPr>
        <w:t>主导功能：工业发展类</w:t>
      </w:r>
    </w:p>
    <w:p w14:paraId="798E0FEF">
      <w:pPr>
        <w:spacing w:before="31" w:line="220" w:lineRule="auto"/>
        <w:ind w:left="521"/>
        <w:rPr>
          <w:rFonts w:ascii="宋体" w:hAnsi="宋体" w:eastAsia="宋体" w:cs="宋体"/>
          <w:sz w:val="24"/>
          <w:szCs w:val="24"/>
        </w:rPr>
      </w:pPr>
      <w:r>
        <w:rPr>
          <w:rFonts w:ascii="宋体" w:hAnsi="宋体" w:eastAsia="宋体" w:cs="宋体"/>
          <w:spacing w:val="-2"/>
          <w:sz w:val="24"/>
          <w:szCs w:val="24"/>
        </w:rPr>
        <w:t>建设用地面积：8308672平方米</w:t>
      </w:r>
    </w:p>
    <w:p w14:paraId="5BAD7368">
      <w:pPr>
        <w:spacing w:before="145" w:line="6414" w:lineRule="exact"/>
        <w:ind w:firstLine="27"/>
      </w:pPr>
      <w:r>
        <w:rPr>
          <w:position w:val="-128"/>
        </w:rPr>
        <w:drawing>
          <wp:inline distT="0" distB="0" distL="0" distR="0">
            <wp:extent cx="5760085" cy="4072255"/>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104"/>
                    <a:stretch>
                      <a:fillRect/>
                    </a:stretch>
                  </pic:blipFill>
                  <pic:spPr>
                    <a:xfrm>
                      <a:off x="0" y="0"/>
                      <a:ext cx="5760085" cy="4072763"/>
                    </a:xfrm>
                    <a:prstGeom prst="rect">
                      <a:avLst/>
                    </a:prstGeom>
                  </pic:spPr>
                </pic:pic>
              </a:graphicData>
            </a:graphic>
          </wp:inline>
        </w:drawing>
      </w:r>
    </w:p>
    <w:p w14:paraId="575FBDDD">
      <w:pPr>
        <w:spacing w:line="6414" w:lineRule="exact"/>
        <w:sectPr>
          <w:footerReference r:id="rId56" w:type="default"/>
          <w:pgSz w:w="11907" w:h="16841"/>
          <w:pgMar w:top="1091" w:right="1384" w:bottom="1168" w:left="1390" w:header="859" w:footer="991" w:gutter="0"/>
          <w:cols w:space="720" w:num="1"/>
        </w:sectPr>
      </w:pPr>
    </w:p>
    <w:p w14:paraId="10CA2832">
      <w:pPr>
        <w:pStyle w:val="2"/>
        <w:spacing w:line="283" w:lineRule="auto"/>
      </w:pPr>
    </w:p>
    <w:p w14:paraId="0CFE81D7">
      <w:pPr>
        <w:spacing w:before="78" w:line="220" w:lineRule="auto"/>
        <w:ind w:left="55"/>
        <w:rPr>
          <w:rFonts w:ascii="宋体" w:hAnsi="宋体" w:eastAsia="宋体" w:cs="宋体"/>
          <w:sz w:val="24"/>
          <w:szCs w:val="24"/>
        </w:rPr>
      </w:pPr>
      <w:r>
        <w:rPr>
          <w:rFonts w:ascii="宋体" w:hAnsi="宋体" w:eastAsia="宋体" w:cs="宋体"/>
          <w:spacing w:val="-4"/>
          <w:sz w:val="24"/>
          <w:szCs w:val="24"/>
        </w:rPr>
        <w:t>10.独贵塔拉物流区</w:t>
      </w:r>
    </w:p>
    <w:p w14:paraId="044D0E97">
      <w:pPr>
        <w:spacing w:before="179" w:line="347" w:lineRule="auto"/>
        <w:ind w:left="520" w:right="5922"/>
        <w:rPr>
          <w:rFonts w:ascii="宋体" w:hAnsi="宋体" w:eastAsia="宋体" w:cs="宋体"/>
          <w:sz w:val="24"/>
          <w:szCs w:val="24"/>
        </w:rPr>
      </w:pPr>
      <w:r>
        <w:rPr>
          <w:rFonts w:ascii="宋体" w:hAnsi="宋体" w:eastAsia="宋体" w:cs="宋体"/>
          <w:spacing w:val="-2"/>
          <w:sz w:val="24"/>
          <w:szCs w:val="24"/>
        </w:rPr>
        <w:t>单元面积：120052平方米</w:t>
      </w:r>
      <w:r>
        <w:rPr>
          <w:rFonts w:ascii="宋体" w:hAnsi="宋体" w:eastAsia="宋体" w:cs="宋体"/>
          <w:spacing w:val="-1"/>
          <w:sz w:val="24"/>
          <w:szCs w:val="24"/>
        </w:rPr>
        <w:t>主导功能：物流仓储类</w:t>
      </w:r>
    </w:p>
    <w:p w14:paraId="09F66E89">
      <w:pPr>
        <w:spacing w:before="31" w:line="220" w:lineRule="auto"/>
        <w:ind w:left="521"/>
        <w:rPr>
          <w:rFonts w:ascii="宋体" w:hAnsi="宋体" w:eastAsia="宋体" w:cs="宋体"/>
          <w:sz w:val="24"/>
          <w:szCs w:val="24"/>
        </w:rPr>
      </w:pPr>
      <w:r>
        <w:rPr>
          <w:rFonts w:ascii="宋体" w:hAnsi="宋体" w:eastAsia="宋体" w:cs="宋体"/>
          <w:spacing w:val="-2"/>
          <w:sz w:val="24"/>
          <w:szCs w:val="24"/>
        </w:rPr>
        <w:t>建设用地面积：120075平方米</w:t>
      </w:r>
    </w:p>
    <w:p w14:paraId="4AA3EC7D">
      <w:pPr>
        <w:spacing w:before="145" w:line="6414" w:lineRule="exact"/>
        <w:ind w:firstLine="27"/>
      </w:pPr>
      <w:r>
        <w:rPr>
          <w:position w:val="-128"/>
        </w:rPr>
        <w:drawing>
          <wp:inline distT="0" distB="0" distL="0" distR="0">
            <wp:extent cx="5760085" cy="4072255"/>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05"/>
                    <a:stretch>
                      <a:fillRect/>
                    </a:stretch>
                  </pic:blipFill>
                  <pic:spPr>
                    <a:xfrm>
                      <a:off x="0" y="0"/>
                      <a:ext cx="5760085" cy="4072763"/>
                    </a:xfrm>
                    <a:prstGeom prst="rect">
                      <a:avLst/>
                    </a:prstGeom>
                  </pic:spPr>
                </pic:pic>
              </a:graphicData>
            </a:graphic>
          </wp:inline>
        </w:drawing>
      </w:r>
    </w:p>
    <w:p w14:paraId="6A3C319A">
      <w:pPr>
        <w:spacing w:line="6414" w:lineRule="exact"/>
        <w:sectPr>
          <w:footerReference r:id="rId57" w:type="default"/>
          <w:pgSz w:w="11907" w:h="16841"/>
          <w:pgMar w:top="1091" w:right="1384" w:bottom="1168" w:left="1390" w:header="859" w:footer="991" w:gutter="0"/>
          <w:cols w:space="720" w:num="1"/>
        </w:sectPr>
      </w:pPr>
    </w:p>
    <w:p w14:paraId="1C75A287">
      <w:pPr>
        <w:pStyle w:val="2"/>
        <w:spacing w:line="283" w:lineRule="auto"/>
      </w:pPr>
    </w:p>
    <w:p w14:paraId="5AEA950C">
      <w:pPr>
        <w:spacing w:before="78" w:line="219" w:lineRule="auto"/>
        <w:ind w:left="55"/>
        <w:rPr>
          <w:rFonts w:ascii="宋体" w:hAnsi="宋体" w:eastAsia="宋体" w:cs="宋体"/>
          <w:sz w:val="24"/>
          <w:szCs w:val="24"/>
        </w:rPr>
      </w:pPr>
      <w:r>
        <w:rPr>
          <w:rFonts w:ascii="宋体" w:hAnsi="宋体" w:eastAsia="宋体" w:cs="宋体"/>
          <w:spacing w:val="-3"/>
          <w:sz w:val="24"/>
          <w:szCs w:val="24"/>
        </w:rPr>
        <w:t>11.独贵塔拉永兴村集镇</w:t>
      </w:r>
    </w:p>
    <w:p w14:paraId="2DF2BA46">
      <w:pPr>
        <w:spacing w:before="180" w:line="347" w:lineRule="auto"/>
        <w:ind w:left="520" w:right="5922"/>
        <w:rPr>
          <w:rFonts w:ascii="宋体" w:hAnsi="宋体" w:eastAsia="宋体" w:cs="宋体"/>
          <w:sz w:val="24"/>
          <w:szCs w:val="24"/>
        </w:rPr>
      </w:pPr>
      <w:r>
        <w:rPr>
          <w:rFonts w:ascii="宋体" w:hAnsi="宋体" w:eastAsia="宋体" w:cs="宋体"/>
          <w:spacing w:val="-2"/>
          <w:sz w:val="24"/>
          <w:szCs w:val="24"/>
        </w:rPr>
        <w:t>单元面积：209749平方米</w:t>
      </w:r>
      <w:r>
        <w:rPr>
          <w:rFonts w:ascii="宋体" w:hAnsi="宋体" w:eastAsia="宋体" w:cs="宋体"/>
          <w:spacing w:val="-1"/>
          <w:sz w:val="24"/>
          <w:szCs w:val="24"/>
        </w:rPr>
        <w:t>主导功能：居住生活类</w:t>
      </w:r>
    </w:p>
    <w:p w14:paraId="06C9515D">
      <w:pPr>
        <w:spacing w:before="31" w:line="222" w:lineRule="auto"/>
        <w:ind w:left="519"/>
        <w:rPr>
          <w:rFonts w:ascii="宋体" w:hAnsi="宋体" w:eastAsia="宋体" w:cs="宋体"/>
          <w:sz w:val="24"/>
          <w:szCs w:val="24"/>
        </w:rPr>
      </w:pPr>
      <w:r>
        <w:rPr>
          <w:rFonts w:ascii="宋体" w:hAnsi="宋体" w:eastAsia="宋体" w:cs="宋体"/>
          <w:spacing w:val="-2"/>
          <w:sz w:val="24"/>
          <w:szCs w:val="24"/>
        </w:rPr>
        <w:t>规划人口：1000人</w:t>
      </w:r>
    </w:p>
    <w:p w14:paraId="68664357">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建设用地面积：209004平方米</w:t>
      </w:r>
    </w:p>
    <w:p w14:paraId="0CB1CE29">
      <w:pPr>
        <w:spacing w:before="144" w:line="6414" w:lineRule="exact"/>
        <w:ind w:firstLine="27"/>
      </w:pPr>
      <w:r>
        <w:rPr>
          <w:position w:val="-128"/>
        </w:rPr>
        <w:drawing>
          <wp:inline distT="0" distB="0" distL="0" distR="0">
            <wp:extent cx="5760085" cy="407289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106"/>
                    <a:stretch>
                      <a:fillRect/>
                    </a:stretch>
                  </pic:blipFill>
                  <pic:spPr>
                    <a:xfrm>
                      <a:off x="0" y="0"/>
                      <a:ext cx="5760085" cy="4072890"/>
                    </a:xfrm>
                    <a:prstGeom prst="rect">
                      <a:avLst/>
                    </a:prstGeom>
                  </pic:spPr>
                </pic:pic>
              </a:graphicData>
            </a:graphic>
          </wp:inline>
        </w:drawing>
      </w:r>
    </w:p>
    <w:p w14:paraId="2CB3577A">
      <w:pPr>
        <w:spacing w:line="6414" w:lineRule="exact"/>
        <w:sectPr>
          <w:footerReference r:id="rId58" w:type="default"/>
          <w:pgSz w:w="11907" w:h="16841"/>
          <w:pgMar w:top="1091" w:right="1384" w:bottom="1168" w:left="1390" w:header="859" w:footer="991" w:gutter="0"/>
          <w:cols w:space="720" w:num="1"/>
        </w:sectPr>
      </w:pPr>
    </w:p>
    <w:p w14:paraId="76EBA2A2">
      <w:pPr>
        <w:pStyle w:val="2"/>
        <w:spacing w:line="283" w:lineRule="auto"/>
      </w:pPr>
    </w:p>
    <w:p w14:paraId="438E2C3A">
      <w:pPr>
        <w:spacing w:before="78" w:line="219" w:lineRule="auto"/>
        <w:ind w:left="55"/>
        <w:rPr>
          <w:rFonts w:ascii="宋体" w:hAnsi="宋体" w:eastAsia="宋体" w:cs="宋体"/>
          <w:sz w:val="24"/>
          <w:szCs w:val="24"/>
        </w:rPr>
      </w:pPr>
      <w:r>
        <w:rPr>
          <w:rFonts w:ascii="宋体" w:hAnsi="宋体" w:eastAsia="宋体" w:cs="宋体"/>
          <w:spacing w:val="-4"/>
          <w:sz w:val="24"/>
          <w:szCs w:val="24"/>
        </w:rPr>
        <w:t>12.独贵塔拉村集镇</w:t>
      </w:r>
    </w:p>
    <w:p w14:paraId="491CDB6D">
      <w:pPr>
        <w:spacing w:before="180" w:line="347" w:lineRule="auto"/>
        <w:ind w:left="520" w:right="5922"/>
        <w:rPr>
          <w:rFonts w:ascii="宋体" w:hAnsi="宋体" w:eastAsia="宋体" w:cs="宋体"/>
          <w:sz w:val="24"/>
          <w:szCs w:val="24"/>
        </w:rPr>
      </w:pPr>
      <w:r>
        <w:rPr>
          <w:rFonts w:ascii="宋体" w:hAnsi="宋体" w:eastAsia="宋体" w:cs="宋体"/>
          <w:spacing w:val="-2"/>
          <w:sz w:val="24"/>
          <w:szCs w:val="24"/>
        </w:rPr>
        <w:t>单元面积：460426平方米</w:t>
      </w:r>
      <w:r>
        <w:rPr>
          <w:rFonts w:ascii="宋体" w:hAnsi="宋体" w:eastAsia="宋体" w:cs="宋体"/>
          <w:spacing w:val="-1"/>
          <w:sz w:val="24"/>
          <w:szCs w:val="24"/>
        </w:rPr>
        <w:t>主导功能：居住生活类</w:t>
      </w:r>
    </w:p>
    <w:p w14:paraId="1CE1FCEF">
      <w:pPr>
        <w:spacing w:before="31" w:line="222" w:lineRule="auto"/>
        <w:ind w:left="519"/>
        <w:rPr>
          <w:rFonts w:ascii="宋体" w:hAnsi="宋体" w:eastAsia="宋体" w:cs="宋体"/>
          <w:sz w:val="24"/>
          <w:szCs w:val="24"/>
        </w:rPr>
      </w:pPr>
      <w:r>
        <w:rPr>
          <w:rFonts w:ascii="宋体" w:hAnsi="宋体" w:eastAsia="宋体" w:cs="宋体"/>
          <w:spacing w:val="-2"/>
          <w:sz w:val="24"/>
          <w:szCs w:val="24"/>
        </w:rPr>
        <w:t>规划人口：1000人</w:t>
      </w:r>
    </w:p>
    <w:p w14:paraId="6975F63E">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建设用地面积：460469平方米</w:t>
      </w:r>
    </w:p>
    <w:p w14:paraId="4F765254">
      <w:pPr>
        <w:spacing w:before="144" w:line="6414" w:lineRule="exact"/>
        <w:ind w:firstLine="27"/>
      </w:pPr>
      <w:r>
        <w:rPr>
          <w:position w:val="-128"/>
        </w:rPr>
        <w:drawing>
          <wp:inline distT="0" distB="0" distL="0" distR="0">
            <wp:extent cx="5760085" cy="407289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107"/>
                    <a:stretch>
                      <a:fillRect/>
                    </a:stretch>
                  </pic:blipFill>
                  <pic:spPr>
                    <a:xfrm>
                      <a:off x="0" y="0"/>
                      <a:ext cx="5760085" cy="4072890"/>
                    </a:xfrm>
                    <a:prstGeom prst="rect">
                      <a:avLst/>
                    </a:prstGeom>
                  </pic:spPr>
                </pic:pic>
              </a:graphicData>
            </a:graphic>
          </wp:inline>
        </w:drawing>
      </w:r>
    </w:p>
    <w:p w14:paraId="2A2AB40D">
      <w:pPr>
        <w:spacing w:line="6414" w:lineRule="exact"/>
        <w:sectPr>
          <w:footerReference r:id="rId59" w:type="default"/>
          <w:pgSz w:w="11907" w:h="16841"/>
          <w:pgMar w:top="1091" w:right="1384" w:bottom="1169" w:left="1390" w:header="859" w:footer="991" w:gutter="0"/>
          <w:cols w:space="720" w:num="1"/>
        </w:sectPr>
      </w:pPr>
    </w:p>
    <w:p w14:paraId="4CE74EB7">
      <w:pPr>
        <w:pStyle w:val="2"/>
        <w:spacing w:line="283" w:lineRule="auto"/>
      </w:pPr>
    </w:p>
    <w:p w14:paraId="614CDDE4">
      <w:pPr>
        <w:spacing w:before="78" w:line="220" w:lineRule="auto"/>
        <w:ind w:left="55"/>
        <w:rPr>
          <w:rFonts w:ascii="宋体" w:hAnsi="宋体" w:eastAsia="宋体" w:cs="宋体"/>
          <w:sz w:val="24"/>
          <w:szCs w:val="24"/>
        </w:rPr>
      </w:pPr>
      <w:r>
        <w:rPr>
          <w:rFonts w:ascii="宋体" w:hAnsi="宋体" w:eastAsia="宋体" w:cs="宋体"/>
          <w:spacing w:val="-4"/>
          <w:sz w:val="24"/>
          <w:szCs w:val="24"/>
        </w:rPr>
        <w:t>13.独贵塔拉镇镇区</w:t>
      </w:r>
    </w:p>
    <w:p w14:paraId="5CA3DC33">
      <w:pPr>
        <w:spacing w:before="179" w:line="347" w:lineRule="auto"/>
        <w:ind w:left="520" w:right="5802"/>
        <w:rPr>
          <w:rFonts w:ascii="宋体" w:hAnsi="宋体" w:eastAsia="宋体" w:cs="宋体"/>
          <w:sz w:val="24"/>
          <w:szCs w:val="24"/>
        </w:rPr>
      </w:pPr>
      <w:r>
        <w:rPr>
          <w:rFonts w:ascii="宋体" w:hAnsi="宋体" w:eastAsia="宋体" w:cs="宋体"/>
          <w:spacing w:val="-2"/>
          <w:sz w:val="24"/>
          <w:szCs w:val="24"/>
        </w:rPr>
        <w:t>单元面积：2258571平方米</w:t>
      </w:r>
      <w:r>
        <w:rPr>
          <w:rFonts w:ascii="宋体" w:hAnsi="宋体" w:eastAsia="宋体" w:cs="宋体"/>
          <w:spacing w:val="-1"/>
          <w:sz w:val="24"/>
          <w:szCs w:val="24"/>
        </w:rPr>
        <w:t>主导功能：综合服务类</w:t>
      </w:r>
    </w:p>
    <w:p w14:paraId="6DDE91B1">
      <w:pPr>
        <w:spacing w:before="31" w:line="222" w:lineRule="auto"/>
        <w:ind w:left="519"/>
        <w:rPr>
          <w:rFonts w:ascii="宋体" w:hAnsi="宋体" w:eastAsia="宋体" w:cs="宋体"/>
          <w:sz w:val="24"/>
          <w:szCs w:val="24"/>
        </w:rPr>
      </w:pPr>
      <w:r>
        <w:rPr>
          <w:rFonts w:ascii="宋体" w:hAnsi="宋体" w:eastAsia="宋体" w:cs="宋体"/>
          <w:spacing w:val="-2"/>
          <w:sz w:val="24"/>
          <w:szCs w:val="24"/>
        </w:rPr>
        <w:t>规划人口：7652人</w:t>
      </w:r>
    </w:p>
    <w:p w14:paraId="1A0ECE30">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建设用地面积：2258779平方米</w:t>
      </w:r>
    </w:p>
    <w:p w14:paraId="1509AE80">
      <w:pPr>
        <w:spacing w:before="144" w:line="6414" w:lineRule="exact"/>
        <w:ind w:firstLine="27"/>
      </w:pPr>
      <w:r>
        <w:rPr>
          <w:position w:val="-128"/>
        </w:rPr>
        <w:drawing>
          <wp:inline distT="0" distB="0" distL="0" distR="0">
            <wp:extent cx="5760085" cy="407289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08"/>
                    <a:stretch>
                      <a:fillRect/>
                    </a:stretch>
                  </pic:blipFill>
                  <pic:spPr>
                    <a:xfrm>
                      <a:off x="0" y="0"/>
                      <a:ext cx="5760085" cy="4072890"/>
                    </a:xfrm>
                    <a:prstGeom prst="rect">
                      <a:avLst/>
                    </a:prstGeom>
                  </pic:spPr>
                </pic:pic>
              </a:graphicData>
            </a:graphic>
          </wp:inline>
        </w:drawing>
      </w:r>
    </w:p>
    <w:p w14:paraId="499B502D">
      <w:pPr>
        <w:spacing w:line="6414" w:lineRule="exact"/>
        <w:sectPr>
          <w:footerReference r:id="rId60" w:type="default"/>
          <w:pgSz w:w="11907" w:h="16841"/>
          <w:pgMar w:top="1091" w:right="1384" w:bottom="1168" w:left="1390" w:header="859" w:footer="991" w:gutter="0"/>
          <w:cols w:space="720" w:num="1"/>
        </w:sectPr>
      </w:pPr>
    </w:p>
    <w:p w14:paraId="380B4A68">
      <w:pPr>
        <w:pStyle w:val="2"/>
        <w:spacing w:line="283" w:lineRule="auto"/>
      </w:pPr>
    </w:p>
    <w:p w14:paraId="7F06718D">
      <w:pPr>
        <w:spacing w:before="78" w:line="345" w:lineRule="auto"/>
        <w:ind w:left="519" w:right="4414" w:hanging="464"/>
        <w:rPr>
          <w:rFonts w:ascii="宋体" w:hAnsi="宋体" w:eastAsia="宋体" w:cs="宋体"/>
          <w:sz w:val="24"/>
          <w:szCs w:val="24"/>
        </w:rPr>
      </w:pPr>
      <w:r>
        <w:rPr>
          <w:rFonts w:ascii="宋体" w:hAnsi="宋体" w:eastAsia="宋体" w:cs="宋体"/>
          <w:spacing w:val="-3"/>
          <w:sz w:val="24"/>
          <w:szCs w:val="24"/>
        </w:rPr>
        <w:t>14.独贵塔拉图古日格嘎查沙漠商业服务</w:t>
      </w:r>
      <w:r>
        <w:rPr>
          <w:rFonts w:ascii="宋体" w:hAnsi="宋体" w:eastAsia="宋体" w:cs="宋体"/>
          <w:spacing w:val="-4"/>
          <w:sz w:val="24"/>
          <w:szCs w:val="24"/>
        </w:rPr>
        <w:t>区1</w:t>
      </w:r>
      <w:r>
        <w:rPr>
          <w:rFonts w:ascii="宋体" w:hAnsi="宋体" w:eastAsia="宋体" w:cs="宋体"/>
          <w:spacing w:val="-2"/>
          <w:sz w:val="24"/>
          <w:szCs w:val="24"/>
        </w:rPr>
        <w:t>单元面积：61516平方米</w:t>
      </w:r>
    </w:p>
    <w:p w14:paraId="3B8C5D3D">
      <w:pPr>
        <w:spacing w:before="36" w:line="220" w:lineRule="auto"/>
        <w:ind w:left="520"/>
        <w:rPr>
          <w:rFonts w:ascii="宋体" w:hAnsi="宋体" w:eastAsia="宋体" w:cs="宋体"/>
          <w:sz w:val="24"/>
          <w:szCs w:val="24"/>
        </w:rPr>
      </w:pPr>
      <w:r>
        <w:rPr>
          <w:rFonts w:ascii="宋体" w:hAnsi="宋体" w:eastAsia="宋体" w:cs="宋体"/>
          <w:spacing w:val="-1"/>
          <w:sz w:val="24"/>
          <w:szCs w:val="24"/>
        </w:rPr>
        <w:t>主导功能：商业商务类</w:t>
      </w:r>
    </w:p>
    <w:p w14:paraId="68944CEF">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建设用地面积：61521平方米</w:t>
      </w:r>
    </w:p>
    <w:p w14:paraId="47FA8075">
      <w:pPr>
        <w:spacing w:before="145" w:line="6414" w:lineRule="exact"/>
        <w:ind w:firstLine="27"/>
      </w:pPr>
      <w:r>
        <w:rPr>
          <w:position w:val="-128"/>
        </w:rPr>
        <w:drawing>
          <wp:inline distT="0" distB="0" distL="0" distR="0">
            <wp:extent cx="5760085" cy="4072255"/>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09"/>
                    <a:stretch>
                      <a:fillRect/>
                    </a:stretch>
                  </pic:blipFill>
                  <pic:spPr>
                    <a:xfrm>
                      <a:off x="0" y="0"/>
                      <a:ext cx="5760085" cy="4072763"/>
                    </a:xfrm>
                    <a:prstGeom prst="rect">
                      <a:avLst/>
                    </a:prstGeom>
                  </pic:spPr>
                </pic:pic>
              </a:graphicData>
            </a:graphic>
          </wp:inline>
        </w:drawing>
      </w:r>
    </w:p>
    <w:p w14:paraId="6BD1659A">
      <w:pPr>
        <w:spacing w:line="6414" w:lineRule="exact"/>
        <w:sectPr>
          <w:footerReference r:id="rId61" w:type="default"/>
          <w:pgSz w:w="11907" w:h="16841"/>
          <w:pgMar w:top="1091" w:right="1384" w:bottom="1168" w:left="1390" w:header="859" w:footer="991" w:gutter="0"/>
          <w:cols w:space="720" w:num="1"/>
        </w:sectPr>
      </w:pPr>
    </w:p>
    <w:p w14:paraId="413FD160">
      <w:pPr>
        <w:pStyle w:val="2"/>
        <w:spacing w:line="283" w:lineRule="auto"/>
      </w:pPr>
    </w:p>
    <w:p w14:paraId="43D91B30">
      <w:pPr>
        <w:spacing w:before="78" w:line="345" w:lineRule="auto"/>
        <w:ind w:left="519" w:right="4414" w:hanging="464"/>
        <w:rPr>
          <w:rFonts w:ascii="宋体" w:hAnsi="宋体" w:eastAsia="宋体" w:cs="宋体"/>
          <w:sz w:val="24"/>
          <w:szCs w:val="24"/>
        </w:rPr>
      </w:pPr>
      <w:r>
        <w:rPr>
          <w:rFonts w:ascii="宋体" w:hAnsi="宋体" w:eastAsia="宋体" w:cs="宋体"/>
          <w:spacing w:val="-3"/>
          <w:sz w:val="24"/>
          <w:szCs w:val="24"/>
        </w:rPr>
        <w:t>15.独贵塔拉图古日格嘎查沙漠商业服务区2</w:t>
      </w:r>
      <w:r>
        <w:rPr>
          <w:rFonts w:ascii="宋体" w:hAnsi="宋体" w:eastAsia="宋体" w:cs="宋体"/>
          <w:spacing w:val="-2"/>
          <w:sz w:val="24"/>
          <w:szCs w:val="24"/>
        </w:rPr>
        <w:t>单元面积：10528平方米</w:t>
      </w:r>
    </w:p>
    <w:p w14:paraId="7F38C4E5">
      <w:pPr>
        <w:spacing w:before="36" w:line="220" w:lineRule="auto"/>
        <w:ind w:left="520"/>
        <w:rPr>
          <w:rFonts w:ascii="宋体" w:hAnsi="宋体" w:eastAsia="宋体" w:cs="宋体"/>
          <w:sz w:val="24"/>
          <w:szCs w:val="24"/>
        </w:rPr>
      </w:pPr>
      <w:r>
        <w:rPr>
          <w:rFonts w:ascii="宋体" w:hAnsi="宋体" w:eastAsia="宋体" w:cs="宋体"/>
          <w:spacing w:val="-1"/>
          <w:sz w:val="24"/>
          <w:szCs w:val="24"/>
        </w:rPr>
        <w:t>主导功能：商业商务类</w:t>
      </w:r>
    </w:p>
    <w:p w14:paraId="7CFAB7EF">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建设用地面积：10528平方米</w:t>
      </w:r>
    </w:p>
    <w:p w14:paraId="3984C51B">
      <w:pPr>
        <w:spacing w:before="145" w:line="6414" w:lineRule="exact"/>
        <w:ind w:firstLine="27"/>
      </w:pPr>
      <w:r>
        <w:rPr>
          <w:position w:val="-128"/>
        </w:rPr>
        <w:drawing>
          <wp:inline distT="0" distB="0" distL="0" distR="0">
            <wp:extent cx="5760085" cy="407225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110"/>
                    <a:stretch>
                      <a:fillRect/>
                    </a:stretch>
                  </pic:blipFill>
                  <pic:spPr>
                    <a:xfrm>
                      <a:off x="0" y="0"/>
                      <a:ext cx="5760085" cy="4072763"/>
                    </a:xfrm>
                    <a:prstGeom prst="rect">
                      <a:avLst/>
                    </a:prstGeom>
                  </pic:spPr>
                </pic:pic>
              </a:graphicData>
            </a:graphic>
          </wp:inline>
        </w:drawing>
      </w:r>
    </w:p>
    <w:p w14:paraId="304D7670">
      <w:pPr>
        <w:spacing w:line="6414" w:lineRule="exact"/>
        <w:sectPr>
          <w:footerReference r:id="rId62" w:type="default"/>
          <w:pgSz w:w="11907" w:h="16841"/>
          <w:pgMar w:top="1091" w:right="1384" w:bottom="1168" w:left="1390" w:header="859" w:footer="991" w:gutter="0"/>
          <w:cols w:space="720" w:num="1"/>
        </w:sectPr>
      </w:pPr>
    </w:p>
    <w:p w14:paraId="2DC853C8">
      <w:pPr>
        <w:pStyle w:val="2"/>
        <w:spacing w:line="283" w:lineRule="auto"/>
      </w:pPr>
    </w:p>
    <w:p w14:paraId="133E6A00">
      <w:pPr>
        <w:spacing w:before="78" w:line="220" w:lineRule="auto"/>
        <w:ind w:left="55"/>
        <w:rPr>
          <w:rFonts w:ascii="宋体" w:hAnsi="宋体" w:eastAsia="宋体" w:cs="宋体"/>
          <w:sz w:val="24"/>
          <w:szCs w:val="24"/>
        </w:rPr>
      </w:pPr>
      <w:r>
        <w:rPr>
          <w:rFonts w:ascii="宋体" w:hAnsi="宋体" w:eastAsia="宋体" w:cs="宋体"/>
          <w:spacing w:val="-2"/>
          <w:sz w:val="24"/>
          <w:szCs w:val="24"/>
        </w:rPr>
        <w:t>16.独贵塔拉刀图嘎查七星湖商业服务区</w:t>
      </w:r>
    </w:p>
    <w:p w14:paraId="040BE2C6">
      <w:pPr>
        <w:spacing w:before="179" w:line="347" w:lineRule="auto"/>
        <w:ind w:left="520" w:right="5922"/>
        <w:rPr>
          <w:rFonts w:ascii="宋体" w:hAnsi="宋体" w:eastAsia="宋体" w:cs="宋体"/>
          <w:sz w:val="24"/>
          <w:szCs w:val="24"/>
        </w:rPr>
      </w:pPr>
      <w:r>
        <w:rPr>
          <w:rFonts w:ascii="宋体" w:hAnsi="宋体" w:eastAsia="宋体" w:cs="宋体"/>
          <w:spacing w:val="-2"/>
          <w:sz w:val="24"/>
          <w:szCs w:val="24"/>
        </w:rPr>
        <w:t>单元面积：962592平方米</w:t>
      </w:r>
      <w:r>
        <w:rPr>
          <w:rFonts w:ascii="宋体" w:hAnsi="宋体" w:eastAsia="宋体" w:cs="宋体"/>
          <w:spacing w:val="-1"/>
          <w:sz w:val="24"/>
          <w:szCs w:val="24"/>
        </w:rPr>
        <w:t>主导功能：商业商务类</w:t>
      </w:r>
    </w:p>
    <w:p w14:paraId="03CBD10D">
      <w:pPr>
        <w:spacing w:before="31" w:line="222" w:lineRule="auto"/>
        <w:ind w:left="519"/>
        <w:rPr>
          <w:rFonts w:ascii="宋体" w:hAnsi="宋体" w:eastAsia="宋体" w:cs="宋体"/>
          <w:sz w:val="24"/>
          <w:szCs w:val="24"/>
        </w:rPr>
      </w:pPr>
      <w:r>
        <w:rPr>
          <w:rFonts w:ascii="宋体" w:hAnsi="宋体" w:eastAsia="宋体" w:cs="宋体"/>
          <w:spacing w:val="-2"/>
          <w:sz w:val="24"/>
          <w:szCs w:val="24"/>
        </w:rPr>
        <w:t>规划人口：500人</w:t>
      </w:r>
    </w:p>
    <w:p w14:paraId="347A9B43">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建设用地面积：962609平方米</w:t>
      </w:r>
    </w:p>
    <w:p w14:paraId="4524E054">
      <w:pPr>
        <w:spacing w:before="144" w:line="6414" w:lineRule="exact"/>
        <w:ind w:firstLine="27"/>
      </w:pPr>
      <w:r>
        <w:rPr>
          <w:position w:val="-128"/>
        </w:rPr>
        <w:drawing>
          <wp:inline distT="0" distB="0" distL="0" distR="0">
            <wp:extent cx="5760085" cy="407289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111"/>
                    <a:stretch>
                      <a:fillRect/>
                    </a:stretch>
                  </pic:blipFill>
                  <pic:spPr>
                    <a:xfrm>
                      <a:off x="0" y="0"/>
                      <a:ext cx="5760085" cy="4072890"/>
                    </a:xfrm>
                    <a:prstGeom prst="rect">
                      <a:avLst/>
                    </a:prstGeom>
                  </pic:spPr>
                </pic:pic>
              </a:graphicData>
            </a:graphic>
          </wp:inline>
        </w:drawing>
      </w:r>
    </w:p>
    <w:p w14:paraId="56C29193">
      <w:pPr>
        <w:spacing w:line="6414" w:lineRule="exact"/>
        <w:sectPr>
          <w:footerReference r:id="rId63" w:type="default"/>
          <w:pgSz w:w="11907" w:h="16841"/>
          <w:pgMar w:top="1091" w:right="1384" w:bottom="1168" w:left="1390" w:header="859" w:footer="991" w:gutter="0"/>
          <w:cols w:space="720" w:num="1"/>
        </w:sectPr>
      </w:pPr>
    </w:p>
    <w:p w14:paraId="1C90720C">
      <w:pPr>
        <w:pStyle w:val="2"/>
        <w:spacing w:line="284" w:lineRule="auto"/>
      </w:pPr>
    </w:p>
    <w:p w14:paraId="1453CF0A">
      <w:pPr>
        <w:spacing w:before="78" w:line="221" w:lineRule="auto"/>
        <w:ind w:left="55"/>
        <w:rPr>
          <w:rFonts w:ascii="宋体" w:hAnsi="宋体" w:eastAsia="宋体" w:cs="宋体"/>
          <w:sz w:val="24"/>
          <w:szCs w:val="24"/>
        </w:rPr>
      </w:pPr>
      <w:r>
        <w:rPr>
          <w:rFonts w:ascii="宋体" w:hAnsi="宋体" w:eastAsia="宋体" w:cs="宋体"/>
          <w:spacing w:val="-4"/>
          <w:sz w:val="24"/>
          <w:szCs w:val="24"/>
        </w:rPr>
        <w:t>17.阿日善嘎查工业区1</w:t>
      </w:r>
    </w:p>
    <w:p w14:paraId="4C380332">
      <w:pPr>
        <w:spacing w:before="177" w:line="347" w:lineRule="auto"/>
        <w:ind w:left="520" w:right="5802"/>
        <w:rPr>
          <w:rFonts w:ascii="宋体" w:hAnsi="宋体" w:eastAsia="宋体" w:cs="宋体"/>
          <w:sz w:val="24"/>
          <w:szCs w:val="24"/>
        </w:rPr>
      </w:pPr>
      <w:r>
        <w:rPr>
          <w:rFonts w:ascii="宋体" w:hAnsi="宋体" w:eastAsia="宋体" w:cs="宋体"/>
          <w:spacing w:val="-2"/>
          <w:sz w:val="24"/>
          <w:szCs w:val="24"/>
        </w:rPr>
        <w:t>单元面积：9356260平方米</w:t>
      </w:r>
      <w:r>
        <w:rPr>
          <w:rFonts w:ascii="宋体" w:hAnsi="宋体" w:eastAsia="宋体" w:cs="宋体"/>
          <w:spacing w:val="-1"/>
          <w:sz w:val="24"/>
          <w:szCs w:val="24"/>
        </w:rPr>
        <w:t>主导功能：工业发展类</w:t>
      </w:r>
    </w:p>
    <w:p w14:paraId="194C47F9">
      <w:pPr>
        <w:spacing w:before="31" w:line="220" w:lineRule="auto"/>
        <w:ind w:left="521"/>
        <w:rPr>
          <w:rFonts w:ascii="宋体" w:hAnsi="宋体" w:eastAsia="宋体" w:cs="宋体"/>
          <w:sz w:val="24"/>
          <w:szCs w:val="24"/>
        </w:rPr>
      </w:pPr>
      <w:r>
        <w:rPr>
          <w:rFonts w:ascii="宋体" w:hAnsi="宋体" w:eastAsia="宋体" w:cs="宋体"/>
          <w:spacing w:val="-2"/>
          <w:sz w:val="24"/>
          <w:szCs w:val="24"/>
        </w:rPr>
        <w:t>建设用地面积：9241223平方米</w:t>
      </w:r>
    </w:p>
    <w:p w14:paraId="7C7912CF">
      <w:pPr>
        <w:spacing w:before="145" w:line="6414" w:lineRule="exact"/>
        <w:ind w:firstLine="27"/>
      </w:pPr>
      <w:r>
        <w:rPr>
          <w:position w:val="-128"/>
        </w:rPr>
        <w:drawing>
          <wp:inline distT="0" distB="0" distL="0" distR="0">
            <wp:extent cx="5760085" cy="4072255"/>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12"/>
                    <a:stretch>
                      <a:fillRect/>
                    </a:stretch>
                  </pic:blipFill>
                  <pic:spPr>
                    <a:xfrm>
                      <a:off x="0" y="0"/>
                      <a:ext cx="5760085" cy="4072763"/>
                    </a:xfrm>
                    <a:prstGeom prst="rect">
                      <a:avLst/>
                    </a:prstGeom>
                  </pic:spPr>
                </pic:pic>
              </a:graphicData>
            </a:graphic>
          </wp:inline>
        </w:drawing>
      </w:r>
    </w:p>
    <w:p w14:paraId="18BE14BF">
      <w:pPr>
        <w:spacing w:line="6414" w:lineRule="exact"/>
        <w:sectPr>
          <w:footerReference r:id="rId64" w:type="default"/>
          <w:pgSz w:w="11907" w:h="16841"/>
          <w:pgMar w:top="1091" w:right="1384" w:bottom="1168" w:left="1390" w:header="859" w:footer="991" w:gutter="0"/>
          <w:cols w:space="720" w:num="1"/>
        </w:sectPr>
      </w:pPr>
    </w:p>
    <w:p w14:paraId="74F22A57">
      <w:pPr>
        <w:pStyle w:val="2"/>
        <w:spacing w:line="284" w:lineRule="auto"/>
      </w:pPr>
    </w:p>
    <w:p w14:paraId="442A9186">
      <w:pPr>
        <w:spacing w:before="78" w:line="221" w:lineRule="auto"/>
        <w:ind w:left="55"/>
        <w:rPr>
          <w:rFonts w:ascii="宋体" w:hAnsi="宋体" w:eastAsia="宋体" w:cs="宋体"/>
          <w:sz w:val="24"/>
          <w:szCs w:val="24"/>
        </w:rPr>
      </w:pPr>
      <w:r>
        <w:rPr>
          <w:rFonts w:ascii="宋体" w:hAnsi="宋体" w:eastAsia="宋体" w:cs="宋体"/>
          <w:spacing w:val="-4"/>
          <w:sz w:val="24"/>
          <w:szCs w:val="24"/>
        </w:rPr>
        <w:t>18.阿日善嘎查工业区2</w:t>
      </w:r>
    </w:p>
    <w:p w14:paraId="167C3C82">
      <w:pPr>
        <w:spacing w:before="177" w:line="347" w:lineRule="auto"/>
        <w:ind w:left="520" w:right="5922"/>
        <w:rPr>
          <w:rFonts w:ascii="宋体" w:hAnsi="宋体" w:eastAsia="宋体" w:cs="宋体"/>
          <w:sz w:val="24"/>
          <w:szCs w:val="24"/>
        </w:rPr>
      </w:pPr>
      <w:r>
        <w:rPr>
          <w:rFonts w:ascii="宋体" w:hAnsi="宋体" w:eastAsia="宋体" w:cs="宋体"/>
          <w:spacing w:val="-2"/>
          <w:sz w:val="24"/>
          <w:szCs w:val="24"/>
        </w:rPr>
        <w:t>单元面积：166948平方米</w:t>
      </w:r>
      <w:r>
        <w:rPr>
          <w:rFonts w:ascii="宋体" w:hAnsi="宋体" w:eastAsia="宋体" w:cs="宋体"/>
          <w:spacing w:val="-1"/>
          <w:sz w:val="24"/>
          <w:szCs w:val="24"/>
        </w:rPr>
        <w:t>主导功能：工业发展类</w:t>
      </w:r>
    </w:p>
    <w:p w14:paraId="5A0657DE">
      <w:pPr>
        <w:spacing w:before="31" w:line="220" w:lineRule="auto"/>
        <w:ind w:left="521"/>
        <w:rPr>
          <w:rFonts w:ascii="宋体" w:hAnsi="宋体" w:eastAsia="宋体" w:cs="宋体"/>
          <w:sz w:val="24"/>
          <w:szCs w:val="24"/>
        </w:rPr>
      </w:pPr>
      <w:r>
        <w:rPr>
          <w:rFonts w:ascii="宋体" w:hAnsi="宋体" w:eastAsia="宋体" w:cs="宋体"/>
          <w:spacing w:val="-2"/>
          <w:sz w:val="24"/>
          <w:szCs w:val="24"/>
        </w:rPr>
        <w:t>建设用地面积：166953平方米</w:t>
      </w:r>
    </w:p>
    <w:p w14:paraId="4A9E289E">
      <w:pPr>
        <w:spacing w:before="145" w:line="6414" w:lineRule="exact"/>
        <w:ind w:firstLine="27"/>
      </w:pPr>
      <w:r>
        <w:rPr>
          <w:position w:val="-128"/>
        </w:rPr>
        <w:drawing>
          <wp:inline distT="0" distB="0" distL="0" distR="0">
            <wp:extent cx="5760085" cy="4072255"/>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13"/>
                    <a:stretch>
                      <a:fillRect/>
                    </a:stretch>
                  </pic:blipFill>
                  <pic:spPr>
                    <a:xfrm>
                      <a:off x="0" y="0"/>
                      <a:ext cx="5760085" cy="4072763"/>
                    </a:xfrm>
                    <a:prstGeom prst="rect">
                      <a:avLst/>
                    </a:prstGeom>
                  </pic:spPr>
                </pic:pic>
              </a:graphicData>
            </a:graphic>
          </wp:inline>
        </w:drawing>
      </w:r>
    </w:p>
    <w:p w14:paraId="7089804F">
      <w:pPr>
        <w:spacing w:line="6414" w:lineRule="exact"/>
        <w:sectPr>
          <w:footerReference r:id="rId65" w:type="default"/>
          <w:pgSz w:w="11907" w:h="16841"/>
          <w:pgMar w:top="1091" w:right="1384" w:bottom="1168" w:left="1390" w:header="859" w:footer="991" w:gutter="0"/>
          <w:cols w:space="720" w:num="1"/>
        </w:sectPr>
      </w:pPr>
    </w:p>
    <w:p w14:paraId="53C81F9E">
      <w:pPr>
        <w:pStyle w:val="2"/>
        <w:spacing w:line="283" w:lineRule="auto"/>
      </w:pPr>
    </w:p>
    <w:p w14:paraId="547D4C3F">
      <w:pPr>
        <w:spacing w:before="78" w:line="220" w:lineRule="auto"/>
        <w:ind w:left="55"/>
        <w:rPr>
          <w:rFonts w:ascii="宋体" w:hAnsi="宋体" w:eastAsia="宋体" w:cs="宋体"/>
          <w:sz w:val="24"/>
          <w:szCs w:val="24"/>
        </w:rPr>
      </w:pPr>
      <w:r>
        <w:rPr>
          <w:rFonts w:ascii="宋体" w:hAnsi="宋体" w:eastAsia="宋体" w:cs="宋体"/>
          <w:spacing w:val="-7"/>
          <w:sz w:val="24"/>
          <w:szCs w:val="24"/>
        </w:rPr>
        <w:t>19.巴音乌素嘎查集镇</w:t>
      </w:r>
    </w:p>
    <w:p w14:paraId="7DC73166">
      <w:pPr>
        <w:spacing w:before="179" w:line="347" w:lineRule="auto"/>
        <w:ind w:left="520" w:right="5922"/>
        <w:rPr>
          <w:rFonts w:ascii="宋体" w:hAnsi="宋体" w:eastAsia="宋体" w:cs="宋体"/>
          <w:sz w:val="24"/>
          <w:szCs w:val="24"/>
        </w:rPr>
      </w:pPr>
      <w:r>
        <w:rPr>
          <w:rFonts w:ascii="宋体" w:hAnsi="宋体" w:eastAsia="宋体" w:cs="宋体"/>
          <w:spacing w:val="-2"/>
          <w:sz w:val="24"/>
          <w:szCs w:val="24"/>
        </w:rPr>
        <w:t>单元面积：816300平方米</w:t>
      </w:r>
      <w:r>
        <w:rPr>
          <w:rFonts w:ascii="宋体" w:hAnsi="宋体" w:eastAsia="宋体" w:cs="宋体"/>
          <w:spacing w:val="-1"/>
          <w:sz w:val="24"/>
          <w:szCs w:val="24"/>
        </w:rPr>
        <w:t>主导功能：居住生活类</w:t>
      </w:r>
    </w:p>
    <w:p w14:paraId="08A3A60D">
      <w:pPr>
        <w:spacing w:before="31" w:line="222" w:lineRule="auto"/>
        <w:ind w:left="519"/>
        <w:rPr>
          <w:rFonts w:ascii="宋体" w:hAnsi="宋体" w:eastAsia="宋体" w:cs="宋体"/>
          <w:sz w:val="24"/>
          <w:szCs w:val="24"/>
        </w:rPr>
      </w:pPr>
      <w:r>
        <w:rPr>
          <w:rFonts w:ascii="宋体" w:hAnsi="宋体" w:eastAsia="宋体" w:cs="宋体"/>
          <w:spacing w:val="-2"/>
          <w:sz w:val="24"/>
          <w:szCs w:val="24"/>
        </w:rPr>
        <w:t>规划人口：1000人</w:t>
      </w:r>
    </w:p>
    <w:p w14:paraId="7BC1EE2E">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建设用地面积：816328平方米</w:t>
      </w:r>
    </w:p>
    <w:p w14:paraId="341C089E">
      <w:pPr>
        <w:spacing w:before="144" w:line="6414" w:lineRule="exact"/>
        <w:ind w:firstLine="27"/>
      </w:pPr>
      <w:r>
        <w:rPr>
          <w:position w:val="-128"/>
        </w:rPr>
        <w:drawing>
          <wp:inline distT="0" distB="0" distL="0" distR="0">
            <wp:extent cx="5760085" cy="407289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14"/>
                    <a:stretch>
                      <a:fillRect/>
                    </a:stretch>
                  </pic:blipFill>
                  <pic:spPr>
                    <a:xfrm>
                      <a:off x="0" y="0"/>
                      <a:ext cx="5760085" cy="4072890"/>
                    </a:xfrm>
                    <a:prstGeom prst="rect">
                      <a:avLst/>
                    </a:prstGeom>
                  </pic:spPr>
                </pic:pic>
              </a:graphicData>
            </a:graphic>
          </wp:inline>
        </w:drawing>
      </w:r>
    </w:p>
    <w:p w14:paraId="6DE751C0">
      <w:pPr>
        <w:spacing w:line="6414" w:lineRule="exact"/>
        <w:sectPr>
          <w:footerReference r:id="rId66" w:type="default"/>
          <w:pgSz w:w="11907" w:h="16841"/>
          <w:pgMar w:top="1091" w:right="1384" w:bottom="1168" w:left="1390" w:header="859" w:footer="991" w:gutter="0"/>
          <w:cols w:space="720" w:num="1"/>
        </w:sectPr>
      </w:pPr>
    </w:p>
    <w:p w14:paraId="6AFC4ED3">
      <w:pPr>
        <w:pStyle w:val="2"/>
        <w:spacing w:line="283" w:lineRule="auto"/>
      </w:pPr>
    </w:p>
    <w:p w14:paraId="6E4FA720">
      <w:pPr>
        <w:spacing w:before="78" w:line="220" w:lineRule="auto"/>
        <w:ind w:left="41"/>
        <w:rPr>
          <w:rFonts w:ascii="宋体" w:hAnsi="宋体" w:eastAsia="宋体" w:cs="宋体"/>
          <w:sz w:val="24"/>
          <w:szCs w:val="24"/>
        </w:rPr>
      </w:pPr>
      <w:r>
        <w:rPr>
          <w:rFonts w:ascii="宋体" w:hAnsi="宋体" w:eastAsia="宋体" w:cs="宋体"/>
          <w:spacing w:val="-2"/>
          <w:sz w:val="24"/>
          <w:szCs w:val="24"/>
        </w:rPr>
        <w:t>20.锡尼其日格嘎查镇区</w:t>
      </w:r>
    </w:p>
    <w:p w14:paraId="6C441DA3">
      <w:pPr>
        <w:spacing w:before="179" w:line="347" w:lineRule="auto"/>
        <w:ind w:left="520" w:right="5802"/>
        <w:rPr>
          <w:rFonts w:ascii="宋体" w:hAnsi="宋体" w:eastAsia="宋体" w:cs="宋体"/>
          <w:sz w:val="24"/>
          <w:szCs w:val="24"/>
        </w:rPr>
      </w:pPr>
      <w:r>
        <w:rPr>
          <w:rFonts w:ascii="宋体" w:hAnsi="宋体" w:eastAsia="宋体" w:cs="宋体"/>
          <w:spacing w:val="-2"/>
          <w:sz w:val="24"/>
          <w:szCs w:val="24"/>
        </w:rPr>
        <w:t>单元面积：1343480平方米</w:t>
      </w:r>
      <w:r>
        <w:rPr>
          <w:rFonts w:ascii="宋体" w:hAnsi="宋体" w:eastAsia="宋体" w:cs="宋体"/>
          <w:spacing w:val="-1"/>
          <w:sz w:val="24"/>
          <w:szCs w:val="24"/>
        </w:rPr>
        <w:t>主导功能：综合服务类</w:t>
      </w:r>
    </w:p>
    <w:p w14:paraId="6B97D1F1">
      <w:pPr>
        <w:spacing w:before="31" w:line="222" w:lineRule="auto"/>
        <w:ind w:left="519"/>
        <w:rPr>
          <w:rFonts w:ascii="宋体" w:hAnsi="宋体" w:eastAsia="宋体" w:cs="宋体"/>
          <w:sz w:val="24"/>
          <w:szCs w:val="24"/>
        </w:rPr>
      </w:pPr>
      <w:r>
        <w:rPr>
          <w:rFonts w:ascii="宋体" w:hAnsi="宋体" w:eastAsia="宋体" w:cs="宋体"/>
          <w:spacing w:val="-2"/>
          <w:sz w:val="24"/>
          <w:szCs w:val="24"/>
        </w:rPr>
        <w:t>规划人口：3500人</w:t>
      </w:r>
    </w:p>
    <w:p w14:paraId="50E2B027">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建设用地面积：1331104平方米</w:t>
      </w:r>
    </w:p>
    <w:p w14:paraId="2A71548A">
      <w:pPr>
        <w:spacing w:before="144" w:line="6414" w:lineRule="exact"/>
        <w:ind w:firstLine="27"/>
      </w:pPr>
      <w:r>
        <w:rPr>
          <w:position w:val="-128"/>
        </w:rPr>
        <w:drawing>
          <wp:inline distT="0" distB="0" distL="0" distR="0">
            <wp:extent cx="5760085" cy="407289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15"/>
                    <a:stretch>
                      <a:fillRect/>
                    </a:stretch>
                  </pic:blipFill>
                  <pic:spPr>
                    <a:xfrm>
                      <a:off x="0" y="0"/>
                      <a:ext cx="5760085" cy="4072890"/>
                    </a:xfrm>
                    <a:prstGeom prst="rect">
                      <a:avLst/>
                    </a:prstGeom>
                  </pic:spPr>
                </pic:pic>
              </a:graphicData>
            </a:graphic>
          </wp:inline>
        </w:drawing>
      </w:r>
    </w:p>
    <w:p w14:paraId="5EC0C0E4">
      <w:pPr>
        <w:spacing w:line="6414" w:lineRule="exact"/>
        <w:sectPr>
          <w:footerReference r:id="rId67" w:type="default"/>
          <w:pgSz w:w="11907" w:h="16841"/>
          <w:pgMar w:top="1091" w:right="1384" w:bottom="1168" w:left="1390" w:header="859" w:footer="991" w:gutter="0"/>
          <w:cols w:space="720" w:num="1"/>
        </w:sectPr>
      </w:pPr>
    </w:p>
    <w:p w14:paraId="2ECDC823">
      <w:pPr>
        <w:pStyle w:val="2"/>
        <w:spacing w:line="283" w:lineRule="auto"/>
      </w:pPr>
    </w:p>
    <w:p w14:paraId="6AA261F9">
      <w:pPr>
        <w:spacing w:before="78" w:line="345" w:lineRule="auto"/>
        <w:ind w:left="520" w:right="5555" w:hanging="479"/>
        <w:rPr>
          <w:rFonts w:ascii="宋体" w:hAnsi="宋体" w:eastAsia="宋体" w:cs="宋体"/>
          <w:sz w:val="24"/>
          <w:szCs w:val="24"/>
        </w:rPr>
      </w:pPr>
      <w:r>
        <w:rPr>
          <w:rFonts w:ascii="宋体" w:hAnsi="宋体" w:eastAsia="宋体" w:cs="宋体"/>
          <w:spacing w:val="-2"/>
          <w:sz w:val="24"/>
          <w:szCs w:val="24"/>
        </w:rPr>
        <w:t>21.吉日嘎朗图镇格更召嘎查镇区单元面积：942644平方米</w:t>
      </w:r>
    </w:p>
    <w:p w14:paraId="0B42A5DB">
      <w:pPr>
        <w:spacing w:before="36" w:line="220" w:lineRule="auto"/>
        <w:ind w:left="520"/>
        <w:rPr>
          <w:rFonts w:ascii="宋体" w:hAnsi="宋体" w:eastAsia="宋体" w:cs="宋体"/>
          <w:sz w:val="24"/>
          <w:szCs w:val="24"/>
        </w:rPr>
      </w:pPr>
      <w:r>
        <w:rPr>
          <w:rFonts w:ascii="宋体" w:hAnsi="宋体" w:eastAsia="宋体" w:cs="宋体"/>
          <w:spacing w:val="-1"/>
          <w:sz w:val="24"/>
          <w:szCs w:val="24"/>
        </w:rPr>
        <w:t>主导功能：居住生活类</w:t>
      </w:r>
    </w:p>
    <w:p w14:paraId="7ABED5DD">
      <w:pPr>
        <w:spacing w:before="179" w:line="222" w:lineRule="auto"/>
        <w:ind w:left="519"/>
        <w:rPr>
          <w:rFonts w:ascii="宋体" w:hAnsi="宋体" w:eastAsia="宋体" w:cs="宋体"/>
          <w:sz w:val="24"/>
          <w:szCs w:val="24"/>
        </w:rPr>
      </w:pPr>
      <w:r>
        <w:rPr>
          <w:rFonts w:ascii="宋体" w:hAnsi="宋体" w:eastAsia="宋体" w:cs="宋体"/>
          <w:spacing w:val="-2"/>
          <w:sz w:val="24"/>
          <w:szCs w:val="24"/>
        </w:rPr>
        <w:t>规划人口：3585人</w:t>
      </w:r>
    </w:p>
    <w:p w14:paraId="38542EA4">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建设用地面积：933211平方米</w:t>
      </w:r>
    </w:p>
    <w:p w14:paraId="67649671">
      <w:pPr>
        <w:spacing w:before="144" w:line="6414" w:lineRule="exact"/>
        <w:ind w:firstLine="27"/>
      </w:pPr>
      <w:r>
        <w:rPr>
          <w:position w:val="-128"/>
        </w:rPr>
        <w:drawing>
          <wp:inline distT="0" distB="0" distL="0" distR="0">
            <wp:extent cx="5760085" cy="407289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16"/>
                    <a:stretch>
                      <a:fillRect/>
                    </a:stretch>
                  </pic:blipFill>
                  <pic:spPr>
                    <a:xfrm>
                      <a:off x="0" y="0"/>
                      <a:ext cx="5760085" cy="4072890"/>
                    </a:xfrm>
                    <a:prstGeom prst="rect">
                      <a:avLst/>
                    </a:prstGeom>
                  </pic:spPr>
                </pic:pic>
              </a:graphicData>
            </a:graphic>
          </wp:inline>
        </w:drawing>
      </w:r>
    </w:p>
    <w:p w14:paraId="54C257B6">
      <w:pPr>
        <w:spacing w:line="6414" w:lineRule="exact"/>
        <w:sectPr>
          <w:footerReference r:id="rId68" w:type="default"/>
          <w:pgSz w:w="11907" w:h="16841"/>
          <w:pgMar w:top="1091" w:right="1384" w:bottom="1168" w:left="1390" w:header="859" w:footer="991" w:gutter="0"/>
          <w:cols w:space="720" w:num="1"/>
        </w:sectPr>
      </w:pPr>
    </w:p>
    <w:p w14:paraId="413D51F4">
      <w:pPr>
        <w:pStyle w:val="2"/>
        <w:spacing w:line="284" w:lineRule="auto"/>
      </w:pPr>
    </w:p>
    <w:p w14:paraId="7A5889A0">
      <w:pPr>
        <w:spacing w:before="78" w:line="350" w:lineRule="auto"/>
        <w:ind w:left="520" w:right="5922" w:hanging="479"/>
        <w:rPr>
          <w:rFonts w:ascii="宋体" w:hAnsi="宋体" w:eastAsia="宋体" w:cs="宋体"/>
          <w:sz w:val="24"/>
          <w:szCs w:val="24"/>
        </w:rPr>
      </w:pPr>
      <w:r>
        <w:rPr>
          <w:rFonts w:ascii="宋体" w:hAnsi="宋体" w:eastAsia="宋体" w:cs="宋体"/>
          <w:spacing w:val="-3"/>
          <w:sz w:val="24"/>
          <w:szCs w:val="24"/>
        </w:rPr>
        <w:t>22.呼和木独镇巴拉亥村镇区</w:t>
      </w:r>
      <w:r>
        <w:rPr>
          <w:rFonts w:ascii="宋体" w:hAnsi="宋体" w:eastAsia="宋体" w:cs="宋体"/>
          <w:spacing w:val="-2"/>
          <w:sz w:val="24"/>
          <w:szCs w:val="24"/>
        </w:rPr>
        <w:t>单元面积：786177平方米</w:t>
      </w:r>
      <w:r>
        <w:rPr>
          <w:rFonts w:ascii="宋体" w:hAnsi="宋体" w:eastAsia="宋体" w:cs="宋体"/>
          <w:spacing w:val="-1"/>
          <w:sz w:val="24"/>
          <w:szCs w:val="24"/>
        </w:rPr>
        <w:t>主导功能：综合服务类</w:t>
      </w:r>
    </w:p>
    <w:p w14:paraId="2EB91591">
      <w:pPr>
        <w:spacing w:before="33" w:line="222" w:lineRule="auto"/>
        <w:ind w:left="519"/>
        <w:rPr>
          <w:rFonts w:ascii="宋体" w:hAnsi="宋体" w:eastAsia="宋体" w:cs="宋体"/>
          <w:sz w:val="24"/>
          <w:szCs w:val="24"/>
        </w:rPr>
      </w:pPr>
      <w:r>
        <w:rPr>
          <w:rFonts w:ascii="宋体" w:hAnsi="宋体" w:eastAsia="宋体" w:cs="宋体"/>
          <w:spacing w:val="-2"/>
          <w:sz w:val="24"/>
          <w:szCs w:val="24"/>
        </w:rPr>
        <w:t>规划人口：3000人</w:t>
      </w:r>
    </w:p>
    <w:p w14:paraId="02AC897E">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建设用地面积：786246平方米</w:t>
      </w:r>
    </w:p>
    <w:p w14:paraId="7B906063">
      <w:pPr>
        <w:spacing w:before="144" w:line="6414" w:lineRule="exact"/>
        <w:ind w:firstLine="27"/>
      </w:pPr>
      <w:r>
        <w:rPr>
          <w:position w:val="-128"/>
        </w:rPr>
        <w:drawing>
          <wp:inline distT="0" distB="0" distL="0" distR="0">
            <wp:extent cx="5760085" cy="407289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17"/>
                    <a:stretch>
                      <a:fillRect/>
                    </a:stretch>
                  </pic:blipFill>
                  <pic:spPr>
                    <a:xfrm>
                      <a:off x="0" y="0"/>
                      <a:ext cx="5760085" cy="4072890"/>
                    </a:xfrm>
                    <a:prstGeom prst="rect">
                      <a:avLst/>
                    </a:prstGeom>
                  </pic:spPr>
                </pic:pic>
              </a:graphicData>
            </a:graphic>
          </wp:inline>
        </w:drawing>
      </w:r>
    </w:p>
    <w:p w14:paraId="6E21F0E0">
      <w:pPr>
        <w:spacing w:line="6414" w:lineRule="exact"/>
        <w:sectPr>
          <w:footerReference r:id="rId69" w:type="default"/>
          <w:pgSz w:w="11907" w:h="16841"/>
          <w:pgMar w:top="1091" w:right="1384" w:bottom="1169" w:left="1390" w:header="859" w:footer="991" w:gutter="0"/>
          <w:cols w:space="720" w:num="1"/>
        </w:sectPr>
      </w:pPr>
    </w:p>
    <w:p w14:paraId="23D54717">
      <w:pPr>
        <w:pStyle w:val="2"/>
        <w:spacing w:line="284" w:lineRule="auto"/>
      </w:pPr>
    </w:p>
    <w:p w14:paraId="2DC36144">
      <w:pPr>
        <w:spacing w:before="78" w:line="350" w:lineRule="auto"/>
        <w:ind w:left="520" w:right="5922" w:hanging="479"/>
        <w:rPr>
          <w:rFonts w:ascii="宋体" w:hAnsi="宋体" w:eastAsia="宋体" w:cs="宋体"/>
          <w:sz w:val="24"/>
          <w:szCs w:val="24"/>
        </w:rPr>
      </w:pPr>
      <w:r>
        <w:rPr>
          <w:rFonts w:ascii="宋体" w:hAnsi="宋体" w:eastAsia="宋体" w:cs="宋体"/>
          <w:spacing w:val="-3"/>
          <w:sz w:val="24"/>
          <w:szCs w:val="24"/>
        </w:rPr>
        <w:t>23.呼和木独镇东红柳村集镇</w:t>
      </w:r>
      <w:r>
        <w:rPr>
          <w:rFonts w:ascii="宋体" w:hAnsi="宋体" w:eastAsia="宋体" w:cs="宋体"/>
          <w:spacing w:val="-2"/>
          <w:sz w:val="24"/>
          <w:szCs w:val="24"/>
        </w:rPr>
        <w:t>单元面积：194428平方米</w:t>
      </w:r>
      <w:r>
        <w:rPr>
          <w:rFonts w:ascii="宋体" w:hAnsi="宋体" w:eastAsia="宋体" w:cs="宋体"/>
          <w:spacing w:val="-1"/>
          <w:sz w:val="24"/>
          <w:szCs w:val="24"/>
        </w:rPr>
        <w:t>主导功能：居住生活类</w:t>
      </w:r>
    </w:p>
    <w:p w14:paraId="7FF28936">
      <w:pPr>
        <w:spacing w:before="33" w:line="222" w:lineRule="auto"/>
        <w:ind w:left="519"/>
        <w:rPr>
          <w:rFonts w:ascii="宋体" w:hAnsi="宋体" w:eastAsia="宋体" w:cs="宋体"/>
          <w:sz w:val="24"/>
          <w:szCs w:val="24"/>
        </w:rPr>
      </w:pPr>
      <w:r>
        <w:rPr>
          <w:rFonts w:ascii="宋体" w:hAnsi="宋体" w:eastAsia="宋体" w:cs="宋体"/>
          <w:spacing w:val="-2"/>
          <w:sz w:val="24"/>
          <w:szCs w:val="24"/>
        </w:rPr>
        <w:t>规划人口：1000人</w:t>
      </w:r>
    </w:p>
    <w:p w14:paraId="01EB5E56">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建设用地面积：193149平方米</w:t>
      </w:r>
    </w:p>
    <w:p w14:paraId="3C0C0D28">
      <w:pPr>
        <w:spacing w:before="144" w:line="6414" w:lineRule="exact"/>
        <w:ind w:firstLine="27"/>
      </w:pPr>
      <w:r>
        <w:rPr>
          <w:position w:val="-128"/>
        </w:rPr>
        <w:drawing>
          <wp:inline distT="0" distB="0" distL="0" distR="0">
            <wp:extent cx="5760085" cy="407289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18"/>
                    <a:stretch>
                      <a:fillRect/>
                    </a:stretch>
                  </pic:blipFill>
                  <pic:spPr>
                    <a:xfrm>
                      <a:off x="0" y="0"/>
                      <a:ext cx="5760085" cy="4072890"/>
                    </a:xfrm>
                    <a:prstGeom prst="rect">
                      <a:avLst/>
                    </a:prstGeom>
                  </pic:spPr>
                </pic:pic>
              </a:graphicData>
            </a:graphic>
          </wp:inline>
        </w:drawing>
      </w:r>
    </w:p>
    <w:p w14:paraId="1BA4D048">
      <w:pPr>
        <w:spacing w:line="6414" w:lineRule="exact"/>
        <w:sectPr>
          <w:footerReference r:id="rId70" w:type="default"/>
          <w:pgSz w:w="11907" w:h="16841"/>
          <w:pgMar w:top="1091" w:right="1384" w:bottom="1168" w:left="1390" w:header="859" w:footer="991" w:gutter="0"/>
          <w:cols w:space="720" w:num="1"/>
        </w:sectPr>
      </w:pPr>
    </w:p>
    <w:p w14:paraId="11C52807">
      <w:pPr>
        <w:pStyle w:val="2"/>
        <w:spacing w:line="283" w:lineRule="auto"/>
      </w:pPr>
    </w:p>
    <w:p w14:paraId="15A9D5A7">
      <w:pPr>
        <w:spacing w:before="78" w:line="220" w:lineRule="auto"/>
        <w:ind w:left="41"/>
        <w:rPr>
          <w:rFonts w:ascii="宋体" w:hAnsi="宋体" w:eastAsia="宋体" w:cs="宋体"/>
          <w:sz w:val="24"/>
          <w:szCs w:val="24"/>
        </w:rPr>
      </w:pPr>
      <w:r>
        <w:rPr>
          <w:rFonts w:ascii="宋体" w:hAnsi="宋体" w:eastAsia="宋体" w:cs="宋体"/>
          <w:spacing w:val="-5"/>
          <w:sz w:val="24"/>
          <w:szCs w:val="24"/>
        </w:rPr>
        <w:t>24.巴拉贡镇镇区</w:t>
      </w:r>
    </w:p>
    <w:p w14:paraId="4B4C29A5">
      <w:pPr>
        <w:spacing w:before="179" w:line="347" w:lineRule="auto"/>
        <w:ind w:left="520" w:right="5802"/>
        <w:rPr>
          <w:rFonts w:ascii="宋体" w:hAnsi="宋体" w:eastAsia="宋体" w:cs="宋体"/>
          <w:sz w:val="24"/>
          <w:szCs w:val="24"/>
        </w:rPr>
      </w:pPr>
      <w:r>
        <w:rPr>
          <w:rFonts w:ascii="宋体" w:hAnsi="宋体" w:eastAsia="宋体" w:cs="宋体"/>
          <w:spacing w:val="-2"/>
          <w:sz w:val="24"/>
          <w:szCs w:val="24"/>
        </w:rPr>
        <w:t>单元面积：3270359平方米</w:t>
      </w:r>
      <w:r>
        <w:rPr>
          <w:rFonts w:ascii="宋体" w:hAnsi="宋体" w:eastAsia="宋体" w:cs="宋体"/>
          <w:spacing w:val="-1"/>
          <w:sz w:val="24"/>
          <w:szCs w:val="24"/>
        </w:rPr>
        <w:t>主导功能：综合服务类</w:t>
      </w:r>
    </w:p>
    <w:p w14:paraId="01AD8FA3">
      <w:pPr>
        <w:spacing w:before="31" w:line="222" w:lineRule="auto"/>
        <w:ind w:left="519"/>
        <w:rPr>
          <w:rFonts w:ascii="宋体" w:hAnsi="宋体" w:eastAsia="宋体" w:cs="宋体"/>
          <w:sz w:val="24"/>
          <w:szCs w:val="24"/>
        </w:rPr>
      </w:pPr>
      <w:r>
        <w:rPr>
          <w:rFonts w:ascii="宋体" w:hAnsi="宋体" w:eastAsia="宋体" w:cs="宋体"/>
          <w:spacing w:val="-2"/>
          <w:sz w:val="24"/>
          <w:szCs w:val="24"/>
        </w:rPr>
        <w:t>规划人口：6500人</w:t>
      </w:r>
    </w:p>
    <w:p w14:paraId="728B0206">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建设用地面积：3270890平方米</w:t>
      </w:r>
    </w:p>
    <w:p w14:paraId="3C950F90">
      <w:pPr>
        <w:spacing w:before="144" w:line="6414" w:lineRule="exact"/>
        <w:ind w:firstLine="27"/>
      </w:pPr>
      <w:r>
        <w:rPr>
          <w:position w:val="-128"/>
        </w:rPr>
        <w:drawing>
          <wp:inline distT="0" distB="0" distL="0" distR="0">
            <wp:extent cx="5760085" cy="407289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119"/>
                    <a:stretch>
                      <a:fillRect/>
                    </a:stretch>
                  </pic:blipFill>
                  <pic:spPr>
                    <a:xfrm>
                      <a:off x="0" y="0"/>
                      <a:ext cx="5760085" cy="4072890"/>
                    </a:xfrm>
                    <a:prstGeom prst="rect">
                      <a:avLst/>
                    </a:prstGeom>
                  </pic:spPr>
                </pic:pic>
              </a:graphicData>
            </a:graphic>
          </wp:inline>
        </w:drawing>
      </w:r>
    </w:p>
    <w:p w14:paraId="46FEDCA3">
      <w:pPr>
        <w:spacing w:line="6414" w:lineRule="exact"/>
        <w:sectPr>
          <w:footerReference r:id="rId71" w:type="default"/>
          <w:pgSz w:w="11907" w:h="16841"/>
          <w:pgMar w:top="1091" w:right="1384" w:bottom="1168" w:left="1390" w:header="859" w:footer="991" w:gutter="0"/>
          <w:cols w:space="720" w:num="1"/>
        </w:sectPr>
      </w:pPr>
    </w:p>
    <w:p w14:paraId="78BD5B7F">
      <w:pPr>
        <w:pStyle w:val="2"/>
        <w:spacing w:line="283" w:lineRule="auto"/>
      </w:pPr>
    </w:p>
    <w:p w14:paraId="7757C2BC">
      <w:pPr>
        <w:spacing w:before="78" w:line="345" w:lineRule="auto"/>
        <w:ind w:left="520" w:right="5315" w:hanging="479"/>
        <w:rPr>
          <w:rFonts w:ascii="宋体" w:hAnsi="宋体" w:eastAsia="宋体" w:cs="宋体"/>
          <w:sz w:val="24"/>
          <w:szCs w:val="24"/>
        </w:rPr>
      </w:pPr>
      <w:r>
        <w:rPr>
          <w:rFonts w:ascii="宋体" w:hAnsi="宋体" w:eastAsia="宋体" w:cs="宋体"/>
          <w:spacing w:val="-4"/>
          <w:sz w:val="24"/>
          <w:szCs w:val="24"/>
        </w:rPr>
        <w:t>25.巴拉贡镇巴音恩格尔嘎查工业区</w:t>
      </w:r>
      <w:r>
        <w:rPr>
          <w:rFonts w:ascii="宋体" w:hAnsi="宋体" w:eastAsia="宋体" w:cs="宋体"/>
          <w:spacing w:val="-2"/>
          <w:sz w:val="24"/>
          <w:szCs w:val="24"/>
        </w:rPr>
        <w:t>单元面积：1246361平方米</w:t>
      </w:r>
    </w:p>
    <w:p w14:paraId="0A84E081">
      <w:pPr>
        <w:spacing w:before="36" w:line="220" w:lineRule="auto"/>
        <w:ind w:left="520"/>
        <w:rPr>
          <w:rFonts w:ascii="宋体" w:hAnsi="宋体" w:eastAsia="宋体" w:cs="宋体"/>
          <w:sz w:val="24"/>
          <w:szCs w:val="24"/>
        </w:rPr>
      </w:pPr>
      <w:r>
        <w:rPr>
          <w:rFonts w:ascii="宋体" w:hAnsi="宋体" w:eastAsia="宋体" w:cs="宋体"/>
          <w:spacing w:val="-1"/>
          <w:sz w:val="24"/>
          <w:szCs w:val="24"/>
        </w:rPr>
        <w:t>主导功能：工业发展类</w:t>
      </w:r>
    </w:p>
    <w:p w14:paraId="046EFAD5">
      <w:pPr>
        <w:spacing w:before="179" w:line="220" w:lineRule="auto"/>
        <w:ind w:left="521"/>
        <w:rPr>
          <w:rFonts w:ascii="宋体" w:hAnsi="宋体" w:eastAsia="宋体" w:cs="宋体"/>
          <w:sz w:val="24"/>
          <w:szCs w:val="24"/>
        </w:rPr>
      </w:pPr>
      <w:r>
        <w:rPr>
          <w:rFonts w:ascii="宋体" w:hAnsi="宋体" w:eastAsia="宋体" w:cs="宋体"/>
          <w:spacing w:val="-2"/>
          <w:sz w:val="24"/>
          <w:szCs w:val="24"/>
        </w:rPr>
        <w:t>建设用地面积：1246546平方米</w:t>
      </w:r>
    </w:p>
    <w:p w14:paraId="0401BD7B">
      <w:pPr>
        <w:spacing w:before="145" w:line="6414" w:lineRule="exact"/>
        <w:ind w:firstLine="27"/>
      </w:pPr>
      <w:r>
        <w:rPr>
          <w:position w:val="-128"/>
        </w:rPr>
        <w:drawing>
          <wp:inline distT="0" distB="0" distL="0" distR="0">
            <wp:extent cx="5760085" cy="4072255"/>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120"/>
                    <a:stretch>
                      <a:fillRect/>
                    </a:stretch>
                  </pic:blipFill>
                  <pic:spPr>
                    <a:xfrm>
                      <a:off x="0" y="0"/>
                      <a:ext cx="5760085" cy="4072763"/>
                    </a:xfrm>
                    <a:prstGeom prst="rect">
                      <a:avLst/>
                    </a:prstGeom>
                  </pic:spPr>
                </pic:pic>
              </a:graphicData>
            </a:graphic>
          </wp:inline>
        </w:drawing>
      </w:r>
    </w:p>
    <w:p w14:paraId="66D273FB">
      <w:pPr>
        <w:spacing w:line="6414" w:lineRule="exact"/>
        <w:sectPr>
          <w:footerReference r:id="rId72" w:type="default"/>
          <w:pgSz w:w="11907" w:h="16841"/>
          <w:pgMar w:top="1091" w:right="1384" w:bottom="1168" w:left="1390" w:header="859" w:footer="991" w:gutter="0"/>
          <w:cols w:space="720" w:num="1"/>
        </w:sectPr>
      </w:pPr>
    </w:p>
    <w:p w14:paraId="32304F60">
      <w:pPr>
        <w:pStyle w:val="2"/>
        <w:spacing w:line="273" w:lineRule="auto"/>
      </w:pPr>
    </w:p>
    <w:p w14:paraId="028D6F0E">
      <w:pPr>
        <w:spacing w:before="100" w:line="224" w:lineRule="auto"/>
        <w:ind w:left="32"/>
        <w:outlineLvl w:val="0"/>
        <w:rPr>
          <w:rFonts w:ascii="黑体" w:hAnsi="黑体" w:eastAsia="黑体" w:cs="黑体"/>
          <w:sz w:val="31"/>
          <w:szCs w:val="31"/>
        </w:rPr>
      </w:pPr>
      <w:bookmarkStart w:id="57" w:name="bookmark37"/>
      <w:bookmarkEnd w:id="57"/>
      <w:bookmarkStart w:id="58" w:name="bookmark40"/>
      <w:bookmarkEnd w:id="58"/>
      <w:bookmarkStart w:id="59" w:name="bookmark38"/>
      <w:bookmarkEnd w:id="59"/>
      <w:r>
        <w:rPr>
          <w:rFonts w:ascii="黑体" w:hAnsi="黑体" w:eastAsia="黑体" w:cs="黑体"/>
          <w:b/>
          <w:bCs/>
          <w:spacing w:val="2"/>
          <w:sz w:val="31"/>
          <w:szCs w:val="31"/>
        </w:rPr>
        <w:t>4问题及建议</w:t>
      </w:r>
    </w:p>
    <w:p w14:paraId="638CD019">
      <w:pPr>
        <w:pStyle w:val="2"/>
        <w:spacing w:line="267" w:lineRule="auto"/>
      </w:pPr>
    </w:p>
    <w:p w14:paraId="1AD0A12F">
      <w:pPr>
        <w:spacing w:before="91" w:line="220" w:lineRule="auto"/>
        <w:ind w:left="38"/>
        <w:outlineLvl w:val="0"/>
        <w:rPr>
          <w:rFonts w:ascii="宋体" w:hAnsi="宋体" w:eastAsia="宋体" w:cs="宋体"/>
          <w:sz w:val="28"/>
          <w:szCs w:val="28"/>
        </w:rPr>
      </w:pPr>
      <w:bookmarkStart w:id="60" w:name="bookmark39"/>
      <w:bookmarkEnd w:id="60"/>
      <w:r>
        <w:rPr>
          <w:rFonts w:ascii="宋体" w:hAnsi="宋体" w:eastAsia="宋体" w:cs="宋体"/>
          <w:b/>
          <w:bCs/>
          <w:spacing w:val="-5"/>
          <w:sz w:val="28"/>
          <w:szCs w:val="28"/>
        </w:rPr>
        <w:t>4.1存在的问题</w:t>
      </w:r>
    </w:p>
    <w:p w14:paraId="15299ED5">
      <w:pPr>
        <w:spacing w:before="204" w:line="220" w:lineRule="auto"/>
        <w:ind w:left="37"/>
        <w:rPr>
          <w:rFonts w:ascii="宋体" w:hAnsi="宋体" w:eastAsia="宋体" w:cs="宋体"/>
          <w:sz w:val="24"/>
          <w:szCs w:val="24"/>
        </w:rPr>
      </w:pPr>
      <w:r>
        <w:rPr>
          <w:rFonts w:ascii="宋体" w:hAnsi="宋体" w:eastAsia="宋体" w:cs="宋体"/>
          <w:spacing w:val="-1"/>
          <w:sz w:val="24"/>
          <w:szCs w:val="24"/>
        </w:rPr>
        <w:t>4.1.1上位规划未能有效落实相关文件指引</w:t>
      </w:r>
    </w:p>
    <w:p w14:paraId="09512A32">
      <w:pPr>
        <w:spacing w:before="182" w:line="352" w:lineRule="auto"/>
        <w:ind w:left="37" w:firstLine="480"/>
        <w:jc w:val="both"/>
        <w:rPr>
          <w:rFonts w:ascii="宋体" w:hAnsi="宋体" w:eastAsia="宋体" w:cs="宋体"/>
          <w:sz w:val="24"/>
          <w:szCs w:val="24"/>
        </w:rPr>
      </w:pPr>
      <w:r>
        <w:rPr>
          <w:rFonts w:ascii="宋体" w:hAnsi="宋体" w:eastAsia="宋体" w:cs="宋体"/>
          <w:spacing w:val="-2"/>
          <w:sz w:val="24"/>
          <w:szCs w:val="24"/>
        </w:rPr>
        <w:t>根据《内蒙古自治区苏木乡镇国土空间规划编制技术导则（试行）》，在</w:t>
      </w:r>
      <w:r>
        <w:rPr>
          <w:rFonts w:hint="eastAsia" w:ascii="宋体" w:hAnsi="宋体" w:eastAsia="宋体" w:cs="宋体"/>
          <w:spacing w:val="-2"/>
          <w:sz w:val="24"/>
          <w:szCs w:val="24"/>
          <w:lang w:eastAsia="zh-CN"/>
        </w:rPr>
        <w:t>苏</w:t>
      </w:r>
      <w:r>
        <w:rPr>
          <w:rFonts w:ascii="宋体" w:hAnsi="宋体" w:eastAsia="宋体" w:cs="宋体"/>
          <w:spacing w:val="-2"/>
          <w:sz w:val="24"/>
          <w:szCs w:val="24"/>
        </w:rPr>
        <w:t>木乡镇国</w:t>
      </w:r>
      <w:r>
        <w:rPr>
          <w:rFonts w:ascii="宋体" w:hAnsi="宋体" w:eastAsia="宋体" w:cs="宋体"/>
          <w:spacing w:val="-5"/>
          <w:sz w:val="24"/>
          <w:szCs w:val="24"/>
        </w:rPr>
        <w:t>土空间中要求明确详细规划编制单元（一般</w:t>
      </w:r>
      <w:r>
        <w:rPr>
          <w:rFonts w:ascii="宋体" w:hAnsi="宋体" w:eastAsia="宋体" w:cs="宋体"/>
          <w:spacing w:val="-6"/>
          <w:sz w:val="24"/>
          <w:szCs w:val="24"/>
        </w:rPr>
        <w:t>包括镇区、乡集镇、边境口岸、工矿农林牧</w:t>
      </w:r>
      <w:r>
        <w:rPr>
          <w:rFonts w:ascii="宋体" w:hAnsi="宋体" w:eastAsia="宋体" w:cs="宋体"/>
          <w:spacing w:val="-2"/>
          <w:sz w:val="24"/>
          <w:szCs w:val="24"/>
        </w:rPr>
        <w:t>场区、风景名胜区、旅游度假区等</w:t>
      </w:r>
      <w:r>
        <w:rPr>
          <w:rFonts w:ascii="宋体" w:hAnsi="宋体" w:eastAsia="宋体" w:cs="宋体"/>
          <w:spacing w:val="6"/>
          <w:sz w:val="24"/>
          <w:szCs w:val="24"/>
        </w:rPr>
        <w:t>），</w:t>
      </w:r>
      <w:r>
        <w:rPr>
          <w:rFonts w:ascii="宋体" w:hAnsi="宋体" w:eastAsia="宋体" w:cs="宋体"/>
          <w:spacing w:val="-2"/>
          <w:sz w:val="24"/>
          <w:szCs w:val="24"/>
        </w:rPr>
        <w:t>提出重要功能布局、开发强度、要素配置、空间</w:t>
      </w:r>
      <w:r>
        <w:rPr>
          <w:rFonts w:ascii="宋体" w:hAnsi="宋体" w:eastAsia="宋体" w:cs="宋体"/>
          <w:sz w:val="24"/>
          <w:szCs w:val="24"/>
        </w:rPr>
        <w:t>形态与风貌管控等约束要求，明确重要基础设施、公共服务设施和综合防灾设施布局。</w:t>
      </w:r>
    </w:p>
    <w:p w14:paraId="44D6B101">
      <w:pPr>
        <w:spacing w:before="39" w:line="350" w:lineRule="auto"/>
        <w:ind w:left="49" w:right="74" w:firstLine="466"/>
        <w:jc w:val="both"/>
        <w:rPr>
          <w:rFonts w:ascii="宋体" w:hAnsi="宋体" w:eastAsia="宋体" w:cs="宋体"/>
          <w:sz w:val="24"/>
          <w:szCs w:val="24"/>
        </w:rPr>
      </w:pPr>
      <w:r>
        <w:rPr>
          <w:rFonts w:ascii="宋体" w:hAnsi="宋体" w:eastAsia="宋体" w:cs="宋体"/>
          <w:spacing w:val="-2"/>
          <w:sz w:val="24"/>
          <w:szCs w:val="24"/>
        </w:rPr>
        <w:t>但在苏木乡镇国土空间编制过程中，绝大部分编制单位没有对此项要求进行深入研究，未在城镇开发边界范围内结合行政区划、城镇功能等划分用地面积合理、相对稳定的详规单元，从而导致详规单元划定缺少合理性、整体性。</w:t>
      </w:r>
    </w:p>
    <w:p w14:paraId="4A64CA85">
      <w:pPr>
        <w:spacing w:before="32" w:line="219" w:lineRule="auto"/>
        <w:ind w:left="37"/>
        <w:rPr>
          <w:rFonts w:ascii="宋体" w:hAnsi="宋体" w:eastAsia="宋体" w:cs="宋体"/>
          <w:sz w:val="24"/>
          <w:szCs w:val="24"/>
        </w:rPr>
      </w:pPr>
      <w:r>
        <w:rPr>
          <w:rFonts w:ascii="宋体" w:hAnsi="宋体" w:eastAsia="宋体" w:cs="宋体"/>
          <w:spacing w:val="-1"/>
          <w:sz w:val="24"/>
          <w:szCs w:val="24"/>
        </w:rPr>
        <w:t>4.1.2简单的城市结构与复杂的编制办法之间的矛盾</w:t>
      </w:r>
    </w:p>
    <w:p w14:paraId="6B0A39FF">
      <w:pPr>
        <w:spacing w:before="183" w:line="353" w:lineRule="auto"/>
        <w:ind w:left="38" w:right="73" w:firstLine="480"/>
        <w:jc w:val="both"/>
        <w:rPr>
          <w:rFonts w:ascii="宋体" w:hAnsi="宋体" w:eastAsia="宋体" w:cs="宋体"/>
          <w:sz w:val="24"/>
          <w:szCs w:val="24"/>
        </w:rPr>
      </w:pPr>
      <w:r>
        <w:rPr>
          <w:rFonts w:ascii="宋体" w:hAnsi="宋体" w:eastAsia="宋体" w:cs="宋体"/>
          <w:spacing w:val="-6"/>
          <w:sz w:val="24"/>
          <w:szCs w:val="24"/>
        </w:rPr>
        <w:t>县域内的乡镇地区人口和用地规模较小，城镇性质、</w:t>
      </w:r>
      <w:r>
        <w:rPr>
          <w:rFonts w:ascii="宋体" w:hAnsi="宋体" w:eastAsia="宋体" w:cs="宋体"/>
          <w:spacing w:val="-7"/>
          <w:sz w:val="24"/>
          <w:szCs w:val="24"/>
        </w:rPr>
        <w:t>结构功能等相对简单，若粗糙</w:t>
      </w:r>
      <w:r>
        <w:rPr>
          <w:rFonts w:ascii="宋体" w:hAnsi="宋体" w:eastAsia="宋体" w:cs="宋体"/>
          <w:spacing w:val="-1"/>
          <w:sz w:val="24"/>
          <w:szCs w:val="24"/>
        </w:rPr>
        <w:t>地套用相关的编制办法和指南，反而会增加</w:t>
      </w:r>
      <w:r>
        <w:rPr>
          <w:rFonts w:ascii="宋体" w:hAnsi="宋体" w:eastAsia="宋体" w:cs="宋体"/>
          <w:spacing w:val="-2"/>
          <w:sz w:val="24"/>
          <w:szCs w:val="24"/>
        </w:rPr>
        <w:t>许多无效的规划内容，如一个面积不大的镇</w:t>
      </w:r>
      <w:r>
        <w:rPr>
          <w:rFonts w:ascii="宋体" w:hAnsi="宋体" w:eastAsia="宋体" w:cs="宋体"/>
          <w:spacing w:val="-1"/>
          <w:sz w:val="24"/>
          <w:szCs w:val="24"/>
        </w:rPr>
        <w:t>区，本可以一个详规单元进行管理却出现若</w:t>
      </w:r>
      <w:r>
        <w:rPr>
          <w:rFonts w:ascii="宋体" w:hAnsi="宋体" w:eastAsia="宋体" w:cs="宋体"/>
          <w:spacing w:val="-2"/>
          <w:sz w:val="24"/>
          <w:szCs w:val="24"/>
        </w:rPr>
        <w:t>干个功能不同的详规单元、单元内规划指标</w:t>
      </w:r>
      <w:r>
        <w:rPr>
          <w:rFonts w:ascii="宋体" w:hAnsi="宋体" w:eastAsia="宋体" w:cs="宋体"/>
          <w:spacing w:val="-3"/>
          <w:sz w:val="24"/>
          <w:szCs w:val="24"/>
        </w:rPr>
        <w:t>设定过于教条而影响项目实施落地等。</w:t>
      </w:r>
    </w:p>
    <w:p w14:paraId="05BA7737">
      <w:pPr>
        <w:spacing w:before="33" w:line="218" w:lineRule="auto"/>
        <w:ind w:left="37"/>
        <w:rPr>
          <w:rFonts w:ascii="宋体" w:hAnsi="宋体" w:eastAsia="宋体" w:cs="宋体"/>
          <w:sz w:val="24"/>
          <w:szCs w:val="24"/>
        </w:rPr>
      </w:pPr>
      <w:r>
        <w:rPr>
          <w:rFonts w:ascii="宋体" w:hAnsi="宋体" w:eastAsia="宋体" w:cs="宋体"/>
          <w:spacing w:val="-2"/>
          <w:sz w:val="24"/>
          <w:szCs w:val="24"/>
        </w:rPr>
        <w:t>4.1.3未充分进行科学评估和公众参与</w:t>
      </w:r>
    </w:p>
    <w:p w14:paraId="15B5EFF3">
      <w:pPr>
        <w:spacing w:before="183" w:line="352" w:lineRule="auto"/>
        <w:ind w:left="37" w:right="73" w:firstLine="510"/>
        <w:jc w:val="both"/>
        <w:rPr>
          <w:rFonts w:ascii="宋体" w:hAnsi="宋体" w:eastAsia="宋体" w:cs="宋体"/>
          <w:sz w:val="24"/>
          <w:szCs w:val="24"/>
        </w:rPr>
      </w:pPr>
      <w:r>
        <w:rPr>
          <w:rFonts w:ascii="宋体" w:hAnsi="宋体" w:eastAsia="宋体" w:cs="宋体"/>
          <w:spacing w:val="-6"/>
          <w:sz w:val="24"/>
          <w:szCs w:val="24"/>
        </w:rPr>
        <w:t>由于乡镇地区启动规划编制时往往时间急、任务重，编制单位在划定详规单元时往</w:t>
      </w:r>
      <w:r>
        <w:rPr>
          <w:rFonts w:ascii="宋体" w:hAnsi="宋体" w:eastAsia="宋体" w:cs="宋体"/>
          <w:spacing w:val="-1"/>
          <w:sz w:val="24"/>
          <w:szCs w:val="24"/>
        </w:rPr>
        <w:t>往未能进行科学研究，而组织编制单位等因为</w:t>
      </w:r>
      <w:r>
        <w:rPr>
          <w:rFonts w:ascii="宋体" w:hAnsi="宋体" w:eastAsia="宋体" w:cs="宋体"/>
          <w:spacing w:val="-2"/>
          <w:sz w:val="24"/>
          <w:szCs w:val="24"/>
        </w:rPr>
        <w:t>专业知识不足和规划管理经验不足，对详</w:t>
      </w:r>
      <w:r>
        <w:rPr>
          <w:rFonts w:ascii="宋体" w:hAnsi="宋体" w:eastAsia="宋体" w:cs="宋体"/>
          <w:spacing w:val="-1"/>
          <w:sz w:val="24"/>
          <w:szCs w:val="24"/>
        </w:rPr>
        <w:t>规单元的划定意见模糊，往往以编制单位意见</w:t>
      </w:r>
      <w:r>
        <w:rPr>
          <w:rFonts w:ascii="宋体" w:hAnsi="宋体" w:eastAsia="宋体" w:cs="宋体"/>
          <w:spacing w:val="-2"/>
          <w:sz w:val="24"/>
          <w:szCs w:val="24"/>
        </w:rPr>
        <w:t>为准。故由于整体上缺少对详规单元划定</w:t>
      </w:r>
      <w:r>
        <w:rPr>
          <w:rFonts w:ascii="宋体" w:hAnsi="宋体" w:eastAsia="宋体" w:cs="宋体"/>
          <w:spacing w:val="-1"/>
          <w:sz w:val="24"/>
          <w:szCs w:val="24"/>
        </w:rPr>
        <w:t>的科学评估、公众参与不足，是导致详规单元划</w:t>
      </w:r>
      <w:r>
        <w:rPr>
          <w:rFonts w:ascii="宋体" w:hAnsi="宋体" w:eastAsia="宋体" w:cs="宋体"/>
          <w:spacing w:val="-2"/>
          <w:sz w:val="24"/>
          <w:szCs w:val="24"/>
        </w:rPr>
        <w:t>定不合理的重要因素。</w:t>
      </w:r>
    </w:p>
    <w:p w14:paraId="6F37291E">
      <w:pPr>
        <w:spacing w:before="163" w:line="221" w:lineRule="auto"/>
        <w:ind w:left="38"/>
        <w:outlineLvl w:val="0"/>
        <w:rPr>
          <w:rFonts w:ascii="宋体" w:hAnsi="宋体" w:eastAsia="宋体" w:cs="宋体"/>
          <w:sz w:val="28"/>
          <w:szCs w:val="28"/>
        </w:rPr>
      </w:pPr>
      <w:bookmarkStart w:id="61" w:name="bookmark41"/>
      <w:bookmarkEnd w:id="61"/>
      <w:bookmarkStart w:id="62" w:name="bookmark42"/>
      <w:bookmarkEnd w:id="62"/>
      <w:r>
        <w:rPr>
          <w:rFonts w:ascii="宋体" w:hAnsi="宋体" w:eastAsia="宋体" w:cs="宋体"/>
          <w:b/>
          <w:bCs/>
          <w:spacing w:val="-6"/>
          <w:sz w:val="28"/>
          <w:szCs w:val="28"/>
        </w:rPr>
        <w:t>4.2建议</w:t>
      </w:r>
    </w:p>
    <w:p w14:paraId="11D045A9">
      <w:pPr>
        <w:pStyle w:val="2"/>
        <w:spacing w:line="244" w:lineRule="auto"/>
      </w:pPr>
    </w:p>
    <w:p w14:paraId="08F6376F">
      <w:pPr>
        <w:spacing w:before="79" w:line="220" w:lineRule="auto"/>
        <w:ind w:left="37"/>
        <w:rPr>
          <w:rFonts w:ascii="宋体" w:hAnsi="宋体" w:eastAsia="宋体" w:cs="宋体"/>
          <w:sz w:val="24"/>
          <w:szCs w:val="24"/>
        </w:rPr>
      </w:pPr>
      <w:r>
        <w:rPr>
          <w:rFonts w:ascii="宋体" w:hAnsi="宋体" w:eastAsia="宋体" w:cs="宋体"/>
          <w:spacing w:val="-1"/>
          <w:sz w:val="24"/>
          <w:szCs w:val="24"/>
        </w:rPr>
        <w:t>4.2.1提前在乡镇国土空间规划编制中落实详规单元划定</w:t>
      </w:r>
    </w:p>
    <w:p w14:paraId="5941A76E">
      <w:pPr>
        <w:spacing w:before="180" w:line="353" w:lineRule="auto"/>
        <w:ind w:left="37" w:right="9" w:firstLine="481"/>
        <w:jc w:val="both"/>
        <w:rPr>
          <w:rFonts w:ascii="宋体" w:hAnsi="宋体" w:eastAsia="宋体" w:cs="宋体"/>
          <w:sz w:val="24"/>
          <w:szCs w:val="24"/>
        </w:rPr>
      </w:pPr>
      <w:r>
        <w:rPr>
          <w:rFonts w:ascii="宋体" w:hAnsi="宋体" w:eastAsia="宋体" w:cs="宋体"/>
          <w:sz w:val="24"/>
          <w:szCs w:val="24"/>
        </w:rPr>
        <w:t>严格根据《内蒙古自治区苏木乡镇国土空间规划编制技术导则（试行）》的规定，</w:t>
      </w:r>
      <w:r>
        <w:rPr>
          <w:rFonts w:ascii="宋体" w:hAnsi="宋体" w:eastAsia="宋体" w:cs="宋体"/>
          <w:spacing w:val="-1"/>
          <w:sz w:val="24"/>
          <w:szCs w:val="24"/>
        </w:rPr>
        <w:t>在乡镇国土空间规划中应充分考虑详规编制</w:t>
      </w:r>
      <w:r>
        <w:rPr>
          <w:rFonts w:ascii="宋体" w:hAnsi="宋体" w:eastAsia="宋体" w:cs="宋体"/>
          <w:spacing w:val="-2"/>
          <w:sz w:val="24"/>
          <w:szCs w:val="24"/>
        </w:rPr>
        <w:t>单元的划定工作，城镇开发边界面积不大的</w:t>
      </w:r>
      <w:r>
        <w:rPr>
          <w:rFonts w:ascii="宋体" w:hAnsi="宋体" w:eastAsia="宋体" w:cs="宋体"/>
          <w:spacing w:val="-6"/>
          <w:sz w:val="24"/>
          <w:szCs w:val="24"/>
        </w:rPr>
        <w:t>乡镇尽量在乡镇国土空间规划中划定，在控规层面进行落实；或者提出明确的划定指引，</w:t>
      </w:r>
      <w:r>
        <w:rPr>
          <w:rFonts w:ascii="宋体" w:hAnsi="宋体" w:eastAsia="宋体" w:cs="宋体"/>
          <w:spacing w:val="-3"/>
          <w:sz w:val="24"/>
          <w:szCs w:val="24"/>
        </w:rPr>
        <w:t>指导控规阶段详规单元的划定工作。</w:t>
      </w:r>
    </w:p>
    <w:p w14:paraId="778049F5">
      <w:pPr>
        <w:spacing w:before="151" w:line="220" w:lineRule="auto"/>
        <w:ind w:left="37"/>
        <w:rPr>
          <w:rFonts w:ascii="宋体" w:hAnsi="宋体" w:eastAsia="宋体" w:cs="宋体"/>
          <w:sz w:val="24"/>
          <w:szCs w:val="24"/>
        </w:rPr>
      </w:pPr>
      <w:r>
        <w:rPr>
          <w:rFonts w:ascii="宋体" w:hAnsi="宋体" w:eastAsia="宋体" w:cs="宋体"/>
          <w:spacing w:val="-1"/>
          <w:sz w:val="24"/>
          <w:szCs w:val="24"/>
        </w:rPr>
        <w:t>4.2.2增加一个中观层面的公共设施规划</w:t>
      </w:r>
    </w:p>
    <w:p w14:paraId="1C4CF62D">
      <w:pPr>
        <w:spacing w:before="183" w:line="219" w:lineRule="auto"/>
        <w:ind w:left="516"/>
        <w:rPr>
          <w:rFonts w:ascii="宋体" w:hAnsi="宋体" w:eastAsia="宋体" w:cs="宋体"/>
          <w:sz w:val="24"/>
          <w:szCs w:val="24"/>
        </w:rPr>
      </w:pPr>
      <w:r>
        <w:rPr>
          <w:rFonts w:ascii="宋体" w:hAnsi="宋体" w:eastAsia="宋体" w:cs="宋体"/>
          <w:spacing w:val="-2"/>
          <w:sz w:val="24"/>
          <w:szCs w:val="24"/>
        </w:rPr>
        <w:t>传统控规缺失中观层面的公共设施规划，仅依靠用地布局中编制的公共设施用地规</w:t>
      </w:r>
    </w:p>
    <w:p w14:paraId="3BCA61FB">
      <w:pPr>
        <w:spacing w:line="219" w:lineRule="auto"/>
        <w:rPr>
          <w:rFonts w:ascii="宋体" w:hAnsi="宋体" w:eastAsia="宋体" w:cs="宋体"/>
          <w:sz w:val="24"/>
          <w:szCs w:val="24"/>
        </w:rPr>
        <w:sectPr>
          <w:headerReference r:id="rId73" w:type="default"/>
          <w:footerReference r:id="rId74" w:type="default"/>
          <w:pgSz w:w="11907" w:h="16841"/>
          <w:pgMar w:top="1091" w:right="1339" w:bottom="1167" w:left="1390" w:header="859" w:footer="991" w:gutter="0"/>
          <w:cols w:space="720" w:num="1"/>
        </w:sectPr>
      </w:pPr>
    </w:p>
    <w:p w14:paraId="5D870EDE">
      <w:pPr>
        <w:pStyle w:val="2"/>
        <w:spacing w:line="286" w:lineRule="auto"/>
      </w:pPr>
    </w:p>
    <w:p w14:paraId="49668D1C">
      <w:pPr>
        <w:spacing w:before="78" w:line="355" w:lineRule="auto"/>
        <w:ind w:left="37" w:right="28"/>
        <w:jc w:val="both"/>
        <w:rPr>
          <w:rFonts w:ascii="宋体" w:hAnsi="宋体" w:eastAsia="宋体" w:cs="宋体"/>
          <w:sz w:val="24"/>
          <w:szCs w:val="24"/>
        </w:rPr>
      </w:pPr>
      <w:r>
        <w:rPr>
          <w:rFonts w:ascii="宋体" w:hAnsi="宋体" w:eastAsia="宋体" w:cs="宋体"/>
          <w:spacing w:val="-2"/>
          <w:sz w:val="24"/>
          <w:szCs w:val="24"/>
        </w:rPr>
        <w:t>划很难保障其最终的可实施性。公共设施规划依据乡镇国土空间规划或者更上层次的国土空间总体规划进行编制，结合乡镇未来的人口总量、发展方向和生活圈等统筹考虑重要的公共服务和基础设施布局，在控规层面进行严格落实。城镇开发边界面积较大的乡镇，可围绕着公</w:t>
      </w:r>
      <w:r>
        <w:rPr>
          <w:rFonts w:hint="eastAsia" w:ascii="宋体" w:hAnsi="宋体" w:eastAsia="宋体" w:cs="宋体"/>
          <w:spacing w:val="-2"/>
          <w:sz w:val="24"/>
          <w:szCs w:val="24"/>
          <w:lang w:eastAsia="zh-CN"/>
        </w:rPr>
        <w:t>共服务</w:t>
      </w:r>
      <w:r>
        <w:rPr>
          <w:rFonts w:ascii="宋体" w:hAnsi="宋体" w:eastAsia="宋体" w:cs="宋体"/>
          <w:spacing w:val="-2"/>
          <w:sz w:val="24"/>
          <w:szCs w:val="24"/>
        </w:rPr>
        <w:t>基础设施的服务半径，划定详规单元，确定详规单元的人口总量和住</w:t>
      </w:r>
      <w:r>
        <w:rPr>
          <w:rFonts w:ascii="宋体" w:hAnsi="宋体" w:eastAsia="宋体" w:cs="宋体"/>
          <w:spacing w:val="-1"/>
          <w:sz w:val="24"/>
          <w:szCs w:val="24"/>
        </w:rPr>
        <w:t>宅建筑总面积等规划控制指标；城镇开发边</w:t>
      </w:r>
      <w:r>
        <w:rPr>
          <w:rFonts w:ascii="宋体" w:hAnsi="宋体" w:eastAsia="宋体" w:cs="宋体"/>
          <w:spacing w:val="-2"/>
          <w:sz w:val="24"/>
          <w:szCs w:val="24"/>
        </w:rPr>
        <w:t>边界小的乡镇，可以以城镇开发边界作为一个详规单元，单元内确定的人口总量、住宅建筑面积不能超过公</w:t>
      </w:r>
      <w:r>
        <w:rPr>
          <w:rFonts w:hint="eastAsia" w:ascii="宋体" w:hAnsi="宋体" w:eastAsia="宋体" w:cs="宋体"/>
          <w:spacing w:val="-2"/>
          <w:sz w:val="24"/>
          <w:szCs w:val="24"/>
          <w:lang w:eastAsia="zh-CN"/>
        </w:rPr>
        <w:t>共</w:t>
      </w:r>
      <w:r>
        <w:rPr>
          <w:rFonts w:ascii="宋体" w:hAnsi="宋体" w:eastAsia="宋体" w:cs="宋体"/>
          <w:spacing w:val="-2"/>
          <w:sz w:val="24"/>
          <w:szCs w:val="24"/>
        </w:rPr>
        <w:t>服</w:t>
      </w:r>
      <w:r>
        <w:rPr>
          <w:rFonts w:hint="eastAsia" w:ascii="宋体" w:hAnsi="宋体" w:eastAsia="宋体" w:cs="宋体"/>
          <w:spacing w:val="-2"/>
          <w:sz w:val="24"/>
          <w:szCs w:val="24"/>
          <w:lang w:eastAsia="zh-CN"/>
        </w:rPr>
        <w:t>务</w:t>
      </w:r>
      <w:r>
        <w:rPr>
          <w:rFonts w:ascii="宋体" w:hAnsi="宋体" w:eastAsia="宋体" w:cs="宋体"/>
          <w:spacing w:val="-2"/>
          <w:sz w:val="24"/>
          <w:szCs w:val="24"/>
        </w:rPr>
        <w:t>设施确定的服务人口</w:t>
      </w:r>
      <w:r>
        <w:rPr>
          <w:rFonts w:ascii="宋体" w:hAnsi="宋体" w:eastAsia="宋体" w:cs="宋体"/>
          <w:spacing w:val="-4"/>
          <w:sz w:val="24"/>
          <w:szCs w:val="24"/>
        </w:rPr>
        <w:t>规模。</w:t>
      </w:r>
    </w:p>
    <w:sectPr>
      <w:footerReference r:id="rId75" w:type="default"/>
      <w:pgSz w:w="11907" w:h="16841"/>
      <w:pgMar w:top="1091" w:right="1384" w:bottom="1168" w:left="1390" w:header="859" w:footer="9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0014D">
    <w:pPr>
      <w:spacing w:line="171" w:lineRule="auto"/>
      <w:ind w:left="4540"/>
      <w:rPr>
        <w:rFonts w:ascii="宋体" w:hAnsi="宋体" w:eastAsia="宋体" w:cs="宋体"/>
        <w:sz w:val="18"/>
        <w:szCs w:val="18"/>
      </w:rPr>
    </w:pPr>
    <w:r>
      <w:rPr>
        <w:rFonts w:ascii="宋体" w:hAnsi="宋体" w:eastAsia="宋体" w:cs="宋体"/>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B9624">
    <w:pPr>
      <w:spacing w:line="171" w:lineRule="auto"/>
      <w:ind w:left="4494"/>
      <w:rPr>
        <w:rFonts w:ascii="宋体" w:hAnsi="宋体" w:eastAsia="宋体" w:cs="宋体"/>
        <w:sz w:val="18"/>
        <w:szCs w:val="18"/>
      </w:rPr>
    </w:pPr>
    <w:r>
      <w:rPr>
        <w:rFonts w:ascii="宋体" w:hAnsi="宋体" w:eastAsia="宋体" w:cs="宋体"/>
        <w:spacing w:val="-5"/>
        <w:sz w:val="18"/>
        <w:szCs w:val="18"/>
      </w:rPr>
      <w:t>13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F58DE">
    <w:pPr>
      <w:spacing w:line="171" w:lineRule="auto"/>
      <w:ind w:left="4494"/>
      <w:rPr>
        <w:rFonts w:ascii="宋体" w:hAnsi="宋体" w:eastAsia="宋体" w:cs="宋体"/>
        <w:sz w:val="18"/>
        <w:szCs w:val="18"/>
      </w:rPr>
    </w:pPr>
    <w:r>
      <w:rPr>
        <w:rFonts w:ascii="宋体" w:hAnsi="宋体" w:eastAsia="宋体" w:cs="宋体"/>
        <w:spacing w:val="-5"/>
        <w:sz w:val="18"/>
        <w:szCs w:val="18"/>
      </w:rPr>
      <w:t>14</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67B75">
    <w:pPr>
      <w:spacing w:line="171" w:lineRule="auto"/>
      <w:ind w:left="4494"/>
      <w:rPr>
        <w:rFonts w:ascii="宋体" w:hAnsi="宋体" w:eastAsia="宋体" w:cs="宋体"/>
        <w:sz w:val="18"/>
        <w:szCs w:val="18"/>
      </w:rPr>
    </w:pPr>
    <w:r>
      <w:rPr>
        <w:rFonts w:ascii="宋体" w:hAnsi="宋体" w:eastAsia="宋体" w:cs="宋体"/>
        <w:spacing w:val="-5"/>
        <w:sz w:val="18"/>
        <w:szCs w:val="18"/>
      </w:rPr>
      <w:t>15</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75090">
    <w:pPr>
      <w:spacing w:line="171" w:lineRule="auto"/>
      <w:ind w:left="4494"/>
      <w:rPr>
        <w:rFonts w:ascii="宋体" w:hAnsi="宋体" w:eastAsia="宋体" w:cs="宋体"/>
        <w:sz w:val="18"/>
        <w:szCs w:val="18"/>
      </w:rPr>
    </w:pPr>
    <w:r>
      <w:rPr>
        <w:rFonts w:ascii="宋体" w:hAnsi="宋体" w:eastAsia="宋体" w:cs="宋体"/>
        <w:spacing w:val="-5"/>
        <w:sz w:val="18"/>
        <w:szCs w:val="18"/>
      </w:rPr>
      <w:t>16</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92324">
    <w:pPr>
      <w:spacing w:line="171" w:lineRule="auto"/>
      <w:ind w:left="4494"/>
      <w:rPr>
        <w:rFonts w:ascii="宋体" w:hAnsi="宋体" w:eastAsia="宋体" w:cs="宋体"/>
        <w:sz w:val="18"/>
        <w:szCs w:val="18"/>
      </w:rPr>
    </w:pPr>
    <w:r>
      <w:rPr>
        <w:rFonts w:ascii="宋体" w:hAnsi="宋体" w:eastAsia="宋体" w:cs="宋体"/>
        <w:spacing w:val="-5"/>
        <w:sz w:val="18"/>
        <w:szCs w:val="18"/>
      </w:rPr>
      <w:t>17</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CB7ED">
    <w:pPr>
      <w:spacing w:line="171" w:lineRule="auto"/>
      <w:ind w:left="4494"/>
      <w:rPr>
        <w:rFonts w:ascii="宋体" w:hAnsi="宋体" w:eastAsia="宋体" w:cs="宋体"/>
        <w:sz w:val="18"/>
        <w:szCs w:val="18"/>
      </w:rPr>
    </w:pPr>
    <w:r>
      <w:rPr>
        <w:rFonts w:ascii="宋体" w:hAnsi="宋体" w:eastAsia="宋体" w:cs="宋体"/>
        <w:spacing w:val="-5"/>
        <w:sz w:val="18"/>
        <w:szCs w:val="18"/>
      </w:rPr>
      <w:t>18</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70BB5">
    <w:pPr>
      <w:spacing w:line="171" w:lineRule="auto"/>
      <w:ind w:left="4494"/>
      <w:rPr>
        <w:rFonts w:ascii="宋体" w:hAnsi="宋体" w:eastAsia="宋体" w:cs="宋体"/>
        <w:sz w:val="18"/>
        <w:szCs w:val="18"/>
      </w:rPr>
    </w:pPr>
    <w:r>
      <w:rPr>
        <w:rFonts w:ascii="宋体" w:hAnsi="宋体" w:eastAsia="宋体" w:cs="宋体"/>
        <w:spacing w:val="-5"/>
        <w:sz w:val="18"/>
        <w:szCs w:val="18"/>
      </w:rPr>
      <w:t>19</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A7246">
    <w:pPr>
      <w:spacing w:line="170" w:lineRule="auto"/>
      <w:ind w:left="4483"/>
      <w:rPr>
        <w:rFonts w:ascii="宋体" w:hAnsi="宋体" w:eastAsia="宋体" w:cs="宋体"/>
        <w:sz w:val="18"/>
        <w:szCs w:val="18"/>
      </w:rPr>
    </w:pPr>
    <w:r>
      <w:rPr>
        <w:rFonts w:ascii="宋体" w:hAnsi="宋体" w:eastAsia="宋体" w:cs="宋体"/>
        <w:spacing w:val="-2"/>
        <w:sz w:val="18"/>
        <w:szCs w:val="18"/>
      </w:rPr>
      <w:t>20</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6D688">
    <w:pPr>
      <w:spacing w:line="171" w:lineRule="auto"/>
      <w:ind w:left="7035"/>
      <w:rPr>
        <w:rFonts w:ascii="宋体" w:hAnsi="宋体" w:eastAsia="宋体" w:cs="宋体"/>
        <w:sz w:val="18"/>
        <w:szCs w:val="18"/>
      </w:rPr>
    </w:pPr>
    <w:r>
      <w:rPr>
        <w:rFonts w:ascii="宋体" w:hAnsi="宋体" w:eastAsia="宋体" w:cs="宋体"/>
        <w:spacing w:val="-2"/>
        <w:sz w:val="18"/>
        <w:szCs w:val="18"/>
      </w:rPr>
      <w:t>21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5FE43">
    <w:pPr>
      <w:spacing w:line="170" w:lineRule="auto"/>
      <w:ind w:left="6951"/>
      <w:rPr>
        <w:rFonts w:ascii="宋体" w:hAnsi="宋体" w:eastAsia="宋体" w:cs="宋体"/>
        <w:sz w:val="18"/>
        <w:szCs w:val="18"/>
      </w:rPr>
    </w:pPr>
    <w:r>
      <w:rPr>
        <w:rFonts w:ascii="宋体" w:hAnsi="宋体" w:eastAsia="宋体" w:cs="宋体"/>
        <w:spacing w:val="-2"/>
        <w:sz w:val="18"/>
        <w:szCs w:val="18"/>
      </w:rPr>
      <w:t>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E151C">
    <w:pPr>
      <w:spacing w:line="170" w:lineRule="auto"/>
      <w:ind w:left="4529"/>
      <w:rPr>
        <w:rFonts w:ascii="宋体" w:hAnsi="宋体" w:eastAsia="宋体" w:cs="宋体"/>
        <w:sz w:val="18"/>
        <w:szCs w:val="18"/>
      </w:rPr>
    </w:pPr>
    <w:r>
      <w:rPr>
        <w:rFonts w:ascii="宋体" w:hAnsi="宋体" w:eastAsia="宋体" w:cs="宋体"/>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678E0">
    <w:pPr>
      <w:spacing w:line="170" w:lineRule="auto"/>
      <w:ind w:left="4483"/>
      <w:rPr>
        <w:rFonts w:ascii="宋体" w:hAnsi="宋体" w:eastAsia="宋体" w:cs="宋体"/>
        <w:sz w:val="18"/>
        <w:szCs w:val="18"/>
      </w:rPr>
    </w:pPr>
    <w:r>
      <w:rPr>
        <w:rFonts w:ascii="宋体" w:hAnsi="宋体" w:eastAsia="宋体" w:cs="宋体"/>
        <w:spacing w:val="-2"/>
        <w:sz w:val="18"/>
        <w:szCs w:val="18"/>
      </w:rPr>
      <w:t>23</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49830">
    <w:pPr>
      <w:spacing w:line="170" w:lineRule="auto"/>
      <w:ind w:left="4483"/>
      <w:rPr>
        <w:rFonts w:ascii="宋体" w:hAnsi="宋体" w:eastAsia="宋体" w:cs="宋体"/>
        <w:sz w:val="18"/>
        <w:szCs w:val="18"/>
      </w:rPr>
    </w:pPr>
    <w:r>
      <w:rPr>
        <w:rFonts w:ascii="宋体" w:hAnsi="宋体" w:eastAsia="宋体" w:cs="宋体"/>
        <w:spacing w:val="-2"/>
        <w:sz w:val="18"/>
        <w:szCs w:val="18"/>
      </w:rPr>
      <w:t>24</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210CE">
    <w:pPr>
      <w:spacing w:line="170" w:lineRule="auto"/>
      <w:ind w:left="4483"/>
      <w:rPr>
        <w:rFonts w:ascii="宋体" w:hAnsi="宋体" w:eastAsia="宋体" w:cs="宋体"/>
        <w:sz w:val="18"/>
        <w:szCs w:val="18"/>
      </w:rPr>
    </w:pPr>
    <w:r>
      <w:rPr>
        <w:rFonts w:ascii="宋体" w:hAnsi="宋体" w:eastAsia="宋体" w:cs="宋体"/>
        <w:spacing w:val="-2"/>
        <w:sz w:val="18"/>
        <w:szCs w:val="18"/>
      </w:rPr>
      <w:t>25</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F9991">
    <w:pPr>
      <w:spacing w:line="170" w:lineRule="auto"/>
      <w:ind w:left="4483"/>
      <w:rPr>
        <w:rFonts w:ascii="宋体" w:hAnsi="宋体" w:eastAsia="宋体" w:cs="宋体"/>
        <w:sz w:val="18"/>
        <w:szCs w:val="18"/>
      </w:rPr>
    </w:pPr>
    <w:r>
      <w:rPr>
        <w:rFonts w:ascii="宋体" w:hAnsi="宋体" w:eastAsia="宋体" w:cs="宋体"/>
        <w:spacing w:val="-2"/>
        <w:sz w:val="18"/>
        <w:szCs w:val="18"/>
      </w:rPr>
      <w:t>26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9A05B">
    <w:pPr>
      <w:spacing w:line="170" w:lineRule="auto"/>
      <w:ind w:left="4483"/>
      <w:rPr>
        <w:rFonts w:ascii="宋体" w:hAnsi="宋体" w:eastAsia="宋体" w:cs="宋体"/>
        <w:sz w:val="18"/>
        <w:szCs w:val="18"/>
      </w:rPr>
    </w:pPr>
    <w:r>
      <w:rPr>
        <w:rFonts w:ascii="宋体" w:hAnsi="宋体" w:eastAsia="宋体" w:cs="宋体"/>
        <w:spacing w:val="-2"/>
        <w:sz w:val="18"/>
        <w:szCs w:val="18"/>
      </w:rPr>
      <w:t>27</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AC122">
    <w:pPr>
      <w:spacing w:line="170" w:lineRule="auto"/>
      <w:ind w:left="4483"/>
      <w:rPr>
        <w:rFonts w:ascii="宋体" w:hAnsi="宋体" w:eastAsia="宋体" w:cs="宋体"/>
        <w:sz w:val="18"/>
        <w:szCs w:val="18"/>
      </w:rPr>
    </w:pPr>
    <w:r>
      <w:rPr>
        <w:rFonts w:ascii="宋体" w:hAnsi="宋体" w:eastAsia="宋体" w:cs="宋体"/>
        <w:spacing w:val="-2"/>
        <w:sz w:val="18"/>
        <w:szCs w:val="18"/>
      </w:rPr>
      <w:t>28</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4E668">
    <w:pPr>
      <w:spacing w:line="170" w:lineRule="auto"/>
      <w:ind w:left="4483"/>
      <w:rPr>
        <w:rFonts w:ascii="宋体" w:hAnsi="宋体" w:eastAsia="宋体" w:cs="宋体"/>
        <w:sz w:val="18"/>
        <w:szCs w:val="18"/>
      </w:rPr>
    </w:pPr>
    <w:r>
      <w:rPr>
        <w:rFonts w:ascii="宋体" w:hAnsi="宋体" w:eastAsia="宋体" w:cs="宋体"/>
        <w:spacing w:val="-2"/>
        <w:sz w:val="18"/>
        <w:szCs w:val="18"/>
      </w:rPr>
      <w:t>29</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23901">
    <w:pPr>
      <w:spacing w:line="170" w:lineRule="auto"/>
      <w:ind w:left="4485"/>
      <w:rPr>
        <w:rFonts w:ascii="宋体" w:hAnsi="宋体" w:eastAsia="宋体" w:cs="宋体"/>
        <w:sz w:val="18"/>
        <w:szCs w:val="18"/>
      </w:rPr>
    </w:pPr>
    <w:r>
      <w:rPr>
        <w:rFonts w:ascii="宋体" w:hAnsi="宋体" w:eastAsia="宋体" w:cs="宋体"/>
        <w:spacing w:val="-3"/>
        <w:sz w:val="18"/>
        <w:szCs w:val="18"/>
      </w:rPr>
      <w:t>30</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199AC">
    <w:pPr>
      <w:spacing w:line="171" w:lineRule="auto"/>
      <w:ind w:left="4485"/>
      <w:rPr>
        <w:rFonts w:ascii="宋体" w:hAnsi="宋体" w:eastAsia="宋体" w:cs="宋体"/>
        <w:sz w:val="18"/>
        <w:szCs w:val="18"/>
      </w:rPr>
    </w:pPr>
    <w:r>
      <w:rPr>
        <w:rFonts w:ascii="宋体" w:hAnsi="宋体" w:eastAsia="宋体" w:cs="宋体"/>
        <w:spacing w:val="-3"/>
        <w:sz w:val="18"/>
        <w:szCs w:val="18"/>
      </w:rPr>
      <w:t>31</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9CD57">
    <w:pPr>
      <w:spacing w:line="170" w:lineRule="auto"/>
      <w:ind w:left="4485"/>
      <w:rPr>
        <w:rFonts w:ascii="宋体" w:hAnsi="宋体" w:eastAsia="宋体" w:cs="宋体"/>
        <w:sz w:val="18"/>
        <w:szCs w:val="18"/>
      </w:rPr>
    </w:pPr>
    <w:r>
      <w:rPr>
        <w:rFonts w:ascii="宋体" w:hAnsi="宋体" w:eastAsia="宋体" w:cs="宋体"/>
        <w:spacing w:val="-3"/>
        <w:sz w:val="18"/>
        <w:szCs w:val="18"/>
      </w:rPr>
      <w:t>32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1A5D6">
    <w:pPr>
      <w:spacing w:line="170" w:lineRule="auto"/>
      <w:ind w:left="4530"/>
      <w:rPr>
        <w:rFonts w:ascii="宋体" w:hAnsi="宋体" w:eastAsia="宋体" w:cs="宋体"/>
        <w:sz w:val="18"/>
        <w:szCs w:val="18"/>
      </w:rPr>
    </w:pPr>
    <w:r>
      <w:rPr>
        <w:rFonts w:ascii="宋体" w:hAnsi="宋体" w:eastAsia="宋体" w:cs="宋体"/>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BC0E2">
    <w:pPr>
      <w:spacing w:line="170" w:lineRule="auto"/>
      <w:ind w:left="4485"/>
      <w:rPr>
        <w:rFonts w:ascii="宋体" w:hAnsi="宋体" w:eastAsia="宋体" w:cs="宋体"/>
        <w:sz w:val="18"/>
        <w:szCs w:val="18"/>
      </w:rPr>
    </w:pPr>
    <w:r>
      <w:rPr>
        <w:rFonts w:ascii="宋体" w:hAnsi="宋体" w:eastAsia="宋体" w:cs="宋体"/>
        <w:spacing w:val="-3"/>
        <w:sz w:val="18"/>
        <w:szCs w:val="18"/>
      </w:rPr>
      <w:t>33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4DB4E">
    <w:pPr>
      <w:spacing w:line="170" w:lineRule="auto"/>
      <w:ind w:left="4485"/>
      <w:rPr>
        <w:rFonts w:ascii="宋体" w:hAnsi="宋体" w:eastAsia="宋体" w:cs="宋体"/>
        <w:sz w:val="18"/>
        <w:szCs w:val="18"/>
      </w:rPr>
    </w:pPr>
    <w:r>
      <w:rPr>
        <w:rFonts w:ascii="宋体" w:hAnsi="宋体" w:eastAsia="宋体" w:cs="宋体"/>
        <w:spacing w:val="-3"/>
        <w:sz w:val="18"/>
        <w:szCs w:val="18"/>
      </w:rPr>
      <w:t>34</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543B0">
    <w:pPr>
      <w:spacing w:line="170" w:lineRule="auto"/>
      <w:ind w:left="4485"/>
      <w:rPr>
        <w:rFonts w:ascii="宋体" w:hAnsi="宋体" w:eastAsia="宋体" w:cs="宋体"/>
        <w:sz w:val="18"/>
        <w:szCs w:val="18"/>
      </w:rPr>
    </w:pPr>
    <w:r>
      <w:rPr>
        <w:rFonts w:ascii="宋体" w:hAnsi="宋体" w:eastAsia="宋体" w:cs="宋体"/>
        <w:spacing w:val="-3"/>
        <w:sz w:val="18"/>
        <w:szCs w:val="18"/>
      </w:rPr>
      <w:t>35</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47436">
    <w:pPr>
      <w:spacing w:line="170" w:lineRule="auto"/>
      <w:ind w:left="4485"/>
      <w:rPr>
        <w:rFonts w:ascii="宋体" w:hAnsi="宋体" w:eastAsia="宋体" w:cs="宋体"/>
        <w:sz w:val="18"/>
        <w:szCs w:val="18"/>
      </w:rPr>
    </w:pPr>
    <w:r>
      <w:rPr>
        <w:rFonts w:ascii="宋体" w:hAnsi="宋体" w:eastAsia="宋体" w:cs="宋体"/>
        <w:spacing w:val="-3"/>
        <w:sz w:val="18"/>
        <w:szCs w:val="18"/>
      </w:rPr>
      <w:t>36</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3B759">
    <w:pPr>
      <w:spacing w:line="170" w:lineRule="auto"/>
      <w:ind w:left="4485"/>
      <w:rPr>
        <w:rFonts w:ascii="宋体" w:hAnsi="宋体" w:eastAsia="宋体" w:cs="宋体"/>
        <w:sz w:val="18"/>
        <w:szCs w:val="18"/>
      </w:rPr>
    </w:pPr>
    <w:r>
      <w:rPr>
        <w:rFonts w:ascii="宋体" w:hAnsi="宋体" w:eastAsia="宋体" w:cs="宋体"/>
        <w:spacing w:val="-3"/>
        <w:sz w:val="18"/>
        <w:szCs w:val="18"/>
      </w:rPr>
      <w:t>37</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13E95">
    <w:pPr>
      <w:spacing w:line="170" w:lineRule="auto"/>
      <w:ind w:left="4485"/>
      <w:rPr>
        <w:rFonts w:ascii="宋体" w:hAnsi="宋体" w:eastAsia="宋体" w:cs="宋体"/>
        <w:sz w:val="18"/>
        <w:szCs w:val="18"/>
      </w:rPr>
    </w:pPr>
    <w:r>
      <w:rPr>
        <w:rFonts w:ascii="宋体" w:hAnsi="宋体" w:eastAsia="宋体" w:cs="宋体"/>
        <w:spacing w:val="-3"/>
        <w:sz w:val="18"/>
        <w:szCs w:val="18"/>
      </w:rPr>
      <w:t>38</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0F1D9">
    <w:pPr>
      <w:spacing w:line="170" w:lineRule="auto"/>
      <w:ind w:left="4485"/>
      <w:rPr>
        <w:rFonts w:ascii="宋体" w:hAnsi="宋体" w:eastAsia="宋体" w:cs="宋体"/>
        <w:sz w:val="18"/>
        <w:szCs w:val="18"/>
      </w:rPr>
    </w:pPr>
    <w:r>
      <w:rPr>
        <w:rFonts w:ascii="宋体" w:hAnsi="宋体" w:eastAsia="宋体" w:cs="宋体"/>
        <w:spacing w:val="-3"/>
        <w:sz w:val="18"/>
        <w:szCs w:val="18"/>
      </w:rPr>
      <w:t>39</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E332B">
    <w:pPr>
      <w:spacing w:line="170" w:lineRule="auto"/>
      <w:ind w:left="4480"/>
      <w:rPr>
        <w:rFonts w:ascii="宋体" w:hAnsi="宋体" w:eastAsia="宋体" w:cs="宋体"/>
        <w:sz w:val="18"/>
        <w:szCs w:val="18"/>
      </w:rPr>
    </w:pPr>
    <w:r>
      <w:rPr>
        <w:rFonts w:ascii="宋体" w:hAnsi="宋体" w:eastAsia="宋体" w:cs="宋体"/>
        <w:spacing w:val="-2"/>
        <w:sz w:val="18"/>
        <w:szCs w:val="18"/>
      </w:rPr>
      <w:t>40</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E9804">
    <w:pPr>
      <w:spacing w:line="171" w:lineRule="auto"/>
      <w:ind w:left="4480"/>
      <w:rPr>
        <w:rFonts w:ascii="宋体" w:hAnsi="宋体" w:eastAsia="宋体" w:cs="宋体"/>
        <w:sz w:val="18"/>
        <w:szCs w:val="18"/>
      </w:rPr>
    </w:pPr>
    <w:r>
      <w:rPr>
        <w:rFonts w:ascii="宋体" w:hAnsi="宋体" w:eastAsia="宋体" w:cs="宋体"/>
        <w:spacing w:val="-2"/>
        <w:sz w:val="18"/>
        <w:szCs w:val="18"/>
      </w:rPr>
      <w:t>41</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F8A20">
    <w:pPr>
      <w:spacing w:line="170" w:lineRule="auto"/>
      <w:ind w:left="4480"/>
      <w:rPr>
        <w:rFonts w:ascii="宋体" w:hAnsi="宋体" w:eastAsia="宋体" w:cs="宋体"/>
        <w:sz w:val="18"/>
        <w:szCs w:val="18"/>
      </w:rPr>
    </w:pPr>
    <w:r>
      <w:rPr>
        <w:rFonts w:ascii="宋体" w:hAnsi="宋体" w:eastAsia="宋体" w:cs="宋体"/>
        <w:spacing w:val="-2"/>
        <w:sz w:val="18"/>
        <w:szCs w:val="18"/>
      </w:rPr>
      <w:t>42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75EEF">
    <w:pPr>
      <w:spacing w:line="170" w:lineRule="auto"/>
      <w:ind w:left="4542"/>
      <w:rPr>
        <w:rFonts w:ascii="宋体" w:hAnsi="宋体" w:eastAsia="宋体" w:cs="宋体"/>
        <w:sz w:val="18"/>
        <w:szCs w:val="18"/>
      </w:rPr>
    </w:pPr>
    <w:r>
      <w:rPr>
        <w:rFonts w:ascii="宋体" w:hAnsi="宋体" w:eastAsia="宋体" w:cs="宋体"/>
        <w:sz w:val="18"/>
        <w:szCs w:val="18"/>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02179">
    <w:pPr>
      <w:spacing w:line="170" w:lineRule="auto"/>
      <w:ind w:left="4480"/>
      <w:rPr>
        <w:rFonts w:ascii="宋体" w:hAnsi="宋体" w:eastAsia="宋体" w:cs="宋体"/>
        <w:sz w:val="18"/>
        <w:szCs w:val="18"/>
      </w:rPr>
    </w:pPr>
    <w:r>
      <w:rPr>
        <w:rFonts w:ascii="宋体" w:hAnsi="宋体" w:eastAsia="宋体" w:cs="宋体"/>
        <w:spacing w:val="-2"/>
        <w:sz w:val="18"/>
        <w:szCs w:val="18"/>
      </w:rPr>
      <w:t>43</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3ACD1">
    <w:pPr>
      <w:spacing w:line="170" w:lineRule="auto"/>
      <w:ind w:left="4480"/>
      <w:rPr>
        <w:rFonts w:ascii="宋体" w:hAnsi="宋体" w:eastAsia="宋体" w:cs="宋体"/>
        <w:sz w:val="18"/>
        <w:szCs w:val="18"/>
      </w:rPr>
    </w:pPr>
    <w:r>
      <w:rPr>
        <w:rFonts w:ascii="宋体" w:hAnsi="宋体" w:eastAsia="宋体" w:cs="宋体"/>
        <w:spacing w:val="-2"/>
        <w:sz w:val="18"/>
        <w:szCs w:val="18"/>
      </w:rPr>
      <w:t>44</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FCBC4">
    <w:pPr>
      <w:spacing w:line="170" w:lineRule="auto"/>
      <w:ind w:left="4480"/>
      <w:rPr>
        <w:rFonts w:ascii="宋体" w:hAnsi="宋体" w:eastAsia="宋体" w:cs="宋体"/>
        <w:sz w:val="18"/>
        <w:szCs w:val="18"/>
      </w:rPr>
    </w:pPr>
    <w:r>
      <w:rPr>
        <w:rFonts w:ascii="宋体" w:hAnsi="宋体" w:eastAsia="宋体" w:cs="宋体"/>
        <w:spacing w:val="-2"/>
        <w:sz w:val="18"/>
        <w:szCs w:val="18"/>
      </w:rPr>
      <w:t>45</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14238">
    <w:pPr>
      <w:spacing w:line="170" w:lineRule="auto"/>
      <w:ind w:left="4480"/>
      <w:rPr>
        <w:rFonts w:ascii="宋体" w:hAnsi="宋体" w:eastAsia="宋体" w:cs="宋体"/>
        <w:sz w:val="18"/>
        <w:szCs w:val="18"/>
      </w:rPr>
    </w:pPr>
    <w:r>
      <w:rPr>
        <w:rFonts w:ascii="宋体" w:hAnsi="宋体" w:eastAsia="宋体" w:cs="宋体"/>
        <w:spacing w:val="-2"/>
        <w:sz w:val="18"/>
        <w:szCs w:val="18"/>
      </w:rPr>
      <w:t>46</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4626F">
    <w:pPr>
      <w:spacing w:line="170" w:lineRule="auto"/>
      <w:ind w:left="4480"/>
      <w:rPr>
        <w:rFonts w:ascii="宋体" w:hAnsi="宋体" w:eastAsia="宋体" w:cs="宋体"/>
        <w:sz w:val="18"/>
        <w:szCs w:val="18"/>
      </w:rPr>
    </w:pPr>
    <w:r>
      <w:rPr>
        <w:rFonts w:ascii="宋体" w:hAnsi="宋体" w:eastAsia="宋体" w:cs="宋体"/>
        <w:spacing w:val="-2"/>
        <w:sz w:val="18"/>
        <w:szCs w:val="18"/>
      </w:rPr>
      <w:t>47</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E7915">
    <w:pPr>
      <w:spacing w:line="170" w:lineRule="auto"/>
      <w:ind w:left="4480"/>
      <w:rPr>
        <w:rFonts w:ascii="宋体" w:hAnsi="宋体" w:eastAsia="宋体" w:cs="宋体"/>
        <w:sz w:val="18"/>
        <w:szCs w:val="18"/>
      </w:rPr>
    </w:pPr>
    <w:r>
      <w:rPr>
        <w:rFonts w:ascii="宋体" w:hAnsi="宋体" w:eastAsia="宋体" w:cs="宋体"/>
        <w:spacing w:val="-2"/>
        <w:sz w:val="18"/>
        <w:szCs w:val="18"/>
      </w:rPr>
      <w:t>48</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60BB8">
    <w:pPr>
      <w:spacing w:line="170" w:lineRule="auto"/>
      <w:ind w:left="4480"/>
      <w:rPr>
        <w:rFonts w:ascii="宋体" w:hAnsi="宋体" w:eastAsia="宋体" w:cs="宋体"/>
        <w:sz w:val="18"/>
        <w:szCs w:val="18"/>
      </w:rPr>
    </w:pPr>
    <w:r>
      <w:rPr>
        <w:rFonts w:ascii="宋体" w:hAnsi="宋体" w:eastAsia="宋体" w:cs="宋体"/>
        <w:spacing w:val="-2"/>
        <w:sz w:val="18"/>
        <w:szCs w:val="18"/>
      </w:rPr>
      <w:t>49</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A4B0F">
    <w:pPr>
      <w:spacing w:line="170" w:lineRule="auto"/>
      <w:ind w:left="4485"/>
      <w:rPr>
        <w:rFonts w:ascii="宋体" w:hAnsi="宋体" w:eastAsia="宋体" w:cs="宋体"/>
        <w:sz w:val="18"/>
        <w:szCs w:val="18"/>
      </w:rPr>
    </w:pPr>
    <w:r>
      <w:rPr>
        <w:rFonts w:ascii="宋体" w:hAnsi="宋体" w:eastAsia="宋体" w:cs="宋体"/>
        <w:spacing w:val="-3"/>
        <w:sz w:val="18"/>
        <w:szCs w:val="18"/>
      </w:rPr>
      <w:t>50</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94692">
    <w:pPr>
      <w:spacing w:line="171" w:lineRule="auto"/>
      <w:ind w:left="4485"/>
      <w:rPr>
        <w:rFonts w:ascii="宋体" w:hAnsi="宋体" w:eastAsia="宋体" w:cs="宋体"/>
        <w:sz w:val="18"/>
        <w:szCs w:val="18"/>
      </w:rPr>
    </w:pPr>
    <w:r>
      <w:rPr>
        <w:rFonts w:ascii="宋体" w:hAnsi="宋体" w:eastAsia="宋体" w:cs="宋体"/>
        <w:spacing w:val="-3"/>
        <w:sz w:val="18"/>
        <w:szCs w:val="18"/>
      </w:rPr>
      <w:t>51</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A669E">
    <w:pPr>
      <w:spacing w:line="170" w:lineRule="auto"/>
      <w:ind w:left="4485"/>
      <w:rPr>
        <w:rFonts w:ascii="宋体" w:hAnsi="宋体" w:eastAsia="宋体" w:cs="宋体"/>
        <w:sz w:val="18"/>
        <w:szCs w:val="18"/>
      </w:rPr>
    </w:pPr>
    <w:r>
      <w:rPr>
        <w:rFonts w:ascii="宋体" w:hAnsi="宋体" w:eastAsia="宋体" w:cs="宋体"/>
        <w:spacing w:val="-3"/>
        <w:sz w:val="18"/>
        <w:szCs w:val="18"/>
      </w:rPr>
      <w:t>52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05ADE">
    <w:pPr>
      <w:spacing w:line="169" w:lineRule="auto"/>
      <w:ind w:left="4530"/>
      <w:rPr>
        <w:rFonts w:ascii="宋体" w:hAnsi="宋体" w:eastAsia="宋体" w:cs="宋体"/>
        <w:sz w:val="18"/>
        <w:szCs w:val="18"/>
      </w:rPr>
    </w:pPr>
    <w:r>
      <w:rPr>
        <w:rFonts w:ascii="宋体" w:hAnsi="宋体" w:eastAsia="宋体" w:cs="宋体"/>
        <w:sz w:val="18"/>
        <w:szCs w:val="18"/>
      </w:rPr>
      <w:t>5</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A99B3">
    <w:pPr>
      <w:spacing w:line="170" w:lineRule="auto"/>
      <w:ind w:left="4485"/>
      <w:rPr>
        <w:rFonts w:ascii="宋体" w:hAnsi="宋体" w:eastAsia="宋体" w:cs="宋体"/>
        <w:sz w:val="18"/>
        <w:szCs w:val="18"/>
      </w:rPr>
    </w:pPr>
    <w:r>
      <w:rPr>
        <w:rFonts w:ascii="宋体" w:hAnsi="宋体" w:eastAsia="宋体" w:cs="宋体"/>
        <w:spacing w:val="-3"/>
        <w:sz w:val="18"/>
        <w:szCs w:val="18"/>
      </w:rPr>
      <w:t>53</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46ED6">
    <w:pPr>
      <w:spacing w:line="170" w:lineRule="auto"/>
      <w:ind w:left="4485"/>
      <w:rPr>
        <w:rFonts w:ascii="宋体" w:hAnsi="宋体" w:eastAsia="宋体" w:cs="宋体"/>
        <w:sz w:val="18"/>
        <w:szCs w:val="18"/>
      </w:rPr>
    </w:pPr>
    <w:r>
      <w:rPr>
        <w:rFonts w:ascii="宋体" w:hAnsi="宋体" w:eastAsia="宋体" w:cs="宋体"/>
        <w:spacing w:val="-3"/>
        <w:sz w:val="18"/>
        <w:szCs w:val="18"/>
      </w:rPr>
      <w:t>54</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F2CB5">
    <w:pPr>
      <w:spacing w:line="169" w:lineRule="auto"/>
      <w:ind w:left="4485"/>
      <w:rPr>
        <w:rFonts w:ascii="宋体" w:hAnsi="宋体" w:eastAsia="宋体" w:cs="宋体"/>
        <w:sz w:val="18"/>
        <w:szCs w:val="18"/>
      </w:rPr>
    </w:pPr>
    <w:r>
      <w:rPr>
        <w:rFonts w:ascii="宋体" w:hAnsi="宋体" w:eastAsia="宋体" w:cs="宋体"/>
        <w:spacing w:val="-3"/>
        <w:sz w:val="18"/>
        <w:szCs w:val="18"/>
      </w:rPr>
      <w:t>55</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8A609">
    <w:pPr>
      <w:spacing w:line="170" w:lineRule="auto"/>
      <w:ind w:left="4485"/>
      <w:rPr>
        <w:rFonts w:ascii="宋体" w:hAnsi="宋体" w:eastAsia="宋体" w:cs="宋体"/>
        <w:sz w:val="18"/>
        <w:szCs w:val="18"/>
      </w:rPr>
    </w:pPr>
    <w:r>
      <w:rPr>
        <w:rFonts w:ascii="宋体" w:hAnsi="宋体" w:eastAsia="宋体" w:cs="宋体"/>
        <w:spacing w:val="-3"/>
        <w:sz w:val="18"/>
        <w:szCs w:val="18"/>
      </w:rPr>
      <w:t>56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C050B">
    <w:pPr>
      <w:spacing w:line="170" w:lineRule="auto"/>
      <w:ind w:left="4528"/>
      <w:rPr>
        <w:rFonts w:ascii="宋体" w:hAnsi="宋体" w:eastAsia="宋体" w:cs="宋体"/>
        <w:sz w:val="18"/>
        <w:szCs w:val="18"/>
      </w:rPr>
    </w:pPr>
    <w:r>
      <w:rPr>
        <w:rFonts w:ascii="宋体" w:hAnsi="宋体" w:eastAsia="宋体" w:cs="宋体"/>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47AD">
    <w:pPr>
      <w:spacing w:line="169" w:lineRule="auto"/>
      <w:ind w:left="4531"/>
      <w:rPr>
        <w:rFonts w:ascii="宋体" w:hAnsi="宋体" w:eastAsia="宋体" w:cs="宋体"/>
        <w:sz w:val="18"/>
        <w:szCs w:val="18"/>
      </w:rPr>
    </w:pPr>
    <w:r>
      <w:rPr>
        <w:rFonts w:ascii="宋体" w:hAnsi="宋体" w:eastAsia="宋体" w:cs="宋体"/>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B1591">
    <w:pPr>
      <w:spacing w:line="170" w:lineRule="auto"/>
      <w:ind w:left="4527"/>
      <w:rPr>
        <w:rFonts w:ascii="宋体" w:hAnsi="宋体" w:eastAsia="宋体" w:cs="宋体"/>
        <w:sz w:val="18"/>
        <w:szCs w:val="18"/>
      </w:rPr>
    </w:pPr>
    <w:r>
      <w:rPr>
        <w:rFonts w:ascii="宋体" w:hAnsi="宋体" w:eastAsia="宋体" w:cs="宋体"/>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A9D4A">
    <w:pPr>
      <w:spacing w:line="170" w:lineRule="auto"/>
      <w:ind w:left="4527"/>
      <w:rPr>
        <w:rFonts w:ascii="宋体" w:hAnsi="宋体" w:eastAsia="宋体" w:cs="宋体"/>
        <w:sz w:val="18"/>
        <w:szCs w:val="18"/>
      </w:rPr>
    </w:pPr>
    <w:r>
      <w:rPr>
        <w:rFonts w:ascii="宋体" w:hAnsi="宋体" w:eastAsia="宋体" w:cs="宋体"/>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CA9CA">
    <w:pPr>
      <w:spacing w:before="13" w:line="220" w:lineRule="auto"/>
      <w:ind w:left="5507"/>
      <w:rPr>
        <w:rFonts w:ascii="宋体" w:hAnsi="宋体" w:eastAsia="宋体" w:cs="宋体"/>
        <w:sz w:val="15"/>
        <w:szCs w:val="15"/>
      </w:rPr>
    </w:pPr>
    <w:r>
      <w:pict>
        <v:shape id="_x0000_s4097" o:spid="_x0000_s4097" style="position:absolute;left:0pt;margin-left:69.5pt;margin-top:53.15pt;height:0.75pt;width:456.6pt;mso-position-horizontal-relative:page;mso-position-vertical-relative:page;z-index:251659264;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8CC9C">
    <w:pPr>
      <w:spacing w:before="13" w:line="220" w:lineRule="auto"/>
      <w:ind w:left="5507"/>
      <w:rPr>
        <w:rFonts w:ascii="宋体" w:hAnsi="宋体" w:eastAsia="宋体" w:cs="宋体"/>
        <w:sz w:val="15"/>
        <w:szCs w:val="15"/>
      </w:rPr>
    </w:pPr>
    <w:r>
      <w:pict>
        <v:shape id="_x0000_s4106" o:spid="_x0000_s4106" style="position:absolute;left:0pt;margin-left:69.5pt;margin-top:53.15pt;height:0.75pt;width:456.6pt;mso-position-horizontal-relative:page;mso-position-vertical-relative:page;z-index:251662336;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9DBDE">
    <w:pPr>
      <w:spacing w:before="13" w:line="220" w:lineRule="auto"/>
      <w:ind w:left="5507"/>
      <w:rPr>
        <w:rFonts w:ascii="宋体" w:hAnsi="宋体" w:eastAsia="宋体" w:cs="宋体"/>
        <w:sz w:val="15"/>
        <w:szCs w:val="15"/>
      </w:rPr>
    </w:pPr>
    <w:r>
      <w:pict>
        <v:shape id="_x0000_s4107" o:spid="_x0000_s4107" style="position:absolute;left:0pt;margin-left:69.5pt;margin-top:53.15pt;height:0.75pt;width:456.6pt;mso-position-horizontal-relative:page;mso-position-vertical-relative:page;z-index:251663360;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FDCD2">
    <w:pPr>
      <w:spacing w:before="13" w:line="220" w:lineRule="auto"/>
      <w:ind w:left="10524"/>
      <w:rPr>
        <w:rFonts w:ascii="宋体" w:hAnsi="宋体" w:eastAsia="宋体" w:cs="宋体"/>
        <w:sz w:val="15"/>
        <w:szCs w:val="15"/>
      </w:rPr>
    </w:pPr>
    <w:r>
      <w:pict>
        <v:shape id="_x0000_s4108" o:spid="_x0000_s4108" style="position:absolute;left:0pt;margin-left:69.45pt;margin-top:53.15pt;height:0.75pt;width:703.25pt;mso-position-horizontal-relative:page;mso-position-vertical-relative:page;z-index:251667456;mso-width-relative:page;mso-height-relative:page;" fillcolor="#000000" filled="t" stroked="f" coordsize="14065,15" o:allowincell="f" path="m0,14l14064,14,14064,0,0,0,0,14xe">
          <v:path/>
          <v:fill on="t" focussize="0,0"/>
          <v:stroke on="f"/>
          <v:imagedata o:title=""/>
          <o:lock v:ext="edit"/>
        </v:shape>
      </w:pict>
    </w:r>
    <w:r>
      <w:rPr>
        <w:rFonts w:ascii="宋体" w:hAnsi="宋体" w:eastAsia="宋体" w:cs="宋体"/>
        <w:sz w:val="15"/>
        <w:szCs w:val="15"/>
      </w:rPr>
      <w:t>鄂尔多斯市杭锦旗国土空间详细规划编制单</w:t>
    </w:r>
    <w:r>
      <w:rPr>
        <w:rFonts w:ascii="宋体" w:hAnsi="宋体" w:eastAsia="宋体" w:cs="宋体"/>
        <w:spacing w:val="-1"/>
        <w:sz w:val="15"/>
        <w:szCs w:val="15"/>
      </w:rPr>
      <w:t>元划定报告</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76303">
    <w:pPr>
      <w:spacing w:before="13" w:line="220" w:lineRule="auto"/>
      <w:ind w:right="26"/>
      <w:jc w:val="right"/>
      <w:rPr>
        <w:rFonts w:ascii="宋体" w:hAnsi="宋体" w:eastAsia="宋体" w:cs="宋体"/>
        <w:sz w:val="15"/>
        <w:szCs w:val="15"/>
      </w:rPr>
    </w:pPr>
    <w:r>
      <w:pict>
        <v:shape id="_x0000_s4109" o:spid="_x0000_s4109" style="position:absolute;left:0pt;margin-left:69.45pt;margin-top:53.15pt;height:0.75pt;width:703.25pt;mso-position-horizontal-relative:page;mso-position-vertical-relative:page;z-index:251668480;mso-width-relative:page;mso-height-relative:page;" fillcolor="#000000" filled="t" stroked="f" coordsize="14065,15" o:allowincell="f" path="m0,14l14064,14,14064,0,0,0,0,14xe">
          <v:path/>
          <v:fill on="t" focussize="0,0"/>
          <v:stroke on="f"/>
          <v:imagedata o:title=""/>
          <o:lock v:ext="edit"/>
        </v:shape>
      </w:pict>
    </w:r>
    <w:r>
      <w:rPr>
        <w:rFonts w:ascii="宋体" w:hAnsi="宋体" w:eastAsia="宋体" w:cs="宋体"/>
        <w:sz w:val="15"/>
        <w:szCs w:val="15"/>
      </w:rPr>
      <w:t>鄂尔多斯市杭锦旗国土空间详细规划编制单</w:t>
    </w:r>
    <w:r>
      <w:rPr>
        <w:rFonts w:ascii="宋体" w:hAnsi="宋体" w:eastAsia="宋体" w:cs="宋体"/>
        <w:spacing w:val="-1"/>
        <w:sz w:val="15"/>
        <w:szCs w:val="15"/>
      </w:rPr>
      <w:t>元划定报告</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B839">
    <w:pPr>
      <w:spacing w:before="13" w:line="220" w:lineRule="auto"/>
      <w:ind w:left="5507"/>
      <w:rPr>
        <w:rFonts w:ascii="宋体" w:hAnsi="宋体" w:eastAsia="宋体" w:cs="宋体"/>
        <w:sz w:val="15"/>
        <w:szCs w:val="15"/>
      </w:rPr>
    </w:pPr>
    <w:r>
      <w:pict>
        <v:shape id="_x0000_s4110" o:spid="_x0000_s4110" style="position:absolute;left:0pt;margin-left:69.5pt;margin-top:53.15pt;height:0.75pt;width:456.6pt;mso-position-horizontal-relative:page;mso-position-vertical-relative:page;z-index:251669504;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391B6">
    <w:pPr>
      <w:spacing w:before="13" w:line="220" w:lineRule="auto"/>
      <w:ind w:left="5507"/>
      <w:rPr>
        <w:rFonts w:ascii="宋体" w:hAnsi="宋体" w:eastAsia="宋体" w:cs="宋体"/>
        <w:sz w:val="15"/>
        <w:szCs w:val="15"/>
      </w:rPr>
    </w:pPr>
    <w:r>
      <w:pict>
        <v:shape id="_x0000_s4111" o:spid="_x0000_s4111" style="position:absolute;left:0pt;margin-left:69.5pt;margin-top:53.15pt;height:0.75pt;width:456.6pt;mso-position-horizontal-relative:page;mso-position-vertical-relative:page;z-index:251669504;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D785E">
    <w:pPr>
      <w:spacing w:before="13" w:line="220" w:lineRule="auto"/>
      <w:ind w:left="5507"/>
      <w:rPr>
        <w:rFonts w:ascii="宋体" w:hAnsi="宋体" w:eastAsia="宋体" w:cs="宋体"/>
        <w:sz w:val="15"/>
        <w:szCs w:val="15"/>
      </w:rPr>
    </w:pPr>
    <w:r>
      <w:pict>
        <v:shape id="_x0000_s4112" o:spid="_x0000_s4112" style="position:absolute;left:0pt;margin-left:69.5pt;margin-top:53.15pt;height:0.75pt;width:456.6pt;mso-position-horizontal-relative:page;mso-position-vertical-relative:page;z-index:251662336;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8B0AD">
    <w:pPr>
      <w:spacing w:before="13" w:line="220" w:lineRule="auto"/>
      <w:ind w:left="5507"/>
      <w:rPr>
        <w:rFonts w:ascii="宋体" w:hAnsi="宋体" w:eastAsia="宋体" w:cs="宋体"/>
        <w:sz w:val="15"/>
        <w:szCs w:val="15"/>
      </w:rPr>
    </w:pPr>
    <w:r>
      <w:pict>
        <v:shape id="_x0000_s4113" o:spid="_x0000_s4113" style="position:absolute;left:0pt;margin-left:69.5pt;margin-top:53.15pt;height:0.75pt;width:456.6pt;mso-position-horizontal-relative:page;mso-position-vertical-relative:page;z-index:251669504;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BD696">
    <w:pPr>
      <w:spacing w:before="13" w:line="220" w:lineRule="auto"/>
      <w:ind w:left="5507"/>
      <w:rPr>
        <w:rFonts w:ascii="宋体" w:hAnsi="宋体" w:eastAsia="宋体" w:cs="宋体"/>
        <w:sz w:val="15"/>
        <w:szCs w:val="15"/>
      </w:rPr>
    </w:pPr>
    <w:r>
      <w:pict>
        <v:shape id="_x0000_s4114" o:spid="_x0000_s4114" style="position:absolute;left:0pt;margin-left:69.5pt;margin-top:53.15pt;height:0.75pt;width:456.6pt;mso-position-horizontal-relative:page;mso-position-vertical-relative:page;z-index:251663360;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37BE3">
    <w:pPr>
      <w:spacing w:before="13" w:line="220" w:lineRule="auto"/>
      <w:ind w:left="5507"/>
      <w:rPr>
        <w:rFonts w:ascii="宋体" w:hAnsi="宋体" w:eastAsia="宋体" w:cs="宋体"/>
        <w:sz w:val="15"/>
        <w:szCs w:val="15"/>
      </w:rPr>
    </w:pPr>
    <w:r>
      <w:pict>
        <v:shape id="_x0000_s4098" o:spid="_x0000_s4098" style="position:absolute;left:0pt;margin-left:69.5pt;margin-top:53.15pt;height:0.75pt;width:456.6pt;mso-position-horizontal-relative:page;mso-position-vertical-relative:page;z-index:251660288;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C0146">
    <w:pPr>
      <w:spacing w:before="13" w:line="220" w:lineRule="auto"/>
      <w:ind w:right="26"/>
      <w:jc w:val="right"/>
      <w:rPr>
        <w:rFonts w:ascii="宋体" w:hAnsi="宋体" w:eastAsia="宋体" w:cs="宋体"/>
        <w:sz w:val="15"/>
        <w:szCs w:val="15"/>
      </w:rPr>
    </w:pPr>
    <w:r>
      <w:pict>
        <v:shape id="_x0000_s4099" o:spid="_x0000_s4099" style="position:absolute;left:0pt;margin-left:69.5pt;margin-top:53.15pt;height:0.75pt;width:456.6pt;mso-position-horizontal-relative:page;mso-position-vertical-relative:page;z-index:251661312;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B2EC1">
    <w:pPr>
      <w:spacing w:before="13" w:line="220" w:lineRule="auto"/>
      <w:ind w:left="5507"/>
      <w:rPr>
        <w:rFonts w:ascii="宋体" w:hAnsi="宋体" w:eastAsia="宋体" w:cs="宋体"/>
        <w:sz w:val="15"/>
        <w:szCs w:val="15"/>
      </w:rPr>
    </w:pPr>
    <w:r>
      <w:pict>
        <v:shape id="_x0000_s4100" o:spid="_x0000_s4100" style="position:absolute;left:0pt;margin-left:69.5pt;margin-top:53.15pt;height:0.75pt;width:456.6pt;mso-position-horizontal-relative:page;mso-position-vertical-relative:page;z-index:251662336;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205BA">
    <w:pPr>
      <w:spacing w:before="13" w:line="220" w:lineRule="auto"/>
      <w:ind w:left="5507"/>
      <w:rPr>
        <w:rFonts w:ascii="宋体" w:hAnsi="宋体" w:eastAsia="宋体" w:cs="宋体"/>
        <w:sz w:val="15"/>
        <w:szCs w:val="15"/>
      </w:rPr>
    </w:pPr>
    <w:r>
      <w:pict>
        <v:shape id="_x0000_s4101" o:spid="_x0000_s4101" style="position:absolute;left:0pt;margin-left:69.5pt;margin-top:53.15pt;height:0.75pt;width:456.6pt;mso-position-horizontal-relative:page;mso-position-vertical-relative:page;z-index:251663360;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E7E39">
    <w:pPr>
      <w:spacing w:before="13" w:line="220" w:lineRule="auto"/>
      <w:ind w:left="5507"/>
      <w:rPr>
        <w:rFonts w:ascii="宋体" w:hAnsi="宋体" w:eastAsia="宋体" w:cs="宋体"/>
        <w:sz w:val="15"/>
        <w:szCs w:val="15"/>
      </w:rPr>
    </w:pPr>
    <w:r>
      <w:pict>
        <v:shape id="_x0000_s4102" o:spid="_x0000_s4102" style="position:absolute;left:0pt;margin-left:69.5pt;margin-top:53.15pt;height:0.75pt;width:456.6pt;mso-position-horizontal-relative:page;mso-position-vertical-relative:page;z-index:251664384;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57116">
    <w:pPr>
      <w:spacing w:before="13" w:line="220" w:lineRule="auto"/>
      <w:ind w:left="5507"/>
      <w:rPr>
        <w:rFonts w:ascii="宋体" w:hAnsi="宋体" w:eastAsia="宋体" w:cs="宋体"/>
        <w:sz w:val="15"/>
        <w:szCs w:val="15"/>
      </w:rPr>
    </w:pPr>
    <w:r>
      <w:pict>
        <v:shape id="_x0000_s4103" o:spid="_x0000_s4103" style="position:absolute;left:0pt;margin-left:69.5pt;margin-top:53.15pt;height:0.75pt;width:456.6pt;mso-position-horizontal-relative:page;mso-position-vertical-relative:page;z-index:251665408;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F62D0">
    <w:pPr>
      <w:spacing w:before="13" w:line="220" w:lineRule="auto"/>
      <w:ind w:left="5507"/>
      <w:rPr>
        <w:rFonts w:ascii="宋体" w:hAnsi="宋体" w:eastAsia="宋体" w:cs="宋体"/>
        <w:sz w:val="15"/>
        <w:szCs w:val="15"/>
      </w:rPr>
    </w:pPr>
    <w:r>
      <w:pict>
        <v:shape id="_x0000_s4104" o:spid="_x0000_s4104" style="position:absolute;left:0pt;margin-left:69.5pt;margin-top:53.15pt;height:0.75pt;width:456.6pt;mso-position-horizontal-relative:page;mso-position-vertical-relative:page;z-index:251662336;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C5676">
    <w:pPr>
      <w:spacing w:before="13" w:line="220" w:lineRule="auto"/>
      <w:ind w:left="5507"/>
      <w:rPr>
        <w:rFonts w:ascii="宋体" w:hAnsi="宋体" w:eastAsia="宋体" w:cs="宋体"/>
        <w:sz w:val="15"/>
        <w:szCs w:val="15"/>
      </w:rPr>
    </w:pPr>
    <w:r>
      <w:pict>
        <v:shape id="_x0000_s4105" o:spid="_x0000_s4105" style="position:absolute;left:0pt;margin-left:69.5pt;margin-top:53.15pt;height:0.75pt;width:456.6pt;mso-position-horizontal-relative:page;mso-position-vertical-relative:page;z-index:251666432;mso-width-relative:page;mso-height-relative:page;" fillcolor="#000000" filled="t" stroked="f" coordsize="9132,15" o:allowincell="f" path="m0,14l9131,14,9131,0,0,0,0,14xe">
          <v:path/>
          <v:fill on="t" focussize="0,0"/>
          <v:stroke on="f"/>
          <v:imagedata o:title=""/>
          <o:lock v:ext="edit"/>
        </v:shape>
      </w:pict>
    </w:r>
    <w:r>
      <w:rPr>
        <w:rFonts w:ascii="宋体" w:hAnsi="宋体" w:eastAsia="宋体" w:cs="宋体"/>
        <w:sz w:val="15"/>
        <w:szCs w:val="15"/>
      </w:rPr>
      <w:t>鄂尔多斯市杭锦旗国土空间详细规划编制单元</w:t>
    </w:r>
    <w:r>
      <w:rPr>
        <w:rFonts w:ascii="宋体" w:hAnsi="宋体" w:eastAsia="宋体" w:cs="宋体"/>
        <w:spacing w:val="-1"/>
        <w:sz w:val="15"/>
        <w:szCs w:val="15"/>
      </w:rPr>
      <w:t>划定报告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23B028D"/>
    <w:rsid w:val="2DD66E84"/>
    <w:rsid w:val="5B77250D"/>
    <w:rsid w:val="6A0E046A"/>
    <w:rsid w:val="6C9B02A6"/>
    <w:rsid w:val="7B3440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1"/>
      <w:szCs w:val="21"/>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23.jpeg"/><Relationship Id="rId98" Type="http://schemas.openxmlformats.org/officeDocument/2006/relationships/image" Target="media/image22.jpeg"/><Relationship Id="rId97" Type="http://schemas.openxmlformats.org/officeDocument/2006/relationships/image" Target="media/image21.jpeg"/><Relationship Id="rId96" Type="http://schemas.openxmlformats.org/officeDocument/2006/relationships/image" Target="media/image20.jpeg"/><Relationship Id="rId95" Type="http://schemas.openxmlformats.org/officeDocument/2006/relationships/image" Target="media/image19.jpeg"/><Relationship Id="rId94" Type="http://schemas.openxmlformats.org/officeDocument/2006/relationships/image" Target="media/image18.jpeg"/><Relationship Id="rId93" Type="http://schemas.openxmlformats.org/officeDocument/2006/relationships/image" Target="media/image17.jpeg"/><Relationship Id="rId92" Type="http://schemas.openxmlformats.org/officeDocument/2006/relationships/image" Target="media/image16.jpeg"/><Relationship Id="rId91" Type="http://schemas.openxmlformats.org/officeDocument/2006/relationships/image" Target="media/image15.jpeg"/><Relationship Id="rId90" Type="http://schemas.openxmlformats.org/officeDocument/2006/relationships/image" Target="media/image14.jpeg"/><Relationship Id="rId9" Type="http://schemas.openxmlformats.org/officeDocument/2006/relationships/footer" Target="footer3.xml"/><Relationship Id="rId89" Type="http://schemas.openxmlformats.org/officeDocument/2006/relationships/image" Target="media/image13.png"/><Relationship Id="rId88" Type="http://schemas.openxmlformats.org/officeDocument/2006/relationships/image" Target="media/image12.png"/><Relationship Id="rId87" Type="http://schemas.openxmlformats.org/officeDocument/2006/relationships/image" Target="media/image11.jpeg"/><Relationship Id="rId86" Type="http://schemas.openxmlformats.org/officeDocument/2006/relationships/image" Target="media/image10.png"/><Relationship Id="rId85" Type="http://schemas.openxmlformats.org/officeDocument/2006/relationships/image" Target="media/image9.png"/><Relationship Id="rId84" Type="http://schemas.openxmlformats.org/officeDocument/2006/relationships/image" Target="media/image8.png"/><Relationship Id="rId83" Type="http://schemas.openxmlformats.org/officeDocument/2006/relationships/image" Target="media/image7.png"/><Relationship Id="rId82" Type="http://schemas.openxmlformats.org/officeDocument/2006/relationships/image" Target="media/image6.jpeg"/><Relationship Id="rId81" Type="http://schemas.openxmlformats.org/officeDocument/2006/relationships/image" Target="media/image5.jpeg"/><Relationship Id="rId80" Type="http://schemas.openxmlformats.org/officeDocument/2006/relationships/image" Target="media/image4.png"/><Relationship Id="rId8" Type="http://schemas.openxmlformats.org/officeDocument/2006/relationships/footer" Target="footer2.xml"/><Relationship Id="rId79" Type="http://schemas.openxmlformats.org/officeDocument/2006/relationships/image" Target="media/image3.png"/><Relationship Id="rId78" Type="http://schemas.openxmlformats.org/officeDocument/2006/relationships/image" Target="media/image2.jpeg"/><Relationship Id="rId77" Type="http://schemas.openxmlformats.org/officeDocument/2006/relationships/image" Target="media/image1.png"/><Relationship Id="rId76" Type="http://schemas.openxmlformats.org/officeDocument/2006/relationships/theme" Target="theme/theme1.xml"/><Relationship Id="rId75" Type="http://schemas.openxmlformats.org/officeDocument/2006/relationships/footer" Target="footer53.xml"/><Relationship Id="rId74" Type="http://schemas.openxmlformats.org/officeDocument/2006/relationships/footer" Target="footer52.xml"/><Relationship Id="rId73" Type="http://schemas.openxmlformats.org/officeDocument/2006/relationships/header" Target="header18.xml"/><Relationship Id="rId72" Type="http://schemas.openxmlformats.org/officeDocument/2006/relationships/footer" Target="footer51.xml"/><Relationship Id="rId71" Type="http://schemas.openxmlformats.org/officeDocument/2006/relationships/footer" Target="footer50.xml"/><Relationship Id="rId70" Type="http://schemas.openxmlformats.org/officeDocument/2006/relationships/footer" Target="footer49.xml"/><Relationship Id="rId7" Type="http://schemas.openxmlformats.org/officeDocument/2006/relationships/header" Target="header2.xml"/><Relationship Id="rId69" Type="http://schemas.openxmlformats.org/officeDocument/2006/relationships/footer" Target="footer48.xml"/><Relationship Id="rId68" Type="http://schemas.openxmlformats.org/officeDocument/2006/relationships/footer" Target="footer47.xml"/><Relationship Id="rId67" Type="http://schemas.openxmlformats.org/officeDocument/2006/relationships/footer" Target="footer46.xml"/><Relationship Id="rId66" Type="http://schemas.openxmlformats.org/officeDocument/2006/relationships/footer" Target="footer45.xml"/><Relationship Id="rId65" Type="http://schemas.openxmlformats.org/officeDocument/2006/relationships/footer" Target="footer44.xml"/><Relationship Id="rId64" Type="http://schemas.openxmlformats.org/officeDocument/2006/relationships/footer" Target="footer43.xml"/><Relationship Id="rId63" Type="http://schemas.openxmlformats.org/officeDocument/2006/relationships/footer" Target="footer42.xml"/><Relationship Id="rId62" Type="http://schemas.openxmlformats.org/officeDocument/2006/relationships/footer" Target="footer41.xml"/><Relationship Id="rId61" Type="http://schemas.openxmlformats.org/officeDocument/2006/relationships/footer" Target="footer40.xml"/><Relationship Id="rId60" Type="http://schemas.openxmlformats.org/officeDocument/2006/relationships/footer" Target="footer39.xml"/><Relationship Id="rId6" Type="http://schemas.openxmlformats.org/officeDocument/2006/relationships/footer" Target="footer1.xml"/><Relationship Id="rId59" Type="http://schemas.openxmlformats.org/officeDocument/2006/relationships/footer" Target="footer38.xml"/><Relationship Id="rId58" Type="http://schemas.openxmlformats.org/officeDocument/2006/relationships/footer" Target="footer37.xml"/><Relationship Id="rId57" Type="http://schemas.openxmlformats.org/officeDocument/2006/relationships/footer" Target="footer36.xml"/><Relationship Id="rId56" Type="http://schemas.openxmlformats.org/officeDocument/2006/relationships/footer" Target="footer35.xml"/><Relationship Id="rId55" Type="http://schemas.openxmlformats.org/officeDocument/2006/relationships/footer" Target="footer34.xml"/><Relationship Id="rId54" Type="http://schemas.openxmlformats.org/officeDocument/2006/relationships/footer" Target="footer33.xml"/><Relationship Id="rId53" Type="http://schemas.openxmlformats.org/officeDocument/2006/relationships/footer" Target="footer32.xml"/><Relationship Id="rId52" Type="http://schemas.openxmlformats.org/officeDocument/2006/relationships/footer" Target="footer31.xml"/><Relationship Id="rId51" Type="http://schemas.openxmlformats.org/officeDocument/2006/relationships/footer" Target="footer30.xml"/><Relationship Id="rId50" Type="http://schemas.openxmlformats.org/officeDocument/2006/relationships/footer" Target="footer29.xml"/><Relationship Id="rId5" Type="http://schemas.openxmlformats.org/officeDocument/2006/relationships/header" Target="header1.xml"/><Relationship Id="rId49" Type="http://schemas.openxmlformats.org/officeDocument/2006/relationships/footer" Target="footer28.xml"/><Relationship Id="rId48" Type="http://schemas.openxmlformats.org/officeDocument/2006/relationships/footer" Target="footer27.xml"/><Relationship Id="rId47" Type="http://schemas.openxmlformats.org/officeDocument/2006/relationships/header" Target="header17.xml"/><Relationship Id="rId46" Type="http://schemas.openxmlformats.org/officeDocument/2006/relationships/footer" Target="footer26.xml"/><Relationship Id="rId45" Type="http://schemas.openxmlformats.org/officeDocument/2006/relationships/header" Target="header16.xml"/><Relationship Id="rId44" Type="http://schemas.openxmlformats.org/officeDocument/2006/relationships/footer" Target="footer25.xml"/><Relationship Id="rId43" Type="http://schemas.openxmlformats.org/officeDocument/2006/relationships/header" Target="header15.xml"/><Relationship Id="rId42" Type="http://schemas.openxmlformats.org/officeDocument/2006/relationships/footer" Target="footer24.xml"/><Relationship Id="rId41" Type="http://schemas.openxmlformats.org/officeDocument/2006/relationships/footer" Target="footer23.xml"/><Relationship Id="rId40" Type="http://schemas.openxmlformats.org/officeDocument/2006/relationships/footer" Target="footer22.xml"/><Relationship Id="rId4" Type="http://schemas.openxmlformats.org/officeDocument/2006/relationships/endnotes" Target="endnotes.xml"/><Relationship Id="rId39" Type="http://schemas.openxmlformats.org/officeDocument/2006/relationships/footer" Target="footer21.xml"/><Relationship Id="rId38" Type="http://schemas.openxmlformats.org/officeDocument/2006/relationships/footer" Target="footer20.xml"/><Relationship Id="rId37" Type="http://schemas.openxmlformats.org/officeDocument/2006/relationships/header" Target="header14.xml"/><Relationship Id="rId36" Type="http://schemas.openxmlformats.org/officeDocument/2006/relationships/footer" Target="footer19.xml"/><Relationship Id="rId35" Type="http://schemas.openxmlformats.org/officeDocument/2006/relationships/header" Target="header13.xml"/><Relationship Id="rId34" Type="http://schemas.openxmlformats.org/officeDocument/2006/relationships/footer" Target="footer18.xml"/><Relationship Id="rId33" Type="http://schemas.openxmlformats.org/officeDocument/2006/relationships/header" Target="header12.xml"/><Relationship Id="rId32" Type="http://schemas.openxmlformats.org/officeDocument/2006/relationships/footer" Target="footer17.xml"/><Relationship Id="rId31" Type="http://schemas.openxmlformats.org/officeDocument/2006/relationships/header" Target="header11.xml"/><Relationship Id="rId30" Type="http://schemas.openxmlformats.org/officeDocument/2006/relationships/footer" Target="footer16.xml"/><Relationship Id="rId3" Type="http://schemas.openxmlformats.org/officeDocument/2006/relationships/footnotes" Target="footnotes.xml"/><Relationship Id="rId29" Type="http://schemas.openxmlformats.org/officeDocument/2006/relationships/footer" Target="footer15.xml"/><Relationship Id="rId28" Type="http://schemas.openxmlformats.org/officeDocument/2006/relationships/header" Target="header10.xml"/><Relationship Id="rId27" Type="http://schemas.openxmlformats.org/officeDocument/2006/relationships/footer" Target="footer14.xml"/><Relationship Id="rId26" Type="http://schemas.openxmlformats.org/officeDocument/2006/relationships/header" Target="header9.xml"/><Relationship Id="rId25" Type="http://schemas.openxmlformats.org/officeDocument/2006/relationships/footer" Target="footer13.xml"/><Relationship Id="rId24" Type="http://schemas.openxmlformats.org/officeDocument/2006/relationships/footer" Target="footer12.xml"/><Relationship Id="rId23" Type="http://schemas.openxmlformats.org/officeDocument/2006/relationships/header" Target="header8.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2" Type="http://schemas.openxmlformats.org/officeDocument/2006/relationships/fontTable" Target="fontTable.xml"/><Relationship Id="rId121" Type="http://schemas.openxmlformats.org/officeDocument/2006/relationships/customXml" Target="../customXml/item1.xml"/><Relationship Id="rId120" Type="http://schemas.openxmlformats.org/officeDocument/2006/relationships/image" Target="media/image44.png"/><Relationship Id="rId12" Type="http://schemas.openxmlformats.org/officeDocument/2006/relationships/header" Target="header4.xml"/><Relationship Id="rId119" Type="http://schemas.openxmlformats.org/officeDocument/2006/relationships/image" Target="media/image43.jpeg"/><Relationship Id="rId118" Type="http://schemas.openxmlformats.org/officeDocument/2006/relationships/image" Target="media/image42.jpeg"/><Relationship Id="rId117" Type="http://schemas.openxmlformats.org/officeDocument/2006/relationships/image" Target="media/image41.jpeg"/><Relationship Id="rId116" Type="http://schemas.openxmlformats.org/officeDocument/2006/relationships/image" Target="media/image40.jpeg"/><Relationship Id="rId115" Type="http://schemas.openxmlformats.org/officeDocument/2006/relationships/image" Target="media/image39.jpeg"/><Relationship Id="rId114" Type="http://schemas.openxmlformats.org/officeDocument/2006/relationships/image" Target="media/image38.jpeg"/><Relationship Id="rId113" Type="http://schemas.openxmlformats.org/officeDocument/2006/relationships/image" Target="media/image37.png"/><Relationship Id="rId112" Type="http://schemas.openxmlformats.org/officeDocument/2006/relationships/image" Target="media/image36.png"/><Relationship Id="rId111" Type="http://schemas.openxmlformats.org/officeDocument/2006/relationships/image" Target="media/image35.jpeg"/><Relationship Id="rId110" Type="http://schemas.openxmlformats.org/officeDocument/2006/relationships/image" Target="media/image34.png"/><Relationship Id="rId11" Type="http://schemas.openxmlformats.org/officeDocument/2006/relationships/footer" Target="footer4.xml"/><Relationship Id="rId109" Type="http://schemas.openxmlformats.org/officeDocument/2006/relationships/image" Target="media/image33.png"/><Relationship Id="rId108" Type="http://schemas.openxmlformats.org/officeDocument/2006/relationships/image" Target="media/image32.jpeg"/><Relationship Id="rId107" Type="http://schemas.openxmlformats.org/officeDocument/2006/relationships/image" Target="media/image31.jpeg"/><Relationship Id="rId106" Type="http://schemas.openxmlformats.org/officeDocument/2006/relationships/image" Target="media/image30.jpeg"/><Relationship Id="rId105" Type="http://schemas.openxmlformats.org/officeDocument/2006/relationships/image" Target="media/image29.png"/><Relationship Id="rId104" Type="http://schemas.openxmlformats.org/officeDocument/2006/relationships/image" Target="media/image28.png"/><Relationship Id="rId103" Type="http://schemas.openxmlformats.org/officeDocument/2006/relationships/image" Target="media/image27.jpeg"/><Relationship Id="rId102" Type="http://schemas.openxmlformats.org/officeDocument/2006/relationships/image" Target="media/image26.png"/><Relationship Id="rId101" Type="http://schemas.openxmlformats.org/officeDocument/2006/relationships/image" Target="media/image25.png"/><Relationship Id="rId100" Type="http://schemas.openxmlformats.org/officeDocument/2006/relationships/image" Target="media/image24.jpeg"/><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58</Pages>
  <Words>13521</Words>
  <Characters>14649</Characters>
  <TotalTime>35</TotalTime>
  <ScaleCrop>false</ScaleCrop>
  <LinksUpToDate>false</LinksUpToDate>
  <CharactersWithSpaces>14712</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2024-08-30T10:31:00Z</dcterms:created>
  <dc:creator>USER</dc:creator>
  <cp:lastModifiedBy>演示人</cp:lastModifiedBy>
  <dcterms:modified xsi:type="dcterms:W3CDTF">2026-02-13T07:38:37Z</dcterms:modified>
  <dc:title>杨北公路改线工程工可文本</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2024-12-09T16:07:03Z</vt:filetime>
  </property>
  <property fmtid="{D5CDD505-2E9C-101B-9397-08002B2CF9AE}" pid="4" name="KSOProductBuildVer">
    <vt:lpwstr>2052-12.1.0.24657</vt:lpwstr>
  </property>
  <property fmtid="{D5CDD505-2E9C-101B-9397-08002B2CF9AE}" pid="5" name="ICV">
    <vt:lpwstr>86E1EC436384417BAC7D4F20F8A0A2E6_12</vt:lpwstr>
  </property>
  <property fmtid="{D5CDD505-2E9C-101B-9397-08002B2CF9AE}" pid="6" name="KSOTemplateDocerSaveRecord">
    <vt:lpwstr>eyJoZGlkIjoiYjg0OTRiMzkxOTU3MDQ3YjAzOWQxYmNhMzkzNmNhNWEiLCJ1c2VySWQiOiI2MDEyMTE3NDEifQ==</vt:lpwstr>
  </property>
</Properties>
</file>