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emf" ContentType="image/x-emf"/>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5CE912">
      <w:pPr>
        <w:rPr>
          <w:rFonts w:hint="default" w:ascii="Times New Roman" w:hAnsi="Times New Roman" w:eastAsia="仿宋_GB2312" w:cs="Times New Roman"/>
          <w:color w:val="auto"/>
          <w:sz w:val="36"/>
          <w:szCs w:val="36"/>
          <w:highlight w:val="none"/>
        </w:rPr>
      </w:pPr>
    </w:p>
    <w:p w14:paraId="3283DDEE">
      <w:pPr>
        <w:rPr>
          <w:rFonts w:hint="default" w:ascii="Times New Roman" w:hAnsi="Times New Roman" w:eastAsia="仿宋_GB2312" w:cs="Times New Roman"/>
          <w:color w:val="auto"/>
          <w:sz w:val="36"/>
          <w:szCs w:val="36"/>
          <w:highlight w:val="none"/>
        </w:rPr>
      </w:pPr>
    </w:p>
    <w:p w14:paraId="6E87BD9B">
      <w:pPr>
        <w:rPr>
          <w:rFonts w:hint="default" w:ascii="Times New Roman" w:hAnsi="Times New Roman" w:eastAsia="仿宋_GB2312" w:cs="Times New Roman"/>
          <w:color w:val="auto"/>
          <w:sz w:val="36"/>
          <w:szCs w:val="36"/>
          <w:highlight w:val="none"/>
        </w:rPr>
      </w:pPr>
    </w:p>
    <w:p w14:paraId="5342B784">
      <w:pPr>
        <w:adjustRightInd w:val="0"/>
        <w:snapToGrid w:val="0"/>
        <w:ind w:left="0" w:leftChars="0" w:firstLine="0" w:firstLineChars="0"/>
        <w:jc w:val="center"/>
        <w:outlineLvl w:val="0"/>
        <w:rPr>
          <w:rFonts w:hint="default" w:ascii="Times New Roman" w:hAnsi="Times New Roman" w:eastAsia="方正小标宋_GBK" w:cs="Times New Roman"/>
          <w:bCs/>
          <w:color w:val="auto"/>
          <w:sz w:val="72"/>
          <w:szCs w:val="72"/>
          <w:highlight w:val="none"/>
        </w:rPr>
      </w:pPr>
      <w:r>
        <w:rPr>
          <w:rFonts w:hint="default" w:ascii="Times New Roman" w:hAnsi="Times New Roman" w:eastAsia="方正小标宋_GBK" w:cs="Times New Roman"/>
          <w:bCs/>
          <w:color w:val="auto"/>
          <w:sz w:val="72"/>
          <w:szCs w:val="72"/>
          <w:highlight w:val="none"/>
        </w:rPr>
        <w:t>建设项目环境影响报告表</w:t>
      </w:r>
    </w:p>
    <w:p w14:paraId="4B93BF21">
      <w:pPr>
        <w:adjustRightInd w:val="0"/>
        <w:snapToGrid w:val="0"/>
        <w:spacing w:before="192" w:beforeLines="80"/>
        <w:ind w:left="0" w:leftChars="0" w:firstLine="0" w:firstLineChars="0"/>
        <w:jc w:val="center"/>
        <w:rPr>
          <w:rFonts w:hint="default" w:ascii="Times New Roman" w:hAnsi="Times New Roman" w:eastAsia="楷体_GB2312" w:cs="Times New Roman"/>
          <w:bCs/>
          <w:color w:val="auto"/>
          <w:sz w:val="48"/>
          <w:szCs w:val="48"/>
          <w:highlight w:val="none"/>
        </w:rPr>
      </w:pPr>
      <w:r>
        <w:rPr>
          <w:rFonts w:hint="default" w:ascii="Times New Roman" w:hAnsi="Times New Roman" w:eastAsia="楷体_GB2312" w:cs="Times New Roman"/>
          <w:bCs/>
          <w:color w:val="auto"/>
          <w:sz w:val="48"/>
          <w:szCs w:val="48"/>
          <w:highlight w:val="none"/>
        </w:rPr>
        <w:t>（污染影响类）</w:t>
      </w:r>
    </w:p>
    <w:p w14:paraId="7865383A">
      <w:pPr>
        <w:adjustRightInd w:val="0"/>
        <w:snapToGrid w:val="0"/>
        <w:spacing w:line="288" w:lineRule="auto"/>
        <w:jc w:val="center"/>
        <w:outlineLvl w:val="0"/>
        <w:rPr>
          <w:rFonts w:hint="default" w:ascii="Times New Roman" w:hAnsi="Times New Roman" w:eastAsia="华文仿宋" w:cs="Times New Roman"/>
          <w:color w:val="auto"/>
          <w:kern w:val="44"/>
          <w:sz w:val="44"/>
          <w:szCs w:val="44"/>
          <w:highlight w:val="none"/>
        </w:rPr>
      </w:pPr>
    </w:p>
    <w:p w14:paraId="063AB568">
      <w:pPr>
        <w:jc w:val="center"/>
        <w:rPr>
          <w:rFonts w:hint="default" w:ascii="Times New Roman" w:hAnsi="Times New Roman" w:eastAsia="仿宋" w:cs="Times New Roman"/>
          <w:color w:val="auto"/>
          <w:sz w:val="52"/>
          <w:szCs w:val="52"/>
          <w:highlight w:val="none"/>
        </w:rPr>
      </w:pPr>
    </w:p>
    <w:p w14:paraId="052B296F">
      <w:pPr>
        <w:jc w:val="center"/>
        <w:rPr>
          <w:rFonts w:hint="default" w:ascii="Times New Roman" w:hAnsi="Times New Roman" w:eastAsia="仿宋" w:cs="Times New Roman"/>
          <w:color w:val="auto"/>
          <w:sz w:val="52"/>
          <w:szCs w:val="52"/>
          <w:highlight w:val="none"/>
        </w:rPr>
      </w:pPr>
    </w:p>
    <w:p w14:paraId="1C2B53A4">
      <w:pPr>
        <w:adjustRightInd w:val="0"/>
        <w:snapToGrid w:val="0"/>
        <w:spacing w:line="288" w:lineRule="auto"/>
        <w:ind w:left="0" w:leftChars="0" w:firstLine="0" w:firstLineChars="0"/>
        <w:jc w:val="center"/>
        <w:rPr>
          <w:rFonts w:hint="default" w:ascii="Times New Roman" w:hAnsi="Times New Roman" w:eastAsia="仿宋_GB2312" w:cs="Times New Roman"/>
          <w:b w:val="0"/>
          <w:bCs w:val="0"/>
          <w:color w:val="auto"/>
          <w:sz w:val="28"/>
          <w:szCs w:val="28"/>
          <w:highlight w:val="none"/>
          <w:u w:val="single"/>
          <w:lang w:val="en-US" w:eastAsia="zh-CN"/>
        </w:rPr>
      </w:pPr>
      <w:r>
        <w:rPr>
          <w:rFonts w:hint="default" w:ascii="Times New Roman" w:hAnsi="Times New Roman" w:eastAsia="仿宋_GB2312" w:cs="Times New Roman"/>
          <w:b w:val="0"/>
          <w:bCs w:val="0"/>
          <w:color w:val="auto"/>
          <w:sz w:val="28"/>
          <w:szCs w:val="28"/>
          <w:highlight w:val="none"/>
        </w:rPr>
        <w:t>项目名称：</w:t>
      </w:r>
      <w:r>
        <w:rPr>
          <w:rFonts w:hint="default" w:ascii="Times New Roman" w:hAnsi="Times New Roman" w:eastAsia="仿宋_GB2312" w:cs="Times New Roman"/>
          <w:b w:val="0"/>
          <w:bCs w:val="0"/>
          <w:color w:val="auto"/>
          <w:sz w:val="28"/>
          <w:szCs w:val="28"/>
          <w:highlight w:val="none"/>
          <w:u w:val="single"/>
          <w:lang w:val="en-US" w:eastAsia="zh-CN"/>
        </w:rPr>
        <w:t>鄂尔多斯市兴元胜业年处理25万吨煤系高岭土项目</w:t>
      </w:r>
    </w:p>
    <w:p w14:paraId="43873C81">
      <w:pPr>
        <w:pStyle w:val="8"/>
        <w:jc w:val="center"/>
        <w:rPr>
          <w:rFonts w:hint="default" w:ascii="Times New Roman" w:hAnsi="Times New Roman" w:cs="Times New Roman"/>
          <w:b w:val="0"/>
          <w:bCs w:val="0"/>
          <w:color w:val="auto"/>
          <w:sz w:val="20"/>
          <w:szCs w:val="22"/>
          <w:highlight w:val="none"/>
          <w:lang w:eastAsia="zh-CN"/>
        </w:rPr>
      </w:pPr>
    </w:p>
    <w:p w14:paraId="1C6B75AA">
      <w:pPr>
        <w:adjustRightInd w:val="0"/>
        <w:snapToGrid w:val="0"/>
        <w:spacing w:line="288" w:lineRule="auto"/>
        <w:ind w:left="0" w:leftChars="0" w:firstLine="0" w:firstLineChars="0"/>
        <w:jc w:val="center"/>
        <w:rPr>
          <w:rFonts w:hint="default" w:ascii="Times New Roman" w:hAnsi="Times New Roman" w:eastAsia="仿宋_GB2312" w:cs="Times New Roman"/>
          <w:b w:val="0"/>
          <w:bCs w:val="0"/>
          <w:color w:val="auto"/>
          <w:sz w:val="28"/>
          <w:szCs w:val="28"/>
          <w:highlight w:val="none"/>
          <w:u w:val="single"/>
          <w:lang w:val="en-US" w:eastAsia="zh-CN"/>
        </w:rPr>
      </w:pPr>
      <w:r>
        <w:rPr>
          <w:rFonts w:hint="default" w:ascii="Times New Roman" w:hAnsi="Times New Roman" w:eastAsia="仿宋_GB2312" w:cs="Times New Roman"/>
          <w:b w:val="0"/>
          <w:bCs w:val="0"/>
          <w:color w:val="auto"/>
          <w:sz w:val="28"/>
          <w:szCs w:val="28"/>
          <w:highlight w:val="none"/>
        </w:rPr>
        <w:t>建设单位（盖章）：</w:t>
      </w:r>
      <w:r>
        <w:rPr>
          <w:rFonts w:hint="default" w:ascii="Times New Roman" w:hAnsi="Times New Roman" w:eastAsia="仿宋_GB2312" w:cs="Times New Roman"/>
          <w:b w:val="0"/>
          <w:bCs w:val="0"/>
          <w:color w:val="auto"/>
          <w:sz w:val="28"/>
          <w:szCs w:val="28"/>
          <w:highlight w:val="none"/>
          <w:u w:val="single"/>
          <w:lang w:val="en-US" w:eastAsia="zh-CN"/>
        </w:rPr>
        <w:t>鄂尔多斯市兴元胜业新材料有限公司</w:t>
      </w:r>
    </w:p>
    <w:p w14:paraId="278BBDEA">
      <w:pPr>
        <w:adjustRightInd w:val="0"/>
        <w:snapToGrid w:val="0"/>
        <w:spacing w:line="288" w:lineRule="auto"/>
        <w:ind w:left="0" w:leftChars="0" w:firstLine="0" w:firstLineChars="0"/>
        <w:jc w:val="center"/>
        <w:rPr>
          <w:rFonts w:hint="default" w:ascii="Times New Roman" w:hAnsi="Times New Roman" w:eastAsia="仿宋_GB2312" w:cs="Times New Roman"/>
          <w:b w:val="0"/>
          <w:bCs w:val="0"/>
          <w:color w:val="auto"/>
          <w:sz w:val="32"/>
          <w:szCs w:val="32"/>
          <w:highlight w:val="none"/>
        </w:rPr>
      </w:pPr>
    </w:p>
    <w:p w14:paraId="28B4E505">
      <w:pPr>
        <w:adjustRightInd w:val="0"/>
        <w:snapToGrid w:val="0"/>
        <w:spacing w:line="288" w:lineRule="auto"/>
        <w:ind w:left="0" w:leftChars="0" w:firstLine="0" w:firstLineChars="0"/>
        <w:jc w:val="center"/>
        <w:rPr>
          <w:rFonts w:hint="default" w:ascii="Times New Roman" w:hAnsi="Times New Roman" w:eastAsia="仿宋_GB2312" w:cs="Times New Roman"/>
          <w:b w:val="0"/>
          <w:bCs w:val="0"/>
          <w:color w:val="auto"/>
          <w:sz w:val="32"/>
          <w:szCs w:val="32"/>
          <w:highlight w:val="none"/>
          <w:u w:val="single"/>
          <w:lang w:val="en-US" w:eastAsia="zh-CN"/>
        </w:rPr>
      </w:pPr>
      <w:r>
        <w:rPr>
          <w:rFonts w:hint="default" w:ascii="Times New Roman" w:hAnsi="Times New Roman" w:eastAsia="仿宋_GB2312" w:cs="Times New Roman"/>
          <w:b w:val="0"/>
          <w:bCs w:val="0"/>
          <w:color w:val="auto"/>
          <w:sz w:val="32"/>
          <w:szCs w:val="32"/>
          <w:highlight w:val="none"/>
        </w:rPr>
        <w:t>编制日期：</w:t>
      </w:r>
      <w:r>
        <w:rPr>
          <w:rFonts w:hint="default" w:ascii="Times New Roman" w:hAnsi="Times New Roman" w:eastAsia="仿宋_GB2312" w:cs="Times New Roman"/>
          <w:b w:val="0"/>
          <w:bCs w:val="0"/>
          <w:color w:val="auto"/>
          <w:sz w:val="32"/>
          <w:szCs w:val="32"/>
          <w:highlight w:val="none"/>
          <w:u w:val="single"/>
          <w:lang w:val="en-US" w:eastAsia="zh-CN"/>
        </w:rPr>
        <w:t>202</w:t>
      </w:r>
      <w:r>
        <w:rPr>
          <w:rFonts w:hint="eastAsia" w:eastAsia="仿宋_GB2312" w:cs="Times New Roman"/>
          <w:b w:val="0"/>
          <w:bCs w:val="0"/>
          <w:color w:val="auto"/>
          <w:sz w:val="32"/>
          <w:szCs w:val="32"/>
          <w:highlight w:val="none"/>
          <w:u w:val="single"/>
          <w:lang w:val="en-US" w:eastAsia="zh-CN"/>
        </w:rPr>
        <w:t>4</w:t>
      </w:r>
      <w:r>
        <w:rPr>
          <w:rFonts w:hint="default" w:ascii="Times New Roman" w:hAnsi="Times New Roman" w:eastAsia="仿宋_GB2312" w:cs="Times New Roman"/>
          <w:b w:val="0"/>
          <w:bCs w:val="0"/>
          <w:color w:val="auto"/>
          <w:sz w:val="32"/>
          <w:szCs w:val="32"/>
          <w:highlight w:val="none"/>
          <w:u w:val="single"/>
          <w:lang w:val="en-US" w:eastAsia="zh-CN"/>
        </w:rPr>
        <w:t>年</w:t>
      </w:r>
      <w:r>
        <w:rPr>
          <w:rFonts w:hint="eastAsia" w:eastAsia="仿宋_GB2312" w:cs="Times New Roman"/>
          <w:b w:val="0"/>
          <w:bCs w:val="0"/>
          <w:color w:val="auto"/>
          <w:sz w:val="32"/>
          <w:szCs w:val="32"/>
          <w:highlight w:val="none"/>
          <w:u w:val="single"/>
          <w:lang w:val="en-US" w:eastAsia="zh-CN"/>
        </w:rPr>
        <w:t>3</w:t>
      </w:r>
      <w:r>
        <w:rPr>
          <w:rFonts w:hint="default" w:ascii="Times New Roman" w:hAnsi="Times New Roman" w:eastAsia="仿宋_GB2312" w:cs="Times New Roman"/>
          <w:b w:val="0"/>
          <w:bCs w:val="0"/>
          <w:color w:val="auto"/>
          <w:sz w:val="32"/>
          <w:szCs w:val="32"/>
          <w:highlight w:val="none"/>
          <w:u w:val="single"/>
          <w:lang w:val="en-US" w:eastAsia="zh-CN"/>
        </w:rPr>
        <w:t>月</w:t>
      </w:r>
    </w:p>
    <w:p w14:paraId="2248B279">
      <w:pPr>
        <w:adjustRightInd w:val="0"/>
        <w:snapToGrid w:val="0"/>
        <w:spacing w:line="288" w:lineRule="auto"/>
        <w:ind w:firstLine="1040"/>
        <w:jc w:val="center"/>
        <w:rPr>
          <w:rFonts w:hint="default" w:ascii="Times New Roman" w:hAnsi="Times New Roman" w:eastAsia="仿宋_GB2312" w:cs="Times New Roman"/>
          <w:color w:val="auto"/>
          <w:sz w:val="36"/>
          <w:szCs w:val="36"/>
          <w:highlight w:val="none"/>
          <w:u w:val="single"/>
        </w:rPr>
      </w:pPr>
      <w:bookmarkStart w:id="0" w:name="_Hlk57884087"/>
    </w:p>
    <w:p w14:paraId="57EE2BB8">
      <w:pPr>
        <w:adjustRightInd w:val="0"/>
        <w:snapToGrid w:val="0"/>
        <w:spacing w:line="288" w:lineRule="auto"/>
        <w:ind w:firstLine="1040"/>
        <w:jc w:val="center"/>
        <w:rPr>
          <w:rFonts w:hint="default" w:ascii="Times New Roman" w:hAnsi="Times New Roman" w:eastAsia="仿宋_GB2312" w:cs="Times New Roman"/>
          <w:color w:val="auto"/>
          <w:sz w:val="36"/>
          <w:szCs w:val="36"/>
          <w:highlight w:val="none"/>
        </w:rPr>
      </w:pPr>
    </w:p>
    <w:p w14:paraId="7C87F769">
      <w:pPr>
        <w:adjustRightInd w:val="0"/>
        <w:snapToGrid w:val="0"/>
        <w:spacing w:line="288" w:lineRule="auto"/>
        <w:ind w:firstLine="1040"/>
        <w:jc w:val="center"/>
        <w:rPr>
          <w:rFonts w:hint="default" w:ascii="Times New Roman" w:hAnsi="Times New Roman" w:eastAsia="仿宋_GB2312" w:cs="Times New Roman"/>
          <w:color w:val="auto"/>
          <w:sz w:val="36"/>
          <w:szCs w:val="36"/>
          <w:highlight w:val="none"/>
        </w:rPr>
      </w:pPr>
    </w:p>
    <w:p w14:paraId="4727F9CF">
      <w:pPr>
        <w:pStyle w:val="2"/>
        <w:jc w:val="center"/>
        <w:rPr>
          <w:rFonts w:hint="default" w:ascii="Times New Roman" w:hAnsi="Times New Roman" w:eastAsia="仿宋_GB2312" w:cs="Times New Roman"/>
          <w:color w:val="auto"/>
          <w:sz w:val="36"/>
          <w:szCs w:val="36"/>
          <w:highlight w:val="none"/>
        </w:rPr>
      </w:pPr>
    </w:p>
    <w:p w14:paraId="790BDCDA">
      <w:pPr>
        <w:jc w:val="center"/>
        <w:rPr>
          <w:rFonts w:hint="default"/>
        </w:rPr>
      </w:pPr>
    </w:p>
    <w:p w14:paraId="3FF12D88">
      <w:pPr>
        <w:pStyle w:val="8"/>
        <w:jc w:val="center"/>
        <w:rPr>
          <w:rFonts w:hint="default"/>
          <w:color w:val="auto"/>
          <w:highlight w:val="none"/>
        </w:rPr>
      </w:pPr>
    </w:p>
    <w:bookmarkEnd w:id="0"/>
    <w:p w14:paraId="7DA1F322">
      <w:pPr>
        <w:adjustRightInd w:val="0"/>
        <w:snapToGrid w:val="0"/>
        <w:spacing w:line="288" w:lineRule="auto"/>
        <w:ind w:left="0" w:leftChars="0" w:firstLine="0" w:firstLineChars="0"/>
        <w:jc w:val="center"/>
        <w:rPr>
          <w:rFonts w:hint="default" w:ascii="Times New Roman" w:hAnsi="Times New Roman" w:eastAsia="楷体_GB2312" w:cs="Times New Roman"/>
          <w:b/>
          <w:bCs/>
          <w:color w:val="auto"/>
          <w:sz w:val="36"/>
          <w:szCs w:val="36"/>
          <w:highlight w:val="none"/>
        </w:rPr>
      </w:pPr>
      <w:r>
        <w:rPr>
          <w:rFonts w:hint="default" w:ascii="Times New Roman" w:hAnsi="Times New Roman" w:eastAsia="楷体_GB2312" w:cs="Times New Roman"/>
          <w:b/>
          <w:bCs/>
          <w:color w:val="auto"/>
          <w:sz w:val="36"/>
          <w:szCs w:val="36"/>
          <w:highlight w:val="none"/>
        </w:rPr>
        <w:t>中华人民共和国生态环境部制</w:t>
      </w:r>
    </w:p>
    <w:p w14:paraId="34092BBE">
      <w:pPr>
        <w:adjustRightInd w:val="0"/>
        <w:snapToGrid w:val="0"/>
        <w:spacing w:line="288" w:lineRule="auto"/>
        <w:ind w:left="0" w:leftChars="0" w:firstLine="0" w:firstLineChars="0"/>
        <w:rPr>
          <w:rFonts w:hint="default" w:ascii="Times New Roman" w:hAnsi="Times New Roman" w:eastAsia="仿宋_GB2312" w:cs="Times New Roman"/>
          <w:color w:val="auto"/>
          <w:sz w:val="36"/>
          <w:szCs w:val="36"/>
          <w:highlight w:val="none"/>
        </w:rPr>
        <w:sectPr>
          <w:headerReference r:id="rId5" w:type="default"/>
          <w:footerReference r:id="rId6" w:type="default"/>
          <w:footerReference r:id="rId7" w:type="even"/>
          <w:pgSz w:w="11906" w:h="16838"/>
          <w:pgMar w:top="1440" w:right="1800" w:bottom="1440" w:left="1800" w:header="851" w:footer="1077" w:gutter="0"/>
          <w:pgBorders>
            <w:top w:val="none" w:sz="0" w:space="0"/>
            <w:left w:val="none" w:sz="0" w:space="0"/>
            <w:bottom w:val="none" w:sz="0" w:space="0"/>
            <w:right w:val="none" w:sz="0" w:space="0"/>
          </w:pgBorders>
          <w:pgNumType w:fmt="numberInDash" w:start="3"/>
          <w:cols w:space="720" w:num="1"/>
          <w:docGrid w:linePitch="312" w:charSpace="0"/>
        </w:sectPr>
      </w:pPr>
    </w:p>
    <w:p w14:paraId="00709291">
      <w:pPr>
        <w:pStyle w:val="20"/>
        <w:ind w:left="0" w:leftChars="0" w:firstLine="0" w:firstLineChars="0"/>
        <w:jc w:val="center"/>
        <w:outlineLvl w:val="0"/>
        <w:rPr>
          <w:rFonts w:hint="default" w:ascii="Times New Roman" w:hAnsi="Times New Roman" w:eastAsia="黑体" w:cs="Times New Roman"/>
          <w:snapToGrid w:val="0"/>
          <w:color w:val="auto"/>
          <w:sz w:val="30"/>
          <w:szCs w:val="30"/>
          <w:highlight w:val="none"/>
        </w:rPr>
      </w:pPr>
      <w:r>
        <w:rPr>
          <w:rFonts w:hint="default" w:ascii="Times New Roman" w:hAnsi="Times New Roman" w:eastAsia="黑体" w:cs="Times New Roman"/>
          <w:snapToGrid w:val="0"/>
          <w:color w:val="auto"/>
          <w:sz w:val="30"/>
          <w:szCs w:val="30"/>
          <w:highlight w:val="none"/>
        </w:rPr>
        <w:t>一、建设项目基本情况</w:t>
      </w:r>
    </w:p>
    <w:tbl>
      <w:tblPr>
        <w:tblStyle w:val="23"/>
        <w:tblW w:w="8579"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1341"/>
        <w:gridCol w:w="379"/>
        <w:gridCol w:w="2088"/>
        <w:gridCol w:w="2023"/>
        <w:gridCol w:w="2748"/>
      </w:tblGrid>
      <w:tr w14:paraId="0971528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08" w:hRule="atLeast"/>
          <w:jc w:val="center"/>
        </w:trPr>
        <w:tc>
          <w:tcPr>
            <w:tcW w:w="1720" w:type="dxa"/>
            <w:gridSpan w:val="2"/>
            <w:noWrap w:val="0"/>
            <w:tcMar>
              <w:top w:w="16" w:type="dxa"/>
              <w:left w:w="16" w:type="dxa"/>
              <w:right w:w="16" w:type="dxa"/>
            </w:tcMar>
            <w:vAlign w:val="center"/>
          </w:tcPr>
          <w:p w14:paraId="2C2FB569">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建设项目名称</w:t>
            </w:r>
          </w:p>
        </w:tc>
        <w:tc>
          <w:tcPr>
            <w:tcW w:w="6859" w:type="dxa"/>
            <w:gridSpan w:val="3"/>
            <w:noWrap w:val="0"/>
            <w:vAlign w:val="center"/>
          </w:tcPr>
          <w:p w14:paraId="72CAAD81">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鄂尔多斯市兴元胜业年处理25万吨煤系高岭土项目</w:t>
            </w:r>
          </w:p>
        </w:tc>
      </w:tr>
      <w:tr w14:paraId="12ACBBA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720" w:type="dxa"/>
            <w:gridSpan w:val="2"/>
            <w:noWrap w:val="0"/>
            <w:tcMar>
              <w:top w:w="16" w:type="dxa"/>
              <w:left w:w="16" w:type="dxa"/>
              <w:right w:w="16" w:type="dxa"/>
            </w:tcMar>
            <w:vAlign w:val="center"/>
          </w:tcPr>
          <w:p w14:paraId="489F76AC">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项目代码</w:t>
            </w:r>
          </w:p>
        </w:tc>
        <w:tc>
          <w:tcPr>
            <w:tcW w:w="6859" w:type="dxa"/>
            <w:gridSpan w:val="3"/>
            <w:noWrap w:val="0"/>
            <w:vAlign w:val="center"/>
          </w:tcPr>
          <w:p w14:paraId="5528B756">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2306-150625-04-05-521677</w:t>
            </w:r>
          </w:p>
        </w:tc>
      </w:tr>
      <w:tr w14:paraId="39702A3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720" w:type="dxa"/>
            <w:gridSpan w:val="2"/>
            <w:noWrap w:val="0"/>
            <w:tcMar>
              <w:top w:w="16" w:type="dxa"/>
              <w:left w:w="16" w:type="dxa"/>
              <w:right w:w="16" w:type="dxa"/>
            </w:tcMar>
            <w:vAlign w:val="center"/>
          </w:tcPr>
          <w:p w14:paraId="6183735A">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建设单位联系人</w:t>
            </w:r>
          </w:p>
        </w:tc>
        <w:tc>
          <w:tcPr>
            <w:tcW w:w="2088" w:type="dxa"/>
            <w:shd w:val="clear" w:color="auto" w:fill="auto"/>
            <w:noWrap w:val="0"/>
            <w:vAlign w:val="center"/>
          </w:tcPr>
          <w:p w14:paraId="36025ED4">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杨智</w:t>
            </w:r>
          </w:p>
        </w:tc>
        <w:tc>
          <w:tcPr>
            <w:tcW w:w="2023" w:type="dxa"/>
            <w:shd w:val="clear" w:color="auto" w:fill="auto"/>
            <w:noWrap w:val="0"/>
            <w:vAlign w:val="center"/>
          </w:tcPr>
          <w:p w14:paraId="6B538DDD">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联系方式</w:t>
            </w:r>
          </w:p>
        </w:tc>
        <w:tc>
          <w:tcPr>
            <w:tcW w:w="2748" w:type="dxa"/>
            <w:shd w:val="clear" w:color="auto" w:fill="auto"/>
            <w:noWrap w:val="0"/>
            <w:vAlign w:val="center"/>
          </w:tcPr>
          <w:p w14:paraId="02E2F689">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15104771881</w:t>
            </w:r>
          </w:p>
        </w:tc>
      </w:tr>
      <w:tr w14:paraId="0364794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98" w:hRule="atLeast"/>
          <w:jc w:val="center"/>
        </w:trPr>
        <w:tc>
          <w:tcPr>
            <w:tcW w:w="1720" w:type="dxa"/>
            <w:gridSpan w:val="2"/>
            <w:noWrap w:val="0"/>
            <w:tcMar>
              <w:top w:w="16" w:type="dxa"/>
              <w:left w:w="16" w:type="dxa"/>
              <w:right w:w="16" w:type="dxa"/>
            </w:tcMar>
            <w:vAlign w:val="center"/>
          </w:tcPr>
          <w:p w14:paraId="097833E9">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建设地点</w:t>
            </w:r>
          </w:p>
        </w:tc>
        <w:tc>
          <w:tcPr>
            <w:tcW w:w="6859" w:type="dxa"/>
            <w:gridSpan w:val="3"/>
            <w:noWrap w:val="0"/>
            <w:vAlign w:val="center"/>
          </w:tcPr>
          <w:p w14:paraId="11B4D96B">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内蒙古自治区鄂尔多斯市杭锦经济开发区新能源产业园</w:t>
            </w:r>
          </w:p>
        </w:tc>
      </w:tr>
      <w:tr w14:paraId="73C4A63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79" w:hRule="atLeast"/>
          <w:jc w:val="center"/>
        </w:trPr>
        <w:tc>
          <w:tcPr>
            <w:tcW w:w="1720" w:type="dxa"/>
            <w:gridSpan w:val="2"/>
            <w:noWrap w:val="0"/>
            <w:tcMar>
              <w:top w:w="16" w:type="dxa"/>
              <w:left w:w="16" w:type="dxa"/>
              <w:right w:w="16" w:type="dxa"/>
            </w:tcMar>
            <w:vAlign w:val="center"/>
          </w:tcPr>
          <w:p w14:paraId="52B5FA70">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color w:val="auto"/>
                <w:szCs w:val="21"/>
                <w:highlight w:val="none"/>
              </w:rPr>
            </w:pPr>
            <w:r>
              <w:rPr>
                <w:rFonts w:hint="default" w:ascii="Times New Roman" w:hAnsi="Times New Roman" w:eastAsia="宋体" w:cs="Times New Roman"/>
                <w:color w:val="auto"/>
                <w:szCs w:val="21"/>
                <w:highlight w:val="none"/>
              </w:rPr>
              <w:t>地理坐标</w:t>
            </w:r>
          </w:p>
        </w:tc>
        <w:tc>
          <w:tcPr>
            <w:tcW w:w="6859" w:type="dxa"/>
            <w:gridSpan w:val="3"/>
            <w:noWrap w:val="0"/>
            <w:vAlign w:val="center"/>
          </w:tcPr>
          <w:p w14:paraId="6104884E">
            <w:pPr>
              <w:keepNext w:val="0"/>
              <w:keepLines w:val="0"/>
              <w:pageBreakBefore w:val="0"/>
              <w:widowControl w:val="0"/>
              <w:kinsoku/>
              <w:wordWrap/>
              <w:overflowPunct/>
              <w:topLinePunct w:val="0"/>
              <w:autoSpaceDE w:val="0"/>
              <w:autoSpaceDN w:val="0"/>
              <w:bidi w:val="0"/>
              <w:spacing w:line="240" w:lineRule="auto"/>
              <w:ind w:firstLine="0" w:firstLineChars="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eastAsia" w:cs="Times New Roman"/>
                <w:color w:val="auto"/>
                <w:szCs w:val="21"/>
                <w:highlight w:val="none"/>
                <w:lang w:val="en-US" w:eastAsia="zh-CN"/>
              </w:rPr>
              <w:t>E</w:t>
            </w:r>
            <w:r>
              <w:rPr>
                <w:rFonts w:hint="default" w:ascii="Times New Roman" w:hAnsi="Times New Roman" w:cs="Times New Roman"/>
                <w:color w:val="auto"/>
                <w:szCs w:val="21"/>
                <w:highlight w:val="none"/>
                <w:lang w:val="en-US" w:eastAsia="zh-CN"/>
              </w:rPr>
              <w:t>108</w:t>
            </w:r>
            <w:r>
              <w:rPr>
                <w:rFonts w:hint="eastAsia" w:cs="Times New Roman"/>
                <w:color w:val="auto"/>
                <w:szCs w:val="21"/>
                <w:highlight w:val="none"/>
                <w:lang w:val="en-US" w:eastAsia="zh-CN"/>
              </w:rPr>
              <w:t>度</w:t>
            </w:r>
            <w:r>
              <w:rPr>
                <w:rFonts w:hint="default" w:ascii="Times New Roman" w:hAnsi="Times New Roman" w:cs="Times New Roman"/>
                <w:color w:val="auto"/>
                <w:szCs w:val="21"/>
                <w:highlight w:val="none"/>
                <w:lang w:val="en-US" w:eastAsia="zh-CN"/>
              </w:rPr>
              <w:t>44</w:t>
            </w:r>
            <w:r>
              <w:rPr>
                <w:rFonts w:hint="default" w:ascii="Times New Roman" w:hAnsi="Times New Roman" w:cs="Times New Roman"/>
                <w:color w:val="auto"/>
                <w:szCs w:val="21"/>
                <w:highlight w:val="none"/>
              </w:rPr>
              <w:t>分</w:t>
            </w:r>
            <w:r>
              <w:rPr>
                <w:rFonts w:hint="default" w:ascii="Times New Roman" w:hAnsi="Times New Roman" w:cs="Times New Roman"/>
                <w:color w:val="auto"/>
                <w:szCs w:val="21"/>
                <w:highlight w:val="none"/>
                <w:lang w:val="en-US" w:eastAsia="zh-CN"/>
              </w:rPr>
              <w:t>26.711</w:t>
            </w:r>
            <w:r>
              <w:rPr>
                <w:rFonts w:hint="default" w:ascii="Times New Roman" w:hAnsi="Times New Roman" w:cs="Times New Roman"/>
                <w:color w:val="auto"/>
                <w:szCs w:val="21"/>
                <w:highlight w:val="none"/>
              </w:rPr>
              <w:t>秒，</w:t>
            </w:r>
            <w:r>
              <w:rPr>
                <w:rFonts w:hint="eastAsia" w:cs="Times New Roman"/>
                <w:color w:val="auto"/>
                <w:szCs w:val="21"/>
                <w:highlight w:val="none"/>
                <w:lang w:val="en-US" w:eastAsia="zh-CN"/>
              </w:rPr>
              <w:t>N</w:t>
            </w:r>
            <w:r>
              <w:rPr>
                <w:rFonts w:hint="default" w:ascii="Times New Roman" w:hAnsi="Times New Roman" w:cs="Times New Roman"/>
                <w:color w:val="auto"/>
                <w:szCs w:val="21"/>
                <w:highlight w:val="none"/>
                <w:lang w:val="en-US" w:eastAsia="zh-CN"/>
              </w:rPr>
              <w:t>39</w:t>
            </w:r>
            <w:r>
              <w:rPr>
                <w:rFonts w:hint="eastAsia" w:cs="Times New Roman"/>
                <w:color w:val="auto"/>
                <w:szCs w:val="21"/>
                <w:highlight w:val="none"/>
                <w:lang w:val="en-US" w:eastAsia="zh-CN"/>
              </w:rPr>
              <w:t>度</w:t>
            </w:r>
            <w:r>
              <w:rPr>
                <w:rFonts w:hint="default" w:ascii="Times New Roman" w:hAnsi="Times New Roman" w:cs="Times New Roman"/>
                <w:color w:val="auto"/>
                <w:szCs w:val="21"/>
                <w:highlight w:val="none"/>
                <w:lang w:val="en-US" w:eastAsia="zh-CN"/>
              </w:rPr>
              <w:t>46</w:t>
            </w:r>
            <w:r>
              <w:rPr>
                <w:rFonts w:hint="default" w:ascii="Times New Roman" w:hAnsi="Times New Roman" w:cs="Times New Roman"/>
                <w:color w:val="auto"/>
                <w:szCs w:val="21"/>
                <w:highlight w:val="none"/>
              </w:rPr>
              <w:t>分</w:t>
            </w:r>
            <w:r>
              <w:rPr>
                <w:rFonts w:hint="default" w:ascii="Times New Roman" w:hAnsi="Times New Roman" w:cs="Times New Roman"/>
                <w:color w:val="auto"/>
                <w:szCs w:val="21"/>
                <w:highlight w:val="none"/>
                <w:lang w:val="en-US" w:eastAsia="zh-CN"/>
              </w:rPr>
              <w:t>22.381</w:t>
            </w:r>
            <w:r>
              <w:rPr>
                <w:rFonts w:hint="default" w:ascii="Times New Roman" w:hAnsi="Times New Roman" w:cs="Times New Roman"/>
                <w:color w:val="auto"/>
                <w:szCs w:val="21"/>
                <w:highlight w:val="none"/>
              </w:rPr>
              <w:t>秒）</w:t>
            </w:r>
          </w:p>
        </w:tc>
      </w:tr>
      <w:tr w14:paraId="5C33276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842" w:hRule="atLeast"/>
          <w:jc w:val="center"/>
        </w:trPr>
        <w:tc>
          <w:tcPr>
            <w:tcW w:w="1720" w:type="dxa"/>
            <w:gridSpan w:val="2"/>
            <w:noWrap w:val="0"/>
            <w:tcMar>
              <w:top w:w="16" w:type="dxa"/>
              <w:left w:w="16" w:type="dxa"/>
              <w:right w:w="16" w:type="dxa"/>
            </w:tcMar>
            <w:vAlign w:val="center"/>
          </w:tcPr>
          <w:p w14:paraId="4F5670E5">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国民经济</w:t>
            </w:r>
          </w:p>
          <w:p w14:paraId="33A1C0EB">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行业类别</w:t>
            </w:r>
          </w:p>
        </w:tc>
        <w:tc>
          <w:tcPr>
            <w:tcW w:w="2088" w:type="dxa"/>
            <w:noWrap w:val="0"/>
            <w:vAlign w:val="center"/>
          </w:tcPr>
          <w:p w14:paraId="3A5909A4">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C3089耐火陶瓷制品及其他耐火材料制造</w:t>
            </w:r>
          </w:p>
        </w:tc>
        <w:tc>
          <w:tcPr>
            <w:tcW w:w="2023" w:type="dxa"/>
            <w:noWrap w:val="0"/>
            <w:vAlign w:val="center"/>
          </w:tcPr>
          <w:p w14:paraId="79216B7E">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color w:val="auto"/>
                <w:szCs w:val="21"/>
                <w:highlight w:val="none"/>
              </w:rPr>
            </w:pPr>
            <w:bookmarkStart w:id="1" w:name="_Hlk49843745"/>
            <w:r>
              <w:rPr>
                <w:rFonts w:hint="default" w:ascii="Times New Roman" w:hAnsi="Times New Roman" w:cs="Times New Roman"/>
                <w:color w:val="auto"/>
                <w:szCs w:val="21"/>
                <w:highlight w:val="none"/>
              </w:rPr>
              <w:t>建设项目</w:t>
            </w:r>
          </w:p>
          <w:p w14:paraId="6CF14529">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行业类别</w:t>
            </w:r>
            <w:bookmarkEnd w:id="1"/>
          </w:p>
        </w:tc>
        <w:tc>
          <w:tcPr>
            <w:tcW w:w="2748" w:type="dxa"/>
            <w:noWrap w:val="0"/>
            <w:vAlign w:val="center"/>
          </w:tcPr>
          <w:p w14:paraId="3A998C55">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both"/>
              <w:textAlignment w:val="auto"/>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二十七、非金属矿物制品</w:t>
            </w:r>
            <w:r>
              <w:rPr>
                <w:rFonts w:hint="eastAsia" w:ascii="Times New Roman" w:hAnsi="Times New Roman" w:cs="Times New Roman"/>
                <w:color w:val="auto"/>
                <w:szCs w:val="21"/>
                <w:highlight w:val="none"/>
                <w:lang w:val="en-US" w:eastAsia="zh-CN"/>
              </w:rPr>
              <w:t>业30</w:t>
            </w:r>
            <w:r>
              <w:rPr>
                <w:rFonts w:hint="default" w:ascii="Times New Roman" w:hAnsi="Times New Roman" w:cs="Times New Roman"/>
                <w:color w:val="auto"/>
                <w:szCs w:val="21"/>
                <w:highlight w:val="none"/>
                <w:lang w:val="en-US" w:eastAsia="zh-CN"/>
              </w:rPr>
              <w:t>耐火材料制品制造308；石墨及其他非金属矿物制品制造309“其他”</w:t>
            </w:r>
          </w:p>
        </w:tc>
      </w:tr>
      <w:tr w14:paraId="193DC48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720" w:type="dxa"/>
            <w:gridSpan w:val="2"/>
            <w:noWrap w:val="0"/>
            <w:tcMar>
              <w:top w:w="16" w:type="dxa"/>
              <w:left w:w="16" w:type="dxa"/>
              <w:right w:w="16" w:type="dxa"/>
            </w:tcMar>
            <w:vAlign w:val="center"/>
          </w:tcPr>
          <w:p w14:paraId="257E6BD8">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建设性质</w:t>
            </w:r>
          </w:p>
        </w:tc>
        <w:tc>
          <w:tcPr>
            <w:tcW w:w="2088" w:type="dxa"/>
            <w:noWrap w:val="0"/>
            <w:vAlign w:val="center"/>
          </w:tcPr>
          <w:p w14:paraId="68FF9F12">
            <w:pPr>
              <w:keepNext w:val="0"/>
              <w:keepLines w:val="0"/>
              <w:pageBreakBefore w:val="0"/>
              <w:widowControl w:val="0"/>
              <w:kinsoku/>
              <w:wordWrap/>
              <w:overflowPunct/>
              <w:topLinePunct w:val="0"/>
              <w:autoSpaceDE w:val="0"/>
              <w:autoSpaceDN w:val="0"/>
              <w:bidi w:val="0"/>
              <w:spacing w:line="240" w:lineRule="auto"/>
              <w:ind w:firstLine="0" w:firstLineChars="0"/>
              <w:jc w:val="left"/>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新建（迁建）</w:t>
            </w:r>
          </w:p>
          <w:p w14:paraId="7A4285AB">
            <w:pPr>
              <w:keepNext w:val="0"/>
              <w:keepLines w:val="0"/>
              <w:pageBreakBefore w:val="0"/>
              <w:widowControl w:val="0"/>
              <w:kinsoku/>
              <w:wordWrap/>
              <w:overflowPunct/>
              <w:topLinePunct w:val="0"/>
              <w:autoSpaceDE w:val="0"/>
              <w:autoSpaceDN w:val="0"/>
              <w:bidi w:val="0"/>
              <w:spacing w:line="240" w:lineRule="auto"/>
              <w:ind w:firstLine="0" w:firstLineChars="0"/>
              <w:jc w:val="left"/>
              <w:textAlignment w:val="auto"/>
              <w:rPr>
                <w:rFonts w:hint="default" w:ascii="Times New Roman" w:hAnsi="Times New Roman" w:cs="Times New Roman"/>
                <w:color w:val="auto"/>
                <w:szCs w:val="21"/>
                <w:highlight w:val="none"/>
              </w:rPr>
            </w:pP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改建</w:t>
            </w:r>
          </w:p>
          <w:p w14:paraId="6B10921C">
            <w:pPr>
              <w:keepNext w:val="0"/>
              <w:keepLines w:val="0"/>
              <w:pageBreakBefore w:val="0"/>
              <w:widowControl w:val="0"/>
              <w:kinsoku/>
              <w:wordWrap/>
              <w:overflowPunct/>
              <w:topLinePunct w:val="0"/>
              <w:autoSpaceDE w:val="0"/>
              <w:autoSpaceDN w:val="0"/>
              <w:bidi w:val="0"/>
              <w:spacing w:line="240" w:lineRule="auto"/>
              <w:ind w:firstLine="0" w:firstLineChars="0"/>
              <w:jc w:val="left"/>
              <w:textAlignment w:val="auto"/>
              <w:rPr>
                <w:rFonts w:hint="default" w:ascii="Times New Roman" w:hAnsi="Times New Roman" w:cs="Times New Roman"/>
                <w:color w:val="auto"/>
                <w:szCs w:val="21"/>
                <w:highlight w:val="none"/>
              </w:rPr>
            </w:pP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扩建</w:t>
            </w:r>
          </w:p>
          <w:p w14:paraId="4F5A5566">
            <w:pPr>
              <w:keepNext w:val="0"/>
              <w:keepLines w:val="0"/>
              <w:pageBreakBefore w:val="0"/>
              <w:widowControl w:val="0"/>
              <w:kinsoku/>
              <w:wordWrap/>
              <w:overflowPunct/>
              <w:topLinePunct w:val="0"/>
              <w:autoSpaceDE w:val="0"/>
              <w:autoSpaceDN w:val="0"/>
              <w:bidi w:val="0"/>
              <w:spacing w:line="240" w:lineRule="auto"/>
              <w:ind w:firstLine="0" w:firstLineChars="0"/>
              <w:jc w:val="left"/>
              <w:textAlignment w:val="auto"/>
              <w:rPr>
                <w:rFonts w:hint="default" w:ascii="Times New Roman" w:hAnsi="Times New Roman" w:cs="Times New Roman"/>
                <w:color w:val="auto"/>
                <w:szCs w:val="21"/>
                <w:highlight w:val="none"/>
              </w:rPr>
            </w:pP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技术改造</w:t>
            </w:r>
          </w:p>
        </w:tc>
        <w:tc>
          <w:tcPr>
            <w:tcW w:w="2023" w:type="dxa"/>
            <w:noWrap w:val="0"/>
            <w:vAlign w:val="center"/>
          </w:tcPr>
          <w:p w14:paraId="2AA7AE62">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建设项目</w:t>
            </w:r>
          </w:p>
          <w:p w14:paraId="12DE95DF">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申报情形</w:t>
            </w:r>
          </w:p>
        </w:tc>
        <w:tc>
          <w:tcPr>
            <w:tcW w:w="2748" w:type="dxa"/>
            <w:noWrap w:val="0"/>
            <w:vAlign w:val="center"/>
          </w:tcPr>
          <w:p w14:paraId="6C79E9DE">
            <w:pPr>
              <w:keepNext w:val="0"/>
              <w:keepLines w:val="0"/>
              <w:pageBreakBefore w:val="0"/>
              <w:widowControl w:val="0"/>
              <w:kinsoku/>
              <w:wordWrap/>
              <w:overflowPunct/>
              <w:topLinePunct w:val="0"/>
              <w:autoSpaceDE w:val="0"/>
              <w:autoSpaceDN w:val="0"/>
              <w:bidi w:val="0"/>
              <w:spacing w:line="240" w:lineRule="auto"/>
              <w:ind w:firstLine="0" w:firstLineChars="0"/>
              <w:jc w:val="left"/>
              <w:textAlignment w:val="auto"/>
              <w:rPr>
                <w:rFonts w:hint="default" w:ascii="Times New Roman" w:hAnsi="Times New Roman" w:eastAsia="宋体" w:cs="Times New Roman"/>
                <w:color w:val="auto"/>
                <w:szCs w:val="21"/>
                <w:highlight w:val="none"/>
                <w:lang w:eastAsia="zh-CN"/>
              </w:rPr>
            </w:pPr>
            <w:r>
              <w:rPr>
                <w:rFonts w:hint="default"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首次申报项目</w:t>
            </w:r>
          </w:p>
          <w:p w14:paraId="2C73C162">
            <w:pPr>
              <w:keepNext w:val="0"/>
              <w:keepLines w:val="0"/>
              <w:pageBreakBefore w:val="0"/>
              <w:widowControl w:val="0"/>
              <w:kinsoku/>
              <w:wordWrap/>
              <w:overflowPunct/>
              <w:topLinePunct w:val="0"/>
              <w:autoSpaceDE w:val="0"/>
              <w:autoSpaceDN w:val="0"/>
              <w:bidi w:val="0"/>
              <w:spacing w:line="240" w:lineRule="auto"/>
              <w:ind w:firstLine="0" w:firstLineChars="0"/>
              <w:jc w:val="left"/>
              <w:textAlignment w:val="auto"/>
              <w:rPr>
                <w:rFonts w:hint="default" w:ascii="Times New Roman" w:hAnsi="Times New Roman" w:cs="Times New Roman"/>
                <w:color w:val="auto"/>
                <w:szCs w:val="21"/>
                <w:highlight w:val="none"/>
              </w:rPr>
            </w:pP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不予批准后再次申报项目</w:t>
            </w:r>
          </w:p>
          <w:p w14:paraId="5AF330CE">
            <w:pPr>
              <w:keepNext w:val="0"/>
              <w:keepLines w:val="0"/>
              <w:pageBreakBefore w:val="0"/>
              <w:widowControl w:val="0"/>
              <w:kinsoku/>
              <w:wordWrap/>
              <w:overflowPunct/>
              <w:topLinePunct w:val="0"/>
              <w:autoSpaceDE w:val="0"/>
              <w:autoSpaceDN w:val="0"/>
              <w:bidi w:val="0"/>
              <w:spacing w:line="240" w:lineRule="auto"/>
              <w:ind w:firstLine="0" w:firstLineChars="0"/>
              <w:jc w:val="left"/>
              <w:textAlignment w:val="auto"/>
              <w:rPr>
                <w:rFonts w:hint="default" w:ascii="Times New Roman" w:hAnsi="Times New Roman" w:eastAsia="宋体" w:cs="Times New Roman"/>
                <w:color w:val="auto"/>
                <w:szCs w:val="21"/>
                <w:highlight w:val="none"/>
                <w:lang w:eastAsia="zh-CN"/>
              </w:rPr>
            </w:pP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超五年重新审核项目</w:t>
            </w:r>
          </w:p>
          <w:p w14:paraId="56D71684">
            <w:pPr>
              <w:keepNext w:val="0"/>
              <w:keepLines w:val="0"/>
              <w:pageBreakBefore w:val="0"/>
              <w:widowControl w:val="0"/>
              <w:kinsoku/>
              <w:wordWrap/>
              <w:overflowPunct/>
              <w:topLinePunct w:val="0"/>
              <w:autoSpaceDE w:val="0"/>
              <w:autoSpaceDN w:val="0"/>
              <w:bidi w:val="0"/>
              <w:spacing w:line="240" w:lineRule="auto"/>
              <w:ind w:firstLine="0" w:firstLineChars="0"/>
              <w:jc w:val="left"/>
              <w:textAlignment w:val="auto"/>
              <w:rPr>
                <w:rFonts w:hint="default" w:ascii="Times New Roman" w:hAnsi="Times New Roman" w:cs="Times New Roman"/>
                <w:color w:val="auto"/>
                <w:szCs w:val="21"/>
                <w:highlight w:val="none"/>
              </w:rPr>
            </w:pP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重大变动重新报批项目</w:t>
            </w:r>
          </w:p>
        </w:tc>
      </w:tr>
      <w:tr w14:paraId="2937F4A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876" w:hRule="atLeast"/>
          <w:jc w:val="center"/>
        </w:trPr>
        <w:tc>
          <w:tcPr>
            <w:tcW w:w="1720" w:type="dxa"/>
            <w:gridSpan w:val="2"/>
            <w:noWrap w:val="0"/>
            <w:tcMar>
              <w:top w:w="16" w:type="dxa"/>
              <w:left w:w="16" w:type="dxa"/>
              <w:right w:w="16" w:type="dxa"/>
            </w:tcMar>
            <w:vAlign w:val="center"/>
          </w:tcPr>
          <w:p w14:paraId="5AE4510C">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color w:val="auto"/>
                <w:szCs w:val="21"/>
                <w:highlight w:val="none"/>
              </w:rPr>
            </w:pPr>
            <w:r>
              <w:rPr>
                <w:rFonts w:hint="default" w:ascii="Times New Roman" w:hAnsi="Times New Roman" w:eastAsia="宋体" w:cs="Times New Roman"/>
                <w:color w:val="auto"/>
                <w:szCs w:val="21"/>
                <w:highlight w:val="none"/>
              </w:rPr>
              <w:t>项目审批（核准/备案）部门（选填）</w:t>
            </w:r>
          </w:p>
        </w:tc>
        <w:tc>
          <w:tcPr>
            <w:tcW w:w="2088" w:type="dxa"/>
            <w:noWrap w:val="0"/>
            <w:vAlign w:val="center"/>
          </w:tcPr>
          <w:p w14:paraId="46368A0A">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杭锦旗发展和改革委员会</w:t>
            </w:r>
          </w:p>
        </w:tc>
        <w:tc>
          <w:tcPr>
            <w:tcW w:w="2023" w:type="dxa"/>
            <w:noWrap w:val="0"/>
            <w:vAlign w:val="center"/>
          </w:tcPr>
          <w:p w14:paraId="42213CC7">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项目审批（核准/</w:t>
            </w:r>
          </w:p>
          <w:p w14:paraId="3557CA68">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备案）文号（选填）</w:t>
            </w:r>
          </w:p>
        </w:tc>
        <w:tc>
          <w:tcPr>
            <w:tcW w:w="2748" w:type="dxa"/>
            <w:noWrap w:val="0"/>
            <w:vAlign w:val="center"/>
          </w:tcPr>
          <w:p w14:paraId="17780C54">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val="en-US" w:eastAsia="zh-CN"/>
              </w:rPr>
              <w:t>2306-150625-04-05-521677</w:t>
            </w:r>
          </w:p>
        </w:tc>
      </w:tr>
      <w:tr w14:paraId="5FA3718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16" w:hRule="atLeast"/>
          <w:jc w:val="center"/>
        </w:trPr>
        <w:tc>
          <w:tcPr>
            <w:tcW w:w="1720" w:type="dxa"/>
            <w:gridSpan w:val="2"/>
            <w:noWrap w:val="0"/>
            <w:tcMar>
              <w:top w:w="16" w:type="dxa"/>
              <w:left w:w="16" w:type="dxa"/>
              <w:right w:w="16" w:type="dxa"/>
            </w:tcMar>
            <w:vAlign w:val="center"/>
          </w:tcPr>
          <w:p w14:paraId="685BC241">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总投资（万元）</w:t>
            </w:r>
          </w:p>
        </w:tc>
        <w:tc>
          <w:tcPr>
            <w:tcW w:w="2088" w:type="dxa"/>
            <w:noWrap w:val="0"/>
            <w:vAlign w:val="center"/>
          </w:tcPr>
          <w:p w14:paraId="555E4BB4">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15000</w:t>
            </w:r>
          </w:p>
        </w:tc>
        <w:tc>
          <w:tcPr>
            <w:tcW w:w="2023" w:type="dxa"/>
            <w:noWrap w:val="0"/>
            <w:tcMar>
              <w:top w:w="16" w:type="dxa"/>
              <w:left w:w="16" w:type="dxa"/>
              <w:right w:w="16" w:type="dxa"/>
            </w:tcMar>
            <w:vAlign w:val="center"/>
          </w:tcPr>
          <w:p w14:paraId="4BC4F6C6">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环保投资（万元）</w:t>
            </w:r>
          </w:p>
        </w:tc>
        <w:tc>
          <w:tcPr>
            <w:tcW w:w="2748" w:type="dxa"/>
            <w:noWrap w:val="0"/>
            <w:vAlign w:val="center"/>
          </w:tcPr>
          <w:p w14:paraId="71A98B2B">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966</w:t>
            </w:r>
          </w:p>
        </w:tc>
      </w:tr>
      <w:tr w14:paraId="62322D0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720" w:type="dxa"/>
            <w:gridSpan w:val="2"/>
            <w:noWrap w:val="0"/>
            <w:tcMar>
              <w:top w:w="16" w:type="dxa"/>
              <w:left w:w="16" w:type="dxa"/>
              <w:right w:w="16" w:type="dxa"/>
            </w:tcMar>
            <w:vAlign w:val="center"/>
          </w:tcPr>
          <w:p w14:paraId="7EA1938C">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环保投资占比（%）</w:t>
            </w:r>
          </w:p>
        </w:tc>
        <w:tc>
          <w:tcPr>
            <w:tcW w:w="2088" w:type="dxa"/>
            <w:noWrap w:val="0"/>
            <w:vAlign w:val="center"/>
          </w:tcPr>
          <w:p w14:paraId="359C0D84">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6.44</w:t>
            </w:r>
          </w:p>
        </w:tc>
        <w:tc>
          <w:tcPr>
            <w:tcW w:w="2023" w:type="dxa"/>
            <w:noWrap w:val="0"/>
            <w:tcMar>
              <w:top w:w="16" w:type="dxa"/>
              <w:left w:w="16" w:type="dxa"/>
              <w:right w:w="16" w:type="dxa"/>
            </w:tcMar>
            <w:vAlign w:val="center"/>
          </w:tcPr>
          <w:p w14:paraId="644DAD08">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施工工期</w:t>
            </w:r>
          </w:p>
        </w:tc>
        <w:tc>
          <w:tcPr>
            <w:tcW w:w="2748" w:type="dxa"/>
            <w:noWrap w:val="0"/>
            <w:vAlign w:val="center"/>
          </w:tcPr>
          <w:p w14:paraId="300B8261">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6</w:t>
            </w:r>
            <w:r>
              <w:rPr>
                <w:rFonts w:hint="default" w:ascii="Times New Roman" w:hAnsi="Times New Roman" w:cs="Times New Roman"/>
                <w:color w:val="auto"/>
                <w:szCs w:val="21"/>
                <w:highlight w:val="none"/>
                <w:lang w:val="en-US" w:eastAsia="zh-CN"/>
              </w:rPr>
              <w:t>个月</w:t>
            </w:r>
          </w:p>
        </w:tc>
      </w:tr>
      <w:tr w14:paraId="73FA5EB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749" w:hRule="atLeast"/>
          <w:jc w:val="center"/>
        </w:trPr>
        <w:tc>
          <w:tcPr>
            <w:tcW w:w="1720" w:type="dxa"/>
            <w:gridSpan w:val="2"/>
            <w:noWrap w:val="0"/>
            <w:tcMar>
              <w:top w:w="16" w:type="dxa"/>
              <w:left w:w="16" w:type="dxa"/>
              <w:right w:w="16" w:type="dxa"/>
            </w:tcMar>
            <w:vAlign w:val="center"/>
          </w:tcPr>
          <w:p w14:paraId="2E52AA2A">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是否开工建设</w:t>
            </w:r>
          </w:p>
        </w:tc>
        <w:tc>
          <w:tcPr>
            <w:tcW w:w="2088" w:type="dxa"/>
            <w:noWrap w:val="0"/>
            <w:vAlign w:val="center"/>
          </w:tcPr>
          <w:p w14:paraId="14A39CAC">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否</w:t>
            </w:r>
          </w:p>
          <w:p w14:paraId="30465FBE">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hint="default"/>
                <w:color w:val="auto"/>
                <w:highlight w:val="none"/>
                <w:lang w:eastAsia="zh-CN"/>
              </w:rPr>
            </w:pPr>
            <w:r>
              <w:rPr>
                <w:rFonts w:hint="eastAsia" w:cs="Times New Roman"/>
                <w:color w:val="auto"/>
                <w:szCs w:val="21"/>
                <w:highlight w:val="none"/>
                <w:lang w:eastAsia="zh-CN"/>
              </w:rPr>
              <w:t>□</w:t>
            </w:r>
            <w:r>
              <w:rPr>
                <w:rFonts w:hint="default" w:ascii="Times New Roman" w:hAnsi="Times New Roman" w:cs="Times New Roman"/>
                <w:color w:val="auto"/>
                <w:szCs w:val="21"/>
                <w:highlight w:val="none"/>
              </w:rPr>
              <w:t>是：</w:t>
            </w:r>
          </w:p>
        </w:tc>
        <w:tc>
          <w:tcPr>
            <w:tcW w:w="2023" w:type="dxa"/>
            <w:noWrap w:val="0"/>
            <w:tcMar>
              <w:top w:w="16" w:type="dxa"/>
              <w:left w:w="16" w:type="dxa"/>
              <w:right w:w="16" w:type="dxa"/>
            </w:tcMar>
            <w:vAlign w:val="center"/>
          </w:tcPr>
          <w:p w14:paraId="0EA796CE">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pacing w:val="-6"/>
                <w:szCs w:val="21"/>
                <w:highlight w:val="none"/>
              </w:rPr>
              <w:t>用地面积（m</w:t>
            </w:r>
            <w:r>
              <w:rPr>
                <w:rFonts w:hint="default" w:ascii="Times New Roman" w:hAnsi="Times New Roman" w:cs="Times New Roman"/>
                <w:color w:val="auto"/>
                <w:spacing w:val="-6"/>
                <w:szCs w:val="21"/>
                <w:highlight w:val="none"/>
                <w:vertAlign w:val="superscript"/>
              </w:rPr>
              <w:t>2</w:t>
            </w:r>
            <w:r>
              <w:rPr>
                <w:rFonts w:hint="default" w:ascii="Times New Roman" w:hAnsi="Times New Roman" w:cs="Times New Roman"/>
                <w:color w:val="auto"/>
                <w:spacing w:val="-6"/>
                <w:szCs w:val="21"/>
                <w:highlight w:val="none"/>
              </w:rPr>
              <w:t>）</w:t>
            </w:r>
          </w:p>
        </w:tc>
        <w:tc>
          <w:tcPr>
            <w:tcW w:w="2748" w:type="dxa"/>
            <w:noWrap w:val="0"/>
            <w:vAlign w:val="center"/>
          </w:tcPr>
          <w:p w14:paraId="54705D78">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42280</w:t>
            </w:r>
          </w:p>
        </w:tc>
      </w:tr>
      <w:tr w14:paraId="7F8D2A9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1341" w:type="dxa"/>
            <w:noWrap w:val="0"/>
            <w:vAlign w:val="center"/>
          </w:tcPr>
          <w:p w14:paraId="67CBC972">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color w:val="auto"/>
                <w:kern w:val="0"/>
                <w:szCs w:val="21"/>
                <w:highlight w:val="none"/>
              </w:rPr>
            </w:pPr>
            <w:r>
              <w:rPr>
                <w:rFonts w:hint="default" w:ascii="Times New Roman" w:hAnsi="Times New Roman" w:eastAsia="宋体" w:cs="Times New Roman"/>
                <w:color w:val="auto"/>
                <w:kern w:val="0"/>
                <w:szCs w:val="21"/>
                <w:highlight w:val="none"/>
                <w:lang w:val="en-US" w:eastAsia="zh-CN"/>
              </w:rPr>
              <w:t>专项评价设置情况</w:t>
            </w:r>
          </w:p>
        </w:tc>
        <w:tc>
          <w:tcPr>
            <w:tcW w:w="7238" w:type="dxa"/>
            <w:gridSpan w:val="4"/>
            <w:noWrap w:val="0"/>
            <w:vAlign w:val="center"/>
          </w:tcPr>
          <w:p w14:paraId="00901FBF">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cs="Times New Roman"/>
                <w:color w:val="auto"/>
                <w:kern w:val="0"/>
                <w:szCs w:val="21"/>
                <w:highlight w:val="none"/>
                <w:lang w:val="en-US" w:eastAsia="zh-CN"/>
              </w:rPr>
              <w:t>无</w:t>
            </w:r>
          </w:p>
        </w:tc>
      </w:tr>
      <w:tr w14:paraId="4EEC22F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41" w:hRule="atLeast"/>
          <w:jc w:val="center"/>
        </w:trPr>
        <w:tc>
          <w:tcPr>
            <w:tcW w:w="1341" w:type="dxa"/>
            <w:noWrap w:val="0"/>
            <w:vAlign w:val="center"/>
          </w:tcPr>
          <w:p w14:paraId="5A075342">
            <w:pPr>
              <w:keepNext w:val="0"/>
              <w:keepLines w:val="0"/>
              <w:pageBreakBefore w:val="0"/>
              <w:widowControl w:val="0"/>
              <w:kinsoku/>
              <w:wordWrap/>
              <w:overflowPunct/>
              <w:topLinePunct w:val="0"/>
              <w:autoSpaceDE w:val="0"/>
              <w:autoSpaceDN w:val="0"/>
              <w:bidi w:val="0"/>
              <w:adjustRightInd w:val="0"/>
              <w:snapToGrid w:val="0"/>
              <w:ind w:firstLine="0" w:firstLineChars="0"/>
              <w:jc w:val="center"/>
              <w:textAlignment w:val="auto"/>
              <w:rPr>
                <w:rFonts w:hint="default" w:ascii="Times New Roman" w:hAnsi="Times New Roman" w:cs="Times New Roman"/>
                <w:color w:val="auto"/>
                <w:kern w:val="0"/>
                <w:szCs w:val="21"/>
                <w:highlight w:val="none"/>
              </w:rPr>
            </w:pPr>
            <w:r>
              <w:rPr>
                <w:rFonts w:hint="default" w:ascii="Times New Roman" w:hAnsi="Times New Roman" w:eastAsia="宋体" w:cs="Times New Roman"/>
                <w:color w:val="auto"/>
                <w:kern w:val="0"/>
                <w:szCs w:val="21"/>
                <w:highlight w:val="none"/>
              </w:rPr>
              <w:t>规划情况</w:t>
            </w:r>
          </w:p>
        </w:tc>
        <w:tc>
          <w:tcPr>
            <w:tcW w:w="7238" w:type="dxa"/>
            <w:gridSpan w:val="4"/>
            <w:noWrap w:val="0"/>
            <w:vAlign w:val="center"/>
          </w:tcPr>
          <w:p w14:paraId="20607B27">
            <w:pPr>
              <w:autoSpaceDE w:val="0"/>
              <w:autoSpaceDN w:val="0"/>
              <w:adjustRightInd w:val="0"/>
              <w:snapToGrid w:val="0"/>
              <w:rPr>
                <w:rFonts w:hint="default" w:ascii="Times New Roman" w:hAnsi="Times New Roman" w:cs="Times New Roman"/>
                <w:b w:val="0"/>
                <w:bCs w:val="0"/>
                <w:color w:val="auto"/>
                <w:kern w:val="0"/>
                <w:szCs w:val="21"/>
                <w:highlight w:val="none"/>
              </w:rPr>
            </w:pPr>
            <w:r>
              <w:rPr>
                <w:rFonts w:hint="default" w:ascii="Times New Roman" w:hAnsi="Times New Roman" w:cs="Times New Roman"/>
                <w:b w:val="0"/>
                <w:bCs w:val="0"/>
                <w:color w:val="auto"/>
                <w:kern w:val="0"/>
                <w:szCs w:val="21"/>
                <w:highlight w:val="none"/>
              </w:rPr>
              <w:t>规划名称：《杭锦经济开发区产业发展规划（2022-2035年）》</w:t>
            </w:r>
          </w:p>
          <w:p w14:paraId="2D498FCC">
            <w:pPr>
              <w:autoSpaceDE w:val="0"/>
              <w:autoSpaceDN w:val="0"/>
              <w:adjustRightInd w:val="0"/>
              <w:snapToGrid w:val="0"/>
              <w:rPr>
                <w:rFonts w:hint="default" w:ascii="Times New Roman" w:hAnsi="Times New Roman" w:cs="Times New Roman"/>
                <w:b w:val="0"/>
                <w:bCs w:val="0"/>
                <w:color w:val="auto"/>
                <w:kern w:val="0"/>
                <w:szCs w:val="21"/>
                <w:highlight w:val="none"/>
              </w:rPr>
            </w:pPr>
            <w:r>
              <w:rPr>
                <w:rFonts w:hint="default" w:ascii="Times New Roman" w:hAnsi="Times New Roman" w:cs="Times New Roman"/>
                <w:b w:val="0"/>
                <w:bCs w:val="0"/>
                <w:color w:val="auto"/>
                <w:kern w:val="0"/>
                <w:szCs w:val="21"/>
                <w:highlight w:val="none"/>
              </w:rPr>
              <w:t>审批机关：内蒙古自治区工业和信息化厅</w:t>
            </w:r>
          </w:p>
          <w:p w14:paraId="7F896D38">
            <w:pPr>
              <w:autoSpaceDE w:val="0"/>
              <w:autoSpaceDN w:val="0"/>
              <w:adjustRightInd w:val="0"/>
              <w:snapToGrid w:val="0"/>
              <w:rPr>
                <w:rFonts w:hint="default" w:ascii="Times New Roman" w:hAnsi="Times New Roman" w:eastAsia="宋体" w:cs="Times New Roman"/>
                <w:color w:val="auto"/>
                <w:kern w:val="0"/>
                <w:szCs w:val="21"/>
                <w:highlight w:val="none"/>
                <w:lang w:eastAsia="zh-CN"/>
              </w:rPr>
            </w:pPr>
            <w:r>
              <w:rPr>
                <w:rFonts w:hint="default" w:ascii="Times New Roman" w:hAnsi="Times New Roman" w:cs="Times New Roman"/>
                <w:b w:val="0"/>
                <w:bCs w:val="0"/>
                <w:color w:val="auto"/>
                <w:kern w:val="0"/>
                <w:szCs w:val="21"/>
                <w:highlight w:val="none"/>
              </w:rPr>
              <w:t>审查文件名称及文号：《内蒙古自治区工业和信息化厅关于同意杭锦经济开发区产业发展规划（2022-2035年）的批复》（内工信园区〔2023〕92号）</w:t>
            </w:r>
            <w:r>
              <w:rPr>
                <w:rFonts w:hint="default" w:ascii="Times New Roman" w:hAnsi="Times New Roman" w:cs="Times New Roman"/>
                <w:b w:val="0"/>
                <w:bCs w:val="0"/>
                <w:color w:val="auto"/>
                <w:kern w:val="0"/>
                <w:szCs w:val="21"/>
                <w:highlight w:val="none"/>
                <w:lang w:eastAsia="zh-CN"/>
              </w:rPr>
              <w:t>。</w:t>
            </w:r>
          </w:p>
        </w:tc>
      </w:tr>
      <w:tr w14:paraId="40BB85A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56" w:hRule="atLeast"/>
          <w:jc w:val="center"/>
        </w:trPr>
        <w:tc>
          <w:tcPr>
            <w:tcW w:w="1341" w:type="dxa"/>
            <w:noWrap w:val="0"/>
            <w:vAlign w:val="center"/>
          </w:tcPr>
          <w:p w14:paraId="1E8A251A">
            <w:pPr>
              <w:keepNext w:val="0"/>
              <w:keepLines w:val="0"/>
              <w:pageBreakBefore w:val="0"/>
              <w:widowControl w:val="0"/>
              <w:kinsoku/>
              <w:wordWrap/>
              <w:overflowPunct/>
              <w:topLinePunct w:val="0"/>
              <w:autoSpaceDE w:val="0"/>
              <w:autoSpaceDN w:val="0"/>
              <w:bidi w:val="0"/>
              <w:adjustRightInd w:val="0"/>
              <w:snapToGrid w:val="0"/>
              <w:ind w:firstLine="0" w:firstLineChars="0"/>
              <w:jc w:val="center"/>
              <w:textAlignment w:val="auto"/>
              <w:rPr>
                <w:rFonts w:hint="default" w:ascii="Times New Roman" w:hAnsi="Times New Roman" w:cs="Times New Roman"/>
                <w:color w:val="auto"/>
                <w:kern w:val="0"/>
                <w:szCs w:val="21"/>
                <w:highlight w:val="none"/>
              </w:rPr>
            </w:pPr>
            <w:r>
              <w:rPr>
                <w:rFonts w:hint="default" w:ascii="Times New Roman" w:hAnsi="Times New Roman" w:cs="Times New Roman"/>
                <w:color w:val="auto"/>
                <w:szCs w:val="21"/>
                <w:highlight w:val="none"/>
              </w:rPr>
              <w:t>规划环境影响评价情况</w:t>
            </w:r>
          </w:p>
        </w:tc>
        <w:tc>
          <w:tcPr>
            <w:tcW w:w="7238" w:type="dxa"/>
            <w:gridSpan w:val="4"/>
            <w:noWrap w:val="0"/>
            <w:vAlign w:val="center"/>
          </w:tcPr>
          <w:p w14:paraId="2FB13C78">
            <w:pPr>
              <w:autoSpaceDE w:val="0"/>
              <w:autoSpaceDN w:val="0"/>
              <w:adjustRightInd w:val="0"/>
              <w:snapToGrid w:val="0"/>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规划环境影响评价文件名称：《内蒙古鄂尔多斯杭锦经济开发区总体规划（2021-2035）环境影响报告书》；</w:t>
            </w:r>
          </w:p>
          <w:p w14:paraId="0B80C8D0">
            <w:pPr>
              <w:autoSpaceDE w:val="0"/>
              <w:autoSpaceDN w:val="0"/>
              <w:adjustRightInd w:val="0"/>
              <w:snapToGrid w:val="0"/>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审查机关：内蒙古自治区生态环境厅；</w:t>
            </w:r>
          </w:p>
          <w:p w14:paraId="59B327F7">
            <w:pPr>
              <w:autoSpaceDE w:val="0"/>
              <w:autoSpaceDN w:val="0"/>
              <w:adjustRightInd w:val="0"/>
              <w:snapToGrid w:val="0"/>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审查文件名称及文号：《内蒙古自治区生态环境厅关于</w:t>
            </w:r>
            <w:r>
              <w:rPr>
                <w:rFonts w:hint="eastAsia" w:ascii="Times New Roman" w:hAnsi="Times New Roman" w:cs="Times New Roman"/>
                <w:color w:val="auto"/>
                <w:kern w:val="0"/>
                <w:szCs w:val="21"/>
                <w:highlight w:val="none"/>
                <w:lang w:val="en-US" w:eastAsia="zh-CN"/>
              </w:rPr>
              <w:t>&lt;</w:t>
            </w:r>
            <w:r>
              <w:rPr>
                <w:rFonts w:hint="default" w:ascii="Times New Roman" w:hAnsi="Times New Roman" w:cs="Times New Roman"/>
                <w:color w:val="auto"/>
                <w:kern w:val="0"/>
                <w:szCs w:val="21"/>
                <w:highlight w:val="none"/>
              </w:rPr>
              <w:t>内蒙古鄂尔多斯杭锦经济开发区总体规划</w:t>
            </w:r>
            <w:r>
              <w:rPr>
                <w:rFonts w:hint="eastAsia" w:ascii="Times New Roman" w:hAnsi="Times New Roman" w:cs="Times New Roman"/>
                <w:color w:val="auto"/>
                <w:kern w:val="0"/>
                <w:szCs w:val="21"/>
                <w:highlight w:val="none"/>
                <w:lang w:eastAsia="zh-CN"/>
              </w:rPr>
              <w:t>（</w:t>
            </w:r>
            <w:r>
              <w:rPr>
                <w:rFonts w:hint="eastAsia" w:ascii="Times New Roman" w:hAnsi="Times New Roman" w:cs="Times New Roman"/>
                <w:color w:val="auto"/>
                <w:kern w:val="0"/>
                <w:szCs w:val="21"/>
                <w:highlight w:val="none"/>
                <w:lang w:val="en-US" w:eastAsia="zh-CN"/>
              </w:rPr>
              <w:t>2021-2023</w:t>
            </w:r>
            <w:r>
              <w:rPr>
                <w:rFonts w:hint="eastAsia" w:ascii="Times New Roman" w:hAnsi="Times New Roman" w:cs="Times New Roman"/>
                <w:color w:val="auto"/>
                <w:kern w:val="0"/>
                <w:szCs w:val="21"/>
                <w:highlight w:val="none"/>
                <w:lang w:eastAsia="zh-CN"/>
              </w:rPr>
              <w:t>）</w:t>
            </w:r>
            <w:r>
              <w:rPr>
                <w:rFonts w:hint="eastAsia" w:ascii="Times New Roman" w:hAnsi="Times New Roman" w:cs="Times New Roman"/>
                <w:color w:val="auto"/>
                <w:kern w:val="0"/>
                <w:szCs w:val="21"/>
                <w:highlight w:val="none"/>
                <w:lang w:val="en-US" w:eastAsia="zh-CN"/>
              </w:rPr>
              <w:t>环境影响报告书&gt;</w:t>
            </w:r>
            <w:r>
              <w:rPr>
                <w:rFonts w:hint="default" w:ascii="Times New Roman" w:hAnsi="Times New Roman" w:cs="Times New Roman"/>
                <w:color w:val="auto"/>
                <w:kern w:val="0"/>
                <w:szCs w:val="21"/>
                <w:highlight w:val="none"/>
              </w:rPr>
              <w:t>的审查意见》（内环审〔2023〕41号）。</w:t>
            </w:r>
          </w:p>
        </w:tc>
      </w:tr>
      <w:tr w14:paraId="5D9A0B6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84" w:hRule="atLeast"/>
          <w:jc w:val="center"/>
        </w:trPr>
        <w:tc>
          <w:tcPr>
            <w:tcW w:w="1341" w:type="dxa"/>
            <w:noWrap w:val="0"/>
            <w:vAlign w:val="center"/>
          </w:tcPr>
          <w:p w14:paraId="5DE70F74">
            <w:pPr>
              <w:keepNext w:val="0"/>
              <w:keepLines w:val="0"/>
              <w:pageBreakBefore w:val="0"/>
              <w:widowControl w:val="0"/>
              <w:kinsoku/>
              <w:wordWrap/>
              <w:overflowPunct/>
              <w:topLinePunct w:val="0"/>
              <w:autoSpaceDE w:val="0"/>
              <w:autoSpaceDN w:val="0"/>
              <w:bidi w:val="0"/>
              <w:adjustRightInd w:val="0"/>
              <w:snapToGrid w:val="0"/>
              <w:ind w:firstLine="0" w:firstLineChars="0"/>
              <w:jc w:val="center"/>
              <w:textAlignment w:val="auto"/>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规划及规划环境影响评价符合性分析</w:t>
            </w:r>
          </w:p>
        </w:tc>
        <w:tc>
          <w:tcPr>
            <w:tcW w:w="7238" w:type="dxa"/>
            <w:gridSpan w:val="4"/>
            <w:noWrap w:val="0"/>
            <w:vAlign w:val="center"/>
          </w:tcPr>
          <w:p w14:paraId="50F9F635">
            <w:pPr>
              <w:bidi w:val="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一、与园区规划符合性分析</w:t>
            </w:r>
          </w:p>
          <w:p w14:paraId="06297978">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根据《杭锦经济开发区产业发展规划（2022-2035年）》，杭锦经济开发区主要包括两个园区，即独贵塔拉产业园和新能源产业园。独贵塔拉产业园包括南项目区和北项目区；新能源产业园包括三个组团，分别是A组团、B组团以及C组团。本项目位于</w:t>
            </w:r>
            <w:r>
              <w:rPr>
                <w:rFonts w:hint="eastAsia" w:ascii="Times New Roman" w:hAnsi="Times New Roman" w:cs="Times New Roman"/>
                <w:color w:val="auto"/>
                <w:highlight w:val="none"/>
                <w:lang w:val="en-US" w:eastAsia="zh-CN"/>
              </w:rPr>
              <w:t>C</w:t>
            </w:r>
            <w:r>
              <w:rPr>
                <w:rFonts w:hint="default" w:ascii="Times New Roman" w:hAnsi="Times New Roman" w:cs="Times New Roman"/>
                <w:color w:val="auto"/>
                <w:highlight w:val="none"/>
              </w:rPr>
              <w:t>组团—</w:t>
            </w:r>
            <w:r>
              <w:rPr>
                <w:rFonts w:hint="eastAsia" w:ascii="Times New Roman" w:hAnsi="Times New Roman" w:cs="Times New Roman"/>
                <w:color w:val="auto"/>
                <w:highlight w:val="none"/>
                <w:lang w:val="en-US" w:eastAsia="zh-CN"/>
              </w:rPr>
              <w:t>资源再生组团</w:t>
            </w:r>
            <w:r>
              <w:rPr>
                <w:rFonts w:hint="default" w:ascii="Times New Roman" w:hAnsi="Times New Roman" w:cs="Times New Roman"/>
                <w:color w:val="auto"/>
                <w:highlight w:val="none"/>
              </w:rPr>
              <w:t>中的</w:t>
            </w:r>
            <w:r>
              <w:rPr>
                <w:rFonts w:hint="eastAsia" w:ascii="Times New Roman" w:hAnsi="Times New Roman" w:cs="Times New Roman"/>
                <w:color w:val="auto"/>
                <w:highlight w:val="none"/>
                <w:lang w:val="en-US" w:eastAsia="zh-CN"/>
              </w:rPr>
              <w:t>再生资源处理区</w:t>
            </w:r>
            <w:r>
              <w:rPr>
                <w:rFonts w:hint="default" w:ascii="Times New Roman" w:hAnsi="Times New Roman" w:cs="Times New Roman"/>
                <w:color w:val="auto"/>
                <w:highlight w:val="none"/>
              </w:rPr>
              <w:t>，</w:t>
            </w:r>
            <w:r>
              <w:rPr>
                <w:rFonts w:hint="eastAsia" w:ascii="Times New Roman" w:hAnsi="Times New Roman" w:cs="Times New Roman"/>
                <w:color w:val="auto"/>
                <w:highlight w:val="none"/>
                <w:lang w:val="en-US" w:eastAsia="zh-CN"/>
              </w:rPr>
              <w:t>本项目利用煤系高岭土生产耐火材料，</w:t>
            </w:r>
            <w:r>
              <w:rPr>
                <w:rFonts w:hint="default" w:ascii="Times New Roman" w:hAnsi="Times New Roman" w:cs="Times New Roman"/>
                <w:color w:val="auto"/>
                <w:highlight w:val="none"/>
              </w:rPr>
              <w:t>符合园区规划。杭锦经济开发区产业布局图见附图</w:t>
            </w:r>
            <w:r>
              <w:rPr>
                <w:rFonts w:hint="eastAsia" w:ascii="Times New Roman" w:hAnsi="Times New Roman" w:cs="Times New Roman"/>
                <w:color w:val="auto"/>
                <w:highlight w:val="none"/>
                <w:lang w:val="en-US" w:eastAsia="zh-CN"/>
              </w:rPr>
              <w:t>1</w:t>
            </w:r>
            <w:r>
              <w:rPr>
                <w:rFonts w:hint="default" w:ascii="Times New Roman" w:hAnsi="Times New Roman" w:cs="Times New Roman"/>
                <w:color w:val="auto"/>
                <w:highlight w:val="none"/>
              </w:rPr>
              <w:t>，新能源产业园空间布局图见附图</w:t>
            </w:r>
            <w:r>
              <w:rPr>
                <w:rFonts w:hint="eastAsia" w:ascii="Times New Roman" w:hAnsi="Times New Roman" w:cs="Times New Roman"/>
                <w:color w:val="auto"/>
                <w:highlight w:val="none"/>
                <w:lang w:val="en-US" w:eastAsia="zh-CN"/>
              </w:rPr>
              <w:t>2</w:t>
            </w:r>
            <w:r>
              <w:rPr>
                <w:rFonts w:hint="default" w:ascii="Times New Roman" w:hAnsi="Times New Roman" w:cs="Times New Roman"/>
                <w:color w:val="auto"/>
                <w:highlight w:val="none"/>
              </w:rPr>
              <w:t>，新能源产业园产业功能布局图见附图</w:t>
            </w:r>
            <w:r>
              <w:rPr>
                <w:rFonts w:hint="eastAsia" w:ascii="Times New Roman" w:hAnsi="Times New Roman" w:cs="Times New Roman"/>
                <w:color w:val="auto"/>
                <w:highlight w:val="none"/>
                <w:lang w:val="en-US" w:eastAsia="zh-CN"/>
              </w:rPr>
              <w:t>3</w:t>
            </w:r>
            <w:r>
              <w:rPr>
                <w:rFonts w:hint="default" w:ascii="Times New Roman" w:hAnsi="Times New Roman" w:cs="Times New Roman"/>
                <w:color w:val="auto"/>
                <w:highlight w:val="none"/>
              </w:rPr>
              <w:t>。</w:t>
            </w:r>
          </w:p>
          <w:p w14:paraId="2E9BD1BF">
            <w:pPr>
              <w:bidi w:val="0"/>
              <w:rPr>
                <w:rFonts w:hint="eastAsia"/>
                <w:color w:val="auto"/>
                <w:highlight w:val="none"/>
                <w:lang w:val="en-US" w:eastAsia="zh-CN"/>
              </w:rPr>
            </w:pPr>
            <w:r>
              <w:rPr>
                <w:rFonts w:hint="eastAsia"/>
                <w:color w:val="auto"/>
                <w:highlight w:val="none"/>
                <w:lang w:val="en-US" w:eastAsia="zh-CN"/>
              </w:rPr>
              <w:t>本项目已取得园区《内蒙古鄂尔多斯市杭锦经济开发区管理委员会关于同意鄂尔多斯市兴元胜业年处理25万吨煤系高岭土项目入园的函》（杭开管函〔2023〕97号），园区同意本项目入园建设。</w:t>
            </w:r>
          </w:p>
          <w:p w14:paraId="435E0255">
            <w:pPr>
              <w:bidi w:val="0"/>
              <w:rPr>
                <w:rFonts w:hint="default"/>
                <w:color w:val="auto"/>
                <w:highlight w:val="none"/>
              </w:rPr>
            </w:pPr>
            <w:r>
              <w:rPr>
                <w:rFonts w:hint="default"/>
                <w:color w:val="auto"/>
                <w:highlight w:val="none"/>
              </w:rPr>
              <w:t>综上所述，本项目符合园区规划。</w:t>
            </w:r>
          </w:p>
          <w:p w14:paraId="1A1286A0">
            <w:pPr>
              <w:bidi w:val="0"/>
              <w:rPr>
                <w:rFonts w:hint="default"/>
                <w:b/>
                <w:bCs/>
                <w:color w:val="auto"/>
                <w:highlight w:val="none"/>
              </w:rPr>
            </w:pPr>
            <w:r>
              <w:rPr>
                <w:rFonts w:hint="default"/>
                <w:b/>
                <w:bCs/>
                <w:color w:val="auto"/>
                <w:highlight w:val="none"/>
              </w:rPr>
              <w:t>二、与园区规划环境影响评价符合性分析</w:t>
            </w:r>
          </w:p>
          <w:p w14:paraId="131C383C">
            <w:pPr>
              <w:bidi w:val="0"/>
              <w:rPr>
                <w:rFonts w:hint="default"/>
                <w:color w:val="auto"/>
                <w:highlight w:val="none"/>
                <w:lang w:val="en-US" w:eastAsia="zh-CN"/>
              </w:rPr>
            </w:pPr>
            <w:r>
              <w:rPr>
                <w:rFonts w:hint="default"/>
                <w:color w:val="auto"/>
                <w:highlight w:val="none"/>
                <w:lang w:val="en-US" w:eastAsia="zh-CN"/>
              </w:rPr>
              <w:t>2023年6月25日该园区取得了《内蒙古自治区生态环境厅关于&lt;内蒙古鄂尔多斯杭锦经济开发区总体规划（2021-2035）环境影响报告书&gt;的审查意见》（内环审〔2023〕41号）。本项目与规划环评审查意见（内环审〔2023〕41号）结论相符性分析如下表</w:t>
            </w:r>
            <w:r>
              <w:rPr>
                <w:rFonts w:hint="eastAsia"/>
                <w:color w:val="auto"/>
                <w:highlight w:val="none"/>
                <w:lang w:val="en-US" w:eastAsia="zh-CN"/>
              </w:rPr>
              <w:t>1-1。</w:t>
            </w:r>
          </w:p>
          <w:p w14:paraId="1F84ED3C">
            <w:pPr>
              <w:bidi w:val="0"/>
              <w:ind w:left="0" w:leftChars="0" w:firstLine="0" w:firstLineChars="0"/>
              <w:jc w:val="center"/>
              <w:rPr>
                <w:rFonts w:hint="default"/>
                <w:b/>
                <w:bCs/>
                <w:color w:val="auto"/>
                <w:highlight w:val="none"/>
                <w:lang w:val="en-US"/>
              </w:rPr>
            </w:pPr>
            <w:r>
              <w:rPr>
                <w:rFonts w:hint="default"/>
                <w:b/>
                <w:bCs/>
                <w:color w:val="auto"/>
                <w:highlight w:val="none"/>
                <w:lang w:val="en-US" w:eastAsia="zh-CN"/>
              </w:rPr>
              <w:t>表1-1</w:t>
            </w:r>
            <w:r>
              <w:rPr>
                <w:rFonts w:hint="eastAsia"/>
                <w:b/>
                <w:bCs/>
                <w:color w:val="auto"/>
                <w:highlight w:val="none"/>
                <w:lang w:val="en-US" w:eastAsia="zh-CN"/>
              </w:rPr>
              <w:t>：</w:t>
            </w:r>
            <w:r>
              <w:rPr>
                <w:rFonts w:hint="default"/>
                <w:b/>
                <w:bCs/>
                <w:color w:val="auto"/>
                <w:highlight w:val="none"/>
                <w:lang w:val="en-US" w:eastAsia="zh-CN"/>
              </w:rPr>
              <w:t>本项目审查意见符合性分析</w:t>
            </w:r>
          </w:p>
          <w:tbl>
            <w:tblPr>
              <w:tblStyle w:val="24"/>
              <w:tblW w:w="69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64"/>
              <w:gridCol w:w="2669"/>
              <w:gridCol w:w="685"/>
            </w:tblGrid>
            <w:tr w14:paraId="3F810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3564" w:type="dxa"/>
                </w:tcPr>
                <w:p w14:paraId="2DA639FE">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审查意见</w:t>
                  </w:r>
                </w:p>
              </w:tc>
              <w:tc>
                <w:tcPr>
                  <w:tcW w:w="2669" w:type="dxa"/>
                </w:tcPr>
                <w:p w14:paraId="4D7E4AD4">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本项目情况</w:t>
                  </w:r>
                </w:p>
              </w:tc>
              <w:tc>
                <w:tcPr>
                  <w:tcW w:w="685" w:type="dxa"/>
                </w:tcPr>
                <w:p w14:paraId="18074719">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符合性分析</w:t>
                  </w:r>
                </w:p>
              </w:tc>
            </w:tr>
            <w:tr w14:paraId="4267B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64" w:type="dxa"/>
                </w:tcPr>
                <w:p w14:paraId="7F7070EA">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both"/>
                    <w:textAlignment w:val="auto"/>
                    <w:rPr>
                      <w:rFonts w:hint="default" w:ascii="Times New Roman" w:hAnsi="Times New Roman" w:cs="Times New Roman"/>
                      <w:color w:val="auto"/>
                      <w:highlight w:val="none"/>
                      <w:vertAlign w:val="baseline"/>
                      <w:lang w:val="en-US"/>
                    </w:rPr>
                  </w:pPr>
                  <w:r>
                    <w:rPr>
                      <w:rFonts w:hint="default" w:ascii="Times New Roman" w:hAnsi="Times New Roman" w:cs="Times New Roman"/>
                      <w:color w:val="auto"/>
                      <w:highlight w:val="none"/>
                      <w:vertAlign w:val="baseline"/>
                      <w:lang w:val="en-US" w:eastAsia="zh-CN"/>
                    </w:rPr>
                    <w:t>严格生态环境准入，推动高质量发展，园区应结合区域资源禀赋、生态敏感特征、生态功能保护、自治区及鄂尔多斯市“十四五”能耗双控、区域及行业碳达峰目标约束等要求。坚持循环经济和资源高效利用理念，严格按照《自治区开发区审核公告目录》、产业政策、“三线一单”生态环境分管区管控、园区总体规划等要求管理新入园项目，不得引进污染物排放量大、环境风险高的非主导产业项目。严控“两高”项目及生产工艺，确需建设的，应全面执行国家和自治区关于“两高”项目准入的各项规定。全面落实“四水四定”要求，充分利用当地矿井水、中水、农田灌溉退水等非常规水资源，最大程</w:t>
                  </w:r>
                  <w:r>
                    <w:rPr>
                      <w:rFonts w:hint="eastAsia" w:cs="Times New Roman"/>
                      <w:color w:val="auto"/>
                      <w:szCs w:val="21"/>
                      <w:highlight w:val="none"/>
                      <w:lang w:val="en-US" w:eastAsia="zh-CN"/>
                    </w:rPr>
                    <w:t>度</w:t>
                  </w:r>
                  <w:r>
                    <w:rPr>
                      <w:rFonts w:hint="default" w:ascii="Times New Roman" w:hAnsi="Times New Roman" w:cs="Times New Roman"/>
                      <w:color w:val="auto"/>
                      <w:highlight w:val="none"/>
                      <w:vertAlign w:val="baseline"/>
                      <w:lang w:val="en-US" w:eastAsia="zh-CN"/>
                    </w:rPr>
                    <w:t>减少生产用新鲜水取水量，审慎引进高耗水行业。</w:t>
                  </w:r>
                </w:p>
              </w:tc>
              <w:tc>
                <w:tcPr>
                  <w:tcW w:w="2669" w:type="dxa"/>
                </w:tcPr>
                <w:p w14:paraId="7E6E7F41">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both"/>
                    <w:textAlignment w:val="auto"/>
                    <w:rPr>
                      <w:rFonts w:hint="default"/>
                      <w:color w:val="auto"/>
                      <w:highlight w:val="none"/>
                      <w:lang w:val="en-US"/>
                    </w:rPr>
                  </w:pPr>
                  <w:r>
                    <w:rPr>
                      <w:rFonts w:hint="default" w:ascii="Times New Roman" w:hAnsi="Times New Roman" w:cs="Times New Roman"/>
                      <w:color w:val="auto"/>
                      <w:highlight w:val="none"/>
                      <w:vertAlign w:val="baseline"/>
                      <w:lang w:val="en-US" w:eastAsia="zh-CN"/>
                    </w:rPr>
                    <w:t>根据国家发展和改革委员会发布的《产业结构调整指导目录（</w:t>
                  </w:r>
                  <w:r>
                    <w:rPr>
                      <w:rFonts w:hint="eastAsia" w:ascii="Times New Roman" w:hAnsi="Times New Roman" w:cs="Times New Roman"/>
                      <w:color w:val="auto"/>
                      <w:highlight w:val="none"/>
                      <w:vertAlign w:val="baseline"/>
                      <w:lang w:val="en-US" w:eastAsia="zh-CN"/>
                    </w:rPr>
                    <w:t>2024</w:t>
                  </w:r>
                  <w:r>
                    <w:rPr>
                      <w:rFonts w:hint="default" w:ascii="Times New Roman" w:hAnsi="Times New Roman" w:cs="Times New Roman"/>
                      <w:color w:val="auto"/>
                      <w:highlight w:val="none"/>
                      <w:vertAlign w:val="baseline"/>
                      <w:lang w:val="en-US" w:eastAsia="zh-CN"/>
                    </w:rPr>
                    <w:t>年本）》，</w:t>
                  </w:r>
                  <w:r>
                    <w:rPr>
                      <w:rFonts w:hint="eastAsia" w:ascii="Times New Roman" w:hAnsi="Times New Roman" w:cs="Times New Roman"/>
                      <w:color w:val="auto"/>
                      <w:highlight w:val="none"/>
                      <w:vertAlign w:val="baseline"/>
                      <w:lang w:val="en-US" w:eastAsia="zh-CN"/>
                    </w:rPr>
                    <w:t>本项目属于第一类鼓励类，</w:t>
                  </w:r>
                  <w:r>
                    <w:rPr>
                      <w:rFonts w:hint="default" w:ascii="Times New Roman" w:hAnsi="Times New Roman" w:cs="Times New Roman"/>
                      <w:color w:val="auto"/>
                      <w:highlight w:val="none"/>
                      <w:vertAlign w:val="baseline"/>
                      <w:lang w:val="en-US" w:eastAsia="zh-CN"/>
                    </w:rPr>
                    <w:t>本项目符合国家的产业政策。本项目已在</w:t>
                  </w:r>
                  <w:r>
                    <w:rPr>
                      <w:rFonts w:hint="eastAsia" w:cs="Times New Roman"/>
                      <w:color w:val="auto"/>
                      <w:highlight w:val="none"/>
                      <w:vertAlign w:val="baseline"/>
                      <w:lang w:val="en-US" w:eastAsia="zh-CN"/>
                    </w:rPr>
                    <w:t>杭</w:t>
                  </w:r>
                  <w:r>
                    <w:rPr>
                      <w:rFonts w:hint="default" w:ascii="Times New Roman" w:hAnsi="Times New Roman" w:cs="Times New Roman"/>
                      <w:color w:val="auto"/>
                      <w:highlight w:val="none"/>
                      <w:vertAlign w:val="baseline"/>
                      <w:lang w:val="en-US" w:eastAsia="zh-CN"/>
                    </w:rPr>
                    <w:t>锦旗发展和改革委员会备案，项目代码为2306-150625-04-05-521677。</w:t>
                  </w:r>
                  <w:r>
                    <w:rPr>
                      <w:rFonts w:hint="eastAsia" w:ascii="Times New Roman" w:hAnsi="Times New Roman" w:cs="Times New Roman"/>
                      <w:color w:val="auto"/>
                      <w:highlight w:val="none"/>
                      <w:vertAlign w:val="baseline"/>
                      <w:lang w:val="en-US" w:eastAsia="zh-CN"/>
                    </w:rPr>
                    <w:t>根据二、“三线一单”符合性分析”章节可知，本项目符合三线一单。</w:t>
                  </w:r>
                </w:p>
                <w:p w14:paraId="0401E072">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both"/>
                    <w:textAlignment w:val="auto"/>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本项目属于利用周边矿企产生的煤系高岭土</w:t>
                  </w:r>
                  <w:r>
                    <w:rPr>
                      <w:rFonts w:hint="eastAsia" w:cs="Times New Roman"/>
                      <w:color w:val="auto"/>
                      <w:highlight w:val="none"/>
                      <w:vertAlign w:val="baseline"/>
                      <w:lang w:val="en-US" w:eastAsia="zh-CN"/>
                    </w:rPr>
                    <w:t>煅烧生产高岭土</w:t>
                  </w:r>
                  <w:r>
                    <w:rPr>
                      <w:rFonts w:hint="eastAsia" w:ascii="Times New Roman" w:hAnsi="Times New Roman" w:cs="Times New Roman"/>
                      <w:color w:val="auto"/>
                      <w:highlight w:val="none"/>
                      <w:vertAlign w:val="baseline"/>
                      <w:lang w:val="en-US" w:eastAsia="zh-CN"/>
                    </w:rPr>
                    <w:t>，</w:t>
                  </w:r>
                  <w:r>
                    <w:rPr>
                      <w:rFonts w:hint="eastAsia" w:cs="Times New Roman"/>
                      <w:color w:val="auto"/>
                      <w:highlight w:val="none"/>
                      <w:vertAlign w:val="baseline"/>
                      <w:lang w:val="en-US" w:eastAsia="zh-CN"/>
                    </w:rPr>
                    <w:t>实现资源综合化利用，不属于污染物排放量大、环境风险高的产业，</w:t>
                  </w:r>
                  <w:r>
                    <w:rPr>
                      <w:rFonts w:hint="eastAsia" w:ascii="Times New Roman" w:hAnsi="Times New Roman" w:cs="Times New Roman"/>
                      <w:color w:val="auto"/>
                      <w:highlight w:val="none"/>
                      <w:vertAlign w:val="baseline"/>
                      <w:lang w:val="en-US" w:eastAsia="zh-CN"/>
                    </w:rPr>
                    <w:t>不属于“两高”项目及生产工艺，本项目用水</w:t>
                  </w:r>
                  <w:r>
                    <w:rPr>
                      <w:rFonts w:hint="default" w:ascii="Times New Roman" w:hAnsi="Times New Roman" w:cs="Times New Roman"/>
                      <w:color w:val="auto"/>
                      <w:highlight w:val="none"/>
                      <w:vertAlign w:val="baseline"/>
                      <w:lang w:val="en-US" w:eastAsia="zh-CN"/>
                    </w:rPr>
                    <w:t>生活用水及生产用水</w:t>
                  </w:r>
                  <w:r>
                    <w:rPr>
                      <w:rFonts w:hint="eastAsia" w:ascii="Times New Roman" w:hAnsi="Times New Roman" w:cs="Times New Roman"/>
                      <w:color w:val="auto"/>
                      <w:highlight w:val="none"/>
                      <w:vertAlign w:val="baseline"/>
                      <w:lang w:val="en-US" w:eastAsia="zh-CN"/>
                    </w:rPr>
                    <w:t>（降尘喷淋用水、脱硝剂配置用水、脱硫塔补充用水）</w:t>
                  </w:r>
                  <w:r>
                    <w:rPr>
                      <w:rFonts w:hint="default" w:ascii="Times New Roman" w:hAnsi="Times New Roman" w:cs="Times New Roman"/>
                      <w:color w:val="auto"/>
                      <w:highlight w:val="none"/>
                      <w:vertAlign w:val="baseline"/>
                      <w:lang w:val="en-US" w:eastAsia="zh-CN"/>
                    </w:rPr>
                    <w:t>均由</w:t>
                  </w:r>
                  <w:r>
                    <w:rPr>
                      <w:rFonts w:hint="eastAsia" w:ascii="Times New Roman" w:hAnsi="Times New Roman" w:cs="Times New Roman"/>
                      <w:color w:val="auto"/>
                      <w:highlight w:val="none"/>
                      <w:vertAlign w:val="baseline"/>
                      <w:lang w:val="en-US" w:eastAsia="zh-CN"/>
                    </w:rPr>
                    <w:t>鄂尔多斯市泽鑫水务投资集团有限责任公司提供，本项目不属于高耗水项目。</w:t>
                  </w:r>
                </w:p>
              </w:tc>
              <w:tc>
                <w:tcPr>
                  <w:tcW w:w="685" w:type="dxa"/>
                </w:tcPr>
                <w:p w14:paraId="37FC365E">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符合</w:t>
                  </w:r>
                </w:p>
              </w:tc>
            </w:tr>
            <w:tr w14:paraId="2A19A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2" w:hRule="atLeast"/>
                <w:jc w:val="center"/>
              </w:trPr>
              <w:tc>
                <w:tcPr>
                  <w:tcW w:w="3564" w:type="dxa"/>
                </w:tcPr>
                <w:p w14:paraId="3AA8D782">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both"/>
                    <w:textAlignment w:val="auto"/>
                    <w:rPr>
                      <w:rFonts w:hint="eastAsia" w:ascii="Times New Roman" w:hAnsi="Times New Roman" w:eastAsia="宋体"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严格空间管控，优化产业布局。园区与临近居民区、自然保护区、地表水体等环境敏感区之间设置一定的隔离带，环境风险较高区块应向外设置足够的规划控制区作为空间防护，确保园区产业发展与生态环境、人居环境相协调。食品加工等环境质量要求高的企业周边应设置符合规定的防护区域，现有不符合防护距离要求的企业应限期搬迁改造，配合杭锦旗人民政府及其有关部门做好园区及周边区域的规划控制和优化调整，发现不符合管控要求的相关行为，应及时向杭锦旗人民政府报告</w:t>
                  </w:r>
                  <w:r>
                    <w:rPr>
                      <w:rFonts w:hint="eastAsia"/>
                      <w:color w:val="auto"/>
                      <w:highlight w:val="none"/>
                      <w:lang w:eastAsia="zh-CN"/>
                    </w:rPr>
                    <w:t>。</w:t>
                  </w:r>
                </w:p>
              </w:tc>
              <w:tc>
                <w:tcPr>
                  <w:tcW w:w="2669" w:type="dxa"/>
                </w:tcPr>
                <w:p w14:paraId="171F394D">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both"/>
                    <w:textAlignment w:val="auto"/>
                    <w:rPr>
                      <w:rFonts w:hint="default" w:ascii="Times New Roman" w:hAnsi="Times New Roman" w:cs="Times New Roman"/>
                      <w:color w:val="auto"/>
                      <w:highlight w:val="none"/>
                      <w:vertAlign w:val="baseline"/>
                      <w:lang w:val="en-US"/>
                    </w:rPr>
                  </w:pPr>
                  <w:r>
                    <w:rPr>
                      <w:rFonts w:hint="default" w:ascii="Times New Roman" w:hAnsi="Times New Roman" w:cs="Times New Roman"/>
                      <w:color w:val="auto"/>
                      <w:highlight w:val="none"/>
                      <w:vertAlign w:val="baseline"/>
                      <w:lang w:val="en-US" w:eastAsia="zh-CN"/>
                    </w:rPr>
                    <w:t>本项目符合园区产业布局</w:t>
                  </w:r>
                  <w:r>
                    <w:rPr>
                      <w:rFonts w:hint="eastAsia" w:cs="Times New Roman"/>
                      <w:color w:val="auto"/>
                      <w:highlight w:val="none"/>
                      <w:vertAlign w:val="baseline"/>
                      <w:lang w:val="en-US" w:eastAsia="zh-CN"/>
                    </w:rPr>
                    <w:t>、</w:t>
                  </w:r>
                  <w:r>
                    <w:rPr>
                      <w:rFonts w:hint="default" w:ascii="Times New Roman" w:hAnsi="Times New Roman" w:cs="Times New Roman"/>
                      <w:color w:val="auto"/>
                      <w:highlight w:val="none"/>
                      <w:vertAlign w:val="baseline"/>
                      <w:lang w:val="en-US" w:eastAsia="zh-CN"/>
                    </w:rPr>
                    <w:t>管控要求，周边无居民区、自然保护区、地表水体等环境敏感区。本项目不涉及防护区域。</w:t>
                  </w:r>
                </w:p>
              </w:tc>
              <w:tc>
                <w:tcPr>
                  <w:tcW w:w="685" w:type="dxa"/>
                </w:tcPr>
                <w:p w14:paraId="2A575375">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rPr>
                  </w:pPr>
                  <w:r>
                    <w:rPr>
                      <w:rFonts w:hint="default" w:ascii="Times New Roman" w:hAnsi="Times New Roman" w:cs="Times New Roman"/>
                      <w:color w:val="auto"/>
                      <w:highlight w:val="none"/>
                      <w:vertAlign w:val="baseline"/>
                      <w:lang w:val="en-US" w:eastAsia="zh-CN"/>
                    </w:rPr>
                    <w:t>符合</w:t>
                  </w:r>
                </w:p>
              </w:tc>
            </w:tr>
            <w:tr w14:paraId="772E1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1" w:hRule="atLeast"/>
                <w:jc w:val="center"/>
              </w:trPr>
              <w:tc>
                <w:tcPr>
                  <w:tcW w:w="3564" w:type="dxa"/>
                </w:tcPr>
                <w:p w14:paraId="7EDF2FC1">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both"/>
                    <w:textAlignment w:val="auto"/>
                    <w:rPr>
                      <w:rFonts w:hint="default" w:ascii="Times New Roman" w:hAnsi="Times New Roman" w:cs="Times New Roman"/>
                      <w:color w:val="auto"/>
                      <w:highlight w:val="none"/>
                      <w:vertAlign w:val="baseline"/>
                      <w:lang w:val="en-US"/>
                    </w:rPr>
                  </w:pPr>
                  <w:r>
                    <w:rPr>
                      <w:rFonts w:hint="default" w:ascii="Times New Roman" w:hAnsi="Times New Roman" w:cs="Times New Roman"/>
                      <w:color w:val="auto"/>
                      <w:highlight w:val="none"/>
                      <w:vertAlign w:val="baseline"/>
                      <w:lang w:val="en-US" w:eastAsia="zh-CN"/>
                    </w:rPr>
                    <w:t>严守环境质量底线，强化污染物排放总量管控。根据国家、自治区和鄂尔多斯市关于大气特别是挥发性有机物污染防治相关要求和“三线一单”成果，深入挖掘区域内废气污染物减排潜力，落实与区域环境质量改善目标相互匹配的区域削减措施及污染物总量管控制</w:t>
                  </w:r>
                  <w:r>
                    <w:rPr>
                      <w:rFonts w:hint="eastAsia" w:cs="Times New Roman"/>
                      <w:color w:val="auto"/>
                      <w:szCs w:val="21"/>
                      <w:highlight w:val="none"/>
                      <w:lang w:val="en-US" w:eastAsia="zh-CN"/>
                    </w:rPr>
                    <w:t>度</w:t>
                  </w:r>
                  <w:r>
                    <w:rPr>
                      <w:rFonts w:hint="default" w:ascii="Times New Roman" w:hAnsi="Times New Roman" w:cs="Times New Roman"/>
                      <w:color w:val="auto"/>
                      <w:highlight w:val="none"/>
                      <w:vertAlign w:val="baseline"/>
                      <w:lang w:val="en-US" w:eastAsia="zh-CN"/>
                    </w:rPr>
                    <w:t>。积极推进重点行业按照大气污染物超低排放或特别排放限值进行升级改造，持续减少主要污染物、特征污染物有组织和无组织排放量，保障区域环境质量改善。</w:t>
                  </w:r>
                </w:p>
              </w:tc>
              <w:tc>
                <w:tcPr>
                  <w:tcW w:w="2669" w:type="dxa"/>
                  <w:vAlign w:val="center"/>
                </w:tcPr>
                <w:p w14:paraId="59F96135">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both"/>
                    <w:textAlignment w:val="auto"/>
                    <w:rPr>
                      <w:rFonts w:hint="default" w:ascii="Times New Roman" w:hAnsi="Times New Roman" w:eastAsia="宋体" w:cs="Times New Roman"/>
                      <w:color w:val="auto"/>
                      <w:highlight w:val="none"/>
                      <w:vertAlign w:val="baseline"/>
                      <w:lang w:val="en-US" w:eastAsia="zh-CN"/>
                    </w:rPr>
                  </w:pPr>
                  <w:r>
                    <w:rPr>
                      <w:rFonts w:hint="eastAsia"/>
                      <w:color w:val="auto"/>
                      <w:highlight w:val="none"/>
                      <w:lang w:val="en-US" w:eastAsia="zh-CN"/>
                    </w:rPr>
                    <w:t>本项目建设满足当地环境质量底线要求，物料煅烧过程中产生SO</w:t>
                  </w:r>
                  <w:r>
                    <w:rPr>
                      <w:rFonts w:hint="eastAsia"/>
                      <w:color w:val="auto"/>
                      <w:highlight w:val="none"/>
                      <w:vertAlign w:val="subscript"/>
                      <w:lang w:val="en-US" w:eastAsia="zh-CN"/>
                    </w:rPr>
                    <w:t>2</w:t>
                  </w:r>
                  <w:r>
                    <w:rPr>
                      <w:rFonts w:hint="eastAsia"/>
                      <w:color w:val="auto"/>
                      <w:highlight w:val="none"/>
                      <w:lang w:val="en-US" w:eastAsia="zh-CN"/>
                    </w:rPr>
                    <w:t>、NO</w:t>
                  </w:r>
                  <w:r>
                    <w:rPr>
                      <w:rFonts w:hint="eastAsia"/>
                      <w:color w:val="auto"/>
                      <w:highlight w:val="none"/>
                      <w:vertAlign w:val="subscript"/>
                      <w:lang w:val="en-US" w:eastAsia="zh-CN"/>
                    </w:rPr>
                    <w:t>X</w:t>
                  </w:r>
                  <w:r>
                    <w:rPr>
                      <w:rFonts w:hint="eastAsia"/>
                      <w:color w:val="auto"/>
                      <w:highlight w:val="none"/>
                      <w:lang w:val="en-US" w:eastAsia="zh-CN"/>
                    </w:rPr>
                    <w:t>、烟尘、颗粒物通过SNCR脱硝+SCR脱硝+袋式除尘+石灰石-石膏法脱硫+双碱法脱硫最终经过37m高（DA002）排气筒排放，最终SO</w:t>
                  </w:r>
                  <w:r>
                    <w:rPr>
                      <w:rFonts w:hint="eastAsia"/>
                      <w:color w:val="auto"/>
                      <w:highlight w:val="none"/>
                      <w:vertAlign w:val="subscript"/>
                      <w:lang w:val="en-US" w:eastAsia="zh-CN"/>
                    </w:rPr>
                    <w:t>2</w:t>
                  </w:r>
                  <w:r>
                    <w:rPr>
                      <w:rFonts w:hint="eastAsia"/>
                      <w:color w:val="auto"/>
                      <w:highlight w:val="none"/>
                      <w:lang w:val="en-US" w:eastAsia="zh-CN"/>
                    </w:rPr>
                    <w:t>的排放量为38.90t/a、NO</w:t>
                  </w:r>
                  <w:r>
                    <w:rPr>
                      <w:rFonts w:hint="eastAsia"/>
                      <w:color w:val="auto"/>
                      <w:highlight w:val="none"/>
                      <w:vertAlign w:val="subscript"/>
                      <w:lang w:val="en-US" w:eastAsia="zh-CN"/>
                    </w:rPr>
                    <w:t>X</w:t>
                  </w:r>
                  <w:r>
                    <w:rPr>
                      <w:rFonts w:hint="eastAsia"/>
                      <w:color w:val="auto"/>
                      <w:highlight w:val="none"/>
                      <w:lang w:val="en-US" w:eastAsia="zh-CN"/>
                    </w:rPr>
                    <w:t>的排放量为41.36t/a，总量文件正在办理中。</w:t>
                  </w:r>
                </w:p>
              </w:tc>
              <w:tc>
                <w:tcPr>
                  <w:tcW w:w="685" w:type="dxa"/>
                </w:tcPr>
                <w:p w14:paraId="0E7D28FA">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rPr>
                  </w:pPr>
                  <w:r>
                    <w:rPr>
                      <w:rFonts w:hint="default" w:ascii="Times New Roman" w:hAnsi="Times New Roman" w:cs="Times New Roman"/>
                      <w:color w:val="auto"/>
                      <w:highlight w:val="none"/>
                      <w:vertAlign w:val="baseline"/>
                      <w:lang w:val="en-US" w:eastAsia="zh-CN"/>
                    </w:rPr>
                    <w:t>符合</w:t>
                  </w:r>
                </w:p>
              </w:tc>
            </w:tr>
            <w:tr w14:paraId="1F2CE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4" w:hRule="atLeast"/>
                <w:jc w:val="center"/>
              </w:trPr>
              <w:tc>
                <w:tcPr>
                  <w:tcW w:w="3564" w:type="dxa"/>
                </w:tcPr>
                <w:p w14:paraId="7C499E8C">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both"/>
                    <w:textAlignment w:val="auto"/>
                    <w:rPr>
                      <w:rFonts w:hint="default" w:ascii="Times New Roman" w:hAnsi="Times New Roman" w:cs="Times New Roman"/>
                      <w:color w:val="auto"/>
                      <w:highlight w:val="none"/>
                      <w:vertAlign w:val="baseline"/>
                      <w:lang w:val="en-US"/>
                    </w:rPr>
                  </w:pPr>
                  <w:r>
                    <w:rPr>
                      <w:rFonts w:hint="default" w:ascii="Times New Roman" w:hAnsi="Times New Roman" w:cs="Times New Roman"/>
                      <w:color w:val="auto"/>
                      <w:highlight w:val="none"/>
                      <w:vertAlign w:val="baseline"/>
                      <w:lang w:val="en-US" w:eastAsia="zh-CN"/>
                    </w:rPr>
                    <w:t>加强环境基础设施建设，推进污染集中治理，强化企业生产废水预处理，合理规划园区污水集中处理设施及配套管网，采用成熟可靠的废水处理工艺，实现园区内生产废水全部纳管收集、妥善处理和达标回用。建设足够处理能力的园区高盐水处理工程。2023年底前完成晾晒池存水治理，2024年底前完成晾晒场改建为园区事故水池相关工作。充分利用集中供热或清洁能源实现供热、供汽。强化企业的危险废物鉴别主体责任，对园区各类危险废物实施严格监管和严密监控。优化固体废物、危险废物处置方式，积极拓展资源化利用途径，提高综合利用率，规范建设固体废物贮存场及填埋场并严格管理。推进大宗货物及其他货物公路运输铁路运输，园区内及周边中短途汽车运输有限采用新能源汽车。</w:t>
                  </w:r>
                </w:p>
              </w:tc>
              <w:tc>
                <w:tcPr>
                  <w:tcW w:w="2669" w:type="dxa"/>
                </w:tcPr>
                <w:p w14:paraId="6780D326">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both"/>
                    <w:textAlignment w:val="auto"/>
                    <w:rPr>
                      <w:rFonts w:hint="default" w:ascii="Times New Roman" w:hAnsi="Times New Roman" w:cs="Times New Roman"/>
                      <w:color w:val="auto"/>
                      <w:highlight w:val="none"/>
                      <w:vertAlign w:val="baseline"/>
                      <w:lang w:val="en-US"/>
                    </w:rPr>
                  </w:pPr>
                  <w:r>
                    <w:rPr>
                      <w:rFonts w:hint="eastAsia" w:ascii="Times New Roman" w:hAnsi="Times New Roman" w:eastAsia="宋体" w:cs="Times New Roman"/>
                      <w:color w:val="auto"/>
                      <w:szCs w:val="21"/>
                      <w:highlight w:val="none"/>
                      <w:vertAlign w:val="baseline"/>
                      <w:lang w:val="en-US" w:eastAsia="zh-CN"/>
                    </w:rPr>
                    <w:t>本项目产生的生活污水经由化粪池收集后，最终排入园区</w:t>
                  </w:r>
                  <w:r>
                    <w:rPr>
                      <w:rFonts w:hint="eastAsia" w:cs="Times New Roman"/>
                      <w:color w:val="auto"/>
                      <w:szCs w:val="21"/>
                      <w:highlight w:val="none"/>
                      <w:vertAlign w:val="baseline"/>
                      <w:lang w:val="en-US" w:eastAsia="zh-CN"/>
                    </w:rPr>
                    <w:t>污水处理厂处理，无生产废水外排，全部损失或回用</w:t>
                  </w:r>
                  <w:r>
                    <w:rPr>
                      <w:rFonts w:hint="default" w:ascii="Times New Roman" w:hAnsi="Times New Roman" w:cs="Times New Roman"/>
                      <w:color w:val="auto"/>
                      <w:highlight w:val="none"/>
                      <w:vertAlign w:val="baseline"/>
                      <w:lang w:val="en-US" w:eastAsia="zh-CN"/>
                    </w:rPr>
                    <w:t>。本项目冬季</w:t>
                  </w:r>
                  <w:r>
                    <w:rPr>
                      <w:rFonts w:hint="eastAsia" w:cs="Times New Roman"/>
                      <w:color w:val="auto"/>
                      <w:highlight w:val="none"/>
                      <w:vertAlign w:val="baseline"/>
                      <w:lang w:val="en-US" w:eastAsia="zh-CN"/>
                    </w:rPr>
                    <w:t>办公区采暖使用园区集中供热，生产区不进行供热</w:t>
                  </w:r>
                  <w:r>
                    <w:rPr>
                      <w:rFonts w:hint="default" w:ascii="Times New Roman" w:hAnsi="Times New Roman" w:cs="Times New Roman"/>
                      <w:color w:val="auto"/>
                      <w:highlight w:val="none"/>
                      <w:vertAlign w:val="baseline"/>
                      <w:lang w:val="en-US" w:eastAsia="zh-CN"/>
                    </w:rPr>
                    <w:t>，不使用蒸汽，不涉及分散热源。本项目</w:t>
                  </w:r>
                  <w:r>
                    <w:rPr>
                      <w:rFonts w:hint="eastAsia" w:cs="Times New Roman"/>
                      <w:color w:val="auto"/>
                      <w:highlight w:val="none"/>
                      <w:vertAlign w:val="baseline"/>
                      <w:lang w:val="en-US" w:eastAsia="zh-CN"/>
                    </w:rPr>
                    <w:t>建设一座50㎡的</w:t>
                  </w:r>
                  <w:r>
                    <w:rPr>
                      <w:rFonts w:hint="default" w:ascii="Times New Roman" w:hAnsi="Times New Roman" w:cs="Times New Roman"/>
                      <w:color w:val="auto"/>
                      <w:highlight w:val="none"/>
                      <w:vertAlign w:val="baseline"/>
                      <w:lang w:val="en-US" w:eastAsia="zh-CN"/>
                    </w:rPr>
                    <w:t>一般固废暂存间，一般工业固体废物的贮存和处置方法执行《一般工业固体废物贮存和填埋污染控制标准》</w:t>
                  </w:r>
                  <w:r>
                    <w:rPr>
                      <w:rFonts w:hint="eastAsia" w:cs="Times New Roman"/>
                      <w:color w:val="auto"/>
                      <w:highlight w:val="none"/>
                      <w:vertAlign w:val="baseline"/>
                      <w:lang w:val="en-US" w:eastAsia="zh-CN"/>
                    </w:rPr>
                    <w:t>（</w:t>
                  </w:r>
                  <w:r>
                    <w:rPr>
                      <w:rFonts w:hint="default" w:ascii="Times New Roman" w:hAnsi="Times New Roman" w:cs="Times New Roman"/>
                      <w:color w:val="auto"/>
                      <w:highlight w:val="none"/>
                      <w:vertAlign w:val="baseline"/>
                      <w:lang w:val="en-US" w:eastAsia="zh-CN"/>
                    </w:rPr>
                    <w:t>GB18599-2020</w:t>
                  </w:r>
                  <w:r>
                    <w:rPr>
                      <w:rFonts w:hint="eastAsia" w:cs="Times New Roman"/>
                      <w:color w:val="auto"/>
                      <w:highlight w:val="none"/>
                      <w:vertAlign w:val="baseline"/>
                      <w:lang w:val="en-US" w:eastAsia="zh-CN"/>
                    </w:rPr>
                    <w:t>），</w:t>
                  </w:r>
                  <w:r>
                    <w:rPr>
                      <w:rFonts w:hint="default" w:ascii="Times New Roman" w:hAnsi="Times New Roman" w:cs="Times New Roman"/>
                      <w:color w:val="auto"/>
                      <w:highlight w:val="none"/>
                      <w:vertAlign w:val="baseline"/>
                      <w:lang w:val="en-US" w:eastAsia="zh-CN"/>
                    </w:rPr>
                    <w:t>将严格监管</w:t>
                  </w:r>
                  <w:r>
                    <w:rPr>
                      <w:rFonts w:hint="eastAsia" w:cs="Times New Roman"/>
                      <w:color w:val="auto"/>
                      <w:highlight w:val="none"/>
                      <w:vertAlign w:val="baseline"/>
                      <w:lang w:val="en-US" w:eastAsia="zh-CN"/>
                    </w:rPr>
                    <w:t>。</w:t>
                  </w:r>
                </w:p>
              </w:tc>
              <w:tc>
                <w:tcPr>
                  <w:tcW w:w="685" w:type="dxa"/>
                </w:tcPr>
                <w:p w14:paraId="40AED4F8">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rPr>
                  </w:pPr>
                  <w:r>
                    <w:rPr>
                      <w:rFonts w:hint="default" w:ascii="Times New Roman" w:hAnsi="Times New Roman" w:cs="Times New Roman"/>
                      <w:color w:val="auto"/>
                      <w:highlight w:val="none"/>
                      <w:vertAlign w:val="baseline"/>
                      <w:lang w:val="en-US" w:eastAsia="zh-CN"/>
                    </w:rPr>
                    <w:t>符合</w:t>
                  </w:r>
                </w:p>
              </w:tc>
            </w:tr>
            <w:tr w14:paraId="2BFFB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6" w:hRule="atLeast"/>
                <w:jc w:val="center"/>
              </w:trPr>
              <w:tc>
                <w:tcPr>
                  <w:tcW w:w="3564" w:type="dxa"/>
                </w:tcPr>
                <w:p w14:paraId="44B9AF0A">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both"/>
                    <w:textAlignment w:val="auto"/>
                    <w:rPr>
                      <w:rFonts w:hint="default" w:ascii="Times New Roman" w:hAnsi="Times New Roman" w:cs="Times New Roman"/>
                      <w:color w:val="auto"/>
                      <w:highlight w:val="none"/>
                      <w:vertAlign w:val="baseline"/>
                      <w:lang w:val="en-US"/>
                    </w:rPr>
                  </w:pPr>
                  <w:r>
                    <w:rPr>
                      <w:rFonts w:hint="default" w:ascii="Times New Roman" w:hAnsi="Times New Roman" w:cs="Times New Roman"/>
                      <w:color w:val="auto"/>
                      <w:highlight w:val="none"/>
                      <w:vertAlign w:val="baseline"/>
                      <w:lang w:val="en-US" w:eastAsia="zh-CN"/>
                    </w:rPr>
                    <w:t>强化源头防控，有效加强突发环境事件应急处置能力建设、建立完善的风险防控和应急监测体系，强化应急演练和应急物资储备，不断提升应急响应能力，保障区域生态环境安全。入园企业按要求设置事故水池，并与园区事故水池联通形成综合调控系统，确保任何情况下园区事故废水不进入外环境。</w:t>
                  </w:r>
                </w:p>
              </w:tc>
              <w:tc>
                <w:tcPr>
                  <w:tcW w:w="2669" w:type="dxa"/>
                </w:tcPr>
                <w:p w14:paraId="7AE46402">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both"/>
                    <w:textAlignment w:val="auto"/>
                    <w:rPr>
                      <w:rFonts w:hint="default" w:ascii="Times New Roman" w:hAnsi="Times New Roman" w:cs="Times New Roman"/>
                      <w:color w:val="auto"/>
                      <w:highlight w:val="none"/>
                      <w:vertAlign w:val="baseline"/>
                      <w:lang w:val="en-US"/>
                    </w:rPr>
                  </w:pPr>
                  <w:r>
                    <w:rPr>
                      <w:rFonts w:hint="default" w:ascii="Times New Roman" w:hAnsi="Times New Roman" w:cs="Times New Roman"/>
                      <w:color w:val="auto"/>
                      <w:highlight w:val="none"/>
                      <w:vertAlign w:val="baseline"/>
                      <w:lang w:val="en-US" w:eastAsia="zh-CN"/>
                    </w:rPr>
                    <w:t>本项目将编制事故应急预案，加强突发环境事件应急处置能力建设、建立完善的风险防控和应急监测体系，强化应急演练和应急物资储备，不断提升应急响应能力</w:t>
                  </w:r>
                  <w:r>
                    <w:rPr>
                      <w:rFonts w:hint="eastAsia" w:ascii="Times New Roman" w:hAnsi="Times New Roman" w:cs="Times New Roman"/>
                      <w:color w:val="auto"/>
                      <w:highlight w:val="none"/>
                      <w:vertAlign w:val="baseline"/>
                      <w:lang w:val="en-US" w:eastAsia="zh-CN"/>
                    </w:rPr>
                    <w:t>。</w:t>
                  </w:r>
                  <w:r>
                    <w:rPr>
                      <w:rFonts w:hint="eastAsia" w:cs="Times New Roman"/>
                      <w:color w:val="auto"/>
                      <w:highlight w:val="none"/>
                      <w:vertAlign w:val="baseline"/>
                      <w:lang w:val="en-US" w:eastAsia="zh-CN"/>
                    </w:rPr>
                    <w:t>本项目新建1座415m³的事故水池，与园区事故水池联通形成综合调控系统，确保事故状态下废水不进入外环境。</w:t>
                  </w:r>
                </w:p>
              </w:tc>
              <w:tc>
                <w:tcPr>
                  <w:tcW w:w="685" w:type="dxa"/>
                </w:tcPr>
                <w:p w14:paraId="05893C04">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rPr>
                  </w:pPr>
                  <w:r>
                    <w:rPr>
                      <w:rFonts w:hint="default" w:ascii="Times New Roman" w:hAnsi="Times New Roman" w:cs="Times New Roman"/>
                      <w:color w:val="auto"/>
                      <w:highlight w:val="none"/>
                      <w:vertAlign w:val="baseline"/>
                      <w:lang w:val="en-US" w:eastAsia="zh-CN"/>
                    </w:rPr>
                    <w:t>符合</w:t>
                  </w:r>
                </w:p>
              </w:tc>
            </w:tr>
            <w:tr w14:paraId="07B86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2" w:hRule="atLeast"/>
                <w:jc w:val="center"/>
              </w:trPr>
              <w:tc>
                <w:tcPr>
                  <w:tcW w:w="3564" w:type="dxa"/>
                </w:tcPr>
                <w:p w14:paraId="7634C736">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both"/>
                    <w:textAlignment w:val="auto"/>
                    <w:rPr>
                      <w:rFonts w:hint="default" w:ascii="Times New Roman" w:hAnsi="Times New Roman" w:cs="Times New Roman"/>
                      <w:color w:val="auto"/>
                      <w:highlight w:val="none"/>
                      <w:vertAlign w:val="baseline"/>
                      <w:lang w:val="en-US"/>
                    </w:rPr>
                  </w:pPr>
                  <w:r>
                    <w:rPr>
                      <w:rFonts w:hint="default" w:ascii="Times New Roman" w:hAnsi="Times New Roman" w:cs="Times New Roman"/>
                      <w:color w:val="auto"/>
                      <w:highlight w:val="none"/>
                      <w:vertAlign w:val="baseline"/>
                      <w:lang w:val="en-US" w:eastAsia="zh-CN"/>
                    </w:rPr>
                    <w:t>加强环境监管及日常环境质量监测，园区应建立完善的环境监测计划，开展包括常规污染物、特征污染物在内的环境大气、地下水、地表水、土壤、生态等环境质量长期监测和污染物风险管控。重点企业排污口要设置在线监测系统并与生态环境部门联网，加强土壤污染重点企业监管，强化腾退企业遗留场地的土壤环境调查和风险评估、合理确定土地利用方式。</w:t>
                  </w:r>
                </w:p>
              </w:tc>
              <w:tc>
                <w:tcPr>
                  <w:tcW w:w="2669" w:type="dxa"/>
                </w:tcPr>
                <w:p w14:paraId="0DA93ACD">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both"/>
                    <w:textAlignment w:val="auto"/>
                    <w:rPr>
                      <w:rFonts w:hint="default" w:ascii="Times New Roman" w:hAnsi="Times New Roman" w:cs="Times New Roman"/>
                      <w:color w:val="auto"/>
                      <w:highlight w:val="none"/>
                      <w:vertAlign w:val="baseline"/>
                      <w:lang w:val="en-US"/>
                    </w:rPr>
                  </w:pPr>
                  <w:r>
                    <w:rPr>
                      <w:rFonts w:hint="default" w:ascii="Times New Roman" w:hAnsi="Times New Roman" w:cs="Times New Roman"/>
                      <w:color w:val="auto"/>
                      <w:highlight w:val="none"/>
                      <w:vertAlign w:val="baseline"/>
                      <w:lang w:val="en-US" w:eastAsia="zh-CN"/>
                    </w:rPr>
                    <w:t>本项目将对各项污染因子制定了严格的监测计划，确保污染物长期稳定达标排放，防止环境污染事件发生。</w:t>
                  </w:r>
                </w:p>
              </w:tc>
              <w:tc>
                <w:tcPr>
                  <w:tcW w:w="685" w:type="dxa"/>
                </w:tcPr>
                <w:p w14:paraId="5491B18D">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rPr>
                  </w:pPr>
                  <w:r>
                    <w:rPr>
                      <w:rFonts w:hint="default" w:ascii="Times New Roman" w:hAnsi="Times New Roman" w:cs="Times New Roman"/>
                      <w:color w:val="auto"/>
                      <w:highlight w:val="none"/>
                      <w:vertAlign w:val="baseline"/>
                      <w:lang w:val="en-US" w:eastAsia="zh-CN"/>
                    </w:rPr>
                    <w:t>符合</w:t>
                  </w:r>
                </w:p>
              </w:tc>
            </w:tr>
          </w:tbl>
          <w:p w14:paraId="7BEBF8FF">
            <w:pPr>
              <w:bidi w:val="0"/>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根据上表</w:t>
            </w:r>
            <w:r>
              <w:rPr>
                <w:rFonts w:hint="eastAsia" w:ascii="Times New Roman" w:hAnsi="Times New Roman" w:cs="Times New Roman"/>
                <w:color w:val="auto"/>
                <w:highlight w:val="none"/>
                <w:lang w:val="en-US" w:eastAsia="zh-CN"/>
              </w:rPr>
              <w:t>1-1</w:t>
            </w:r>
            <w:r>
              <w:rPr>
                <w:rFonts w:hint="default" w:ascii="Times New Roman" w:hAnsi="Times New Roman" w:cs="Times New Roman"/>
                <w:color w:val="auto"/>
                <w:highlight w:val="none"/>
                <w:lang w:val="en-US" w:eastAsia="zh-CN"/>
              </w:rPr>
              <w:t>，本项目的建设符合内蒙古鄂尔多斯杭锦经济开发区规划环评审查意见的要求。</w:t>
            </w:r>
          </w:p>
        </w:tc>
      </w:tr>
      <w:tr w14:paraId="3E116EE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5" w:hRule="atLeast"/>
          <w:jc w:val="center"/>
        </w:trPr>
        <w:tc>
          <w:tcPr>
            <w:tcW w:w="1341" w:type="dxa"/>
            <w:noWrap w:val="0"/>
            <w:vAlign w:val="center"/>
          </w:tcPr>
          <w:p w14:paraId="26E42553">
            <w:pPr>
              <w:keepNext w:val="0"/>
              <w:keepLines w:val="0"/>
              <w:pageBreakBefore w:val="0"/>
              <w:widowControl w:val="0"/>
              <w:kinsoku/>
              <w:wordWrap/>
              <w:overflowPunct/>
              <w:topLinePunct w:val="0"/>
              <w:autoSpaceDE w:val="0"/>
              <w:autoSpaceDN w:val="0"/>
              <w:bidi w:val="0"/>
              <w:adjustRightInd w:val="0"/>
              <w:snapToGrid w:val="0"/>
              <w:ind w:firstLine="0" w:firstLineChars="0"/>
              <w:jc w:val="center"/>
              <w:textAlignment w:val="auto"/>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其他符合性分析</w:t>
            </w:r>
          </w:p>
        </w:tc>
        <w:tc>
          <w:tcPr>
            <w:tcW w:w="7238" w:type="dxa"/>
            <w:gridSpan w:val="4"/>
            <w:noWrap w:val="0"/>
            <w:vAlign w:val="center"/>
          </w:tcPr>
          <w:p w14:paraId="5DFA7AAB">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一、产业政策符合性分析</w:t>
            </w:r>
          </w:p>
          <w:p w14:paraId="02D6758D">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根据国家发展和改革委员会发布的《产业结构调整指导目录（</w:t>
            </w:r>
            <w:r>
              <w:rPr>
                <w:rFonts w:hint="eastAsia" w:cs="Times New Roman"/>
                <w:color w:val="auto"/>
                <w:highlight w:val="none"/>
                <w:lang w:val="en-US" w:eastAsia="zh-CN"/>
              </w:rPr>
              <w:t>2</w:t>
            </w:r>
            <w:r>
              <w:rPr>
                <w:rFonts w:hint="eastAsia" w:ascii="Times New Roman" w:hAnsi="Times New Roman" w:eastAsia="宋体" w:cs="Times New Roman"/>
                <w:color w:val="auto"/>
                <w:highlight w:val="none"/>
                <w:lang w:val="en-US" w:eastAsia="zh-CN"/>
              </w:rPr>
              <w:t>024</w:t>
            </w:r>
            <w:r>
              <w:rPr>
                <w:rFonts w:hint="default" w:ascii="Times New Roman" w:hAnsi="Times New Roman" w:eastAsia="宋体" w:cs="Times New Roman"/>
                <w:color w:val="auto"/>
                <w:highlight w:val="none"/>
                <w:lang w:val="en-US" w:eastAsia="zh-CN"/>
              </w:rPr>
              <w:t>年本）》，</w:t>
            </w:r>
            <w:r>
              <w:rPr>
                <w:rFonts w:hint="eastAsia" w:ascii="Times New Roman" w:hAnsi="Times New Roman" w:eastAsia="宋体" w:cs="Times New Roman"/>
                <w:color w:val="auto"/>
                <w:highlight w:val="none"/>
                <w:lang w:val="en-US" w:eastAsia="zh-CN"/>
              </w:rPr>
              <w:t>本项目属于第一类鼓励类</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本项目符合国家的产业政策。本项目已在</w:t>
            </w:r>
            <w:r>
              <w:rPr>
                <w:rFonts w:hint="eastAsia" w:cs="Times New Roman"/>
                <w:color w:val="auto"/>
                <w:highlight w:val="none"/>
                <w:lang w:val="en-US" w:eastAsia="zh-CN"/>
              </w:rPr>
              <w:t>杭</w:t>
            </w:r>
            <w:r>
              <w:rPr>
                <w:rFonts w:hint="default" w:ascii="Times New Roman" w:hAnsi="Times New Roman" w:cs="Times New Roman"/>
                <w:color w:val="auto"/>
                <w:szCs w:val="21"/>
                <w:highlight w:val="none"/>
                <w:lang w:val="en-US" w:eastAsia="zh-CN"/>
              </w:rPr>
              <w:t>锦旗发展和改革委员会备案，项目代码为2306-150625-04-05-521677。</w:t>
            </w:r>
          </w:p>
          <w:p w14:paraId="7FA1310D">
            <w:pPr>
              <w:bidi w:val="0"/>
              <w:rPr>
                <w:rFonts w:hint="default" w:ascii="Times New Roman" w:hAnsi="Times New Roman" w:cs="Times New Roman"/>
                <w:b/>
                <w:bCs/>
                <w:color w:val="auto"/>
                <w:highlight w:val="none"/>
                <w:lang w:val="en-US" w:eastAsia="zh-CN"/>
              </w:rPr>
            </w:pPr>
            <w:r>
              <w:rPr>
                <w:rFonts w:hint="eastAsia" w:cs="Times New Roman"/>
                <w:b/>
                <w:bCs/>
                <w:color w:val="auto"/>
                <w:highlight w:val="none"/>
                <w:lang w:val="en-US" w:eastAsia="zh-CN"/>
              </w:rPr>
              <w:t>二</w:t>
            </w:r>
            <w:r>
              <w:rPr>
                <w:rFonts w:hint="default" w:ascii="Times New Roman" w:hAnsi="Times New Roman" w:cs="Times New Roman"/>
                <w:b/>
                <w:bCs/>
                <w:color w:val="auto"/>
                <w:highlight w:val="none"/>
                <w:lang w:val="en-US" w:eastAsia="zh-CN"/>
              </w:rPr>
              <w:t>、“三线一单”符合性分析</w:t>
            </w:r>
          </w:p>
          <w:p w14:paraId="034A8152">
            <w:pPr>
              <w:bidi w:val="0"/>
              <w:rPr>
                <w:rFonts w:hint="default"/>
                <w:b/>
                <w:bCs/>
                <w:color w:val="auto"/>
                <w:highlight w:val="none"/>
                <w:lang w:val="en-US" w:eastAsia="zh-CN"/>
              </w:rPr>
            </w:pPr>
            <w:r>
              <w:rPr>
                <w:rFonts w:hint="default"/>
                <w:b/>
                <w:bCs/>
                <w:color w:val="auto"/>
                <w:highlight w:val="none"/>
                <w:lang w:val="en-US" w:eastAsia="zh-CN"/>
              </w:rPr>
              <w:t>1</w:t>
            </w:r>
            <w:r>
              <w:rPr>
                <w:rFonts w:hint="eastAsia"/>
                <w:b/>
                <w:bCs/>
                <w:color w:val="auto"/>
                <w:highlight w:val="none"/>
                <w:lang w:val="en-US" w:eastAsia="zh-CN"/>
              </w:rPr>
              <w:t>.</w:t>
            </w:r>
            <w:r>
              <w:rPr>
                <w:rFonts w:hint="default"/>
                <w:b/>
                <w:bCs/>
                <w:color w:val="auto"/>
                <w:highlight w:val="none"/>
                <w:lang w:val="en-US" w:eastAsia="zh-CN"/>
              </w:rPr>
              <w:t>生态红线</w:t>
            </w:r>
          </w:p>
          <w:p w14:paraId="6D0C50C0">
            <w:pPr>
              <w:bidi w:val="0"/>
              <w:rPr>
                <w:rFonts w:hint="default"/>
                <w:color w:val="auto"/>
                <w:highlight w:val="none"/>
                <w:lang w:val="en-US" w:eastAsia="zh-CN"/>
              </w:rPr>
            </w:pPr>
            <w:r>
              <w:rPr>
                <w:rFonts w:hint="default"/>
                <w:color w:val="auto"/>
                <w:highlight w:val="none"/>
                <w:lang w:val="en-US" w:eastAsia="zh-CN"/>
              </w:rPr>
              <w:t>根据《鄂尔多斯市人民政府关于“三线一单”生态环境分区管控的实施意见》鄂府发〔2021〕218号，全市共划定环境管控单元163个，包括优先保护单元、重点管控单元、一般管控单元三类，实施分类管控。</w:t>
            </w:r>
          </w:p>
          <w:p w14:paraId="1629DB2A">
            <w:pPr>
              <w:bidi w:val="0"/>
              <w:rPr>
                <w:rFonts w:hint="default"/>
                <w:color w:val="auto"/>
                <w:highlight w:val="none"/>
                <w:lang w:val="en-US" w:eastAsia="zh-CN"/>
              </w:rPr>
            </w:pPr>
            <w:r>
              <w:rPr>
                <w:rFonts w:hint="default"/>
                <w:color w:val="auto"/>
                <w:highlight w:val="none"/>
                <w:lang w:val="en-US" w:eastAsia="zh-CN"/>
              </w:rPr>
              <w:t>（1）优先保护单元。共69个，面积占比为62.63%，主要包括我市生态保护红线、自然保护地、集中式饮用水水源保护区等生态功能重要区和生态环境敏感区。该区域以生态环境保护优先为原则，依法禁止或限制大规模、高强度的工业开发和城镇建设，确保生态环境功能不降低。</w:t>
            </w:r>
          </w:p>
          <w:p w14:paraId="0160CFA3">
            <w:pPr>
              <w:bidi w:val="0"/>
              <w:rPr>
                <w:rFonts w:hint="default"/>
                <w:color w:val="auto"/>
                <w:highlight w:val="none"/>
                <w:lang w:val="en-US" w:eastAsia="zh-CN"/>
              </w:rPr>
            </w:pPr>
            <w:r>
              <w:rPr>
                <w:rFonts w:hint="default"/>
                <w:color w:val="auto"/>
                <w:highlight w:val="none"/>
                <w:lang w:val="en-US" w:eastAsia="zh-CN"/>
              </w:rPr>
              <w:t>（2）重点管控单元。共87个，面积占比为30.74%，主要包括工业园区、城市、矿区等开发强度高、污染排放量大、环境问题相对集中的区域，以及生态需水补给区等。该区域应不断提升资源利用效率，有针对性地加强污染物排放控制和环境风险防控，解决生态环境质量不达标、生态环境风险高等问题。</w:t>
            </w:r>
          </w:p>
          <w:p w14:paraId="6367D1A4">
            <w:pPr>
              <w:bidi w:val="0"/>
              <w:rPr>
                <w:rFonts w:hint="default"/>
                <w:color w:val="auto"/>
                <w:highlight w:val="none"/>
                <w:lang w:val="en-US" w:eastAsia="zh-CN"/>
              </w:rPr>
            </w:pPr>
            <w:r>
              <w:rPr>
                <w:rFonts w:hint="default"/>
                <w:color w:val="auto"/>
                <w:highlight w:val="none"/>
                <w:lang w:val="en-US" w:eastAsia="zh-CN"/>
              </w:rPr>
              <w:t>（3）一般管控单元。共7个，面积占比为6.63%，优先保护单元、重点管控单元之外为一般管控单元。该区域主要落实生态环境保护基本要求。根据《鄂尔多斯市环境管控单元图》（详见图1.2-1）及《鄂尔多斯市环境准入清单》，生态保护红线主要分布在优先保护单元内，本项目所在地属于重点管控单元，本项目不触及生态保护红线。本项目建设地点位于鄂尔多斯市杭锦经济开发区新能源产业园</w:t>
            </w:r>
            <w:r>
              <w:rPr>
                <w:rFonts w:hint="eastAsia"/>
                <w:color w:val="auto"/>
                <w:highlight w:val="none"/>
                <w:lang w:val="en-US" w:eastAsia="zh-CN"/>
              </w:rPr>
              <w:t>C组</w:t>
            </w:r>
            <w:r>
              <w:rPr>
                <w:rFonts w:hint="default"/>
                <w:color w:val="auto"/>
                <w:highlight w:val="none"/>
                <w:lang w:val="en-US" w:eastAsia="zh-CN"/>
              </w:rPr>
              <w:t>内建设，占地性质为工业用地，项目选址范围内无自然保护区、风景名胜区等特殊环境敏感区，不在地下水饮用水源保护区范围，不在生态红线范围内。本项目可做到大气污染物达标排放，废水不外排，各类固废分类处置，环境风险可防可控。</w:t>
            </w:r>
          </w:p>
          <w:p w14:paraId="0F29DC9B">
            <w:pPr>
              <w:bidi w:val="0"/>
              <w:rPr>
                <w:rFonts w:hint="default"/>
                <w:color w:val="auto"/>
                <w:highlight w:val="none"/>
                <w:lang w:val="en-US" w:eastAsia="zh-CN"/>
              </w:rPr>
            </w:pPr>
            <w:r>
              <w:rPr>
                <w:rFonts w:hint="default"/>
                <w:color w:val="auto"/>
                <w:highlight w:val="none"/>
                <w:lang w:val="en-US" w:eastAsia="zh-CN"/>
              </w:rPr>
              <w:t>因此，本项目符合生态保护红线要求。</w:t>
            </w:r>
          </w:p>
          <w:p w14:paraId="5A406ACF">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2</w:t>
            </w:r>
            <w:r>
              <w:rPr>
                <w:rFonts w:hint="eastAsia" w:cs="Times New Roman"/>
                <w:b/>
                <w:bCs/>
                <w:color w:val="auto"/>
                <w:highlight w:val="none"/>
                <w:lang w:val="en-US" w:eastAsia="zh-CN"/>
              </w:rPr>
              <w:t>.</w:t>
            </w:r>
            <w:r>
              <w:rPr>
                <w:rFonts w:hint="default" w:ascii="Times New Roman" w:hAnsi="Times New Roman" w:cs="Times New Roman"/>
                <w:b/>
                <w:bCs/>
                <w:color w:val="auto"/>
                <w:highlight w:val="none"/>
                <w:lang w:val="en-US" w:eastAsia="zh-CN"/>
              </w:rPr>
              <w:t>资源利用上线</w:t>
            </w:r>
          </w:p>
          <w:p w14:paraId="57CC5165">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项目运行中消耗一定量电、水等，均在鄂尔多斯市杭锦经济开发区供应范围内，且消耗量满足相关部门要求，项目建设满足区域资源利用上线。</w:t>
            </w:r>
          </w:p>
          <w:p w14:paraId="42F2D6F1">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3</w:t>
            </w:r>
            <w:r>
              <w:rPr>
                <w:rFonts w:hint="eastAsia" w:cs="Times New Roman"/>
                <w:b/>
                <w:bCs/>
                <w:color w:val="auto"/>
                <w:highlight w:val="none"/>
                <w:lang w:val="en-US" w:eastAsia="zh-CN"/>
              </w:rPr>
              <w:t>.</w:t>
            </w:r>
            <w:r>
              <w:rPr>
                <w:rFonts w:hint="default" w:ascii="Times New Roman" w:hAnsi="Times New Roman" w:cs="Times New Roman"/>
                <w:b/>
                <w:bCs/>
                <w:color w:val="auto"/>
                <w:highlight w:val="none"/>
                <w:lang w:val="en-US" w:eastAsia="zh-CN"/>
              </w:rPr>
              <w:t>环境质量底线</w:t>
            </w:r>
          </w:p>
          <w:p w14:paraId="185D8244">
            <w:pPr>
              <w:autoSpaceDE w:val="0"/>
              <w:autoSpaceDN w:val="0"/>
              <w:adjustRightInd w:val="0"/>
              <w:snapToGrid w:val="0"/>
              <w:jc w:val="both"/>
              <w:rPr>
                <w:rFonts w:hint="default" w:ascii="Times New Roman" w:hAnsi="Times New Roman" w:cs="Times New Roman"/>
                <w:color w:val="auto"/>
                <w:kern w:val="0"/>
                <w:szCs w:val="21"/>
                <w:highlight w:val="none"/>
                <w:lang w:val="en-US" w:eastAsia="zh-CN"/>
              </w:rPr>
            </w:pPr>
            <w:r>
              <w:rPr>
                <w:rFonts w:hint="eastAsia" w:cs="Times New Roman"/>
                <w:color w:val="auto"/>
                <w:kern w:val="0"/>
                <w:szCs w:val="21"/>
                <w:highlight w:val="none"/>
                <w:lang w:val="en-US" w:eastAsia="zh-CN"/>
              </w:rPr>
              <w:t>根据</w:t>
            </w:r>
            <w:r>
              <w:rPr>
                <w:rFonts w:hint="default" w:ascii="Times New Roman" w:hAnsi="Times New Roman" w:eastAsia="宋体" w:cs="Times New Roman"/>
                <w:color w:val="auto"/>
                <w:sz w:val="21"/>
                <w:szCs w:val="21"/>
                <w:highlight w:val="none"/>
              </w:rPr>
              <w:t>《2023年内蒙古自治区生态环境状况公报》公报数据</w:t>
            </w:r>
            <w:r>
              <w:rPr>
                <w:rFonts w:hint="eastAsia" w:cs="Times New Roman"/>
                <w:color w:val="auto"/>
                <w:sz w:val="21"/>
                <w:szCs w:val="21"/>
                <w:highlight w:val="none"/>
                <w:lang w:eastAsia="zh-CN"/>
              </w:rPr>
              <w:t>，</w:t>
            </w:r>
            <w:r>
              <w:rPr>
                <w:rFonts w:hint="default" w:ascii="Times New Roman" w:hAnsi="Times New Roman" w:cs="Times New Roman"/>
                <w:color w:val="auto"/>
                <w:kern w:val="0"/>
                <w:szCs w:val="21"/>
                <w:highlight w:val="none"/>
                <w:lang w:val="en-US" w:eastAsia="zh-CN"/>
              </w:rPr>
              <w:t>本项目所在区域空气环境质量满足《环境空气质量标准》</w:t>
            </w:r>
            <w:r>
              <w:rPr>
                <w:rFonts w:hint="eastAsia" w:cs="Times New Roman"/>
                <w:color w:val="auto"/>
                <w:kern w:val="0"/>
                <w:szCs w:val="21"/>
                <w:highlight w:val="none"/>
                <w:lang w:val="en-US" w:eastAsia="zh-CN"/>
              </w:rPr>
              <w:t>（</w:t>
            </w:r>
            <w:r>
              <w:rPr>
                <w:rFonts w:hint="default" w:ascii="Times New Roman" w:hAnsi="Times New Roman" w:cs="Times New Roman"/>
                <w:color w:val="auto"/>
                <w:kern w:val="0"/>
                <w:szCs w:val="21"/>
                <w:highlight w:val="none"/>
                <w:lang w:val="en-US" w:eastAsia="zh-CN"/>
              </w:rPr>
              <w:t>GB3095-2012）二级标准，为达标区；</w:t>
            </w:r>
            <w:r>
              <w:rPr>
                <w:rFonts w:hint="default" w:ascii="Times New Roman" w:hAnsi="Times New Roman" w:eastAsia="宋体" w:cs="Times New Roman"/>
                <w:color w:val="auto"/>
                <w:kern w:val="0"/>
                <w:szCs w:val="21"/>
                <w:highlight w:val="none"/>
                <w:lang w:val="en-US" w:eastAsia="zh-CN"/>
              </w:rPr>
              <w:t>补充监测期间评价区域其他因子</w:t>
            </w:r>
            <w:r>
              <w:rPr>
                <w:rFonts w:hint="eastAsia" w:cs="Times New Roman"/>
                <w:color w:val="auto"/>
                <w:kern w:val="0"/>
                <w:szCs w:val="21"/>
                <w:highlight w:val="none"/>
                <w:lang w:val="en-US" w:eastAsia="zh-CN"/>
              </w:rPr>
              <w:t>TSP</w:t>
            </w:r>
            <w:r>
              <w:rPr>
                <w:rFonts w:hint="default" w:ascii="Times New Roman" w:hAnsi="Times New Roman" w:eastAsia="宋体" w:cs="Times New Roman"/>
                <w:color w:val="auto"/>
                <w:kern w:val="0"/>
                <w:szCs w:val="21"/>
                <w:highlight w:val="none"/>
                <w:lang w:val="en-US" w:eastAsia="zh-CN"/>
              </w:rPr>
              <w:t>测浓</w:t>
            </w:r>
            <w:r>
              <w:rPr>
                <w:rFonts w:hint="eastAsia" w:cs="Times New Roman"/>
                <w:color w:val="auto"/>
                <w:szCs w:val="21"/>
                <w:highlight w:val="none"/>
                <w:lang w:val="en-US" w:eastAsia="zh-CN"/>
              </w:rPr>
              <w:t>度</w:t>
            </w:r>
            <w:r>
              <w:rPr>
                <w:rFonts w:hint="default" w:ascii="Times New Roman" w:hAnsi="Times New Roman" w:eastAsia="宋体" w:cs="Times New Roman"/>
                <w:color w:val="auto"/>
                <w:kern w:val="0"/>
                <w:szCs w:val="21"/>
                <w:highlight w:val="none"/>
                <w:lang w:val="en-US" w:eastAsia="zh-CN"/>
              </w:rPr>
              <w:t>均满足日均浓度满足《环境空气质量标准》（GB3095-2012）中二级标准。项目区域声环境质量能达到《声环境质量标准》</w:t>
            </w:r>
            <w:r>
              <w:rPr>
                <w:rFonts w:hint="eastAsia" w:cs="Times New Roman"/>
                <w:color w:val="auto"/>
                <w:kern w:val="0"/>
                <w:szCs w:val="21"/>
                <w:highlight w:val="none"/>
                <w:lang w:val="en-US" w:eastAsia="zh-CN"/>
              </w:rPr>
              <w:t>（</w:t>
            </w:r>
            <w:r>
              <w:rPr>
                <w:rFonts w:hint="default" w:ascii="Times New Roman" w:hAnsi="Times New Roman" w:eastAsia="宋体" w:cs="Times New Roman"/>
                <w:color w:val="auto"/>
                <w:kern w:val="0"/>
                <w:szCs w:val="21"/>
                <w:highlight w:val="none"/>
                <w:lang w:val="en-US" w:eastAsia="zh-CN"/>
              </w:rPr>
              <w:t>GB3096-2008</w:t>
            </w:r>
            <w:r>
              <w:rPr>
                <w:rFonts w:hint="eastAsia" w:cs="Times New Roman"/>
                <w:color w:val="auto"/>
                <w:kern w:val="0"/>
                <w:szCs w:val="21"/>
                <w:highlight w:val="none"/>
                <w:lang w:val="en-US" w:eastAsia="zh-CN"/>
              </w:rPr>
              <w:t>）</w:t>
            </w:r>
            <w:r>
              <w:rPr>
                <w:rFonts w:hint="default" w:ascii="Times New Roman" w:hAnsi="Times New Roman" w:eastAsia="宋体" w:cs="Times New Roman"/>
                <w:color w:val="auto"/>
                <w:kern w:val="0"/>
                <w:szCs w:val="21"/>
                <w:highlight w:val="none"/>
                <w:lang w:val="en-US" w:eastAsia="zh-CN"/>
              </w:rPr>
              <w:t>3类标准</w:t>
            </w:r>
            <w:r>
              <w:rPr>
                <w:rFonts w:hint="eastAsia" w:cs="Times New Roman"/>
                <w:color w:val="auto"/>
                <w:kern w:val="0"/>
                <w:szCs w:val="21"/>
                <w:highlight w:val="none"/>
                <w:lang w:val="en-US" w:eastAsia="zh-CN"/>
              </w:rPr>
              <w:t>，</w:t>
            </w:r>
            <w:r>
              <w:rPr>
                <w:rFonts w:hint="default" w:ascii="Times New Roman" w:hAnsi="Times New Roman" w:cs="Times New Roman"/>
                <w:color w:val="auto"/>
                <w:kern w:val="0"/>
                <w:szCs w:val="21"/>
                <w:highlight w:val="none"/>
                <w:lang w:val="en-US" w:eastAsia="zh-CN"/>
              </w:rPr>
              <w:t>本项目运营后会产生一定的污染物，如废气、废水、生产设备运行产生的噪声、固废等，但在采取相应的污染防治措施后都能达标排放，各类污染物的排放不会对周边环境造成不良影响，既不会改变区域环境功能区质量要求，</w:t>
            </w:r>
            <w:r>
              <w:rPr>
                <w:rFonts w:hint="eastAsia" w:cs="Times New Roman"/>
                <w:color w:val="auto"/>
                <w:kern w:val="0"/>
                <w:szCs w:val="21"/>
                <w:highlight w:val="none"/>
                <w:lang w:val="en-US" w:eastAsia="zh-CN"/>
              </w:rPr>
              <w:t>又</w:t>
            </w:r>
            <w:r>
              <w:rPr>
                <w:rFonts w:hint="default" w:ascii="Times New Roman" w:hAnsi="Times New Roman" w:cs="Times New Roman"/>
                <w:color w:val="auto"/>
                <w:kern w:val="0"/>
                <w:szCs w:val="21"/>
                <w:highlight w:val="none"/>
                <w:lang w:val="en-US" w:eastAsia="zh-CN"/>
              </w:rPr>
              <w:t>能维持环境功能区质量现状。</w:t>
            </w:r>
          </w:p>
          <w:p w14:paraId="62D92C72">
            <w:pPr>
              <w:autoSpaceDE w:val="0"/>
              <w:autoSpaceDN w:val="0"/>
              <w:adjustRightInd w:val="0"/>
              <w:snapToGrid w:val="0"/>
              <w:jc w:val="both"/>
              <w:rPr>
                <w:rFonts w:hint="default" w:ascii="Times New Roman" w:hAnsi="Times New Roman" w:cs="Times New Roman"/>
                <w:color w:val="auto"/>
                <w:kern w:val="0"/>
                <w:szCs w:val="21"/>
                <w:highlight w:val="none"/>
                <w:lang w:val="en-US" w:eastAsia="zh-CN"/>
              </w:rPr>
            </w:pPr>
            <w:r>
              <w:rPr>
                <w:rFonts w:hint="eastAsia" w:cs="Times New Roman"/>
                <w:color w:val="auto"/>
                <w:kern w:val="0"/>
                <w:szCs w:val="21"/>
                <w:highlight w:val="none"/>
                <w:lang w:val="en-US" w:eastAsia="zh-CN"/>
              </w:rPr>
              <w:t>因此，项目建设满足当地环境质量底线要求。</w:t>
            </w:r>
          </w:p>
          <w:p w14:paraId="693FDC3A">
            <w:pPr>
              <w:autoSpaceDE w:val="0"/>
              <w:autoSpaceDN w:val="0"/>
              <w:adjustRightInd w:val="0"/>
              <w:snapToGrid w:val="0"/>
              <w:jc w:val="both"/>
              <w:rPr>
                <w:rFonts w:hint="default" w:ascii="Times New Roman" w:hAnsi="Times New Roman" w:cs="Times New Roman"/>
                <w:b/>
                <w:bCs/>
                <w:color w:val="auto"/>
                <w:kern w:val="0"/>
                <w:szCs w:val="21"/>
                <w:highlight w:val="none"/>
                <w:lang w:val="en-US" w:eastAsia="zh-CN"/>
              </w:rPr>
            </w:pPr>
            <w:r>
              <w:rPr>
                <w:rFonts w:hint="default" w:ascii="Times New Roman" w:hAnsi="Times New Roman" w:cs="Times New Roman"/>
                <w:b/>
                <w:bCs/>
                <w:color w:val="auto"/>
                <w:kern w:val="0"/>
                <w:szCs w:val="21"/>
                <w:highlight w:val="none"/>
                <w:lang w:val="en-US" w:eastAsia="zh-CN"/>
              </w:rPr>
              <w:t>4</w:t>
            </w:r>
            <w:r>
              <w:rPr>
                <w:rFonts w:hint="eastAsia" w:cs="Times New Roman"/>
                <w:b/>
                <w:bCs/>
                <w:color w:val="auto"/>
                <w:kern w:val="0"/>
                <w:szCs w:val="21"/>
                <w:highlight w:val="none"/>
                <w:lang w:val="en-US" w:eastAsia="zh-CN"/>
              </w:rPr>
              <w:t>.</w:t>
            </w:r>
            <w:r>
              <w:rPr>
                <w:rFonts w:hint="default" w:ascii="Times New Roman" w:hAnsi="Times New Roman" w:cs="Times New Roman"/>
                <w:b/>
                <w:bCs/>
                <w:color w:val="auto"/>
                <w:kern w:val="0"/>
                <w:szCs w:val="21"/>
                <w:highlight w:val="none"/>
                <w:lang w:val="en-US" w:eastAsia="zh-CN"/>
              </w:rPr>
              <w:t>生态环境准入清单</w:t>
            </w:r>
          </w:p>
          <w:p w14:paraId="1DAD90C9">
            <w:pPr>
              <w:autoSpaceDE w:val="0"/>
              <w:autoSpaceDN w:val="0"/>
              <w:adjustRightInd w:val="0"/>
              <w:snapToGrid w:val="0"/>
              <w:jc w:val="both"/>
              <w:rPr>
                <w:rFonts w:hint="default" w:ascii="Times New Roman" w:hAnsi="Times New Roman" w:cs="Times New Roman"/>
                <w:color w:val="auto"/>
                <w:kern w:val="0"/>
                <w:szCs w:val="21"/>
                <w:highlight w:val="none"/>
                <w:lang w:val="en-US" w:eastAsia="zh-CN"/>
              </w:rPr>
            </w:pPr>
            <w:r>
              <w:rPr>
                <w:rFonts w:hint="default" w:ascii="Times New Roman" w:hAnsi="Times New Roman" w:cs="Times New Roman"/>
                <w:color w:val="auto"/>
                <w:kern w:val="0"/>
                <w:szCs w:val="21"/>
                <w:highlight w:val="none"/>
                <w:lang w:val="en-US" w:eastAsia="zh-CN"/>
              </w:rPr>
              <w:t>根据鄂尔多斯市生态环境局关于发布《鄂尔多斯市生态环境准入清单》的通知-鄂环函〔2021〕95号，本项目所在区域为鄂尔多斯新能源产业示范区-重点管控单元-ZH15062520002，且不属于禁止新建、扩建《产业结构调整指导目录（2019年本）》（2021年修订）中明确的淘汰类项目。本项目与鄂尔多斯新能源产业示范区重点管控单元管控要求符合性分析见表1-2。</w:t>
            </w:r>
          </w:p>
          <w:p w14:paraId="241CAAF4">
            <w:pPr>
              <w:autoSpaceDE w:val="0"/>
              <w:autoSpaceDN w:val="0"/>
              <w:adjustRightInd w:val="0"/>
              <w:snapToGrid w:val="0"/>
              <w:ind w:left="0" w:leftChars="0" w:firstLine="0" w:firstLineChars="0"/>
              <w:jc w:val="center"/>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kern w:val="0"/>
                <w:szCs w:val="21"/>
                <w:highlight w:val="none"/>
                <w:lang w:val="en-US" w:eastAsia="zh-CN"/>
              </w:rPr>
              <w:t>表1-2</w:t>
            </w:r>
            <w:r>
              <w:rPr>
                <w:rFonts w:hint="eastAsia" w:cs="Times New Roman"/>
                <w:b/>
                <w:bCs/>
                <w:color w:val="auto"/>
                <w:kern w:val="0"/>
                <w:szCs w:val="21"/>
                <w:highlight w:val="none"/>
                <w:lang w:val="en-US" w:eastAsia="zh-CN"/>
              </w:rPr>
              <w:t>：</w:t>
            </w:r>
            <w:r>
              <w:rPr>
                <w:rFonts w:hint="default" w:ascii="Times New Roman" w:hAnsi="Times New Roman" w:cs="Times New Roman"/>
                <w:b/>
                <w:bCs/>
                <w:color w:val="auto"/>
                <w:kern w:val="0"/>
                <w:szCs w:val="21"/>
                <w:highlight w:val="none"/>
                <w:lang w:val="en-US" w:eastAsia="zh-CN"/>
              </w:rPr>
              <w:t>生态环境准入管控单元管控要求符合性分析</w:t>
            </w:r>
          </w:p>
          <w:tbl>
            <w:tblPr>
              <w:tblStyle w:val="23"/>
              <w:tblW w:w="69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6"/>
              <w:gridCol w:w="344"/>
              <w:gridCol w:w="1655"/>
              <w:gridCol w:w="679"/>
              <w:gridCol w:w="392"/>
              <w:gridCol w:w="910"/>
              <w:gridCol w:w="815"/>
              <w:gridCol w:w="1507"/>
            </w:tblGrid>
            <w:tr w14:paraId="2ED7F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1040" w:type="dxa"/>
                  <w:gridSpan w:val="2"/>
                  <w:vMerge w:val="restart"/>
                  <w:tcBorders>
                    <w:tl2br w:val="nil"/>
                    <w:tr2bl w:val="nil"/>
                  </w:tcBorders>
                  <w:noWrap w:val="0"/>
                  <w:vAlign w:val="center"/>
                </w:tcPr>
                <w:p w14:paraId="4FD1BD81">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环境管控单元编码</w:t>
                  </w:r>
                </w:p>
              </w:tc>
              <w:tc>
                <w:tcPr>
                  <w:tcW w:w="1655" w:type="dxa"/>
                  <w:vMerge w:val="restart"/>
                  <w:tcBorders>
                    <w:tl2br w:val="nil"/>
                    <w:tr2bl w:val="nil"/>
                  </w:tcBorders>
                  <w:noWrap w:val="0"/>
                  <w:vAlign w:val="center"/>
                </w:tcPr>
                <w:p w14:paraId="64317A30">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环境管控单元名称</w:t>
                  </w:r>
                </w:p>
              </w:tc>
              <w:tc>
                <w:tcPr>
                  <w:tcW w:w="2796" w:type="dxa"/>
                  <w:gridSpan w:val="4"/>
                  <w:tcBorders>
                    <w:tl2br w:val="nil"/>
                    <w:tr2bl w:val="nil"/>
                  </w:tcBorders>
                  <w:noWrap w:val="0"/>
                  <w:vAlign w:val="center"/>
                </w:tcPr>
                <w:p w14:paraId="5A170DAD">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行政区划</w:t>
                  </w:r>
                </w:p>
              </w:tc>
              <w:tc>
                <w:tcPr>
                  <w:tcW w:w="1507" w:type="dxa"/>
                  <w:vMerge w:val="restart"/>
                  <w:tcBorders>
                    <w:tl2br w:val="nil"/>
                    <w:tr2bl w:val="nil"/>
                  </w:tcBorders>
                  <w:noWrap w:val="0"/>
                  <w:vAlign w:val="center"/>
                </w:tcPr>
                <w:p w14:paraId="70235289">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管控单元分类</w:t>
                  </w:r>
                </w:p>
              </w:tc>
            </w:tr>
            <w:tr w14:paraId="3FD92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8" w:hRule="atLeast"/>
                <w:jc w:val="center"/>
              </w:trPr>
              <w:tc>
                <w:tcPr>
                  <w:tcW w:w="1040" w:type="dxa"/>
                  <w:gridSpan w:val="2"/>
                  <w:vMerge w:val="continue"/>
                  <w:tcBorders>
                    <w:tl2br w:val="nil"/>
                    <w:tr2bl w:val="nil"/>
                  </w:tcBorders>
                  <w:noWrap w:val="0"/>
                  <w:vAlign w:val="center"/>
                </w:tcPr>
                <w:p w14:paraId="00809295">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rPr>
                  </w:pPr>
                </w:p>
              </w:tc>
              <w:tc>
                <w:tcPr>
                  <w:tcW w:w="1655" w:type="dxa"/>
                  <w:vMerge w:val="continue"/>
                  <w:tcBorders>
                    <w:tl2br w:val="nil"/>
                    <w:tr2bl w:val="nil"/>
                  </w:tcBorders>
                  <w:noWrap w:val="0"/>
                  <w:vAlign w:val="center"/>
                </w:tcPr>
                <w:p w14:paraId="7DCFCA21">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rPr>
                  </w:pPr>
                </w:p>
              </w:tc>
              <w:tc>
                <w:tcPr>
                  <w:tcW w:w="1071" w:type="dxa"/>
                  <w:gridSpan w:val="2"/>
                  <w:tcBorders>
                    <w:tl2br w:val="nil"/>
                    <w:tr2bl w:val="nil"/>
                  </w:tcBorders>
                  <w:noWrap w:val="0"/>
                  <w:vAlign w:val="center"/>
                </w:tcPr>
                <w:p w14:paraId="48AF129C">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省</w:t>
                  </w:r>
                </w:p>
              </w:tc>
              <w:tc>
                <w:tcPr>
                  <w:tcW w:w="910" w:type="dxa"/>
                  <w:tcBorders>
                    <w:tl2br w:val="nil"/>
                    <w:tr2bl w:val="nil"/>
                  </w:tcBorders>
                  <w:noWrap w:val="0"/>
                  <w:vAlign w:val="center"/>
                </w:tcPr>
                <w:p w14:paraId="15C13C6B">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市</w:t>
                  </w:r>
                </w:p>
              </w:tc>
              <w:tc>
                <w:tcPr>
                  <w:tcW w:w="815" w:type="dxa"/>
                  <w:tcBorders>
                    <w:tl2br w:val="nil"/>
                    <w:tr2bl w:val="nil"/>
                  </w:tcBorders>
                  <w:noWrap w:val="0"/>
                  <w:vAlign w:val="center"/>
                </w:tcPr>
                <w:p w14:paraId="380BE177">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区</w:t>
                  </w:r>
                </w:p>
              </w:tc>
              <w:tc>
                <w:tcPr>
                  <w:tcW w:w="1507" w:type="dxa"/>
                  <w:vMerge w:val="continue"/>
                  <w:tcBorders>
                    <w:tl2br w:val="nil"/>
                    <w:tr2bl w:val="nil"/>
                  </w:tcBorders>
                  <w:noWrap w:val="0"/>
                  <w:vAlign w:val="center"/>
                </w:tcPr>
                <w:p w14:paraId="4CDC2813">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rPr>
                  </w:pPr>
                </w:p>
              </w:tc>
            </w:tr>
            <w:tr w14:paraId="2B57F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1040" w:type="dxa"/>
                  <w:gridSpan w:val="2"/>
                  <w:tcBorders>
                    <w:tl2br w:val="nil"/>
                    <w:tr2bl w:val="nil"/>
                  </w:tcBorders>
                  <w:noWrap w:val="0"/>
                  <w:vAlign w:val="center"/>
                </w:tcPr>
                <w:p w14:paraId="4C05A9FF">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lang w:eastAsia="zh-CN"/>
                    </w:rPr>
                  </w:pPr>
                  <w:r>
                    <w:rPr>
                      <w:rFonts w:hint="default" w:ascii="Times New Roman" w:hAnsi="Times New Roman" w:cs="Times New Roman"/>
                      <w:color w:val="auto"/>
                      <w:kern w:val="0"/>
                      <w:szCs w:val="21"/>
                      <w:highlight w:val="none"/>
                      <w:lang w:val="en-US" w:eastAsia="zh-CN"/>
                    </w:rPr>
                    <w:t>ZH15062520002</w:t>
                  </w:r>
                </w:p>
              </w:tc>
              <w:tc>
                <w:tcPr>
                  <w:tcW w:w="1655" w:type="dxa"/>
                  <w:tcBorders>
                    <w:tl2br w:val="nil"/>
                    <w:tr2bl w:val="nil"/>
                  </w:tcBorders>
                  <w:noWrap w:val="0"/>
                  <w:vAlign w:val="center"/>
                </w:tcPr>
                <w:p w14:paraId="67CCC914">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鄂尔多斯新能源产业示范区</w:t>
                  </w:r>
                </w:p>
              </w:tc>
              <w:tc>
                <w:tcPr>
                  <w:tcW w:w="1071" w:type="dxa"/>
                  <w:gridSpan w:val="2"/>
                  <w:tcBorders>
                    <w:tl2br w:val="nil"/>
                    <w:tr2bl w:val="nil"/>
                  </w:tcBorders>
                  <w:noWrap w:val="0"/>
                  <w:vAlign w:val="center"/>
                </w:tcPr>
                <w:p w14:paraId="165FE0CE">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内蒙古自治区</w:t>
                  </w:r>
                </w:p>
              </w:tc>
              <w:tc>
                <w:tcPr>
                  <w:tcW w:w="910" w:type="dxa"/>
                  <w:tcBorders>
                    <w:tl2br w:val="nil"/>
                    <w:tr2bl w:val="nil"/>
                  </w:tcBorders>
                  <w:noWrap w:val="0"/>
                  <w:vAlign w:val="center"/>
                </w:tcPr>
                <w:p w14:paraId="44F78F43">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鄂尔多斯市</w:t>
                  </w:r>
                </w:p>
              </w:tc>
              <w:tc>
                <w:tcPr>
                  <w:tcW w:w="815" w:type="dxa"/>
                  <w:tcBorders>
                    <w:tl2br w:val="nil"/>
                    <w:tr2bl w:val="nil"/>
                  </w:tcBorders>
                  <w:noWrap w:val="0"/>
                  <w:vAlign w:val="center"/>
                </w:tcPr>
                <w:p w14:paraId="7D188BB2">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lang w:val="en-US" w:eastAsia="zh-CN"/>
                    </w:rPr>
                    <w:t>杭锦旗</w:t>
                  </w:r>
                </w:p>
              </w:tc>
              <w:tc>
                <w:tcPr>
                  <w:tcW w:w="1507" w:type="dxa"/>
                  <w:tcBorders>
                    <w:tl2br w:val="nil"/>
                    <w:tr2bl w:val="nil"/>
                  </w:tcBorders>
                  <w:noWrap w:val="0"/>
                  <w:vAlign w:val="center"/>
                </w:tcPr>
                <w:p w14:paraId="09E8D15E">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重点管控单元</w:t>
                  </w:r>
                </w:p>
              </w:tc>
            </w:tr>
            <w:tr w14:paraId="241B6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jc w:val="center"/>
              </w:trPr>
              <w:tc>
                <w:tcPr>
                  <w:tcW w:w="696" w:type="dxa"/>
                  <w:tcBorders>
                    <w:tl2br w:val="nil"/>
                    <w:tr2bl w:val="nil"/>
                  </w:tcBorders>
                  <w:noWrap w:val="0"/>
                  <w:vAlign w:val="center"/>
                </w:tcPr>
                <w:p w14:paraId="23C5AF34">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eastAsia"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rPr>
                    <w:t>管控维</w:t>
                  </w:r>
                  <w:r>
                    <w:rPr>
                      <w:rFonts w:hint="eastAsia" w:cs="Times New Roman"/>
                      <w:color w:val="auto"/>
                      <w:highlight w:val="none"/>
                      <w:lang w:val="en-US" w:eastAsia="zh-CN"/>
                    </w:rPr>
                    <w:t>度</w:t>
                  </w:r>
                </w:p>
              </w:tc>
              <w:tc>
                <w:tcPr>
                  <w:tcW w:w="2678" w:type="dxa"/>
                  <w:gridSpan w:val="3"/>
                  <w:tcBorders>
                    <w:tl2br w:val="nil"/>
                    <w:tr2bl w:val="nil"/>
                  </w:tcBorders>
                  <w:noWrap w:val="0"/>
                  <w:vAlign w:val="center"/>
                </w:tcPr>
                <w:p w14:paraId="37398E8A">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管控要求</w:t>
                  </w:r>
                </w:p>
              </w:tc>
              <w:tc>
                <w:tcPr>
                  <w:tcW w:w="3624" w:type="dxa"/>
                  <w:gridSpan w:val="4"/>
                  <w:tcBorders>
                    <w:tl2br w:val="nil"/>
                    <w:tr2bl w:val="nil"/>
                  </w:tcBorders>
                  <w:noWrap w:val="0"/>
                  <w:vAlign w:val="center"/>
                </w:tcPr>
                <w:p w14:paraId="3B5ADDA7">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符合性分析</w:t>
                  </w:r>
                </w:p>
              </w:tc>
            </w:tr>
            <w:tr w14:paraId="638DE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8" w:hRule="atLeast"/>
                <w:jc w:val="center"/>
              </w:trPr>
              <w:tc>
                <w:tcPr>
                  <w:tcW w:w="696" w:type="dxa"/>
                  <w:tcBorders>
                    <w:tl2br w:val="nil"/>
                    <w:tr2bl w:val="nil"/>
                  </w:tcBorders>
                  <w:noWrap w:val="0"/>
                  <w:vAlign w:val="center"/>
                </w:tcPr>
                <w:p w14:paraId="15EA1447">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空间布局约束</w:t>
                  </w:r>
                </w:p>
              </w:tc>
              <w:tc>
                <w:tcPr>
                  <w:tcW w:w="2678" w:type="dxa"/>
                  <w:gridSpan w:val="3"/>
                  <w:tcBorders>
                    <w:tl2br w:val="nil"/>
                    <w:tr2bl w:val="nil"/>
                  </w:tcBorders>
                  <w:noWrap w:val="0"/>
                  <w:vAlign w:val="center"/>
                </w:tcPr>
                <w:p w14:paraId="3ED534C8">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1.禁止不符合园区产业定位及规划环评等要求的项目入园；国家明令淘汰的落后产能和不符合国家产业政策的项目，禁止向工业园区转移。</w:t>
                  </w:r>
                </w:p>
                <w:p w14:paraId="52E4E590">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2.与滞洪区、自然保护区和居民点等</w:t>
                  </w:r>
                  <w:r>
                    <w:rPr>
                      <w:rFonts w:hint="eastAsia" w:cs="Times New Roman"/>
                      <w:color w:val="auto"/>
                      <w:highlight w:val="none"/>
                      <w:lang w:val="en-US" w:eastAsia="zh-CN"/>
                    </w:rPr>
                    <w:t>环境敏感区</w:t>
                  </w:r>
                  <w:r>
                    <w:rPr>
                      <w:rFonts w:hint="default" w:ascii="Times New Roman" w:hAnsi="Times New Roman" w:cs="Times New Roman"/>
                      <w:color w:val="auto"/>
                      <w:highlight w:val="none"/>
                      <w:lang w:val="en-US" w:eastAsia="zh-CN"/>
                    </w:rPr>
                    <w:t>之间设置合理的防护隔离带。</w:t>
                  </w:r>
                </w:p>
              </w:tc>
              <w:tc>
                <w:tcPr>
                  <w:tcW w:w="3624" w:type="dxa"/>
                  <w:gridSpan w:val="4"/>
                  <w:tcBorders>
                    <w:tl2br w:val="nil"/>
                    <w:tr2bl w:val="nil"/>
                  </w:tcBorders>
                  <w:noWrap w:val="0"/>
                  <w:vAlign w:val="center"/>
                </w:tcPr>
                <w:p w14:paraId="171EF788">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w:t>
                  </w:r>
                  <w:r>
                    <w:rPr>
                      <w:rFonts w:hint="eastAsia" w:cs="Times New Roman"/>
                      <w:color w:val="auto"/>
                      <w:highlight w:val="none"/>
                      <w:lang w:val="en-US" w:eastAsia="zh-CN"/>
                    </w:rPr>
                    <w:t>.</w:t>
                  </w:r>
                  <w:r>
                    <w:rPr>
                      <w:rFonts w:hint="eastAsia" w:ascii="Times New Roman" w:hAnsi="Times New Roman" w:cs="Times New Roman"/>
                      <w:color w:val="auto"/>
                      <w:highlight w:val="none"/>
                      <w:lang w:val="en-US" w:eastAsia="zh-CN"/>
                    </w:rPr>
                    <w:t>根据上述“与园区规划符合性分析”章节</w:t>
                  </w:r>
                  <w:r>
                    <w:rPr>
                      <w:rFonts w:hint="default" w:ascii="Times New Roman" w:hAnsi="Times New Roman" w:cs="Times New Roman"/>
                      <w:color w:val="auto"/>
                      <w:highlight w:val="none"/>
                      <w:lang w:val="en-US" w:eastAsia="zh-CN"/>
                    </w:rPr>
                    <w:t>，</w:t>
                  </w:r>
                  <w:r>
                    <w:rPr>
                      <w:rFonts w:hint="eastAsia" w:ascii="Times New Roman" w:hAnsi="Times New Roman" w:cs="Times New Roman"/>
                      <w:color w:val="auto"/>
                      <w:highlight w:val="none"/>
                      <w:lang w:val="en-US" w:eastAsia="zh-CN"/>
                    </w:rPr>
                    <w:t>可知本项目符合园区规划，本项目已取得园区《内蒙古鄂尔多斯市杭锦经济开发区管理委员会关于同意</w:t>
                  </w:r>
                  <w:r>
                    <w:rPr>
                      <w:rFonts w:hint="eastAsia" w:cs="Times New Roman"/>
                      <w:color w:val="auto"/>
                      <w:highlight w:val="none"/>
                      <w:lang w:val="en-US" w:eastAsia="zh-CN"/>
                    </w:rPr>
                    <w:t>鄂尔多斯市兴元胜业年处理25万吨煤系高岭土项目</w:t>
                  </w:r>
                  <w:r>
                    <w:rPr>
                      <w:rFonts w:hint="eastAsia" w:ascii="Times New Roman" w:hAnsi="Times New Roman" w:cs="Times New Roman"/>
                      <w:color w:val="auto"/>
                      <w:highlight w:val="none"/>
                      <w:lang w:val="en-US" w:eastAsia="zh-CN"/>
                    </w:rPr>
                    <w:t>入园的函》（杭开管函〔2023〕97号），园区同意本项目入园建设。</w:t>
                  </w:r>
                  <w:r>
                    <w:rPr>
                      <w:rFonts w:hint="default" w:ascii="Times New Roman" w:hAnsi="Times New Roman" w:cs="Times New Roman"/>
                      <w:color w:val="auto"/>
                      <w:highlight w:val="none"/>
                      <w:lang w:val="en-US" w:eastAsia="zh-CN"/>
                    </w:rPr>
                    <w:t>不属于国家明令淘汰的落后产能，符合国家产业政策。</w:t>
                  </w:r>
                </w:p>
                <w:p w14:paraId="23161A51">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2.</w:t>
                  </w:r>
                  <w:r>
                    <w:rPr>
                      <w:rFonts w:hint="default" w:ascii="Times New Roman" w:hAnsi="Times New Roman" w:cs="Times New Roman"/>
                      <w:color w:val="auto"/>
                      <w:highlight w:val="none"/>
                      <w:lang w:val="en-US" w:eastAsia="zh-CN"/>
                    </w:rPr>
                    <w:t>本项目500m范围内无滞洪区、自然保护区、居民等环境敏感区。</w:t>
                  </w:r>
                </w:p>
              </w:tc>
            </w:tr>
            <w:tr w14:paraId="2B24B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4" w:hRule="atLeast"/>
                <w:jc w:val="center"/>
              </w:trPr>
              <w:tc>
                <w:tcPr>
                  <w:tcW w:w="696" w:type="dxa"/>
                  <w:tcBorders>
                    <w:tl2br w:val="nil"/>
                    <w:tr2bl w:val="nil"/>
                  </w:tcBorders>
                  <w:noWrap w:val="0"/>
                  <w:vAlign w:val="center"/>
                </w:tcPr>
                <w:p w14:paraId="4A40E506">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污染物排放管控</w:t>
                  </w:r>
                </w:p>
              </w:tc>
              <w:tc>
                <w:tcPr>
                  <w:tcW w:w="2678" w:type="dxa"/>
                  <w:gridSpan w:val="3"/>
                  <w:tcBorders>
                    <w:tl2br w:val="nil"/>
                    <w:tr2bl w:val="nil"/>
                  </w:tcBorders>
                  <w:noWrap w:val="0"/>
                  <w:vAlign w:val="center"/>
                </w:tcPr>
                <w:p w14:paraId="6EA7BE4A">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1.按“清污分流”、“雨污分流”、“污污分流”原则，污水应收尽收，全部回用或作为景观用水不外排。</w:t>
                  </w:r>
                </w:p>
                <w:p w14:paraId="31FE8217">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2.加强对废气特别是有毒及恶臭气体的收集和处置，严格控制挥发性有机物（VOCs）排放。</w:t>
                  </w:r>
                </w:p>
                <w:p w14:paraId="20A3613D">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3.固体废物产生量大的化工园区应配套建设固体废物处置设施。</w:t>
                  </w:r>
                </w:p>
                <w:p w14:paraId="5E243686">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4.重点行业粉状物料堆场实现全封闭，块状物料安装抑尘设施。</w:t>
                  </w:r>
                </w:p>
                <w:p w14:paraId="03298BD8">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5.燃煤发电机组执行大气污染物超低排放限值。</w:t>
                  </w:r>
                </w:p>
              </w:tc>
              <w:tc>
                <w:tcPr>
                  <w:tcW w:w="3624" w:type="dxa"/>
                  <w:gridSpan w:val="4"/>
                  <w:tcBorders>
                    <w:tl2br w:val="nil"/>
                    <w:tr2bl w:val="nil"/>
                  </w:tcBorders>
                  <w:noWrap w:val="0"/>
                  <w:vAlign w:val="center"/>
                </w:tcPr>
                <w:p w14:paraId="2B9694C2">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1.</w:t>
                  </w:r>
                  <w:r>
                    <w:rPr>
                      <w:rFonts w:hint="eastAsia" w:ascii="Times New Roman" w:hAnsi="Times New Roman" w:cs="Times New Roman"/>
                      <w:color w:val="auto"/>
                      <w:highlight w:val="none"/>
                      <w:lang w:val="en-US" w:eastAsia="zh-CN"/>
                    </w:rPr>
                    <w:t>本项目按照“清污分流”、“雨污分流”、“污污分流”原则，本项目生活污水最终排入园区污水处理厂进行处理；无生产废水外排，全部回用；初期雨水经初期雨水收集池收集后，沉淀澄清后回用于厂区内的道路洒水降尘。</w:t>
                  </w:r>
                </w:p>
                <w:p w14:paraId="5FD8DC91">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eastAsia" w:cs="Times New Roman"/>
                      <w:color w:val="auto"/>
                      <w:highlight w:val="none"/>
                      <w:lang w:val="en-US" w:eastAsia="zh-CN"/>
                    </w:rPr>
                  </w:pPr>
                  <w:r>
                    <w:rPr>
                      <w:rFonts w:hint="eastAsia" w:cs="Times New Roman"/>
                      <w:color w:val="auto"/>
                      <w:highlight w:val="none"/>
                      <w:lang w:val="en-US" w:eastAsia="zh-CN"/>
                    </w:rPr>
                    <w:t>2.不涉及</w:t>
                  </w:r>
                </w:p>
                <w:p w14:paraId="285CB85F">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cs="Times New Roman"/>
                      <w:color w:val="auto"/>
                      <w:highlight w:val="none"/>
                      <w:lang w:val="en-US" w:eastAsia="zh-CN"/>
                    </w:rPr>
                  </w:pPr>
                  <w:r>
                    <w:rPr>
                      <w:rFonts w:hint="eastAsia" w:cs="Times New Roman"/>
                      <w:color w:val="auto"/>
                      <w:highlight w:val="none"/>
                      <w:lang w:val="en-US" w:eastAsia="zh-CN"/>
                    </w:rPr>
                    <w:t>3.本项目产生的固体废弃物均得到妥善处置。</w:t>
                  </w:r>
                </w:p>
                <w:p w14:paraId="4AF236FD">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eastAsia" w:cs="Times New Roman"/>
                      <w:color w:val="auto"/>
                      <w:highlight w:val="none"/>
                      <w:lang w:val="en-US" w:eastAsia="zh-CN"/>
                    </w:rPr>
                  </w:pPr>
                  <w:r>
                    <w:rPr>
                      <w:rFonts w:hint="eastAsia" w:cs="Times New Roman"/>
                      <w:color w:val="auto"/>
                      <w:highlight w:val="none"/>
                      <w:lang w:val="en-US" w:eastAsia="zh-CN"/>
                    </w:rPr>
                    <w:t>4.本项目建设全封闭生产车间，车间内设置2台雾炮机用于洒水降尘。</w:t>
                  </w:r>
                </w:p>
                <w:p w14:paraId="01651A4E">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5.本项目无燃煤发电机组。</w:t>
                  </w:r>
                </w:p>
              </w:tc>
            </w:tr>
            <w:tr w14:paraId="750A6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9" w:hRule="atLeast"/>
                <w:jc w:val="center"/>
              </w:trPr>
              <w:tc>
                <w:tcPr>
                  <w:tcW w:w="696" w:type="dxa"/>
                  <w:tcBorders>
                    <w:tl2br w:val="nil"/>
                    <w:tr2bl w:val="nil"/>
                  </w:tcBorders>
                  <w:noWrap w:val="0"/>
                  <w:vAlign w:val="center"/>
                </w:tcPr>
                <w:p w14:paraId="42CCFBE3">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环境风险防控</w:t>
                  </w:r>
                </w:p>
              </w:tc>
              <w:tc>
                <w:tcPr>
                  <w:tcW w:w="2678" w:type="dxa"/>
                  <w:gridSpan w:val="3"/>
                  <w:tcBorders>
                    <w:tl2br w:val="nil"/>
                    <w:tr2bl w:val="nil"/>
                  </w:tcBorders>
                  <w:noWrap w:val="0"/>
                  <w:vAlign w:val="center"/>
                </w:tcPr>
                <w:p w14:paraId="4ACAB2FD">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完善区域环境风险防范机制，有效防范环境风险。建立和不断完善环境风险</w:t>
                  </w:r>
                  <w:r>
                    <w:rPr>
                      <w:rFonts w:hint="eastAsia" w:cs="Times New Roman"/>
                      <w:color w:val="auto"/>
                      <w:highlight w:val="none"/>
                      <w:lang w:val="en-US" w:eastAsia="zh-CN"/>
                    </w:rPr>
                    <w:t>防范</w:t>
                  </w:r>
                  <w:r>
                    <w:rPr>
                      <w:rFonts w:hint="default" w:ascii="Times New Roman" w:hAnsi="Times New Roman" w:cs="Times New Roman"/>
                      <w:color w:val="auto"/>
                      <w:highlight w:val="none"/>
                      <w:lang w:val="en-US" w:eastAsia="zh-CN"/>
                    </w:rPr>
                    <w:t>机制和应急体系，构建有效的区域环境风险联防联控机制，最大限</w:t>
                  </w:r>
                  <w:r>
                    <w:rPr>
                      <w:rFonts w:hint="eastAsia" w:cs="Times New Roman"/>
                      <w:color w:val="auto"/>
                      <w:szCs w:val="21"/>
                      <w:highlight w:val="none"/>
                      <w:lang w:val="en-US" w:eastAsia="zh-CN"/>
                    </w:rPr>
                    <w:t>度</w:t>
                  </w:r>
                  <w:r>
                    <w:rPr>
                      <w:rFonts w:hint="default" w:ascii="Times New Roman" w:hAnsi="Times New Roman" w:cs="Times New Roman"/>
                      <w:color w:val="auto"/>
                      <w:highlight w:val="none"/>
                      <w:lang w:val="en-US" w:eastAsia="zh-CN"/>
                    </w:rPr>
                    <w:t>降低环境风险。</w:t>
                  </w:r>
                </w:p>
              </w:tc>
              <w:tc>
                <w:tcPr>
                  <w:tcW w:w="3624" w:type="dxa"/>
                  <w:gridSpan w:val="4"/>
                  <w:tcBorders>
                    <w:tl2br w:val="nil"/>
                    <w:tr2bl w:val="nil"/>
                  </w:tcBorders>
                  <w:noWrap w:val="0"/>
                  <w:vAlign w:val="center"/>
                </w:tcPr>
                <w:p w14:paraId="4DFF2D36">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评价要求项目投入运营后，及时制定</w:t>
                  </w:r>
                  <w:r>
                    <w:rPr>
                      <w:rFonts w:hint="eastAsia" w:ascii="Times New Roman" w:hAnsi="Times New Roman" w:cs="Times New Roman"/>
                      <w:color w:val="auto"/>
                      <w:highlight w:val="none"/>
                      <w:lang w:val="en-US" w:eastAsia="zh-CN"/>
                    </w:rPr>
                    <w:t>突发</w:t>
                  </w:r>
                  <w:r>
                    <w:rPr>
                      <w:rFonts w:hint="default" w:ascii="Times New Roman" w:hAnsi="Times New Roman" w:cs="Times New Roman"/>
                      <w:color w:val="auto"/>
                      <w:highlight w:val="none"/>
                      <w:lang w:val="en-US" w:eastAsia="zh-CN"/>
                    </w:rPr>
                    <w:t>环境风险</w:t>
                  </w:r>
                  <w:r>
                    <w:rPr>
                      <w:rFonts w:hint="eastAsia" w:ascii="Times New Roman" w:hAnsi="Times New Roman" w:cs="Times New Roman"/>
                      <w:color w:val="auto"/>
                      <w:highlight w:val="none"/>
                      <w:lang w:val="en-US" w:eastAsia="zh-CN"/>
                    </w:rPr>
                    <w:t>事件</w:t>
                  </w:r>
                  <w:r>
                    <w:rPr>
                      <w:rFonts w:hint="default" w:ascii="Times New Roman" w:hAnsi="Times New Roman" w:cs="Times New Roman"/>
                      <w:color w:val="auto"/>
                      <w:highlight w:val="none"/>
                      <w:lang w:val="en-US" w:eastAsia="zh-CN"/>
                    </w:rPr>
                    <w:t>应急预案，并在当地</w:t>
                  </w:r>
                  <w:r>
                    <w:rPr>
                      <w:rFonts w:hint="eastAsia" w:cs="Times New Roman"/>
                      <w:color w:val="auto"/>
                      <w:highlight w:val="none"/>
                      <w:lang w:val="en-US" w:eastAsia="zh-CN"/>
                    </w:rPr>
                    <w:t>生态环境部门</w:t>
                  </w:r>
                  <w:r>
                    <w:rPr>
                      <w:rFonts w:hint="default" w:ascii="Times New Roman" w:hAnsi="Times New Roman" w:cs="Times New Roman"/>
                      <w:color w:val="auto"/>
                      <w:highlight w:val="none"/>
                      <w:lang w:val="en-US" w:eastAsia="zh-CN"/>
                    </w:rPr>
                    <w:t>备案，同时，定期开展应急演练。</w:t>
                  </w:r>
                </w:p>
              </w:tc>
            </w:tr>
            <w:tr w14:paraId="5FE25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696" w:type="dxa"/>
                  <w:tcBorders>
                    <w:tl2br w:val="nil"/>
                    <w:tr2bl w:val="nil"/>
                  </w:tcBorders>
                  <w:noWrap w:val="0"/>
                  <w:vAlign w:val="center"/>
                </w:tcPr>
                <w:p w14:paraId="2CF81E16">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rPr>
                    <w:t>资源利用效率</w:t>
                  </w:r>
                  <w:r>
                    <w:rPr>
                      <w:rFonts w:hint="default" w:ascii="Times New Roman" w:hAnsi="Times New Roman" w:cs="Times New Roman"/>
                      <w:color w:val="auto"/>
                      <w:highlight w:val="none"/>
                      <w:lang w:val="en-US" w:eastAsia="zh-CN"/>
                    </w:rPr>
                    <w:t>要求</w:t>
                  </w:r>
                </w:p>
              </w:tc>
              <w:tc>
                <w:tcPr>
                  <w:tcW w:w="2678" w:type="dxa"/>
                  <w:gridSpan w:val="3"/>
                  <w:tcBorders>
                    <w:tl2br w:val="nil"/>
                    <w:tr2bl w:val="nil"/>
                  </w:tcBorders>
                  <w:noWrap w:val="0"/>
                  <w:vAlign w:val="center"/>
                </w:tcPr>
                <w:p w14:paraId="45820583">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严控地下水超采。新建、改建、扩建的高耗水工业项目，禁止擅自使用地下水。食品、制药等项目取用地下水，须经有管理权限的水行政主管部门批准。</w:t>
                  </w:r>
                </w:p>
              </w:tc>
              <w:tc>
                <w:tcPr>
                  <w:tcW w:w="3624" w:type="dxa"/>
                  <w:gridSpan w:val="4"/>
                  <w:tcBorders>
                    <w:tl2br w:val="nil"/>
                    <w:tr2bl w:val="nil"/>
                  </w:tcBorders>
                  <w:noWrap w:val="0"/>
                  <w:vAlign w:val="center"/>
                </w:tcPr>
                <w:p w14:paraId="0941EEF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本项目非高耗水工业</w:t>
                  </w:r>
                  <w:r>
                    <w:rPr>
                      <w:rFonts w:hint="eastAsia" w:ascii="Times New Roman" w:hAnsi="Times New Roman" w:cs="Times New Roman"/>
                      <w:color w:val="auto"/>
                      <w:highlight w:val="none"/>
                      <w:lang w:val="en-US" w:eastAsia="zh-CN"/>
                    </w:rPr>
                    <w:t>项目，本项目生活用水及生产用水由鄂尔多斯市泽鑫水务投资集团有限责任公司提供，</w:t>
                  </w:r>
                  <w:r>
                    <w:rPr>
                      <w:rFonts w:hint="eastAsia" w:cs="Times New Roman"/>
                      <w:color w:val="auto"/>
                      <w:highlight w:val="none"/>
                      <w:lang w:val="en-US" w:eastAsia="zh-CN"/>
                    </w:rPr>
                    <w:t>由供水单位敷设管道运至本项目厂区，本项目自建管道将用水输送至各用水点，可满足本项目用水需求，</w:t>
                  </w:r>
                  <w:r>
                    <w:rPr>
                      <w:rFonts w:hint="default" w:ascii="Times New Roman" w:hAnsi="Times New Roman" w:cs="Times New Roman"/>
                      <w:color w:val="auto"/>
                      <w:highlight w:val="none"/>
                      <w:lang w:val="en-US" w:eastAsia="zh-CN"/>
                    </w:rPr>
                    <w:t>本项目不使用地下水</w:t>
                  </w:r>
                  <w:r>
                    <w:rPr>
                      <w:rFonts w:hint="eastAsia" w:cs="Times New Roman"/>
                      <w:color w:val="auto"/>
                      <w:highlight w:val="none"/>
                      <w:lang w:val="en-US" w:eastAsia="zh-CN"/>
                    </w:rPr>
                    <w:t>。</w:t>
                  </w:r>
                </w:p>
              </w:tc>
            </w:tr>
          </w:tbl>
          <w:p w14:paraId="2EB8FB1F">
            <w:pPr>
              <w:bidi w:val="0"/>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根据上述分析，符合鄂尔多斯市生态环境准入清单要求</w:t>
            </w:r>
            <w:r>
              <w:rPr>
                <w:rFonts w:hint="eastAsia"/>
                <w:color w:val="auto"/>
                <w:highlight w:val="none"/>
                <w:lang w:eastAsia="zh-CN"/>
              </w:rPr>
              <w:t>，</w:t>
            </w:r>
            <w:r>
              <w:rPr>
                <w:rFonts w:hint="default"/>
                <w:color w:val="auto"/>
                <w:highlight w:val="none"/>
                <w:lang w:val="en-US" w:eastAsia="zh-CN"/>
              </w:rPr>
              <w:t>综上所述，本项目符合国家和地方“三线一单”的相关要求。</w:t>
            </w:r>
          </w:p>
        </w:tc>
      </w:tr>
    </w:tbl>
    <w:p w14:paraId="588C589F">
      <w:pPr>
        <w:spacing w:line="360" w:lineRule="auto"/>
        <w:outlineLvl w:val="0"/>
        <w:rPr>
          <w:rFonts w:hint="default" w:ascii="Times New Roman" w:hAnsi="Times New Roman" w:eastAsia="黑体" w:cs="Times New Roman"/>
          <w:color w:val="auto"/>
          <w:sz w:val="30"/>
          <w:highlight w:val="none"/>
        </w:rPr>
        <w:sectPr>
          <w:headerReference r:id="rId8" w:type="default"/>
          <w:footerReference r:id="rId9" w:type="default"/>
          <w:pgSz w:w="11906" w:h="16838"/>
          <w:pgMar w:top="1440" w:right="1800" w:bottom="1440" w:left="1800" w:header="1134" w:footer="1134" w:gutter="0"/>
          <w:pgBorders>
            <w:top w:val="none" w:sz="0" w:space="0"/>
            <w:left w:val="none" w:sz="0" w:space="0"/>
            <w:bottom w:val="none" w:sz="0" w:space="0"/>
            <w:right w:val="none" w:sz="0" w:space="0"/>
          </w:pgBorders>
          <w:pgNumType w:fmt="numberInDash" w:start="1"/>
          <w:cols w:space="720" w:num="1"/>
          <w:docGrid w:linePitch="312" w:charSpace="0"/>
        </w:sectPr>
      </w:pPr>
    </w:p>
    <w:p w14:paraId="6F0D2060">
      <w:pPr>
        <w:pStyle w:val="20"/>
        <w:ind w:left="0" w:leftChars="0" w:firstLine="0" w:firstLineChars="0"/>
        <w:jc w:val="center"/>
        <w:outlineLvl w:val="0"/>
        <w:rPr>
          <w:rFonts w:hint="default" w:ascii="Times New Roman" w:hAnsi="Times New Roman" w:eastAsia="黑体" w:cs="Times New Roman"/>
          <w:snapToGrid w:val="0"/>
          <w:color w:val="auto"/>
          <w:sz w:val="30"/>
          <w:szCs w:val="30"/>
          <w:highlight w:val="none"/>
        </w:rPr>
      </w:pPr>
      <w:r>
        <w:rPr>
          <w:rFonts w:hint="default" w:ascii="Times New Roman" w:hAnsi="Times New Roman" w:eastAsia="黑体" w:cs="Times New Roman"/>
          <w:snapToGrid w:val="0"/>
          <w:color w:val="auto"/>
          <w:sz w:val="30"/>
          <w:szCs w:val="30"/>
          <w:highlight w:val="none"/>
        </w:rPr>
        <w:t>二、建设项目工程分析</w:t>
      </w:r>
    </w:p>
    <w:tbl>
      <w:tblPr>
        <w:tblStyle w:val="23"/>
        <w:tblW w:w="8984"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23"/>
        <w:gridCol w:w="2340"/>
        <w:gridCol w:w="5821"/>
      </w:tblGrid>
      <w:tr w14:paraId="23BF07C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90" w:hRule="atLeast"/>
          <w:jc w:val="center"/>
        </w:trPr>
        <w:tc>
          <w:tcPr>
            <w:tcW w:w="823" w:type="dxa"/>
            <w:noWrap w:val="0"/>
            <w:vAlign w:val="center"/>
          </w:tcPr>
          <w:p w14:paraId="054E7D4C">
            <w:pPr>
              <w:pStyle w:val="20"/>
              <w:keepNext w:val="0"/>
              <w:keepLines w:val="0"/>
              <w:pageBreakBefore w:val="0"/>
              <w:widowControl/>
              <w:kinsoku/>
              <w:wordWrap/>
              <w:overflowPunct/>
              <w:topLinePunct w:val="0"/>
              <w:autoSpaceDE w:val="0"/>
              <w:autoSpaceDN w:val="0"/>
              <w:bidi w:val="0"/>
              <w:adjustRightInd w:val="0"/>
              <w:snapToGrid w:val="0"/>
              <w:spacing w:before="0" w:beforeAutospacing="0" w:after="0" w:afterAutospacing="0"/>
              <w:ind w:firstLine="0" w:firstLineChars="0"/>
              <w:jc w:val="center"/>
              <w:textAlignment w:val="auto"/>
              <w:rPr>
                <w:rFonts w:hint="default"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lang w:val="en-US" w:eastAsia="zh-CN"/>
              </w:rPr>
              <w:t>建设内容</w:t>
            </w:r>
          </w:p>
        </w:tc>
        <w:tc>
          <w:tcPr>
            <w:tcW w:w="8161" w:type="dxa"/>
            <w:gridSpan w:val="2"/>
            <w:noWrap w:val="0"/>
            <w:vAlign w:val="top"/>
          </w:tcPr>
          <w:p w14:paraId="6A7E90BF">
            <w:pPr>
              <w:bidi w:val="0"/>
              <w:rPr>
                <w:rFonts w:hint="default"/>
                <w:b/>
                <w:bCs/>
                <w:color w:val="auto"/>
                <w:highlight w:val="none"/>
                <w:lang w:val="en-US" w:eastAsia="zh-CN"/>
              </w:rPr>
            </w:pPr>
            <w:r>
              <w:rPr>
                <w:rFonts w:hint="default"/>
                <w:b/>
                <w:bCs/>
                <w:color w:val="auto"/>
                <w:highlight w:val="none"/>
                <w:lang w:val="en-US" w:eastAsia="zh-CN"/>
              </w:rPr>
              <w:t>一、项目由来</w:t>
            </w:r>
          </w:p>
          <w:p w14:paraId="065C43FC">
            <w:pPr>
              <w:bidi w:val="0"/>
              <w:rPr>
                <w:rFonts w:hint="default"/>
                <w:color w:val="auto"/>
                <w:highlight w:val="none"/>
                <w:lang w:val="en-US" w:eastAsia="zh-CN"/>
              </w:rPr>
            </w:pPr>
            <w:r>
              <w:rPr>
                <w:rFonts w:hint="default"/>
                <w:color w:val="auto"/>
                <w:highlight w:val="none"/>
                <w:lang w:val="en-US" w:eastAsia="zh-CN"/>
              </w:rPr>
              <w:t>随着</w:t>
            </w:r>
            <w:r>
              <w:rPr>
                <w:rFonts w:hint="eastAsia"/>
                <w:color w:val="auto"/>
                <w:highlight w:val="none"/>
                <w:lang w:val="en-US" w:eastAsia="zh-CN"/>
              </w:rPr>
              <w:t>杭锦旗</w:t>
            </w:r>
            <w:r>
              <w:rPr>
                <w:rFonts w:hint="default"/>
                <w:color w:val="auto"/>
                <w:highlight w:val="none"/>
                <w:lang w:val="en-US" w:eastAsia="zh-CN"/>
              </w:rPr>
              <w:t>煤炭的大量开采，开采过程中伴生有大量的</w:t>
            </w:r>
            <w:r>
              <w:rPr>
                <w:rFonts w:hint="eastAsia"/>
                <w:color w:val="auto"/>
                <w:highlight w:val="none"/>
                <w:lang w:val="en-US" w:eastAsia="zh-CN"/>
              </w:rPr>
              <w:t>煤系高岭土</w:t>
            </w:r>
            <w:r>
              <w:rPr>
                <w:rFonts w:hint="default"/>
                <w:color w:val="auto"/>
                <w:highlight w:val="none"/>
                <w:lang w:val="en-US" w:eastAsia="zh-CN"/>
              </w:rPr>
              <w:t>。</w:t>
            </w:r>
            <w:r>
              <w:rPr>
                <w:rFonts w:hint="eastAsia"/>
                <w:color w:val="auto"/>
                <w:highlight w:val="none"/>
                <w:lang w:val="en-US" w:eastAsia="zh-CN"/>
              </w:rPr>
              <w:t>煤系高岭土</w:t>
            </w:r>
            <w:r>
              <w:rPr>
                <w:rFonts w:hint="default"/>
                <w:color w:val="auto"/>
                <w:highlight w:val="none"/>
                <w:lang w:val="en-US" w:eastAsia="zh-CN"/>
              </w:rPr>
              <w:t>通常在采煤过程中需要剥离并倾倒排放，既浪费资源、占用土地、污染环境，又消耗人力、物力。随着人们对高岭土有关技术的进一步研究和开发，利用</w:t>
            </w:r>
            <w:r>
              <w:rPr>
                <w:rFonts w:hint="eastAsia"/>
                <w:color w:val="auto"/>
                <w:highlight w:val="none"/>
                <w:lang w:val="en-US" w:eastAsia="zh-CN"/>
              </w:rPr>
              <w:t>煤系高岭土</w:t>
            </w:r>
            <w:r>
              <w:rPr>
                <w:rFonts w:hint="default"/>
                <w:color w:val="auto"/>
                <w:highlight w:val="none"/>
                <w:lang w:val="en-US" w:eastAsia="zh-CN"/>
              </w:rPr>
              <w:t>生产高温煅烧高岭土可以应用到规模化生产，生产的高岭土具有高白、超细、粒度分布合理、质量稳定、明显提高应用领域产品的综合性能等特点，是造纸、涂料、橡胶、塑料、化工、电缆、食品、耐火材料及医药等领域的最佳原料。</w:t>
            </w:r>
          </w:p>
          <w:p w14:paraId="7E53990C">
            <w:pPr>
              <w:bidi w:val="0"/>
              <w:rPr>
                <w:rFonts w:hint="default"/>
                <w:color w:val="auto"/>
                <w:highlight w:val="none"/>
                <w:lang w:val="en-US" w:eastAsia="zh-CN"/>
              </w:rPr>
            </w:pPr>
            <w:r>
              <w:rPr>
                <w:rFonts w:hint="eastAsia"/>
                <w:color w:val="auto"/>
                <w:highlight w:val="none"/>
                <w:lang w:val="en-US" w:eastAsia="zh-CN"/>
              </w:rPr>
              <w:t>鄂尔多斯市兴元胜业新材料有限公司拟在</w:t>
            </w:r>
            <w:r>
              <w:rPr>
                <w:rFonts w:hint="default" w:ascii="Times New Roman" w:hAnsi="Times New Roman" w:cs="Times New Roman"/>
                <w:color w:val="auto"/>
                <w:szCs w:val="21"/>
                <w:highlight w:val="none"/>
                <w:lang w:val="en-US" w:eastAsia="zh-CN"/>
              </w:rPr>
              <w:t>内蒙古自治区鄂尔多斯市杭锦经济开发区新能源产业</w:t>
            </w:r>
            <w:r>
              <w:rPr>
                <w:rFonts w:hint="default"/>
                <w:color w:val="auto"/>
                <w:highlight w:val="none"/>
                <w:lang w:val="en-US" w:eastAsia="zh-CN"/>
              </w:rPr>
              <w:t>园</w:t>
            </w:r>
            <w:r>
              <w:rPr>
                <w:rFonts w:hint="eastAsia"/>
                <w:color w:val="auto"/>
                <w:highlight w:val="none"/>
                <w:lang w:val="en-US" w:eastAsia="zh-CN"/>
              </w:rPr>
              <w:t>内建设煤系高岭土深加工项目，拟投资金额为15000万元</w:t>
            </w:r>
            <w:r>
              <w:rPr>
                <w:rFonts w:hint="eastAsia" w:cs="Times New Roman"/>
                <w:color w:val="auto"/>
                <w:szCs w:val="21"/>
                <w:highlight w:val="none"/>
                <w:lang w:val="en-US" w:eastAsia="zh-CN"/>
              </w:rPr>
              <w:t>，生产规模为25万t/a，</w:t>
            </w:r>
            <w:r>
              <w:rPr>
                <w:rFonts w:hint="default"/>
                <w:color w:val="auto"/>
                <w:highlight w:val="none"/>
                <w:lang w:val="en-US" w:eastAsia="zh-CN"/>
              </w:rPr>
              <w:t>根据《中华人民共和国环境影响评价法》、《中华人民共和国</w:t>
            </w:r>
            <w:r>
              <w:rPr>
                <w:rFonts w:hint="eastAsia"/>
                <w:color w:val="auto"/>
                <w:highlight w:val="none"/>
                <w:lang w:val="en-US" w:eastAsia="zh-CN"/>
              </w:rPr>
              <w:t>环境保护法</w:t>
            </w:r>
            <w:r>
              <w:rPr>
                <w:rFonts w:hint="default"/>
                <w:color w:val="auto"/>
                <w:highlight w:val="none"/>
                <w:lang w:val="en-US" w:eastAsia="zh-CN"/>
              </w:rPr>
              <w:t>》</w:t>
            </w:r>
            <w:r>
              <w:rPr>
                <w:rFonts w:hint="eastAsia"/>
                <w:color w:val="auto"/>
                <w:highlight w:val="none"/>
                <w:lang w:val="en-US" w:eastAsia="zh-CN"/>
              </w:rPr>
              <w:t>和《建设项目环境保护管理条例》的相关规定，参照</w:t>
            </w:r>
            <w:r>
              <w:rPr>
                <w:rFonts w:hint="default"/>
                <w:color w:val="auto"/>
                <w:highlight w:val="none"/>
                <w:lang w:val="en-US" w:eastAsia="zh-CN"/>
              </w:rPr>
              <w:t>《建设项目环境影响评价分类管理名录》</w:t>
            </w:r>
            <w:r>
              <w:rPr>
                <w:rFonts w:hint="eastAsia"/>
                <w:color w:val="auto"/>
                <w:highlight w:val="none"/>
                <w:lang w:val="en-US" w:eastAsia="zh-CN"/>
              </w:rPr>
              <w:t>（2021年版）</w:t>
            </w:r>
            <w:r>
              <w:rPr>
                <w:rFonts w:hint="default"/>
                <w:color w:val="auto"/>
                <w:highlight w:val="none"/>
                <w:lang w:val="en-US" w:eastAsia="zh-CN"/>
              </w:rPr>
              <w:t>本项目属于</w:t>
            </w:r>
            <w:r>
              <w:rPr>
                <w:rFonts w:hint="eastAsia"/>
                <w:color w:val="auto"/>
                <w:highlight w:val="none"/>
                <w:lang w:val="en-US" w:eastAsia="zh-CN"/>
              </w:rPr>
              <w:t>“二十七、非金属矿物制品耐火材料制品制造308；石墨及其他非金属矿物制品制造309“其他”</w:t>
            </w:r>
            <w:r>
              <w:rPr>
                <w:rFonts w:hint="default"/>
                <w:color w:val="auto"/>
                <w:highlight w:val="none"/>
                <w:lang w:val="en-US" w:eastAsia="zh-CN"/>
              </w:rPr>
              <w:t>，应编制环境影响报告表。建设单位委托</w:t>
            </w:r>
            <w:r>
              <w:rPr>
                <w:rFonts w:hint="eastAsia"/>
                <w:color w:val="auto"/>
                <w:highlight w:val="none"/>
                <w:lang w:val="en-US" w:eastAsia="zh-CN"/>
              </w:rPr>
              <w:t>我单位</w:t>
            </w:r>
            <w:r>
              <w:rPr>
                <w:rFonts w:hint="default"/>
                <w:color w:val="auto"/>
                <w:highlight w:val="none"/>
                <w:lang w:val="en-US" w:eastAsia="zh-CN"/>
              </w:rPr>
              <w:t>承担本项目的环境影响评价工作。接受委托后，评价单位分析项目特点，进行了现场勘察。在此基础上，评价单位完成了本项目的环境影响报告表的编制。</w:t>
            </w:r>
          </w:p>
          <w:p w14:paraId="1350B7BF">
            <w:pPr>
              <w:pStyle w:val="31"/>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二、项目</w:t>
            </w:r>
            <w:r>
              <w:rPr>
                <w:rFonts w:hint="eastAsia" w:cs="Times New Roman"/>
                <w:b/>
                <w:bCs/>
                <w:color w:val="auto"/>
                <w:highlight w:val="none"/>
                <w:lang w:val="en-US" w:eastAsia="zh-CN"/>
              </w:rPr>
              <w:t>概况</w:t>
            </w:r>
          </w:p>
          <w:p w14:paraId="0FA5EB63">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1</w:t>
            </w:r>
            <w:r>
              <w:rPr>
                <w:rFonts w:hint="eastAsia" w:cs="Times New Roman"/>
                <w:b/>
                <w:bCs/>
                <w:color w:val="auto"/>
                <w:highlight w:val="none"/>
                <w:lang w:val="en-US" w:eastAsia="zh-CN"/>
              </w:rPr>
              <w:t>.</w:t>
            </w:r>
            <w:r>
              <w:rPr>
                <w:rFonts w:hint="default" w:ascii="Times New Roman" w:hAnsi="Times New Roman" w:cs="Times New Roman"/>
                <w:b/>
                <w:bCs/>
                <w:color w:val="auto"/>
                <w:highlight w:val="none"/>
                <w:lang w:val="en-US" w:eastAsia="zh-CN"/>
              </w:rPr>
              <w:t>建设基本情况</w:t>
            </w:r>
          </w:p>
          <w:p w14:paraId="66EF0DAB">
            <w:pPr>
              <w:pStyle w:val="31"/>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项目名称：</w:t>
            </w:r>
            <w:r>
              <w:rPr>
                <w:rFonts w:hint="eastAsia" w:cs="Times New Roman"/>
                <w:b w:val="0"/>
                <w:bCs w:val="0"/>
                <w:color w:val="auto"/>
                <w:highlight w:val="none"/>
                <w:lang w:val="en-US" w:eastAsia="zh-CN"/>
              </w:rPr>
              <w:t>鄂尔多斯市兴元胜业年处理25万吨煤系高岭土项目</w:t>
            </w:r>
          </w:p>
          <w:p w14:paraId="4BACCA69">
            <w:pPr>
              <w:pStyle w:val="31"/>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建设单位：鄂尔多斯市兴元胜业新材料有限公司</w:t>
            </w:r>
          </w:p>
          <w:p w14:paraId="0561DDC9">
            <w:pPr>
              <w:pStyle w:val="31"/>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建设性质：新建</w:t>
            </w:r>
          </w:p>
          <w:p w14:paraId="322F6EC8">
            <w:pPr>
              <w:pStyle w:val="31"/>
              <w:rPr>
                <w:rFonts w:hint="default" w:ascii="Times New Roman" w:hAnsi="Times New Roman" w:cs="Times New Roman"/>
                <w:color w:val="auto"/>
                <w:szCs w:val="21"/>
                <w:highlight w:val="none"/>
                <w:lang w:val="en-US" w:eastAsia="zh-CN"/>
              </w:rPr>
            </w:pPr>
            <w:r>
              <w:rPr>
                <w:rFonts w:hint="default" w:ascii="Times New Roman" w:hAnsi="Times New Roman" w:cs="Times New Roman"/>
                <w:b w:val="0"/>
                <w:bCs w:val="0"/>
                <w:color w:val="auto"/>
                <w:highlight w:val="none"/>
                <w:lang w:val="en-US" w:eastAsia="zh-CN"/>
              </w:rPr>
              <w:t>建设地点：</w:t>
            </w:r>
            <w:r>
              <w:rPr>
                <w:rFonts w:hint="default" w:ascii="Times New Roman" w:hAnsi="Times New Roman" w:cs="Times New Roman"/>
                <w:color w:val="auto"/>
                <w:szCs w:val="21"/>
                <w:highlight w:val="none"/>
                <w:lang w:val="en-US" w:eastAsia="zh-CN"/>
              </w:rPr>
              <w:t>内蒙古自治区鄂尔多斯市杭锦经济开发区新能源产业园</w:t>
            </w:r>
            <w:r>
              <w:rPr>
                <w:rFonts w:hint="eastAsia" w:cs="Times New Roman"/>
                <w:color w:val="auto"/>
                <w:szCs w:val="21"/>
                <w:highlight w:val="none"/>
                <w:lang w:val="en-US" w:eastAsia="zh-CN"/>
              </w:rPr>
              <w:t>，厂址中心坐标为E108°44′26.711″，N39°46′22.381″，项目地理位置图见附图5。</w:t>
            </w:r>
          </w:p>
          <w:p w14:paraId="1374C933">
            <w:pPr>
              <w:pStyle w:val="31"/>
              <w:rPr>
                <w:rFonts w:hint="default" w:ascii="Times New Roman" w:hAnsi="Times New Roman" w:cs="Times New Roman"/>
                <w:color w:val="auto"/>
                <w:szCs w:val="21"/>
                <w:highlight w:val="none"/>
                <w:lang w:val="en-US" w:eastAsia="zh-CN"/>
              </w:rPr>
            </w:pPr>
            <w:r>
              <w:rPr>
                <w:rFonts w:hint="eastAsia" w:cs="Times New Roman"/>
                <w:color w:val="auto"/>
                <w:szCs w:val="21"/>
                <w:highlight w:val="none"/>
                <w:lang w:val="en-US" w:eastAsia="zh-CN"/>
              </w:rPr>
              <w:t>建设周期：本项目拟在2024年4月开工建设，10月建设完成。</w:t>
            </w:r>
          </w:p>
          <w:p w14:paraId="777AF48E">
            <w:pPr>
              <w:pStyle w:val="31"/>
              <w:rPr>
                <w:rFonts w:hint="default" w:ascii="Times New Roman" w:hAnsi="Times New Roman" w:cs="Times New Roman"/>
                <w:b w:val="0"/>
                <w:bCs w:val="0"/>
                <w:color w:val="auto"/>
                <w:highlight w:val="none"/>
                <w:lang w:val="en-US" w:eastAsia="zh-CN"/>
              </w:rPr>
            </w:pPr>
            <w:r>
              <w:rPr>
                <w:rFonts w:hint="default" w:ascii="Times New Roman" w:hAnsi="Times New Roman" w:cs="Times New Roman"/>
                <w:color w:val="auto"/>
                <w:szCs w:val="21"/>
                <w:highlight w:val="none"/>
                <w:lang w:val="en-US" w:eastAsia="zh-CN"/>
              </w:rPr>
              <w:t>项目投资金额</w:t>
            </w:r>
            <w:r>
              <w:rPr>
                <w:rFonts w:hint="default" w:ascii="Times New Roman" w:hAnsi="Times New Roman" w:cs="Times New Roman"/>
                <w:b w:val="0"/>
                <w:bCs w:val="0"/>
                <w:color w:val="auto"/>
                <w:highlight w:val="none"/>
                <w:lang w:val="en-US" w:eastAsia="zh-CN"/>
              </w:rPr>
              <w:t>：本项目总投资金额为</w:t>
            </w:r>
            <w:r>
              <w:rPr>
                <w:rFonts w:hint="eastAsia" w:ascii="Times New Roman" w:hAnsi="Times New Roman" w:cs="Times New Roman"/>
                <w:b w:val="0"/>
                <w:bCs w:val="0"/>
                <w:color w:val="auto"/>
                <w:highlight w:val="none"/>
                <w:lang w:val="en-US" w:eastAsia="zh-CN"/>
              </w:rPr>
              <w:t>15000</w:t>
            </w:r>
            <w:r>
              <w:rPr>
                <w:rFonts w:hint="default" w:ascii="Times New Roman" w:hAnsi="Times New Roman" w:cs="Times New Roman"/>
                <w:b w:val="0"/>
                <w:bCs w:val="0"/>
                <w:color w:val="auto"/>
                <w:highlight w:val="none"/>
                <w:lang w:val="en-US" w:eastAsia="zh-CN"/>
              </w:rPr>
              <w:t>万元，其中环保投资金额为</w:t>
            </w:r>
            <w:r>
              <w:rPr>
                <w:rFonts w:hint="eastAsia" w:ascii="Times New Roman" w:hAnsi="Times New Roman" w:cs="Times New Roman"/>
                <w:b w:val="0"/>
                <w:bCs w:val="0"/>
                <w:color w:val="auto"/>
                <w:highlight w:val="none"/>
                <w:lang w:val="en-US" w:eastAsia="zh-CN"/>
              </w:rPr>
              <w:t>9</w:t>
            </w:r>
            <w:r>
              <w:rPr>
                <w:rFonts w:hint="eastAsia" w:cs="Times New Roman"/>
                <w:b w:val="0"/>
                <w:bCs w:val="0"/>
                <w:color w:val="auto"/>
                <w:highlight w:val="none"/>
                <w:lang w:val="en-US" w:eastAsia="zh-CN"/>
              </w:rPr>
              <w:t>6</w:t>
            </w:r>
            <w:r>
              <w:rPr>
                <w:rFonts w:hint="eastAsia" w:ascii="Times New Roman" w:hAnsi="Times New Roman" w:cs="Times New Roman"/>
                <w:b w:val="0"/>
                <w:bCs w:val="0"/>
                <w:color w:val="auto"/>
                <w:highlight w:val="none"/>
                <w:lang w:val="en-US" w:eastAsia="zh-CN"/>
              </w:rPr>
              <w:t>6</w:t>
            </w:r>
            <w:r>
              <w:rPr>
                <w:rFonts w:hint="default" w:ascii="Times New Roman" w:hAnsi="Times New Roman" w:cs="Times New Roman"/>
                <w:b w:val="0"/>
                <w:bCs w:val="0"/>
                <w:color w:val="auto"/>
                <w:highlight w:val="none"/>
                <w:lang w:val="en-US" w:eastAsia="zh-CN"/>
              </w:rPr>
              <w:t>万元，占总投资金额的</w:t>
            </w:r>
            <w:r>
              <w:rPr>
                <w:rFonts w:hint="eastAsia" w:ascii="Times New Roman" w:hAnsi="Times New Roman" w:cs="Times New Roman"/>
                <w:b w:val="0"/>
                <w:bCs w:val="0"/>
                <w:color w:val="auto"/>
                <w:highlight w:val="none"/>
                <w:lang w:val="en-US" w:eastAsia="zh-CN"/>
              </w:rPr>
              <w:t>6</w:t>
            </w:r>
            <w:r>
              <w:rPr>
                <w:rFonts w:hint="eastAsia" w:cs="Times New Roman"/>
                <w:b w:val="0"/>
                <w:bCs w:val="0"/>
                <w:color w:val="auto"/>
                <w:highlight w:val="none"/>
                <w:lang w:val="en-US" w:eastAsia="zh-CN"/>
              </w:rPr>
              <w:t>.44</w:t>
            </w:r>
            <w:r>
              <w:rPr>
                <w:rFonts w:hint="default" w:ascii="Times New Roman" w:hAnsi="Times New Roman" w:cs="Times New Roman"/>
                <w:b w:val="0"/>
                <w:bCs w:val="0"/>
                <w:color w:val="auto"/>
                <w:highlight w:val="none"/>
                <w:lang w:val="en-US" w:eastAsia="zh-CN"/>
              </w:rPr>
              <w:t>%。</w:t>
            </w:r>
          </w:p>
          <w:p w14:paraId="17F4BAA8">
            <w:pPr>
              <w:pStyle w:val="31"/>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占地面积：项目</w:t>
            </w:r>
            <w:r>
              <w:rPr>
                <w:rFonts w:hint="eastAsia" w:cs="Times New Roman"/>
                <w:color w:val="auto"/>
                <w:szCs w:val="21"/>
                <w:highlight w:val="none"/>
                <w:lang w:val="en-US" w:eastAsia="zh-CN"/>
              </w:rPr>
              <w:t>用地</w:t>
            </w:r>
            <w:r>
              <w:rPr>
                <w:rFonts w:hint="default" w:ascii="Times New Roman" w:hAnsi="Times New Roman" w:cs="Times New Roman"/>
                <w:color w:val="auto"/>
                <w:szCs w:val="21"/>
                <w:highlight w:val="none"/>
                <w:lang w:val="en-US" w:eastAsia="zh-CN"/>
              </w:rPr>
              <w:t>面积</w:t>
            </w:r>
            <w:r>
              <w:rPr>
                <w:rFonts w:hint="eastAsia" w:cs="Times New Roman"/>
                <w:color w:val="auto"/>
                <w:szCs w:val="21"/>
                <w:highlight w:val="none"/>
                <w:lang w:val="en-US" w:eastAsia="zh-CN"/>
              </w:rPr>
              <w:t>42280</w:t>
            </w:r>
            <w:r>
              <w:rPr>
                <w:rFonts w:hint="default" w:ascii="Times New Roman" w:hAnsi="Times New Roman" w:cs="Times New Roman"/>
                <w:color w:val="auto"/>
                <w:szCs w:val="21"/>
                <w:highlight w:val="none"/>
                <w:lang w:val="en-US" w:eastAsia="zh-CN"/>
              </w:rPr>
              <w:t>㎡。</w:t>
            </w:r>
          </w:p>
          <w:p w14:paraId="21D154BB">
            <w:pPr>
              <w:pStyle w:val="31"/>
              <w:rPr>
                <w:rFonts w:hint="eastAsia" w:ascii="Times New Roman" w:hAnsi="Times New Roman" w:cs="Times New Roman"/>
                <w:b w:val="0"/>
                <w:bCs w:val="0"/>
                <w:color w:val="auto"/>
                <w:highlight w:val="none"/>
                <w:lang w:val="en-US" w:eastAsia="zh-CN"/>
              </w:rPr>
            </w:pPr>
            <w:r>
              <w:rPr>
                <w:rFonts w:hint="default" w:ascii="Times New Roman" w:hAnsi="Times New Roman" w:cs="Times New Roman"/>
                <w:color w:val="auto"/>
                <w:szCs w:val="21"/>
                <w:highlight w:val="none"/>
                <w:lang w:val="en-US" w:eastAsia="zh-CN"/>
              </w:rPr>
              <w:t>建设规模：</w:t>
            </w:r>
            <w:r>
              <w:rPr>
                <w:rFonts w:hint="eastAsia" w:ascii="Times New Roman" w:hAnsi="Times New Roman" w:cs="Times New Roman"/>
                <w:color w:val="auto"/>
                <w:szCs w:val="21"/>
                <w:highlight w:val="none"/>
                <w:lang w:val="en-US" w:eastAsia="zh-CN"/>
              </w:rPr>
              <w:t>建设一条年处理25万吨煤系高岭土生产线，年生产18万吨</w:t>
            </w:r>
            <w:r>
              <w:rPr>
                <w:rFonts w:hint="eastAsia" w:ascii="Times New Roman" w:hAnsi="Times New Roman" w:cs="Times New Roman"/>
                <w:b w:val="0"/>
                <w:bCs w:val="0"/>
                <w:color w:val="auto"/>
                <w:highlight w:val="none"/>
                <w:lang w:val="en-US" w:eastAsia="zh-CN"/>
              </w:rPr>
              <w:t>的块料煅烧料（粒径60-100mm）、2万吨的大块煤系高岭土煅烧料（粒径30-60mm）、2万吨的小块煤系高岭土煅烧料（粒径1-30mm）及3万吨的煤系高岭土生料。</w:t>
            </w:r>
          </w:p>
          <w:p w14:paraId="3A8C83A3">
            <w:pPr>
              <w:pStyle w:val="31"/>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建设内容：本项目建设1条煤系高岭土深加工生产线，</w:t>
            </w:r>
            <w:r>
              <w:rPr>
                <w:rFonts w:hint="eastAsia" w:cs="Times New Roman"/>
                <w:color w:val="auto"/>
                <w:szCs w:val="21"/>
                <w:highlight w:val="none"/>
                <w:lang w:val="en-US" w:eastAsia="zh-CN"/>
              </w:rPr>
              <w:t>年加工煤系高岭土25万吨，项目总占地面积</w:t>
            </w:r>
            <w:r>
              <w:rPr>
                <w:rFonts w:hint="default" w:ascii="Times New Roman" w:hAnsi="Times New Roman" w:eastAsia="宋体" w:cs="Times New Roman"/>
                <w:color w:val="auto"/>
                <w:szCs w:val="21"/>
                <w:highlight w:val="none"/>
                <w:lang w:val="en-US" w:eastAsia="zh-CN"/>
              </w:rPr>
              <w:t>42280</w:t>
            </w:r>
            <w:r>
              <w:rPr>
                <w:rFonts w:hint="eastAsia" w:cs="Times New Roman"/>
                <w:color w:val="auto"/>
                <w:szCs w:val="21"/>
                <w:highlight w:val="none"/>
                <w:lang w:val="en-US" w:eastAsia="zh-CN"/>
              </w:rPr>
              <w:t>㎡；</w:t>
            </w:r>
            <w:r>
              <w:rPr>
                <w:rFonts w:hint="default" w:ascii="Times New Roman" w:hAnsi="Times New Roman" w:cs="Times New Roman"/>
                <w:color w:val="auto"/>
                <w:szCs w:val="21"/>
                <w:highlight w:val="none"/>
                <w:lang w:val="en-US" w:eastAsia="zh-CN"/>
              </w:rPr>
              <w:t>建设1座全封闭生产厂房，</w:t>
            </w:r>
            <w:r>
              <w:rPr>
                <w:rFonts w:hint="eastAsia" w:cs="Times New Roman"/>
                <w:color w:val="auto"/>
                <w:szCs w:val="21"/>
                <w:highlight w:val="none"/>
                <w:lang w:val="en-US" w:eastAsia="zh-CN"/>
              </w:rPr>
              <w:t>按照功能区划分为</w:t>
            </w:r>
            <w:r>
              <w:rPr>
                <w:rFonts w:hint="default" w:ascii="Times New Roman" w:hAnsi="Times New Roman" w:cs="Times New Roman"/>
                <w:color w:val="auto"/>
                <w:szCs w:val="21"/>
                <w:highlight w:val="none"/>
                <w:lang w:val="en-US" w:eastAsia="zh-CN"/>
              </w:rPr>
              <w:t>原料库、生产区、熟料库</w:t>
            </w:r>
            <w:r>
              <w:rPr>
                <w:rFonts w:hint="eastAsia"/>
                <w:color w:val="auto"/>
                <w:highlight w:val="none"/>
                <w:lang w:eastAsia="zh-CN"/>
              </w:rPr>
              <w:t>，</w:t>
            </w:r>
            <w:r>
              <w:rPr>
                <w:rFonts w:hint="eastAsia"/>
                <w:color w:val="auto"/>
                <w:highlight w:val="none"/>
                <w:lang w:val="en-US" w:eastAsia="zh-CN"/>
              </w:rPr>
              <w:t>新建1座生活办公用房、1座脱硫循环水池、1座事故池、1座初期雨水池等公用工程及辅助工程，</w:t>
            </w:r>
            <w:r>
              <w:rPr>
                <w:rFonts w:hint="default" w:ascii="Times New Roman" w:hAnsi="Times New Roman" w:cs="Times New Roman"/>
                <w:color w:val="auto"/>
                <w:szCs w:val="21"/>
                <w:highlight w:val="none"/>
                <w:lang w:val="en-US" w:eastAsia="zh-CN"/>
              </w:rPr>
              <w:t>本项目主要建设内容一览表见表2-1。</w:t>
            </w:r>
          </w:p>
          <w:p w14:paraId="7D11313E">
            <w:pPr>
              <w:pStyle w:val="31"/>
              <w:ind w:left="0" w:leftChars="0" w:firstLine="0" w:firstLineChars="0"/>
              <w:jc w:val="center"/>
              <w:rPr>
                <w:rFonts w:hint="default" w:ascii="Times New Roman" w:hAnsi="Times New Roman" w:cs="Times New Roman"/>
                <w:b/>
                <w:bCs/>
                <w:color w:val="auto"/>
                <w:szCs w:val="21"/>
                <w:highlight w:val="none"/>
                <w:vertAlign w:val="baseline"/>
                <w:lang w:val="en-US" w:eastAsia="zh-CN"/>
              </w:rPr>
            </w:pPr>
            <w:r>
              <w:rPr>
                <w:rFonts w:hint="default" w:ascii="Times New Roman" w:hAnsi="Times New Roman" w:cs="Times New Roman"/>
                <w:b/>
                <w:bCs/>
                <w:color w:val="auto"/>
                <w:szCs w:val="21"/>
                <w:highlight w:val="none"/>
                <w:lang w:val="en-US" w:eastAsia="zh-CN"/>
              </w:rPr>
              <w:t>表2-1</w:t>
            </w:r>
            <w:r>
              <w:rPr>
                <w:rFonts w:hint="eastAsia" w:cs="Times New Roman"/>
                <w:b/>
                <w:bCs/>
                <w:color w:val="auto"/>
                <w:szCs w:val="21"/>
                <w:highlight w:val="none"/>
                <w:lang w:val="en-US" w:eastAsia="zh-CN"/>
              </w:rPr>
              <w:t>：</w:t>
            </w:r>
            <w:r>
              <w:rPr>
                <w:rFonts w:hint="default" w:ascii="Times New Roman" w:hAnsi="Times New Roman" w:cs="Times New Roman"/>
                <w:b/>
                <w:bCs/>
                <w:color w:val="auto"/>
                <w:szCs w:val="21"/>
                <w:highlight w:val="none"/>
                <w:lang w:val="en-US" w:eastAsia="zh-CN"/>
              </w:rPr>
              <w:t>主要建设内容一览表</w:t>
            </w: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9"/>
              <w:gridCol w:w="1099"/>
              <w:gridCol w:w="692"/>
              <w:gridCol w:w="4709"/>
              <w:gridCol w:w="649"/>
            </w:tblGrid>
            <w:tr w14:paraId="7B0D0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91" w:hRule="atLeast"/>
              </w:trPr>
              <w:tc>
                <w:tcPr>
                  <w:tcW w:w="769" w:type="dxa"/>
                </w:tcPr>
                <w:p w14:paraId="7AF92D41">
                  <w:pPr>
                    <w:pStyle w:val="31"/>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szCs w:val="21"/>
                      <w:highlight w:val="none"/>
                      <w:vertAlign w:val="baseline"/>
                      <w:lang w:val="en-US" w:eastAsia="zh-CN"/>
                    </w:rPr>
                  </w:pPr>
                  <w:r>
                    <w:rPr>
                      <w:rFonts w:hint="default" w:ascii="Times New Roman" w:hAnsi="Times New Roman" w:cs="Times New Roman"/>
                      <w:color w:val="auto"/>
                      <w:szCs w:val="21"/>
                      <w:highlight w:val="none"/>
                      <w:vertAlign w:val="baseline"/>
                      <w:lang w:val="en-US" w:eastAsia="zh-CN"/>
                    </w:rPr>
                    <w:t>类别</w:t>
                  </w:r>
                </w:p>
              </w:tc>
              <w:tc>
                <w:tcPr>
                  <w:tcW w:w="1099" w:type="dxa"/>
                </w:tcPr>
                <w:p w14:paraId="040CACB4">
                  <w:pPr>
                    <w:pStyle w:val="31"/>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szCs w:val="21"/>
                      <w:highlight w:val="none"/>
                      <w:vertAlign w:val="baseline"/>
                      <w:lang w:val="en-US" w:eastAsia="zh-CN"/>
                    </w:rPr>
                  </w:pPr>
                  <w:r>
                    <w:rPr>
                      <w:rFonts w:hint="default" w:ascii="Times New Roman" w:hAnsi="Times New Roman" w:cs="Times New Roman"/>
                      <w:color w:val="auto"/>
                      <w:szCs w:val="21"/>
                      <w:highlight w:val="none"/>
                      <w:vertAlign w:val="baseline"/>
                      <w:lang w:val="en-US" w:eastAsia="zh-CN"/>
                    </w:rPr>
                    <w:t>工程名称</w:t>
                  </w:r>
                </w:p>
              </w:tc>
              <w:tc>
                <w:tcPr>
                  <w:tcW w:w="5401" w:type="dxa"/>
                  <w:gridSpan w:val="2"/>
                </w:tcPr>
                <w:p w14:paraId="73DF929B">
                  <w:pPr>
                    <w:pStyle w:val="31"/>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szCs w:val="21"/>
                      <w:highlight w:val="none"/>
                      <w:vertAlign w:val="baseline"/>
                      <w:lang w:val="en-US" w:eastAsia="zh-CN"/>
                    </w:rPr>
                  </w:pPr>
                  <w:r>
                    <w:rPr>
                      <w:rFonts w:hint="default" w:ascii="Times New Roman" w:hAnsi="Times New Roman" w:cs="Times New Roman"/>
                      <w:color w:val="auto"/>
                      <w:szCs w:val="21"/>
                      <w:highlight w:val="none"/>
                      <w:vertAlign w:val="baseline"/>
                      <w:lang w:val="en-US" w:eastAsia="zh-CN"/>
                    </w:rPr>
                    <w:t>建设内容</w:t>
                  </w:r>
                </w:p>
              </w:tc>
              <w:tc>
                <w:tcPr>
                  <w:tcW w:w="649" w:type="dxa"/>
                </w:tcPr>
                <w:p w14:paraId="270D86AF">
                  <w:pPr>
                    <w:pStyle w:val="31"/>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szCs w:val="21"/>
                      <w:highlight w:val="none"/>
                      <w:vertAlign w:val="baseline"/>
                      <w:lang w:val="en-US" w:eastAsia="zh-CN"/>
                    </w:rPr>
                  </w:pPr>
                  <w:r>
                    <w:rPr>
                      <w:rFonts w:hint="default" w:ascii="Times New Roman" w:hAnsi="Times New Roman" w:cs="Times New Roman"/>
                      <w:color w:val="auto"/>
                      <w:szCs w:val="21"/>
                      <w:highlight w:val="none"/>
                      <w:vertAlign w:val="baseline"/>
                      <w:lang w:val="en-US" w:eastAsia="zh-CN"/>
                    </w:rPr>
                    <w:t>备注</w:t>
                  </w:r>
                </w:p>
              </w:tc>
            </w:tr>
            <w:tr w14:paraId="56E54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69" w:type="dxa"/>
                </w:tcPr>
                <w:p w14:paraId="3B30D181">
                  <w:pPr>
                    <w:pStyle w:val="31"/>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szCs w:val="21"/>
                      <w:highlight w:val="none"/>
                      <w:vertAlign w:val="baseline"/>
                      <w:lang w:val="en-US" w:eastAsia="zh-CN"/>
                    </w:rPr>
                  </w:pPr>
                  <w:r>
                    <w:rPr>
                      <w:rFonts w:hint="default" w:ascii="Times New Roman" w:hAnsi="Times New Roman" w:cs="Times New Roman"/>
                      <w:color w:val="auto"/>
                      <w:szCs w:val="21"/>
                      <w:highlight w:val="none"/>
                      <w:vertAlign w:val="baseline"/>
                      <w:lang w:val="en-US" w:eastAsia="zh-CN"/>
                    </w:rPr>
                    <w:t>主体工程</w:t>
                  </w:r>
                </w:p>
              </w:tc>
              <w:tc>
                <w:tcPr>
                  <w:tcW w:w="1099" w:type="dxa"/>
                </w:tcPr>
                <w:p w14:paraId="120F599D">
                  <w:pPr>
                    <w:pStyle w:val="31"/>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szCs w:val="21"/>
                      <w:highlight w:val="none"/>
                      <w:vertAlign w:val="baseline"/>
                      <w:lang w:val="en-US" w:eastAsia="zh-CN"/>
                    </w:rPr>
                  </w:pPr>
                  <w:r>
                    <w:rPr>
                      <w:rFonts w:hint="default" w:ascii="Times New Roman" w:hAnsi="Times New Roman" w:cs="Times New Roman"/>
                      <w:color w:val="auto"/>
                      <w:szCs w:val="21"/>
                      <w:highlight w:val="none"/>
                      <w:vertAlign w:val="baseline"/>
                      <w:lang w:val="en-US" w:eastAsia="zh-CN"/>
                    </w:rPr>
                    <w:t>生产车间</w:t>
                  </w:r>
                </w:p>
              </w:tc>
              <w:tc>
                <w:tcPr>
                  <w:tcW w:w="5401" w:type="dxa"/>
                  <w:gridSpan w:val="2"/>
                </w:tcPr>
                <w:p w14:paraId="19932F10">
                  <w:pPr>
                    <w:pStyle w:val="31"/>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both"/>
                    <w:textAlignment w:val="auto"/>
                    <w:rPr>
                      <w:rFonts w:hint="default" w:ascii="Times New Roman" w:hAnsi="Times New Roman" w:eastAsia="宋体" w:cs="Times New Roman"/>
                      <w:color w:val="auto"/>
                      <w:szCs w:val="21"/>
                      <w:highlight w:val="none"/>
                      <w:vertAlign w:val="baseline"/>
                      <w:lang w:val="en-US" w:eastAsia="zh-CN"/>
                    </w:rPr>
                  </w:pPr>
                  <w:r>
                    <w:rPr>
                      <w:rFonts w:hint="default" w:ascii="Times New Roman" w:hAnsi="Times New Roman" w:cs="Times New Roman"/>
                      <w:color w:val="auto"/>
                      <w:szCs w:val="21"/>
                      <w:highlight w:val="none"/>
                      <w:vertAlign w:val="baseline"/>
                      <w:lang w:val="en-US" w:eastAsia="zh-CN"/>
                    </w:rPr>
                    <w:t>本项目建设1座全封闭生产车间，</w:t>
                  </w:r>
                  <w:r>
                    <w:rPr>
                      <w:rFonts w:hint="default" w:ascii="Times New Roman" w:hAnsi="Times New Roman" w:eastAsia="宋体" w:cs="Times New Roman"/>
                      <w:color w:val="auto"/>
                      <w:szCs w:val="21"/>
                      <w:highlight w:val="none"/>
                      <w:vertAlign w:val="baseline"/>
                      <w:lang w:val="en-US" w:eastAsia="zh-CN"/>
                    </w:rPr>
                    <w:t>建筑面积28100㎡，内设原料库、熟料库、生产区；</w:t>
                  </w:r>
                </w:p>
                <w:p w14:paraId="698F2842">
                  <w:pPr>
                    <w:pStyle w:val="31"/>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both"/>
                    <w:textAlignment w:val="auto"/>
                    <w:rPr>
                      <w:rFonts w:hint="default" w:ascii="Times New Roman" w:hAnsi="Times New Roman" w:eastAsia="宋体" w:cs="Times New Roman"/>
                      <w:color w:val="auto"/>
                      <w:szCs w:val="21"/>
                      <w:highlight w:val="none"/>
                      <w:vertAlign w:val="baseline"/>
                      <w:lang w:val="en-US" w:eastAsia="zh-CN"/>
                    </w:rPr>
                  </w:pPr>
                  <w:r>
                    <w:rPr>
                      <w:rFonts w:hint="default" w:ascii="Times New Roman" w:hAnsi="Times New Roman" w:eastAsia="宋体" w:cs="Times New Roman"/>
                      <w:color w:val="auto"/>
                      <w:szCs w:val="21"/>
                      <w:highlight w:val="none"/>
                      <w:vertAlign w:val="baseline"/>
                      <w:lang w:val="en-US" w:eastAsia="zh-CN"/>
                    </w:rPr>
                    <w:t>①</w:t>
                  </w:r>
                  <w:r>
                    <w:rPr>
                      <w:rFonts w:hint="eastAsia" w:ascii="Times New Roman" w:hAnsi="Times New Roman" w:eastAsia="宋体" w:cs="Times New Roman"/>
                      <w:color w:val="auto"/>
                      <w:szCs w:val="21"/>
                      <w:highlight w:val="none"/>
                      <w:vertAlign w:val="baseline"/>
                      <w:lang w:val="en-US" w:eastAsia="zh-CN"/>
                    </w:rPr>
                    <w:t>原料库：</w:t>
                  </w:r>
                  <w:r>
                    <w:rPr>
                      <w:rFonts w:hint="default" w:ascii="Times New Roman" w:hAnsi="Times New Roman" w:eastAsia="宋体" w:cs="Times New Roman"/>
                      <w:color w:val="auto"/>
                      <w:szCs w:val="21"/>
                      <w:highlight w:val="none"/>
                      <w:vertAlign w:val="baseline"/>
                      <w:lang w:val="en-US" w:eastAsia="zh-CN"/>
                    </w:rPr>
                    <w:t>建筑面积11500㎡，位于生产车间东侧，用于贮存原料煤系高岭土；可满足原料7天的贮存量；</w:t>
                  </w:r>
                </w:p>
                <w:p w14:paraId="032F5840">
                  <w:pPr>
                    <w:pStyle w:val="31"/>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both"/>
                    <w:textAlignment w:val="auto"/>
                    <w:rPr>
                      <w:rFonts w:hint="default" w:ascii="Times New Roman" w:hAnsi="Times New Roman" w:eastAsia="宋体" w:cs="Times New Roman"/>
                      <w:color w:val="auto"/>
                      <w:szCs w:val="21"/>
                      <w:highlight w:val="none"/>
                      <w:vertAlign w:val="baseline"/>
                      <w:lang w:val="en-US" w:eastAsia="zh-CN"/>
                    </w:rPr>
                  </w:pPr>
                  <w:r>
                    <w:rPr>
                      <w:rFonts w:hint="default" w:ascii="Times New Roman" w:hAnsi="Times New Roman" w:eastAsia="宋体" w:cs="Times New Roman"/>
                      <w:color w:val="auto"/>
                      <w:szCs w:val="21"/>
                      <w:highlight w:val="none"/>
                      <w:vertAlign w:val="baseline"/>
                      <w:lang w:val="en-US" w:eastAsia="zh-CN"/>
                    </w:rPr>
                    <w:t>②</w:t>
                  </w:r>
                  <w:r>
                    <w:rPr>
                      <w:rFonts w:hint="eastAsia" w:ascii="Times New Roman" w:hAnsi="Times New Roman" w:eastAsia="宋体" w:cs="Times New Roman"/>
                      <w:color w:val="auto"/>
                      <w:szCs w:val="21"/>
                      <w:highlight w:val="none"/>
                      <w:vertAlign w:val="baseline"/>
                      <w:lang w:val="en-US" w:eastAsia="zh-CN"/>
                    </w:rPr>
                    <w:t>熟料库：</w:t>
                  </w:r>
                  <w:r>
                    <w:rPr>
                      <w:rFonts w:hint="default" w:ascii="Times New Roman" w:hAnsi="Times New Roman" w:eastAsia="宋体" w:cs="Times New Roman"/>
                      <w:color w:val="auto"/>
                      <w:szCs w:val="21"/>
                      <w:highlight w:val="none"/>
                      <w:vertAlign w:val="baseline"/>
                      <w:lang w:val="en-US" w:eastAsia="zh-CN"/>
                    </w:rPr>
                    <w:t>生产区西侧设置熟料库，建筑面积</w:t>
                  </w:r>
                  <w:r>
                    <w:rPr>
                      <w:rFonts w:hint="eastAsia" w:ascii="Times New Roman" w:hAnsi="Times New Roman" w:eastAsia="宋体" w:cs="Times New Roman"/>
                      <w:color w:val="auto"/>
                      <w:szCs w:val="21"/>
                      <w:highlight w:val="none"/>
                      <w:vertAlign w:val="baseline"/>
                      <w:lang w:val="en-US" w:eastAsia="zh-CN"/>
                    </w:rPr>
                    <w:t>13796.73</w:t>
                  </w:r>
                  <w:r>
                    <w:rPr>
                      <w:rFonts w:hint="default" w:ascii="Times New Roman" w:hAnsi="Times New Roman" w:eastAsia="宋体" w:cs="Times New Roman"/>
                      <w:color w:val="auto"/>
                      <w:szCs w:val="21"/>
                      <w:highlight w:val="none"/>
                      <w:vertAlign w:val="baseline"/>
                      <w:lang w:val="en-US" w:eastAsia="zh-CN"/>
                    </w:rPr>
                    <w:t>㎡，用于贮存产品，贮存周期7天。</w:t>
                  </w:r>
                </w:p>
                <w:p w14:paraId="557F5302">
                  <w:pPr>
                    <w:pStyle w:val="31"/>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both"/>
                    <w:textAlignment w:val="auto"/>
                    <w:rPr>
                      <w:rFonts w:hint="default" w:ascii="Times New Roman" w:hAnsi="Times New Roman" w:cs="Times New Roman"/>
                      <w:color w:val="auto"/>
                      <w:szCs w:val="21"/>
                      <w:highlight w:val="none"/>
                      <w:vertAlign w:val="baseline"/>
                      <w:lang w:val="en-US" w:eastAsia="zh-CN"/>
                    </w:rPr>
                  </w:pPr>
                  <w:r>
                    <w:rPr>
                      <w:rFonts w:hint="default" w:ascii="Times New Roman" w:hAnsi="Times New Roman" w:cs="Times New Roman"/>
                      <w:color w:val="auto"/>
                      <w:szCs w:val="21"/>
                      <w:highlight w:val="none"/>
                      <w:vertAlign w:val="baseline"/>
                      <w:lang w:val="en-US" w:eastAsia="zh-CN"/>
                    </w:rPr>
                    <w:t>③</w:t>
                  </w:r>
                  <w:r>
                    <w:rPr>
                      <w:rFonts w:hint="eastAsia" w:cs="Times New Roman"/>
                      <w:color w:val="auto"/>
                      <w:szCs w:val="21"/>
                      <w:highlight w:val="none"/>
                      <w:vertAlign w:val="baseline"/>
                      <w:lang w:val="en-US" w:eastAsia="zh-CN"/>
                    </w:rPr>
                    <w:t>生产区：</w:t>
                  </w:r>
                  <w:r>
                    <w:rPr>
                      <w:rFonts w:hint="default" w:ascii="Times New Roman" w:hAnsi="Times New Roman" w:cs="Times New Roman"/>
                      <w:color w:val="auto"/>
                      <w:szCs w:val="21"/>
                      <w:highlight w:val="none"/>
                      <w:vertAlign w:val="baseline"/>
                      <w:lang w:val="en-US" w:eastAsia="zh-CN"/>
                    </w:rPr>
                    <w:t>生产区位于生产车间中部，</w:t>
                  </w:r>
                  <w:r>
                    <w:rPr>
                      <w:rFonts w:hint="default" w:ascii="Times New Roman" w:hAnsi="Times New Roman" w:eastAsia="宋体" w:cs="Times New Roman"/>
                      <w:color w:val="auto"/>
                      <w:szCs w:val="21"/>
                      <w:highlight w:val="none"/>
                      <w:vertAlign w:val="baseline"/>
                      <w:lang w:val="en-US" w:eastAsia="zh-CN"/>
                    </w:rPr>
                    <w:t>建筑面积2803.27㎡，内设生料漏斗2个、给料机4台、熟料拣选区、燃气减压柜1台</w:t>
                  </w:r>
                  <w:r>
                    <w:rPr>
                      <w:rFonts w:hint="eastAsia" w:ascii="Times New Roman" w:hAnsi="Times New Roman" w:eastAsia="宋体" w:cs="Times New Roman"/>
                      <w:color w:val="auto"/>
                      <w:szCs w:val="21"/>
                      <w:highlight w:val="none"/>
                      <w:vertAlign w:val="baseline"/>
                      <w:lang w:val="en-US" w:eastAsia="zh-CN"/>
                    </w:rPr>
                    <w:t>，</w:t>
                  </w:r>
                  <w:r>
                    <w:rPr>
                      <w:rFonts w:hint="default" w:ascii="Times New Roman" w:hAnsi="Times New Roman" w:eastAsia="宋体" w:cs="Times New Roman"/>
                      <w:color w:val="auto"/>
                      <w:szCs w:val="21"/>
                      <w:highlight w:val="none"/>
                      <w:vertAlign w:val="baseline"/>
                      <w:lang w:val="en-US" w:eastAsia="zh-CN"/>
                    </w:rPr>
                    <w:t>设置</w:t>
                  </w:r>
                  <w:r>
                    <w:rPr>
                      <w:rFonts w:hint="eastAsia" w:ascii="Times New Roman" w:hAnsi="Times New Roman" w:eastAsia="宋体" w:cs="Times New Roman"/>
                      <w:color w:val="auto"/>
                      <w:szCs w:val="21"/>
                      <w:highlight w:val="none"/>
                      <w:vertAlign w:val="baseline"/>
                      <w:lang w:val="en-US" w:eastAsia="zh-CN"/>
                    </w:rPr>
                    <w:t>4</w:t>
                  </w:r>
                  <w:r>
                    <w:rPr>
                      <w:rFonts w:hint="default" w:ascii="Times New Roman" w:hAnsi="Times New Roman" w:eastAsia="宋体" w:cs="Times New Roman"/>
                      <w:color w:val="auto"/>
                      <w:szCs w:val="21"/>
                      <w:highlight w:val="none"/>
                      <w:vertAlign w:val="baseline"/>
                      <w:lang w:val="en-US" w:eastAsia="zh-CN"/>
                    </w:rPr>
                    <w:t>台</w:t>
                  </w:r>
                  <w:r>
                    <w:rPr>
                      <w:rFonts w:hint="eastAsia" w:ascii="Times New Roman" w:hAnsi="Times New Roman" w:eastAsia="宋体" w:cs="Times New Roman"/>
                      <w:color w:val="auto"/>
                      <w:szCs w:val="21"/>
                      <w:highlight w:val="none"/>
                      <w:vertAlign w:val="baseline"/>
                      <w:lang w:val="en-US" w:eastAsia="zh-CN"/>
                    </w:rPr>
                    <w:t>60m³燃气节能环保型竖</w:t>
                  </w:r>
                  <w:r>
                    <w:rPr>
                      <w:rFonts w:hint="default" w:ascii="Times New Roman" w:hAnsi="Times New Roman" w:eastAsia="宋体" w:cs="Times New Roman"/>
                      <w:color w:val="auto"/>
                      <w:szCs w:val="21"/>
                      <w:highlight w:val="none"/>
                      <w:vertAlign w:val="baseline"/>
                      <w:lang w:val="en-US" w:eastAsia="zh-CN"/>
                    </w:rPr>
                    <w:t>窑</w:t>
                  </w:r>
                  <w:r>
                    <w:rPr>
                      <w:rFonts w:hint="eastAsia" w:ascii="Times New Roman" w:hAnsi="Times New Roman" w:eastAsia="宋体" w:cs="Times New Roman"/>
                      <w:color w:val="auto"/>
                      <w:szCs w:val="21"/>
                      <w:highlight w:val="none"/>
                      <w:vertAlign w:val="baseline"/>
                      <w:lang w:val="en-US" w:eastAsia="zh-CN"/>
                    </w:rPr>
                    <w:t>，用于煤系高岭土煅烧，以内蒙古陆泰天然气有限公司提供天然气</w:t>
                  </w:r>
                  <w:r>
                    <w:rPr>
                      <w:rFonts w:hint="eastAsia" w:cs="Times New Roman"/>
                      <w:color w:val="auto"/>
                      <w:szCs w:val="21"/>
                      <w:highlight w:val="none"/>
                      <w:vertAlign w:val="baseline"/>
                      <w:lang w:val="en-US" w:eastAsia="zh-CN"/>
                    </w:rPr>
                    <w:t>作为本项燃料</w:t>
                  </w:r>
                  <w:r>
                    <w:rPr>
                      <w:rFonts w:hint="eastAsia" w:ascii="Times New Roman" w:hAnsi="Times New Roman" w:eastAsia="宋体" w:cs="Times New Roman"/>
                      <w:color w:val="auto"/>
                      <w:szCs w:val="21"/>
                      <w:highlight w:val="none"/>
                      <w:vertAlign w:val="baseline"/>
                      <w:lang w:val="en-US" w:eastAsia="zh-CN"/>
                    </w:rPr>
                    <w:t>。</w:t>
                  </w:r>
                </w:p>
              </w:tc>
              <w:tc>
                <w:tcPr>
                  <w:tcW w:w="649" w:type="dxa"/>
                </w:tcPr>
                <w:p w14:paraId="4F5706C3">
                  <w:pPr>
                    <w:pStyle w:val="31"/>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szCs w:val="21"/>
                      <w:highlight w:val="none"/>
                      <w:vertAlign w:val="baseline"/>
                      <w:lang w:val="en-US" w:eastAsia="zh-CN"/>
                    </w:rPr>
                  </w:pPr>
                  <w:r>
                    <w:rPr>
                      <w:rFonts w:hint="default" w:ascii="Times New Roman" w:hAnsi="Times New Roman" w:cs="Times New Roman"/>
                      <w:color w:val="auto"/>
                      <w:szCs w:val="21"/>
                      <w:highlight w:val="none"/>
                      <w:vertAlign w:val="baseline"/>
                      <w:lang w:val="en-US" w:eastAsia="zh-CN"/>
                    </w:rPr>
                    <w:t>新建</w:t>
                  </w:r>
                </w:p>
              </w:tc>
            </w:tr>
            <w:tr w14:paraId="2E5C6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69" w:type="dxa"/>
                  <w:vMerge w:val="restart"/>
                </w:tcPr>
                <w:p w14:paraId="6266C3BE">
                  <w:pPr>
                    <w:pStyle w:val="31"/>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szCs w:val="21"/>
                      <w:highlight w:val="none"/>
                      <w:vertAlign w:val="baseline"/>
                      <w:lang w:val="en-US" w:eastAsia="zh-CN"/>
                    </w:rPr>
                  </w:pPr>
                  <w:r>
                    <w:rPr>
                      <w:rFonts w:hint="default" w:ascii="Times New Roman" w:hAnsi="Times New Roman" w:cs="Times New Roman"/>
                      <w:color w:val="auto"/>
                      <w:szCs w:val="21"/>
                      <w:highlight w:val="none"/>
                      <w:vertAlign w:val="baseline"/>
                      <w:lang w:val="en-US" w:eastAsia="zh-CN"/>
                    </w:rPr>
                    <w:t>辅助工程</w:t>
                  </w:r>
                </w:p>
              </w:tc>
              <w:tc>
                <w:tcPr>
                  <w:tcW w:w="1099" w:type="dxa"/>
                </w:tcPr>
                <w:p w14:paraId="06348625">
                  <w:pPr>
                    <w:pStyle w:val="31"/>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szCs w:val="21"/>
                      <w:highlight w:val="none"/>
                      <w:vertAlign w:val="baseline"/>
                      <w:lang w:val="en-US" w:eastAsia="zh-CN"/>
                    </w:rPr>
                  </w:pPr>
                  <w:r>
                    <w:rPr>
                      <w:rFonts w:hint="eastAsia" w:cs="Times New Roman"/>
                      <w:color w:val="auto"/>
                      <w:szCs w:val="21"/>
                      <w:highlight w:val="none"/>
                      <w:vertAlign w:val="baseline"/>
                      <w:lang w:val="en-US" w:eastAsia="zh-CN"/>
                    </w:rPr>
                    <w:t>生活办公用房</w:t>
                  </w:r>
                </w:p>
              </w:tc>
              <w:tc>
                <w:tcPr>
                  <w:tcW w:w="5401" w:type="dxa"/>
                  <w:gridSpan w:val="2"/>
                </w:tcPr>
                <w:p w14:paraId="499AC6D4">
                  <w:pPr>
                    <w:pStyle w:val="31"/>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both"/>
                    <w:textAlignment w:val="auto"/>
                    <w:rPr>
                      <w:rFonts w:hint="default" w:ascii="Times New Roman" w:hAnsi="Times New Roman" w:cs="Times New Roman"/>
                      <w:color w:val="auto"/>
                      <w:szCs w:val="21"/>
                      <w:highlight w:val="none"/>
                      <w:vertAlign w:val="baseline"/>
                      <w:lang w:val="en-US" w:eastAsia="zh-CN"/>
                    </w:rPr>
                  </w:pPr>
                  <w:r>
                    <w:rPr>
                      <w:rFonts w:hint="default" w:ascii="Times New Roman" w:hAnsi="Times New Roman" w:cs="Times New Roman"/>
                      <w:color w:val="auto"/>
                      <w:szCs w:val="21"/>
                      <w:highlight w:val="none"/>
                      <w:vertAlign w:val="baseline"/>
                      <w:lang w:val="en-US" w:eastAsia="zh-CN"/>
                    </w:rPr>
                    <w:t>本项目新建1座建筑面积为1900㎡的办公楼，三层，用于日常的生活办公使用。</w:t>
                  </w:r>
                </w:p>
              </w:tc>
              <w:tc>
                <w:tcPr>
                  <w:tcW w:w="649" w:type="dxa"/>
                </w:tcPr>
                <w:p w14:paraId="06AD6A9C">
                  <w:pPr>
                    <w:pStyle w:val="31"/>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szCs w:val="21"/>
                      <w:highlight w:val="none"/>
                      <w:vertAlign w:val="baseline"/>
                      <w:lang w:val="en-US" w:eastAsia="zh-CN"/>
                    </w:rPr>
                  </w:pPr>
                  <w:r>
                    <w:rPr>
                      <w:rFonts w:hint="default" w:ascii="Times New Roman" w:hAnsi="Times New Roman" w:cs="Times New Roman"/>
                      <w:color w:val="auto"/>
                      <w:szCs w:val="21"/>
                      <w:highlight w:val="none"/>
                      <w:vertAlign w:val="baseline"/>
                      <w:lang w:val="en-US" w:eastAsia="zh-CN"/>
                    </w:rPr>
                    <w:t>新建</w:t>
                  </w:r>
                </w:p>
              </w:tc>
            </w:tr>
            <w:tr w14:paraId="2BAE5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769" w:type="dxa"/>
                  <w:vMerge w:val="continue"/>
                </w:tcPr>
                <w:p w14:paraId="5C46BF87">
                  <w:pPr>
                    <w:pStyle w:val="31"/>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szCs w:val="21"/>
                      <w:highlight w:val="none"/>
                      <w:vertAlign w:val="baseline"/>
                      <w:lang w:val="en-US" w:eastAsia="zh-CN"/>
                    </w:rPr>
                  </w:pPr>
                </w:p>
              </w:tc>
              <w:tc>
                <w:tcPr>
                  <w:tcW w:w="1099" w:type="dxa"/>
                </w:tcPr>
                <w:p w14:paraId="1A260C64">
                  <w:pPr>
                    <w:pStyle w:val="31"/>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cs="Times New Roman"/>
                      <w:color w:val="auto"/>
                      <w:szCs w:val="21"/>
                      <w:highlight w:val="none"/>
                      <w:vertAlign w:val="baseline"/>
                      <w:lang w:val="en-US" w:eastAsia="zh-CN"/>
                    </w:rPr>
                  </w:pPr>
                  <w:r>
                    <w:rPr>
                      <w:rFonts w:hint="eastAsia" w:cs="Times New Roman"/>
                      <w:color w:val="auto"/>
                      <w:szCs w:val="21"/>
                      <w:highlight w:val="none"/>
                      <w:vertAlign w:val="baseline"/>
                      <w:lang w:val="en-US" w:eastAsia="zh-CN"/>
                    </w:rPr>
                    <w:t>脱硫循环水池</w:t>
                  </w:r>
                </w:p>
              </w:tc>
              <w:tc>
                <w:tcPr>
                  <w:tcW w:w="5401" w:type="dxa"/>
                  <w:gridSpan w:val="2"/>
                </w:tcPr>
                <w:p w14:paraId="173CE08E">
                  <w:pPr>
                    <w:pStyle w:val="31"/>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both"/>
                    <w:textAlignment w:val="auto"/>
                    <w:rPr>
                      <w:rFonts w:hint="default" w:ascii="Times New Roman" w:hAnsi="Times New Roman" w:cs="Times New Roman"/>
                      <w:color w:val="auto"/>
                      <w:szCs w:val="21"/>
                      <w:highlight w:val="none"/>
                      <w:vertAlign w:val="baseline"/>
                      <w:lang w:val="en-US" w:eastAsia="zh-CN"/>
                    </w:rPr>
                  </w:pPr>
                  <w:r>
                    <w:rPr>
                      <w:rFonts w:hint="default" w:ascii="Times New Roman" w:hAnsi="Times New Roman" w:cs="Times New Roman"/>
                      <w:color w:val="auto"/>
                      <w:szCs w:val="21"/>
                      <w:highlight w:val="none"/>
                      <w:vertAlign w:val="baseline"/>
                      <w:lang w:val="en-US" w:eastAsia="zh-CN"/>
                    </w:rPr>
                    <w:t>新建1座脱硫循环水池（分为2个池体，沉淀池3m×3m×2m，调节池3m×3m×2m），防渗技术要求一般防渗，等效粘土层Mb≥1.5m，防渗层渗透系数小于1×10</w:t>
                  </w:r>
                  <w:r>
                    <w:rPr>
                      <w:rFonts w:hint="default" w:ascii="Times New Roman" w:hAnsi="Times New Roman" w:cs="Times New Roman"/>
                      <w:color w:val="auto"/>
                      <w:szCs w:val="21"/>
                      <w:highlight w:val="none"/>
                      <w:vertAlign w:val="superscript"/>
                      <w:lang w:val="en-US" w:eastAsia="zh-CN"/>
                    </w:rPr>
                    <w:t>-7</w:t>
                  </w:r>
                  <w:r>
                    <w:rPr>
                      <w:rFonts w:hint="default" w:ascii="Times New Roman" w:hAnsi="Times New Roman" w:cs="Times New Roman"/>
                      <w:color w:val="auto"/>
                      <w:szCs w:val="21"/>
                      <w:highlight w:val="none"/>
                      <w:vertAlign w:val="baseline"/>
                      <w:lang w:val="en-US" w:eastAsia="zh-CN"/>
                    </w:rPr>
                    <w:t>m/s。</w:t>
                  </w:r>
                </w:p>
              </w:tc>
              <w:tc>
                <w:tcPr>
                  <w:tcW w:w="649" w:type="dxa"/>
                </w:tcPr>
                <w:p w14:paraId="374F42E4">
                  <w:pPr>
                    <w:pStyle w:val="31"/>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szCs w:val="21"/>
                      <w:highlight w:val="none"/>
                      <w:vertAlign w:val="baseline"/>
                      <w:lang w:val="en-US" w:eastAsia="zh-CN"/>
                    </w:rPr>
                  </w:pPr>
                  <w:r>
                    <w:rPr>
                      <w:rFonts w:hint="eastAsia" w:cs="Times New Roman"/>
                      <w:color w:val="auto"/>
                      <w:szCs w:val="21"/>
                      <w:highlight w:val="none"/>
                      <w:vertAlign w:val="baseline"/>
                      <w:lang w:val="en-US" w:eastAsia="zh-CN"/>
                    </w:rPr>
                    <w:t>新建</w:t>
                  </w:r>
                </w:p>
              </w:tc>
            </w:tr>
            <w:tr w14:paraId="3AC88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769" w:type="dxa"/>
                  <w:vMerge w:val="continue"/>
                </w:tcPr>
                <w:p w14:paraId="7E3DC1F5">
                  <w:pPr>
                    <w:pStyle w:val="31"/>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szCs w:val="21"/>
                      <w:highlight w:val="none"/>
                      <w:vertAlign w:val="baseline"/>
                      <w:lang w:val="en-US" w:eastAsia="zh-CN"/>
                    </w:rPr>
                  </w:pPr>
                </w:p>
              </w:tc>
              <w:tc>
                <w:tcPr>
                  <w:tcW w:w="1099" w:type="dxa"/>
                </w:tcPr>
                <w:p w14:paraId="13B8E318">
                  <w:pPr>
                    <w:pStyle w:val="31"/>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eastAsia" w:cs="Times New Roman"/>
                      <w:color w:val="auto"/>
                      <w:szCs w:val="21"/>
                      <w:highlight w:val="none"/>
                      <w:vertAlign w:val="baseline"/>
                      <w:lang w:val="en-US" w:eastAsia="zh-CN"/>
                    </w:rPr>
                  </w:pPr>
                  <w:r>
                    <w:rPr>
                      <w:rFonts w:hint="eastAsia" w:cs="Times New Roman"/>
                      <w:color w:val="auto"/>
                      <w:szCs w:val="21"/>
                      <w:highlight w:val="none"/>
                      <w:vertAlign w:val="baseline"/>
                      <w:lang w:val="en-US" w:eastAsia="zh-CN"/>
                    </w:rPr>
                    <w:t>一般固废暂存间</w:t>
                  </w:r>
                </w:p>
              </w:tc>
              <w:tc>
                <w:tcPr>
                  <w:tcW w:w="5401" w:type="dxa"/>
                  <w:gridSpan w:val="2"/>
                </w:tcPr>
                <w:p w14:paraId="06AC9E4D">
                  <w:pPr>
                    <w:pStyle w:val="31"/>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both"/>
                    <w:textAlignment w:val="auto"/>
                    <w:rPr>
                      <w:rFonts w:hint="default" w:ascii="Times New Roman" w:hAnsi="Times New Roman" w:cs="Times New Roman"/>
                      <w:color w:val="auto"/>
                      <w:szCs w:val="21"/>
                      <w:highlight w:val="none"/>
                      <w:vertAlign w:val="baseline"/>
                      <w:lang w:val="en-US" w:eastAsia="zh-CN"/>
                    </w:rPr>
                  </w:pPr>
                  <w:r>
                    <w:rPr>
                      <w:rFonts w:hint="eastAsia" w:cs="Times New Roman"/>
                      <w:color w:val="auto"/>
                      <w:szCs w:val="21"/>
                      <w:highlight w:val="none"/>
                      <w:vertAlign w:val="baseline"/>
                      <w:lang w:val="en-US" w:eastAsia="zh-CN"/>
                    </w:rPr>
                    <w:t>新建50㎡的一般固废暂存间，用于本项目除尘灰、废脱硫石膏的暂存，地面一般防渗要求，渗透系数K≤10</w:t>
                  </w:r>
                  <w:r>
                    <w:rPr>
                      <w:rFonts w:hint="eastAsia" w:cs="Times New Roman"/>
                      <w:color w:val="auto"/>
                      <w:szCs w:val="21"/>
                      <w:highlight w:val="none"/>
                      <w:vertAlign w:val="superscript"/>
                      <w:lang w:val="en-US" w:eastAsia="zh-CN"/>
                    </w:rPr>
                    <w:t>-7</w:t>
                  </w:r>
                  <w:r>
                    <w:rPr>
                      <w:rFonts w:hint="eastAsia" w:cs="Times New Roman"/>
                      <w:color w:val="auto"/>
                      <w:szCs w:val="21"/>
                      <w:highlight w:val="none"/>
                      <w:vertAlign w:val="baseline"/>
                      <w:lang w:val="en-US" w:eastAsia="zh-CN"/>
                    </w:rPr>
                    <w:t>cm/s。</w:t>
                  </w:r>
                </w:p>
              </w:tc>
              <w:tc>
                <w:tcPr>
                  <w:tcW w:w="649" w:type="dxa"/>
                </w:tcPr>
                <w:p w14:paraId="39904426">
                  <w:pPr>
                    <w:pStyle w:val="31"/>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eastAsia" w:cs="Times New Roman"/>
                      <w:color w:val="auto"/>
                      <w:szCs w:val="21"/>
                      <w:highlight w:val="none"/>
                      <w:vertAlign w:val="baseline"/>
                      <w:lang w:val="en-US" w:eastAsia="zh-CN"/>
                    </w:rPr>
                  </w:pPr>
                  <w:r>
                    <w:rPr>
                      <w:rFonts w:hint="eastAsia" w:cs="Times New Roman"/>
                      <w:color w:val="auto"/>
                      <w:szCs w:val="21"/>
                      <w:highlight w:val="none"/>
                      <w:vertAlign w:val="baseline"/>
                      <w:lang w:val="en-US" w:eastAsia="zh-CN"/>
                    </w:rPr>
                    <w:t>新建</w:t>
                  </w:r>
                </w:p>
              </w:tc>
            </w:tr>
            <w:tr w14:paraId="35D6B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769" w:type="dxa"/>
                  <w:vMerge w:val="continue"/>
                </w:tcPr>
                <w:p w14:paraId="00DE017E">
                  <w:pPr>
                    <w:pStyle w:val="31"/>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szCs w:val="21"/>
                      <w:highlight w:val="none"/>
                      <w:vertAlign w:val="baseline"/>
                      <w:lang w:val="en-US" w:eastAsia="zh-CN"/>
                    </w:rPr>
                  </w:pPr>
                </w:p>
              </w:tc>
              <w:tc>
                <w:tcPr>
                  <w:tcW w:w="1099" w:type="dxa"/>
                </w:tcPr>
                <w:p w14:paraId="420BEB66">
                  <w:pPr>
                    <w:pStyle w:val="31"/>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cs="Times New Roman"/>
                      <w:color w:val="auto"/>
                      <w:szCs w:val="21"/>
                      <w:highlight w:val="none"/>
                      <w:vertAlign w:val="baseline"/>
                      <w:lang w:val="en-US" w:eastAsia="zh-CN"/>
                    </w:rPr>
                  </w:pPr>
                  <w:r>
                    <w:rPr>
                      <w:rFonts w:hint="eastAsia" w:cs="Times New Roman"/>
                      <w:color w:val="auto"/>
                      <w:szCs w:val="21"/>
                      <w:highlight w:val="none"/>
                      <w:vertAlign w:val="baseline"/>
                      <w:lang w:val="en-US" w:eastAsia="zh-CN"/>
                    </w:rPr>
                    <w:t>初期雨水收集池</w:t>
                  </w:r>
                </w:p>
              </w:tc>
              <w:tc>
                <w:tcPr>
                  <w:tcW w:w="5401" w:type="dxa"/>
                  <w:gridSpan w:val="2"/>
                </w:tcPr>
                <w:p w14:paraId="5DC676C9">
                  <w:pPr>
                    <w:pStyle w:val="31"/>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both"/>
                    <w:textAlignment w:val="auto"/>
                    <w:rPr>
                      <w:rFonts w:hint="default" w:cs="Times New Roman"/>
                      <w:color w:val="auto"/>
                      <w:szCs w:val="21"/>
                      <w:highlight w:val="none"/>
                      <w:vertAlign w:val="baseline"/>
                      <w:lang w:val="en-US" w:eastAsia="zh-CN"/>
                    </w:rPr>
                  </w:pPr>
                  <w:r>
                    <w:rPr>
                      <w:rFonts w:hint="eastAsia" w:cs="Times New Roman"/>
                      <w:color w:val="auto"/>
                      <w:szCs w:val="21"/>
                      <w:highlight w:val="none"/>
                      <w:vertAlign w:val="baseline"/>
                      <w:lang w:val="en-US" w:eastAsia="zh-CN"/>
                    </w:rPr>
                    <w:t>新建1座390m³初期雨水收集池，混凝土结构，池底一般防渗要求，渗透系数K≤10</w:t>
                  </w:r>
                  <w:r>
                    <w:rPr>
                      <w:rFonts w:hint="eastAsia" w:cs="Times New Roman"/>
                      <w:color w:val="auto"/>
                      <w:szCs w:val="21"/>
                      <w:highlight w:val="none"/>
                      <w:vertAlign w:val="superscript"/>
                      <w:lang w:val="en-US" w:eastAsia="zh-CN"/>
                    </w:rPr>
                    <w:t>-7</w:t>
                  </w:r>
                  <w:r>
                    <w:rPr>
                      <w:rFonts w:hint="eastAsia" w:cs="Times New Roman"/>
                      <w:color w:val="auto"/>
                      <w:szCs w:val="21"/>
                      <w:highlight w:val="none"/>
                      <w:vertAlign w:val="baseline"/>
                      <w:lang w:val="en-US" w:eastAsia="zh-CN"/>
                    </w:rPr>
                    <w:t>cm/s。</w:t>
                  </w:r>
                </w:p>
              </w:tc>
              <w:tc>
                <w:tcPr>
                  <w:tcW w:w="649" w:type="dxa"/>
                </w:tcPr>
                <w:p w14:paraId="5EB6F874">
                  <w:pPr>
                    <w:pStyle w:val="31"/>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eastAsia" w:cs="Times New Roman"/>
                      <w:color w:val="auto"/>
                      <w:szCs w:val="21"/>
                      <w:highlight w:val="none"/>
                      <w:vertAlign w:val="baseline"/>
                      <w:lang w:val="en-US" w:eastAsia="zh-CN"/>
                    </w:rPr>
                  </w:pPr>
                  <w:r>
                    <w:rPr>
                      <w:rFonts w:hint="eastAsia" w:cs="Times New Roman"/>
                      <w:color w:val="auto"/>
                      <w:szCs w:val="21"/>
                      <w:highlight w:val="none"/>
                      <w:vertAlign w:val="baseline"/>
                      <w:lang w:val="en-US" w:eastAsia="zh-CN"/>
                    </w:rPr>
                    <w:t>新建</w:t>
                  </w:r>
                </w:p>
              </w:tc>
            </w:tr>
            <w:tr w14:paraId="5453A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769" w:type="dxa"/>
                  <w:vMerge w:val="continue"/>
                </w:tcPr>
                <w:p w14:paraId="2250482B">
                  <w:pPr>
                    <w:pStyle w:val="31"/>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szCs w:val="21"/>
                      <w:highlight w:val="none"/>
                      <w:vertAlign w:val="baseline"/>
                      <w:lang w:val="en-US" w:eastAsia="zh-CN"/>
                    </w:rPr>
                  </w:pPr>
                </w:p>
              </w:tc>
              <w:tc>
                <w:tcPr>
                  <w:tcW w:w="1099" w:type="dxa"/>
                </w:tcPr>
                <w:p w14:paraId="524669EB">
                  <w:pPr>
                    <w:pStyle w:val="31"/>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cs="Times New Roman"/>
                      <w:color w:val="auto"/>
                      <w:szCs w:val="21"/>
                      <w:highlight w:val="none"/>
                      <w:vertAlign w:val="baseline"/>
                      <w:lang w:val="en-US" w:eastAsia="zh-CN"/>
                    </w:rPr>
                  </w:pPr>
                  <w:r>
                    <w:rPr>
                      <w:rFonts w:hint="eastAsia" w:cs="Times New Roman"/>
                      <w:color w:val="auto"/>
                      <w:szCs w:val="21"/>
                      <w:highlight w:val="none"/>
                      <w:vertAlign w:val="baseline"/>
                      <w:lang w:val="en-US" w:eastAsia="zh-CN"/>
                    </w:rPr>
                    <w:t>事故池</w:t>
                  </w:r>
                </w:p>
              </w:tc>
              <w:tc>
                <w:tcPr>
                  <w:tcW w:w="5401" w:type="dxa"/>
                  <w:gridSpan w:val="2"/>
                </w:tcPr>
                <w:p w14:paraId="28E6E496">
                  <w:pPr>
                    <w:pStyle w:val="31"/>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both"/>
                    <w:textAlignment w:val="auto"/>
                    <w:rPr>
                      <w:rFonts w:hint="default" w:cs="Times New Roman"/>
                      <w:color w:val="auto"/>
                      <w:szCs w:val="21"/>
                      <w:highlight w:val="none"/>
                      <w:vertAlign w:val="baseline"/>
                      <w:lang w:val="en-US" w:eastAsia="zh-CN"/>
                    </w:rPr>
                  </w:pPr>
                  <w:r>
                    <w:rPr>
                      <w:rFonts w:hint="eastAsia" w:cs="Times New Roman"/>
                      <w:color w:val="auto"/>
                      <w:szCs w:val="21"/>
                      <w:highlight w:val="none"/>
                      <w:vertAlign w:val="baseline"/>
                      <w:lang w:val="en-US" w:eastAsia="zh-CN"/>
                    </w:rPr>
                    <w:t>新建1座415m³的事故池，混凝土结构，用于事故废水的存储，无事故时，保持空置，一般防渗区域，池底一般防渗要求，渗透系数K≤10</w:t>
                  </w:r>
                  <w:r>
                    <w:rPr>
                      <w:rFonts w:hint="eastAsia" w:cs="Times New Roman"/>
                      <w:color w:val="auto"/>
                      <w:szCs w:val="21"/>
                      <w:highlight w:val="none"/>
                      <w:vertAlign w:val="superscript"/>
                      <w:lang w:val="en-US" w:eastAsia="zh-CN"/>
                    </w:rPr>
                    <w:t>-7</w:t>
                  </w:r>
                  <w:r>
                    <w:rPr>
                      <w:rFonts w:hint="eastAsia" w:cs="Times New Roman"/>
                      <w:color w:val="auto"/>
                      <w:szCs w:val="21"/>
                      <w:highlight w:val="none"/>
                      <w:vertAlign w:val="baseline"/>
                      <w:lang w:val="en-US" w:eastAsia="zh-CN"/>
                    </w:rPr>
                    <w:t>cm/s。</w:t>
                  </w:r>
                </w:p>
              </w:tc>
              <w:tc>
                <w:tcPr>
                  <w:tcW w:w="649" w:type="dxa"/>
                </w:tcPr>
                <w:p w14:paraId="0D64D6DC">
                  <w:pPr>
                    <w:pStyle w:val="31"/>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eastAsia" w:cs="Times New Roman"/>
                      <w:color w:val="auto"/>
                      <w:szCs w:val="21"/>
                      <w:highlight w:val="none"/>
                      <w:vertAlign w:val="baseline"/>
                      <w:lang w:val="en-US" w:eastAsia="zh-CN"/>
                    </w:rPr>
                  </w:pPr>
                  <w:r>
                    <w:rPr>
                      <w:rFonts w:hint="eastAsia" w:cs="Times New Roman"/>
                      <w:color w:val="auto"/>
                      <w:szCs w:val="21"/>
                      <w:highlight w:val="none"/>
                      <w:vertAlign w:val="baseline"/>
                      <w:lang w:val="en-US" w:eastAsia="zh-CN"/>
                    </w:rPr>
                    <w:t>新建</w:t>
                  </w:r>
                </w:p>
              </w:tc>
            </w:tr>
            <w:tr w14:paraId="35F6B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769" w:type="dxa"/>
                  <w:vMerge w:val="continue"/>
                </w:tcPr>
                <w:p w14:paraId="69A7DBE8">
                  <w:pPr>
                    <w:pStyle w:val="31"/>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szCs w:val="21"/>
                      <w:highlight w:val="none"/>
                      <w:vertAlign w:val="baseline"/>
                      <w:lang w:val="en-US" w:eastAsia="zh-CN"/>
                    </w:rPr>
                  </w:pPr>
                </w:p>
              </w:tc>
              <w:tc>
                <w:tcPr>
                  <w:tcW w:w="1099" w:type="dxa"/>
                </w:tcPr>
                <w:p w14:paraId="1714E178">
                  <w:pPr>
                    <w:pStyle w:val="31"/>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cs="Times New Roman"/>
                      <w:color w:val="auto"/>
                      <w:szCs w:val="21"/>
                      <w:highlight w:val="none"/>
                      <w:vertAlign w:val="baseline"/>
                      <w:lang w:val="en-US" w:eastAsia="zh-CN"/>
                    </w:rPr>
                  </w:pPr>
                  <w:r>
                    <w:rPr>
                      <w:rFonts w:hint="eastAsia" w:cs="Times New Roman"/>
                      <w:color w:val="auto"/>
                      <w:szCs w:val="21"/>
                      <w:highlight w:val="none"/>
                      <w:vertAlign w:val="baseline"/>
                      <w:lang w:val="en-US" w:eastAsia="zh-CN"/>
                    </w:rPr>
                    <w:t>氨水储罐</w:t>
                  </w:r>
                </w:p>
              </w:tc>
              <w:tc>
                <w:tcPr>
                  <w:tcW w:w="5401" w:type="dxa"/>
                  <w:gridSpan w:val="2"/>
                </w:tcPr>
                <w:p w14:paraId="327F2617">
                  <w:pPr>
                    <w:pStyle w:val="31"/>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both"/>
                    <w:textAlignment w:val="auto"/>
                    <w:rPr>
                      <w:rFonts w:hint="default" w:cs="Times New Roman"/>
                      <w:color w:val="auto"/>
                      <w:szCs w:val="21"/>
                      <w:highlight w:val="none"/>
                      <w:vertAlign w:val="baseline"/>
                      <w:lang w:val="en-US" w:eastAsia="zh-CN"/>
                    </w:rPr>
                  </w:pPr>
                  <w:r>
                    <w:rPr>
                      <w:rFonts w:hint="eastAsia" w:cs="Times New Roman"/>
                      <w:color w:val="auto"/>
                      <w:szCs w:val="21"/>
                      <w:highlight w:val="none"/>
                      <w:vertAlign w:val="baseline"/>
                      <w:lang w:val="en-US" w:eastAsia="zh-CN"/>
                    </w:rPr>
                    <w:t>设置一个10m³的氨水储罐用于氨水的存储。</w:t>
                  </w:r>
                </w:p>
              </w:tc>
              <w:tc>
                <w:tcPr>
                  <w:tcW w:w="649" w:type="dxa"/>
                </w:tcPr>
                <w:p w14:paraId="070D0BF2">
                  <w:pPr>
                    <w:pStyle w:val="31"/>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eastAsia" w:cs="Times New Roman"/>
                      <w:color w:val="auto"/>
                      <w:szCs w:val="21"/>
                      <w:highlight w:val="none"/>
                      <w:vertAlign w:val="baseline"/>
                      <w:lang w:val="en-US" w:eastAsia="zh-CN"/>
                    </w:rPr>
                  </w:pPr>
                  <w:r>
                    <w:rPr>
                      <w:rFonts w:hint="eastAsia" w:cs="Times New Roman"/>
                      <w:color w:val="auto"/>
                      <w:szCs w:val="21"/>
                      <w:highlight w:val="none"/>
                      <w:vertAlign w:val="baseline"/>
                      <w:lang w:val="en-US" w:eastAsia="zh-CN"/>
                    </w:rPr>
                    <w:t>新建</w:t>
                  </w:r>
                </w:p>
              </w:tc>
            </w:tr>
            <w:tr w14:paraId="70555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769" w:type="dxa"/>
                  <w:vMerge w:val="continue"/>
                </w:tcPr>
                <w:p w14:paraId="69F06DA1">
                  <w:pPr>
                    <w:pStyle w:val="31"/>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szCs w:val="21"/>
                      <w:highlight w:val="none"/>
                      <w:vertAlign w:val="baseline"/>
                      <w:lang w:val="en-US" w:eastAsia="zh-CN"/>
                    </w:rPr>
                  </w:pPr>
                </w:p>
              </w:tc>
              <w:tc>
                <w:tcPr>
                  <w:tcW w:w="1099" w:type="dxa"/>
                </w:tcPr>
                <w:p w14:paraId="607CAA31">
                  <w:pPr>
                    <w:pStyle w:val="31"/>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both"/>
                    <w:textAlignment w:val="auto"/>
                    <w:rPr>
                      <w:rFonts w:hint="default" w:cs="Times New Roman"/>
                      <w:color w:val="auto"/>
                      <w:szCs w:val="21"/>
                      <w:highlight w:val="none"/>
                      <w:vertAlign w:val="baseline"/>
                      <w:lang w:val="en-US" w:eastAsia="zh-CN"/>
                    </w:rPr>
                  </w:pPr>
                  <w:r>
                    <w:rPr>
                      <w:rFonts w:hint="eastAsia" w:cs="Times New Roman"/>
                      <w:color w:val="auto"/>
                      <w:szCs w:val="21"/>
                      <w:highlight w:val="none"/>
                      <w:vertAlign w:val="baseline"/>
                      <w:lang w:val="en-US" w:eastAsia="zh-CN"/>
                    </w:rPr>
                    <w:t>危废暂存间</w:t>
                  </w:r>
                </w:p>
              </w:tc>
              <w:tc>
                <w:tcPr>
                  <w:tcW w:w="5401" w:type="dxa"/>
                  <w:gridSpan w:val="2"/>
                </w:tcPr>
                <w:p w14:paraId="43CFD65A">
                  <w:pPr>
                    <w:pStyle w:val="31"/>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both"/>
                    <w:textAlignment w:val="auto"/>
                    <w:rPr>
                      <w:rFonts w:hint="default" w:cs="Times New Roman"/>
                      <w:color w:val="auto"/>
                      <w:szCs w:val="21"/>
                      <w:highlight w:val="none"/>
                      <w:vertAlign w:val="baseline"/>
                      <w:lang w:val="en-US" w:eastAsia="zh-CN"/>
                    </w:rPr>
                  </w:pPr>
                  <w:r>
                    <w:rPr>
                      <w:rFonts w:hint="eastAsia" w:cs="Times New Roman"/>
                      <w:color w:val="auto"/>
                      <w:szCs w:val="21"/>
                      <w:highlight w:val="none"/>
                      <w:vertAlign w:val="baseline"/>
                      <w:lang w:val="en-US" w:eastAsia="zh-CN"/>
                    </w:rPr>
                    <w:t>本项目设置30㎡的危废暂存间，用于本项目产生的危险废物的暂存。</w:t>
                  </w:r>
                </w:p>
              </w:tc>
              <w:tc>
                <w:tcPr>
                  <w:tcW w:w="649" w:type="dxa"/>
                </w:tcPr>
                <w:p w14:paraId="40BABED5">
                  <w:pPr>
                    <w:pStyle w:val="31"/>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cs="Times New Roman"/>
                      <w:color w:val="auto"/>
                      <w:szCs w:val="21"/>
                      <w:highlight w:val="none"/>
                      <w:vertAlign w:val="baseline"/>
                      <w:lang w:val="en-US" w:eastAsia="zh-CN"/>
                    </w:rPr>
                  </w:pPr>
                  <w:r>
                    <w:rPr>
                      <w:rFonts w:hint="eastAsia" w:cs="Times New Roman"/>
                      <w:color w:val="auto"/>
                      <w:szCs w:val="21"/>
                      <w:highlight w:val="none"/>
                      <w:vertAlign w:val="baseline"/>
                      <w:lang w:val="en-US" w:eastAsia="zh-CN"/>
                    </w:rPr>
                    <w:t>新建</w:t>
                  </w:r>
                </w:p>
              </w:tc>
            </w:tr>
            <w:tr w14:paraId="018DD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trPr>
              <w:tc>
                <w:tcPr>
                  <w:tcW w:w="769" w:type="dxa"/>
                  <w:vMerge w:val="restart"/>
                </w:tcPr>
                <w:p w14:paraId="6C26E894">
                  <w:pPr>
                    <w:pStyle w:val="31"/>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szCs w:val="21"/>
                      <w:highlight w:val="none"/>
                      <w:vertAlign w:val="baseline"/>
                      <w:lang w:val="en-US" w:eastAsia="zh-CN"/>
                    </w:rPr>
                  </w:pPr>
                  <w:r>
                    <w:rPr>
                      <w:rFonts w:hint="default" w:ascii="Times New Roman" w:hAnsi="Times New Roman" w:cs="Times New Roman"/>
                      <w:color w:val="auto"/>
                      <w:szCs w:val="21"/>
                      <w:highlight w:val="none"/>
                      <w:vertAlign w:val="baseline"/>
                      <w:lang w:val="en-US" w:eastAsia="zh-CN"/>
                    </w:rPr>
                    <w:t>公用工程</w:t>
                  </w:r>
                </w:p>
              </w:tc>
              <w:tc>
                <w:tcPr>
                  <w:tcW w:w="1099" w:type="dxa"/>
                </w:tcPr>
                <w:p w14:paraId="55110A4D">
                  <w:pPr>
                    <w:pStyle w:val="31"/>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szCs w:val="21"/>
                      <w:highlight w:val="none"/>
                      <w:vertAlign w:val="baseline"/>
                      <w:lang w:val="en-US" w:eastAsia="zh-CN"/>
                    </w:rPr>
                  </w:pPr>
                  <w:r>
                    <w:rPr>
                      <w:rFonts w:hint="default" w:ascii="Times New Roman" w:hAnsi="Times New Roman" w:cs="Times New Roman"/>
                      <w:color w:val="auto"/>
                      <w:szCs w:val="21"/>
                      <w:highlight w:val="none"/>
                      <w:vertAlign w:val="baseline"/>
                      <w:lang w:val="en-US" w:eastAsia="zh-CN"/>
                    </w:rPr>
                    <w:t>给水工程</w:t>
                  </w:r>
                </w:p>
              </w:tc>
              <w:tc>
                <w:tcPr>
                  <w:tcW w:w="5401" w:type="dxa"/>
                  <w:gridSpan w:val="2"/>
                </w:tcPr>
                <w:p w14:paraId="1DC87DB8">
                  <w:pPr>
                    <w:pStyle w:val="31"/>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both"/>
                    <w:textAlignment w:val="auto"/>
                    <w:rPr>
                      <w:rFonts w:hint="default" w:ascii="Times New Roman" w:hAnsi="Times New Roman" w:cs="Times New Roman"/>
                      <w:color w:val="auto"/>
                      <w:szCs w:val="21"/>
                      <w:highlight w:val="none"/>
                      <w:vertAlign w:val="baseline"/>
                      <w:lang w:val="en-US" w:eastAsia="zh-CN"/>
                    </w:rPr>
                  </w:pPr>
                  <w:r>
                    <w:rPr>
                      <w:rFonts w:hint="default" w:ascii="Times New Roman" w:hAnsi="Times New Roman" w:cs="Times New Roman"/>
                      <w:color w:val="auto"/>
                      <w:szCs w:val="21"/>
                      <w:highlight w:val="none"/>
                      <w:vertAlign w:val="baseline"/>
                      <w:lang w:val="en-US" w:eastAsia="zh-CN"/>
                    </w:rPr>
                    <w:t>本项目生活用水及生产用水</w:t>
                  </w:r>
                  <w:r>
                    <w:rPr>
                      <w:rFonts w:hint="eastAsia" w:cs="Times New Roman"/>
                      <w:color w:val="auto"/>
                      <w:szCs w:val="21"/>
                      <w:highlight w:val="none"/>
                      <w:vertAlign w:val="baseline"/>
                      <w:lang w:val="en-US" w:eastAsia="zh-CN"/>
                    </w:rPr>
                    <w:t>（降尘喷淋用水、脱硝剂配置用水、脱硫塔补充用水）</w:t>
                  </w:r>
                  <w:r>
                    <w:rPr>
                      <w:rFonts w:hint="default" w:ascii="Times New Roman" w:hAnsi="Times New Roman" w:cs="Times New Roman"/>
                      <w:color w:val="auto"/>
                      <w:szCs w:val="21"/>
                      <w:highlight w:val="none"/>
                      <w:vertAlign w:val="baseline"/>
                      <w:lang w:val="en-US" w:eastAsia="zh-CN"/>
                    </w:rPr>
                    <w:t>均由</w:t>
                  </w:r>
                  <w:r>
                    <w:rPr>
                      <w:rFonts w:hint="eastAsia" w:cs="Times New Roman"/>
                      <w:color w:val="auto"/>
                      <w:szCs w:val="21"/>
                      <w:highlight w:val="none"/>
                      <w:vertAlign w:val="baseline"/>
                      <w:lang w:val="en-US" w:eastAsia="zh-CN"/>
                    </w:rPr>
                    <w:t>鄂尔多斯市泽鑫水务投资集团有限责任公司提供，可满足本项目用水需求，供水合同见附件6。</w:t>
                  </w:r>
                </w:p>
              </w:tc>
              <w:tc>
                <w:tcPr>
                  <w:tcW w:w="649" w:type="dxa"/>
                </w:tcPr>
                <w:p w14:paraId="452420FA">
                  <w:pPr>
                    <w:pStyle w:val="31"/>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szCs w:val="21"/>
                      <w:highlight w:val="none"/>
                      <w:vertAlign w:val="baseline"/>
                      <w:lang w:val="en-US" w:eastAsia="zh-CN"/>
                    </w:rPr>
                  </w:pPr>
                  <w:r>
                    <w:rPr>
                      <w:rFonts w:hint="default" w:ascii="Times New Roman" w:hAnsi="Times New Roman" w:cs="Times New Roman"/>
                      <w:color w:val="auto"/>
                      <w:szCs w:val="21"/>
                      <w:highlight w:val="none"/>
                      <w:vertAlign w:val="baseline"/>
                      <w:lang w:val="en-US" w:eastAsia="zh-CN"/>
                    </w:rPr>
                    <w:t>新建</w:t>
                  </w:r>
                </w:p>
              </w:tc>
            </w:tr>
            <w:tr w14:paraId="1DA26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769" w:type="dxa"/>
                  <w:vMerge w:val="continue"/>
                </w:tcPr>
                <w:p w14:paraId="5D0ADBA2">
                  <w:pPr>
                    <w:pStyle w:val="31"/>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szCs w:val="21"/>
                      <w:highlight w:val="none"/>
                      <w:vertAlign w:val="baseline"/>
                      <w:lang w:val="en-US" w:eastAsia="zh-CN"/>
                    </w:rPr>
                  </w:pPr>
                </w:p>
              </w:tc>
              <w:tc>
                <w:tcPr>
                  <w:tcW w:w="1099" w:type="dxa"/>
                  <w:vMerge w:val="restart"/>
                </w:tcPr>
                <w:p w14:paraId="2F39B909">
                  <w:pPr>
                    <w:pStyle w:val="31"/>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szCs w:val="21"/>
                      <w:highlight w:val="none"/>
                      <w:vertAlign w:val="baseline"/>
                      <w:lang w:val="en-US" w:eastAsia="zh-CN"/>
                    </w:rPr>
                  </w:pPr>
                  <w:r>
                    <w:rPr>
                      <w:rFonts w:hint="default" w:ascii="Times New Roman" w:hAnsi="Times New Roman" w:cs="Times New Roman"/>
                      <w:color w:val="auto"/>
                      <w:szCs w:val="21"/>
                      <w:highlight w:val="none"/>
                      <w:vertAlign w:val="baseline"/>
                      <w:lang w:val="en-US" w:eastAsia="zh-CN"/>
                    </w:rPr>
                    <w:t>排水工程</w:t>
                  </w:r>
                </w:p>
              </w:tc>
              <w:tc>
                <w:tcPr>
                  <w:tcW w:w="692" w:type="dxa"/>
                </w:tcPr>
                <w:p w14:paraId="6BD86134">
                  <w:pPr>
                    <w:pStyle w:val="31"/>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both"/>
                    <w:textAlignment w:val="auto"/>
                    <w:rPr>
                      <w:rFonts w:hint="default" w:ascii="Times New Roman" w:hAnsi="Times New Roman" w:cs="Times New Roman"/>
                      <w:color w:val="auto"/>
                      <w:szCs w:val="21"/>
                      <w:highlight w:val="none"/>
                      <w:vertAlign w:val="baseline"/>
                      <w:lang w:val="en-US" w:eastAsia="zh-CN"/>
                    </w:rPr>
                  </w:pPr>
                  <w:r>
                    <w:rPr>
                      <w:rFonts w:hint="eastAsia" w:cs="Times New Roman"/>
                      <w:color w:val="auto"/>
                      <w:szCs w:val="21"/>
                      <w:highlight w:val="none"/>
                      <w:vertAlign w:val="baseline"/>
                      <w:lang w:val="en-US" w:eastAsia="zh-CN"/>
                    </w:rPr>
                    <w:t>生活污水</w:t>
                  </w:r>
                </w:p>
              </w:tc>
              <w:tc>
                <w:tcPr>
                  <w:tcW w:w="4709" w:type="dxa"/>
                </w:tcPr>
                <w:p w14:paraId="63813741">
                  <w:pPr>
                    <w:pStyle w:val="31"/>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both"/>
                    <w:textAlignment w:val="auto"/>
                    <w:rPr>
                      <w:rFonts w:hint="default" w:ascii="Times New Roman" w:hAnsi="Times New Roman" w:eastAsia="宋体" w:cs="Times New Roman"/>
                      <w:color w:val="auto"/>
                      <w:szCs w:val="21"/>
                      <w:highlight w:val="none"/>
                      <w:vertAlign w:val="baseline"/>
                      <w:lang w:val="en-US" w:eastAsia="zh-CN"/>
                    </w:rPr>
                  </w:pPr>
                  <w:r>
                    <w:rPr>
                      <w:rFonts w:hint="eastAsia" w:cs="Times New Roman"/>
                      <w:color w:val="auto"/>
                      <w:szCs w:val="21"/>
                      <w:highlight w:val="none"/>
                      <w:vertAlign w:val="baseline"/>
                      <w:lang w:val="en-US" w:eastAsia="zh-CN"/>
                    </w:rPr>
                    <w:t>本项目产生的生活污水由厂区内的化粪池（10m³）</w:t>
                  </w:r>
                  <w:r>
                    <w:rPr>
                      <w:rFonts w:hint="eastAsia"/>
                      <w:color w:val="auto"/>
                      <w:highlight w:val="none"/>
                      <w:lang w:val="en-US" w:eastAsia="zh-CN"/>
                    </w:rPr>
                    <w:t>收集后，经</w:t>
                  </w:r>
                  <w:r>
                    <w:rPr>
                      <w:rFonts w:hint="eastAsia" w:ascii="Times New Roman" w:hAnsi="Times New Roman" w:eastAsia="宋体" w:cs="Times New Roman"/>
                      <w:color w:val="auto"/>
                      <w:kern w:val="2"/>
                      <w:sz w:val="21"/>
                      <w:szCs w:val="24"/>
                      <w:highlight w:val="none"/>
                      <w:lang w:val="en-US" w:eastAsia="zh-CN" w:bidi="ar-SA"/>
                    </w:rPr>
                    <w:t>园区污水处理厂进行处理。</w:t>
                  </w:r>
                </w:p>
              </w:tc>
              <w:tc>
                <w:tcPr>
                  <w:tcW w:w="649" w:type="dxa"/>
                  <w:vMerge w:val="restart"/>
                </w:tcPr>
                <w:p w14:paraId="3715B07F">
                  <w:pPr>
                    <w:pStyle w:val="31"/>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szCs w:val="21"/>
                      <w:highlight w:val="none"/>
                      <w:vertAlign w:val="baseline"/>
                      <w:lang w:val="en-US" w:eastAsia="zh-CN"/>
                    </w:rPr>
                  </w:pPr>
                  <w:r>
                    <w:rPr>
                      <w:rFonts w:hint="default" w:ascii="Times New Roman" w:hAnsi="Times New Roman" w:cs="Times New Roman"/>
                      <w:color w:val="auto"/>
                      <w:szCs w:val="21"/>
                      <w:highlight w:val="none"/>
                      <w:vertAlign w:val="baseline"/>
                      <w:lang w:val="en-US" w:eastAsia="zh-CN"/>
                    </w:rPr>
                    <w:t>新建</w:t>
                  </w:r>
                </w:p>
              </w:tc>
            </w:tr>
            <w:tr w14:paraId="64D99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769" w:type="dxa"/>
                  <w:vMerge w:val="continue"/>
                </w:tcPr>
                <w:p w14:paraId="56977C6B">
                  <w:pPr>
                    <w:pStyle w:val="31"/>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both"/>
                    <w:textAlignment w:val="auto"/>
                    <w:rPr>
                      <w:color w:val="auto"/>
                      <w:highlight w:val="none"/>
                    </w:rPr>
                  </w:pPr>
                </w:p>
              </w:tc>
              <w:tc>
                <w:tcPr>
                  <w:tcW w:w="1099" w:type="dxa"/>
                  <w:vMerge w:val="continue"/>
                </w:tcPr>
                <w:p w14:paraId="5B7A1797">
                  <w:pPr>
                    <w:pStyle w:val="31"/>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both"/>
                    <w:textAlignment w:val="auto"/>
                    <w:rPr>
                      <w:color w:val="auto"/>
                      <w:highlight w:val="none"/>
                    </w:rPr>
                  </w:pPr>
                </w:p>
              </w:tc>
              <w:tc>
                <w:tcPr>
                  <w:tcW w:w="692" w:type="dxa"/>
                </w:tcPr>
                <w:p w14:paraId="3BDD35A4">
                  <w:pPr>
                    <w:pStyle w:val="31"/>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both"/>
                    <w:textAlignment w:val="auto"/>
                    <w:rPr>
                      <w:rFonts w:hint="default" w:eastAsia="宋体"/>
                      <w:color w:val="auto"/>
                      <w:highlight w:val="none"/>
                      <w:lang w:val="en-US" w:eastAsia="zh-CN"/>
                    </w:rPr>
                  </w:pPr>
                  <w:r>
                    <w:rPr>
                      <w:rFonts w:hint="eastAsia"/>
                      <w:color w:val="auto"/>
                      <w:highlight w:val="none"/>
                      <w:lang w:val="en-US" w:eastAsia="zh-CN"/>
                    </w:rPr>
                    <w:t>生产废水</w:t>
                  </w:r>
                </w:p>
              </w:tc>
              <w:tc>
                <w:tcPr>
                  <w:tcW w:w="4709" w:type="dxa"/>
                </w:tcPr>
                <w:p w14:paraId="0E31937F">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both"/>
                    <w:textAlignment w:val="auto"/>
                    <w:rPr>
                      <w:rFonts w:hint="default"/>
                      <w:color w:val="auto"/>
                      <w:highlight w:val="none"/>
                      <w:lang w:val="en-US" w:eastAsia="zh-CN"/>
                    </w:rPr>
                  </w:pPr>
                  <w:r>
                    <w:rPr>
                      <w:rFonts w:hint="eastAsia"/>
                      <w:color w:val="auto"/>
                      <w:highlight w:val="none"/>
                      <w:lang w:val="en-US" w:eastAsia="zh-CN"/>
                    </w:rPr>
                    <w:t>①</w:t>
                  </w:r>
                  <w:r>
                    <w:rPr>
                      <w:rFonts w:hint="default"/>
                      <w:color w:val="auto"/>
                      <w:highlight w:val="none"/>
                      <w:lang w:val="en-US" w:eastAsia="zh-CN"/>
                    </w:rPr>
                    <w:t>降尘喷淋水：生产车间设置2台雾炮，用于洒水降尘，全部损耗，不回收；</w:t>
                  </w:r>
                </w:p>
                <w:p w14:paraId="62DCD31C">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both"/>
                    <w:textAlignment w:val="auto"/>
                    <w:rPr>
                      <w:rFonts w:hint="default"/>
                      <w:color w:val="auto"/>
                      <w:highlight w:val="none"/>
                      <w:lang w:val="en-US" w:eastAsia="zh-CN"/>
                    </w:rPr>
                  </w:pPr>
                  <w:r>
                    <w:rPr>
                      <w:rFonts w:hint="eastAsia"/>
                      <w:color w:val="auto"/>
                      <w:highlight w:val="none"/>
                      <w:lang w:val="en-US" w:eastAsia="zh-CN"/>
                    </w:rPr>
                    <w:t>②</w:t>
                  </w:r>
                  <w:r>
                    <w:rPr>
                      <w:rFonts w:hint="default"/>
                      <w:color w:val="auto"/>
                      <w:highlight w:val="none"/>
                      <w:lang w:val="en-US" w:eastAsia="zh-CN"/>
                    </w:rPr>
                    <w:t>脱硫废水</w:t>
                  </w:r>
                  <w:r>
                    <w:rPr>
                      <w:rFonts w:hint="eastAsia"/>
                      <w:color w:val="auto"/>
                      <w:highlight w:val="none"/>
                      <w:lang w:val="en-US" w:eastAsia="zh-CN"/>
                    </w:rPr>
                    <w:t>：</w:t>
                  </w:r>
                  <w:r>
                    <w:rPr>
                      <w:rFonts w:hint="default"/>
                      <w:color w:val="auto"/>
                      <w:highlight w:val="none"/>
                      <w:lang w:val="en-US" w:eastAsia="zh-CN"/>
                    </w:rPr>
                    <w:t>经循环水池用于脱硫塔循环补水，不外排。</w:t>
                  </w:r>
                </w:p>
                <w:p w14:paraId="74F9DC15">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both"/>
                    <w:textAlignment w:val="auto"/>
                    <w:rPr>
                      <w:rFonts w:hint="default"/>
                      <w:color w:val="auto"/>
                      <w:highlight w:val="none"/>
                      <w:lang w:val="en-US" w:eastAsia="zh-CN"/>
                    </w:rPr>
                  </w:pPr>
                  <w:r>
                    <w:rPr>
                      <w:rFonts w:hint="eastAsia"/>
                      <w:color w:val="auto"/>
                      <w:highlight w:val="none"/>
                      <w:lang w:val="en-US" w:eastAsia="zh-CN"/>
                    </w:rPr>
                    <w:t>③</w:t>
                  </w:r>
                  <w:r>
                    <w:rPr>
                      <w:rFonts w:hint="default"/>
                      <w:color w:val="auto"/>
                      <w:highlight w:val="none"/>
                      <w:lang w:val="en-US" w:eastAsia="zh-CN"/>
                    </w:rPr>
                    <w:t>初期雨水：初期雨水经</w:t>
                  </w:r>
                  <w:r>
                    <w:rPr>
                      <w:rFonts w:hint="eastAsia"/>
                      <w:color w:val="auto"/>
                      <w:highlight w:val="none"/>
                      <w:lang w:val="en-US" w:eastAsia="zh-CN"/>
                    </w:rPr>
                    <w:t>390</w:t>
                  </w:r>
                  <w:r>
                    <w:rPr>
                      <w:rFonts w:hint="default"/>
                      <w:color w:val="auto"/>
                      <w:highlight w:val="none"/>
                      <w:lang w:val="en-US" w:eastAsia="zh-CN"/>
                    </w:rPr>
                    <w:t>m³的</w:t>
                  </w:r>
                  <w:r>
                    <w:rPr>
                      <w:rFonts w:hint="eastAsia"/>
                      <w:color w:val="auto"/>
                      <w:highlight w:val="none"/>
                      <w:lang w:val="en-US" w:eastAsia="zh-CN"/>
                    </w:rPr>
                    <w:t>初期雨水</w:t>
                  </w:r>
                  <w:r>
                    <w:rPr>
                      <w:rFonts w:hint="default"/>
                      <w:color w:val="auto"/>
                      <w:highlight w:val="none"/>
                      <w:lang w:val="en-US" w:eastAsia="zh-CN"/>
                    </w:rPr>
                    <w:t>收集沉淀后，用于</w:t>
                  </w:r>
                  <w:r>
                    <w:rPr>
                      <w:rFonts w:hint="eastAsia"/>
                      <w:color w:val="auto"/>
                      <w:highlight w:val="none"/>
                      <w:lang w:val="en-US" w:eastAsia="zh-CN"/>
                    </w:rPr>
                    <w:t>堆场</w:t>
                  </w:r>
                  <w:r>
                    <w:rPr>
                      <w:rFonts w:hint="default"/>
                      <w:color w:val="auto"/>
                      <w:highlight w:val="none"/>
                      <w:lang w:val="en-US" w:eastAsia="zh-CN"/>
                    </w:rPr>
                    <w:t>内洒水抑尘。</w:t>
                  </w:r>
                </w:p>
                <w:p w14:paraId="28F477AA">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both"/>
                    <w:textAlignment w:val="auto"/>
                    <w:rPr>
                      <w:rFonts w:hint="default"/>
                      <w:color w:val="auto"/>
                      <w:highlight w:val="none"/>
                      <w:lang w:val="en-US" w:eastAsia="zh-CN"/>
                    </w:rPr>
                  </w:pPr>
                  <w:r>
                    <w:rPr>
                      <w:rFonts w:hint="eastAsia"/>
                      <w:color w:val="auto"/>
                      <w:highlight w:val="none"/>
                      <w:lang w:val="en-US" w:eastAsia="zh-CN"/>
                    </w:rPr>
                    <w:t>④事故废水：本项目新建415m³事故池，用于事故废水的存放，与园区事故废水池联通，确保事故状态下废水不进入外环境。</w:t>
                  </w:r>
                </w:p>
              </w:tc>
              <w:tc>
                <w:tcPr>
                  <w:tcW w:w="649" w:type="dxa"/>
                  <w:vMerge w:val="continue"/>
                </w:tcPr>
                <w:p w14:paraId="74C6A017">
                  <w:pPr>
                    <w:pStyle w:val="31"/>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both"/>
                    <w:textAlignment w:val="auto"/>
                    <w:rPr>
                      <w:color w:val="auto"/>
                      <w:highlight w:val="none"/>
                    </w:rPr>
                  </w:pPr>
                </w:p>
              </w:tc>
            </w:tr>
            <w:tr w14:paraId="47213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769" w:type="dxa"/>
                  <w:vMerge w:val="continue"/>
                </w:tcPr>
                <w:p w14:paraId="74EA1566">
                  <w:pPr>
                    <w:pStyle w:val="31"/>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szCs w:val="21"/>
                      <w:highlight w:val="none"/>
                      <w:vertAlign w:val="baseline"/>
                      <w:lang w:val="en-US" w:eastAsia="zh-CN"/>
                    </w:rPr>
                  </w:pPr>
                </w:p>
              </w:tc>
              <w:tc>
                <w:tcPr>
                  <w:tcW w:w="1099" w:type="dxa"/>
                </w:tcPr>
                <w:p w14:paraId="7F7660A4">
                  <w:pPr>
                    <w:pStyle w:val="31"/>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szCs w:val="21"/>
                      <w:highlight w:val="none"/>
                      <w:vertAlign w:val="baseline"/>
                      <w:lang w:val="en-US" w:eastAsia="zh-CN"/>
                    </w:rPr>
                  </w:pPr>
                  <w:r>
                    <w:rPr>
                      <w:rFonts w:hint="default" w:ascii="Times New Roman" w:hAnsi="Times New Roman" w:cs="Times New Roman"/>
                      <w:color w:val="auto"/>
                      <w:szCs w:val="21"/>
                      <w:highlight w:val="none"/>
                      <w:vertAlign w:val="baseline"/>
                      <w:lang w:val="en-US" w:eastAsia="zh-CN"/>
                    </w:rPr>
                    <w:t>供电工程</w:t>
                  </w:r>
                </w:p>
              </w:tc>
              <w:tc>
                <w:tcPr>
                  <w:tcW w:w="5401" w:type="dxa"/>
                  <w:gridSpan w:val="2"/>
                </w:tcPr>
                <w:p w14:paraId="66678AD1">
                  <w:pPr>
                    <w:pStyle w:val="31"/>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both"/>
                    <w:textAlignment w:val="auto"/>
                    <w:rPr>
                      <w:rFonts w:hint="default" w:ascii="Times New Roman" w:hAnsi="Times New Roman" w:cs="Times New Roman"/>
                      <w:color w:val="auto"/>
                      <w:szCs w:val="21"/>
                      <w:highlight w:val="none"/>
                      <w:vertAlign w:val="baseline"/>
                      <w:lang w:val="en-US" w:eastAsia="zh-CN"/>
                    </w:rPr>
                  </w:pPr>
                  <w:r>
                    <w:rPr>
                      <w:rFonts w:hint="eastAsia" w:ascii="Times New Roman" w:hAnsi="Times New Roman" w:eastAsia="宋体" w:cs="宋体"/>
                      <w:color w:val="auto"/>
                      <w:highlight w:val="none"/>
                      <w:lang w:val="en-US" w:eastAsia="zh-CN"/>
                    </w:rPr>
                    <w:t>本项目由园区市政供电线路进行统一供电，由项目区域附近110KVA变电站引入，接入本项目变压站，再通过供电管网接入用电设备。</w:t>
                  </w:r>
                </w:p>
              </w:tc>
              <w:tc>
                <w:tcPr>
                  <w:tcW w:w="649" w:type="dxa"/>
                </w:tcPr>
                <w:p w14:paraId="4A55DCF3">
                  <w:pPr>
                    <w:pStyle w:val="31"/>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szCs w:val="21"/>
                      <w:highlight w:val="none"/>
                      <w:vertAlign w:val="baseline"/>
                      <w:lang w:val="en-US" w:eastAsia="zh-CN"/>
                    </w:rPr>
                  </w:pPr>
                  <w:r>
                    <w:rPr>
                      <w:rFonts w:hint="default" w:ascii="Times New Roman" w:hAnsi="Times New Roman" w:cs="Times New Roman"/>
                      <w:color w:val="auto"/>
                      <w:szCs w:val="21"/>
                      <w:highlight w:val="none"/>
                      <w:vertAlign w:val="baseline"/>
                      <w:lang w:val="en-US" w:eastAsia="zh-CN"/>
                    </w:rPr>
                    <w:t>新建</w:t>
                  </w:r>
                </w:p>
              </w:tc>
            </w:tr>
            <w:tr w14:paraId="59E81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769" w:type="dxa"/>
                  <w:vMerge w:val="continue"/>
                </w:tcPr>
                <w:p w14:paraId="10B1ECF9">
                  <w:pPr>
                    <w:pStyle w:val="31"/>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szCs w:val="21"/>
                      <w:highlight w:val="none"/>
                      <w:vertAlign w:val="baseline"/>
                      <w:lang w:val="en-US" w:eastAsia="zh-CN"/>
                    </w:rPr>
                  </w:pPr>
                </w:p>
              </w:tc>
              <w:tc>
                <w:tcPr>
                  <w:tcW w:w="1099" w:type="dxa"/>
                </w:tcPr>
                <w:p w14:paraId="0034D75D">
                  <w:pPr>
                    <w:pStyle w:val="31"/>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szCs w:val="21"/>
                      <w:highlight w:val="none"/>
                      <w:vertAlign w:val="baseline"/>
                      <w:lang w:val="en-US" w:eastAsia="zh-CN"/>
                    </w:rPr>
                  </w:pPr>
                  <w:r>
                    <w:rPr>
                      <w:rFonts w:hint="default" w:ascii="Times New Roman" w:hAnsi="Times New Roman" w:cs="Times New Roman"/>
                      <w:color w:val="auto"/>
                      <w:szCs w:val="21"/>
                      <w:highlight w:val="none"/>
                      <w:vertAlign w:val="baseline"/>
                      <w:lang w:val="en-US" w:eastAsia="zh-CN"/>
                    </w:rPr>
                    <w:t>供热工程</w:t>
                  </w:r>
                </w:p>
              </w:tc>
              <w:tc>
                <w:tcPr>
                  <w:tcW w:w="5401" w:type="dxa"/>
                  <w:gridSpan w:val="2"/>
                </w:tcPr>
                <w:p w14:paraId="7823D394">
                  <w:pPr>
                    <w:pStyle w:val="31"/>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both"/>
                    <w:textAlignment w:val="auto"/>
                    <w:rPr>
                      <w:rFonts w:hint="default" w:ascii="Times New Roman" w:hAnsi="Times New Roman" w:cs="Times New Roman"/>
                      <w:color w:val="auto"/>
                      <w:szCs w:val="21"/>
                      <w:highlight w:val="none"/>
                      <w:vertAlign w:val="baseline"/>
                      <w:lang w:val="en-US" w:eastAsia="zh-CN"/>
                    </w:rPr>
                  </w:pPr>
                  <w:r>
                    <w:rPr>
                      <w:rFonts w:hint="eastAsia" w:cs="Times New Roman"/>
                      <w:color w:val="auto"/>
                      <w:szCs w:val="21"/>
                      <w:highlight w:val="none"/>
                      <w:vertAlign w:val="baseline"/>
                      <w:lang w:val="en-US" w:eastAsia="zh-CN"/>
                    </w:rPr>
                    <w:t>本项目生产车间内整体不建设供暖热源，办公区采用园区统一供暖。</w:t>
                  </w:r>
                </w:p>
              </w:tc>
              <w:tc>
                <w:tcPr>
                  <w:tcW w:w="649" w:type="dxa"/>
                </w:tcPr>
                <w:p w14:paraId="4FC2BAD6">
                  <w:pPr>
                    <w:pStyle w:val="31"/>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szCs w:val="21"/>
                      <w:highlight w:val="none"/>
                      <w:vertAlign w:val="baseline"/>
                      <w:lang w:val="en-US" w:eastAsia="zh-CN"/>
                    </w:rPr>
                  </w:pPr>
                  <w:r>
                    <w:rPr>
                      <w:rFonts w:hint="default" w:ascii="Times New Roman" w:hAnsi="Times New Roman" w:cs="Times New Roman"/>
                      <w:color w:val="auto"/>
                      <w:szCs w:val="21"/>
                      <w:highlight w:val="none"/>
                      <w:vertAlign w:val="baseline"/>
                      <w:lang w:val="en-US" w:eastAsia="zh-CN"/>
                    </w:rPr>
                    <w:t>新建</w:t>
                  </w:r>
                </w:p>
              </w:tc>
            </w:tr>
            <w:tr w14:paraId="00286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769" w:type="dxa"/>
                  <w:vMerge w:val="continue"/>
                </w:tcPr>
                <w:p w14:paraId="1861C36D">
                  <w:pPr>
                    <w:pStyle w:val="31"/>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szCs w:val="21"/>
                      <w:highlight w:val="none"/>
                      <w:vertAlign w:val="baseline"/>
                      <w:lang w:val="en-US" w:eastAsia="zh-CN"/>
                    </w:rPr>
                  </w:pPr>
                </w:p>
              </w:tc>
              <w:tc>
                <w:tcPr>
                  <w:tcW w:w="1099" w:type="dxa"/>
                </w:tcPr>
                <w:p w14:paraId="32B2F217">
                  <w:pPr>
                    <w:pStyle w:val="31"/>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szCs w:val="21"/>
                      <w:highlight w:val="none"/>
                      <w:vertAlign w:val="baseline"/>
                      <w:lang w:val="en-US" w:eastAsia="zh-CN"/>
                    </w:rPr>
                  </w:pPr>
                  <w:r>
                    <w:rPr>
                      <w:rFonts w:hint="default" w:ascii="Times New Roman" w:hAnsi="Times New Roman" w:cs="Times New Roman"/>
                      <w:color w:val="auto"/>
                      <w:szCs w:val="21"/>
                      <w:highlight w:val="none"/>
                      <w:vertAlign w:val="baseline"/>
                      <w:lang w:val="en-US" w:eastAsia="zh-CN"/>
                    </w:rPr>
                    <w:t>供气工程</w:t>
                  </w:r>
                </w:p>
              </w:tc>
              <w:tc>
                <w:tcPr>
                  <w:tcW w:w="5401" w:type="dxa"/>
                  <w:gridSpan w:val="2"/>
                </w:tcPr>
                <w:p w14:paraId="1BED575E">
                  <w:pPr>
                    <w:pStyle w:val="31"/>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both"/>
                    <w:textAlignment w:val="auto"/>
                    <w:rPr>
                      <w:rFonts w:hint="default" w:ascii="Times New Roman" w:hAnsi="Times New Roman" w:cs="Times New Roman"/>
                      <w:color w:val="auto"/>
                      <w:szCs w:val="21"/>
                      <w:highlight w:val="none"/>
                      <w:vertAlign w:val="baseline"/>
                      <w:lang w:val="en-US" w:eastAsia="zh-CN"/>
                    </w:rPr>
                  </w:pPr>
                  <w:r>
                    <w:rPr>
                      <w:rFonts w:hint="eastAsia" w:cs="Times New Roman"/>
                      <w:color w:val="auto"/>
                      <w:szCs w:val="21"/>
                      <w:highlight w:val="none"/>
                      <w:vertAlign w:val="baseline"/>
                      <w:lang w:val="en-US" w:eastAsia="zh-CN"/>
                    </w:rPr>
                    <w:t>竖窑使用的天然气采购自内蒙古陆泰天然气有限公司，</w:t>
                  </w:r>
                  <w:r>
                    <w:rPr>
                      <w:rFonts w:hint="eastAsia" w:ascii="Times New Roman" w:hAnsi="Times New Roman" w:eastAsia="宋体" w:cs="Times New Roman"/>
                      <w:color w:val="auto"/>
                      <w:szCs w:val="21"/>
                      <w:highlight w:val="none"/>
                      <w:vertAlign w:val="baseline"/>
                      <w:lang w:val="en-US" w:eastAsia="zh-CN"/>
                    </w:rPr>
                    <w:t>年供气量1000万Nm³。</w:t>
                  </w:r>
                  <w:r>
                    <w:rPr>
                      <w:rFonts w:hint="eastAsia" w:cs="Times New Roman"/>
                      <w:color w:val="auto"/>
                      <w:szCs w:val="21"/>
                      <w:highlight w:val="none"/>
                      <w:vertAlign w:val="baseline"/>
                      <w:lang w:val="en-US" w:eastAsia="zh-CN"/>
                    </w:rPr>
                    <w:t>本项目未新建供气管网，园区供气管网已全面覆盖，本项目供气接口可直接利用，</w:t>
                  </w:r>
                  <w:r>
                    <w:rPr>
                      <w:rFonts w:hint="eastAsia" w:ascii="Times New Roman" w:hAnsi="Times New Roman" w:eastAsia="宋体" w:cs="Times New Roman"/>
                      <w:color w:val="auto"/>
                      <w:szCs w:val="21"/>
                      <w:highlight w:val="none"/>
                      <w:vertAlign w:val="baseline"/>
                      <w:lang w:val="en-US" w:eastAsia="zh-CN"/>
                    </w:rPr>
                    <w:t>供气合同见附件7。</w:t>
                  </w:r>
                </w:p>
              </w:tc>
              <w:tc>
                <w:tcPr>
                  <w:tcW w:w="649" w:type="dxa"/>
                </w:tcPr>
                <w:p w14:paraId="274A956F">
                  <w:pPr>
                    <w:pStyle w:val="31"/>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szCs w:val="21"/>
                      <w:highlight w:val="none"/>
                      <w:vertAlign w:val="baseline"/>
                      <w:lang w:val="en-US" w:eastAsia="zh-CN"/>
                    </w:rPr>
                  </w:pPr>
                  <w:r>
                    <w:rPr>
                      <w:rFonts w:hint="default" w:ascii="Times New Roman" w:hAnsi="Times New Roman" w:cs="Times New Roman"/>
                      <w:color w:val="auto"/>
                      <w:szCs w:val="21"/>
                      <w:highlight w:val="none"/>
                      <w:vertAlign w:val="baseline"/>
                      <w:lang w:val="en-US" w:eastAsia="zh-CN"/>
                    </w:rPr>
                    <w:t>新建</w:t>
                  </w:r>
                </w:p>
              </w:tc>
            </w:tr>
            <w:tr w14:paraId="1B323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trPr>
              <w:tc>
                <w:tcPr>
                  <w:tcW w:w="769" w:type="dxa"/>
                  <w:vMerge w:val="restart"/>
                </w:tcPr>
                <w:p w14:paraId="6BDDAC7B">
                  <w:pPr>
                    <w:pStyle w:val="31"/>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szCs w:val="21"/>
                      <w:highlight w:val="none"/>
                      <w:vertAlign w:val="baseline"/>
                      <w:lang w:val="en-US" w:eastAsia="zh-CN"/>
                    </w:rPr>
                  </w:pPr>
                  <w:r>
                    <w:rPr>
                      <w:rFonts w:hint="default" w:ascii="Times New Roman" w:hAnsi="Times New Roman" w:cs="Times New Roman"/>
                      <w:color w:val="auto"/>
                      <w:szCs w:val="21"/>
                      <w:highlight w:val="none"/>
                      <w:vertAlign w:val="baseline"/>
                      <w:lang w:val="en-US" w:eastAsia="zh-CN"/>
                    </w:rPr>
                    <w:t>环保工程</w:t>
                  </w:r>
                </w:p>
              </w:tc>
              <w:tc>
                <w:tcPr>
                  <w:tcW w:w="1099" w:type="dxa"/>
                </w:tcPr>
                <w:p w14:paraId="688F3949">
                  <w:pPr>
                    <w:pStyle w:val="31"/>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szCs w:val="21"/>
                      <w:highlight w:val="none"/>
                      <w:vertAlign w:val="baseline"/>
                      <w:lang w:val="en-US" w:eastAsia="zh-CN"/>
                    </w:rPr>
                  </w:pPr>
                  <w:r>
                    <w:rPr>
                      <w:rFonts w:hint="default" w:ascii="Times New Roman" w:hAnsi="Times New Roman" w:cs="Times New Roman"/>
                      <w:color w:val="auto"/>
                      <w:szCs w:val="21"/>
                      <w:highlight w:val="none"/>
                      <w:vertAlign w:val="baseline"/>
                      <w:lang w:val="en-US" w:eastAsia="zh-CN"/>
                    </w:rPr>
                    <w:t>废气</w:t>
                  </w:r>
                </w:p>
              </w:tc>
              <w:tc>
                <w:tcPr>
                  <w:tcW w:w="5401" w:type="dxa"/>
                  <w:gridSpan w:val="2"/>
                </w:tcPr>
                <w:p w14:paraId="289A4D5B">
                  <w:pPr>
                    <w:pStyle w:val="31"/>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both"/>
                    <w:textAlignment w:val="auto"/>
                    <w:rPr>
                      <w:rFonts w:hint="eastAsia"/>
                      <w:color w:val="auto"/>
                      <w:highlight w:val="none"/>
                      <w:lang w:val="en-US" w:eastAsia="zh-CN"/>
                    </w:rPr>
                  </w:pPr>
                  <w:r>
                    <w:rPr>
                      <w:rFonts w:hint="eastAsia"/>
                      <w:color w:val="auto"/>
                      <w:highlight w:val="none"/>
                      <w:lang w:val="en-US" w:eastAsia="zh-CN"/>
                    </w:rPr>
                    <w:t>①物料装卸废气G1、G5、物料堆存废气G2、G6：物料装卸作业于全封闭生产车间内进行，生产车间地面进行硬化处理，生产车间设置雾炮洒水装置；</w:t>
                  </w:r>
                </w:p>
                <w:p w14:paraId="4AF1BBCF">
                  <w:pPr>
                    <w:pStyle w:val="31"/>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both"/>
                    <w:textAlignment w:val="auto"/>
                    <w:rPr>
                      <w:rFonts w:hint="eastAsia"/>
                      <w:color w:val="auto"/>
                      <w:highlight w:val="none"/>
                      <w:lang w:val="en-US" w:eastAsia="zh-CN"/>
                    </w:rPr>
                  </w:pPr>
                  <w:r>
                    <w:rPr>
                      <w:rFonts w:hint="eastAsia"/>
                      <w:color w:val="auto"/>
                      <w:highlight w:val="none"/>
                      <w:lang w:val="en-US" w:eastAsia="zh-CN"/>
                    </w:rPr>
                    <w:t>②筛分废气G3：产生的颗粒物采用</w:t>
                  </w:r>
                  <w:r>
                    <w:rPr>
                      <w:rFonts w:hint="default"/>
                      <w:color w:val="auto"/>
                      <w:highlight w:val="none"/>
                      <w:lang w:val="en-US" w:eastAsia="zh-CN"/>
                    </w:rPr>
                    <w:t>集气罩</w:t>
                  </w:r>
                  <w:r>
                    <w:rPr>
                      <w:rFonts w:hint="eastAsia"/>
                      <w:color w:val="auto"/>
                      <w:highlight w:val="none"/>
                      <w:lang w:val="en-US" w:eastAsia="zh-CN"/>
                    </w:rPr>
                    <w:t>（集气效率90%）</w:t>
                  </w:r>
                  <w:r>
                    <w:rPr>
                      <w:rFonts w:hint="default"/>
                      <w:color w:val="auto"/>
                      <w:highlight w:val="none"/>
                      <w:lang w:val="en-US" w:eastAsia="zh-CN"/>
                    </w:rPr>
                    <w:t>+袋式除尘器</w:t>
                  </w:r>
                  <w:r>
                    <w:rPr>
                      <w:rFonts w:hint="eastAsia"/>
                      <w:color w:val="auto"/>
                      <w:highlight w:val="none"/>
                      <w:lang w:val="en-US" w:eastAsia="zh-CN"/>
                    </w:rPr>
                    <w:t>（除尘效率99%）</w:t>
                  </w:r>
                  <w:r>
                    <w:rPr>
                      <w:rFonts w:hint="default"/>
                      <w:color w:val="auto"/>
                      <w:highlight w:val="none"/>
                      <w:lang w:val="en-US" w:eastAsia="zh-CN"/>
                    </w:rPr>
                    <w:t>+15m高排气筒（DA001排放）</w:t>
                  </w:r>
                  <w:r>
                    <w:rPr>
                      <w:rFonts w:hint="eastAsia"/>
                      <w:color w:val="auto"/>
                      <w:highlight w:val="none"/>
                      <w:lang w:val="en-US" w:eastAsia="zh-CN"/>
                    </w:rPr>
                    <w:t>；</w:t>
                  </w:r>
                </w:p>
                <w:p w14:paraId="53F6F040">
                  <w:pPr>
                    <w:pStyle w:val="31"/>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both"/>
                    <w:textAlignment w:val="auto"/>
                    <w:rPr>
                      <w:rFonts w:hint="default" w:eastAsia="宋体" w:cs="Times New Roman"/>
                      <w:color w:val="auto"/>
                      <w:szCs w:val="21"/>
                      <w:highlight w:val="none"/>
                      <w:vertAlign w:val="baseline"/>
                      <w:lang w:val="en-US" w:eastAsia="zh-CN"/>
                    </w:rPr>
                  </w:pPr>
                  <w:r>
                    <w:rPr>
                      <w:rFonts w:hint="eastAsia"/>
                      <w:color w:val="auto"/>
                      <w:highlight w:val="none"/>
                      <w:lang w:val="en-US" w:eastAsia="zh-CN"/>
                    </w:rPr>
                    <w:t>③天然气燃烧废气及物料煅烧废气G4：采用SNCR脱硝+SCR脱硝+袋式除尘+石灰石-石膏法脱硫+双碱法脱硫最终经过37m高（DA002）排气筒排放。</w:t>
                  </w:r>
                </w:p>
              </w:tc>
              <w:tc>
                <w:tcPr>
                  <w:tcW w:w="649" w:type="dxa"/>
                </w:tcPr>
                <w:p w14:paraId="207886BF">
                  <w:pPr>
                    <w:pStyle w:val="31"/>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szCs w:val="21"/>
                      <w:highlight w:val="none"/>
                      <w:vertAlign w:val="baseline"/>
                      <w:lang w:val="en-US" w:eastAsia="zh-CN"/>
                    </w:rPr>
                  </w:pPr>
                  <w:r>
                    <w:rPr>
                      <w:rFonts w:hint="default" w:ascii="Times New Roman" w:hAnsi="Times New Roman" w:cs="Times New Roman"/>
                      <w:color w:val="auto"/>
                      <w:szCs w:val="21"/>
                      <w:highlight w:val="none"/>
                      <w:vertAlign w:val="baseline"/>
                      <w:lang w:val="en-US" w:eastAsia="zh-CN"/>
                    </w:rPr>
                    <w:t>新建</w:t>
                  </w:r>
                </w:p>
              </w:tc>
            </w:tr>
            <w:tr w14:paraId="58AFE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trPr>
              <w:tc>
                <w:tcPr>
                  <w:tcW w:w="769" w:type="dxa"/>
                  <w:vMerge w:val="continue"/>
                </w:tcPr>
                <w:p w14:paraId="2180135E">
                  <w:pPr>
                    <w:pStyle w:val="31"/>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szCs w:val="21"/>
                      <w:highlight w:val="none"/>
                      <w:vertAlign w:val="baseline"/>
                      <w:lang w:val="en-US" w:eastAsia="zh-CN"/>
                    </w:rPr>
                  </w:pPr>
                </w:p>
              </w:tc>
              <w:tc>
                <w:tcPr>
                  <w:tcW w:w="1099" w:type="dxa"/>
                </w:tcPr>
                <w:p w14:paraId="299044F1">
                  <w:pPr>
                    <w:pStyle w:val="31"/>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szCs w:val="21"/>
                      <w:highlight w:val="none"/>
                      <w:vertAlign w:val="baseline"/>
                      <w:lang w:val="en-US" w:eastAsia="zh-CN"/>
                    </w:rPr>
                  </w:pPr>
                  <w:r>
                    <w:rPr>
                      <w:rFonts w:hint="default" w:ascii="Times New Roman" w:hAnsi="Times New Roman" w:cs="Times New Roman"/>
                      <w:color w:val="auto"/>
                      <w:szCs w:val="21"/>
                      <w:highlight w:val="none"/>
                      <w:vertAlign w:val="baseline"/>
                      <w:lang w:val="en-US" w:eastAsia="zh-CN"/>
                    </w:rPr>
                    <w:t>废水</w:t>
                  </w:r>
                </w:p>
              </w:tc>
              <w:tc>
                <w:tcPr>
                  <w:tcW w:w="5401" w:type="dxa"/>
                  <w:gridSpan w:val="2"/>
                </w:tcPr>
                <w:p w14:paraId="0670E69C">
                  <w:pPr>
                    <w:pStyle w:val="31"/>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both"/>
                    <w:textAlignment w:val="auto"/>
                    <w:rPr>
                      <w:rFonts w:hint="eastAsia" w:ascii="Times New Roman" w:hAnsi="Times New Roman" w:eastAsia="宋体" w:cs="Times New Roman"/>
                      <w:color w:val="auto"/>
                      <w:szCs w:val="21"/>
                      <w:highlight w:val="none"/>
                      <w:vertAlign w:val="baseline"/>
                      <w:lang w:val="en-US" w:eastAsia="zh-CN"/>
                    </w:rPr>
                  </w:pPr>
                  <w:r>
                    <w:rPr>
                      <w:rFonts w:hint="eastAsia" w:ascii="Times New Roman" w:hAnsi="Times New Roman" w:eastAsia="宋体" w:cs="Times New Roman"/>
                      <w:color w:val="auto"/>
                      <w:szCs w:val="21"/>
                      <w:highlight w:val="none"/>
                      <w:vertAlign w:val="baseline"/>
                      <w:lang w:val="en-US" w:eastAsia="zh-CN"/>
                    </w:rPr>
                    <w:t>①生活污水：本项目产生的生活污水经由化粪池收集后，最终排入园区污水处理厂进行处理；</w:t>
                  </w:r>
                </w:p>
                <w:p w14:paraId="77925008">
                  <w:pPr>
                    <w:pStyle w:val="31"/>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both"/>
                    <w:textAlignment w:val="auto"/>
                    <w:rPr>
                      <w:rFonts w:hint="default" w:ascii="Times New Roman" w:hAnsi="Times New Roman" w:eastAsia="宋体" w:cs="Times New Roman"/>
                      <w:color w:val="auto"/>
                      <w:szCs w:val="21"/>
                      <w:highlight w:val="none"/>
                      <w:vertAlign w:val="baseline"/>
                      <w:lang w:val="en-US" w:eastAsia="zh-CN"/>
                    </w:rPr>
                  </w:pPr>
                  <w:r>
                    <w:rPr>
                      <w:rFonts w:hint="eastAsia" w:ascii="Times New Roman" w:hAnsi="Times New Roman" w:eastAsia="宋体" w:cs="Times New Roman"/>
                      <w:color w:val="auto"/>
                      <w:szCs w:val="21"/>
                      <w:highlight w:val="none"/>
                      <w:vertAlign w:val="baseline"/>
                      <w:lang w:val="en-US" w:eastAsia="zh-CN"/>
                    </w:rPr>
                    <w:t>②降尘喷淋水：生产车间设置2台雾炮，用于洒水降尘，全部损耗，不回收；</w:t>
                  </w:r>
                </w:p>
                <w:p w14:paraId="01AE5F11">
                  <w:pPr>
                    <w:pStyle w:val="31"/>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both"/>
                    <w:textAlignment w:val="auto"/>
                    <w:rPr>
                      <w:rFonts w:hint="eastAsia" w:ascii="Times New Roman" w:hAnsi="Times New Roman" w:eastAsia="宋体" w:cs="Times New Roman"/>
                      <w:color w:val="auto"/>
                      <w:szCs w:val="21"/>
                      <w:highlight w:val="none"/>
                      <w:vertAlign w:val="baseline"/>
                      <w:lang w:val="en-US" w:eastAsia="zh-CN"/>
                    </w:rPr>
                  </w:pPr>
                  <w:r>
                    <w:rPr>
                      <w:rFonts w:hint="eastAsia" w:ascii="Times New Roman" w:hAnsi="Times New Roman" w:eastAsia="宋体" w:cs="Times New Roman"/>
                      <w:color w:val="auto"/>
                      <w:szCs w:val="21"/>
                      <w:highlight w:val="none"/>
                      <w:vertAlign w:val="baseline"/>
                      <w:lang w:val="en-US" w:eastAsia="zh-CN"/>
                    </w:rPr>
                    <w:t>③脱硫废水经循环水池</w:t>
                  </w:r>
                  <w:r>
                    <w:rPr>
                      <w:rFonts w:hint="eastAsia" w:cs="Times New Roman"/>
                      <w:color w:val="auto"/>
                      <w:szCs w:val="21"/>
                      <w:highlight w:val="none"/>
                      <w:vertAlign w:val="baseline"/>
                      <w:lang w:val="en-US" w:eastAsia="zh-CN"/>
                    </w:rPr>
                    <w:t>处理后</w:t>
                  </w:r>
                  <w:r>
                    <w:rPr>
                      <w:rFonts w:hint="eastAsia" w:ascii="Times New Roman" w:hAnsi="Times New Roman" w:eastAsia="宋体" w:cs="Times New Roman"/>
                      <w:color w:val="auto"/>
                      <w:szCs w:val="21"/>
                      <w:highlight w:val="none"/>
                      <w:vertAlign w:val="baseline"/>
                      <w:lang w:val="en-US" w:eastAsia="zh-CN"/>
                    </w:rPr>
                    <w:t>用于脱硫塔循环补水，不外排。</w:t>
                  </w:r>
                </w:p>
                <w:p w14:paraId="6470F7A8">
                  <w:pPr>
                    <w:pStyle w:val="31"/>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both"/>
                    <w:textAlignment w:val="auto"/>
                    <w:rPr>
                      <w:rFonts w:hint="eastAsia" w:ascii="Times New Roman" w:hAnsi="Times New Roman" w:eastAsia="宋体" w:cs="Times New Roman"/>
                      <w:color w:val="auto"/>
                      <w:szCs w:val="21"/>
                      <w:highlight w:val="none"/>
                      <w:vertAlign w:val="baseline"/>
                      <w:lang w:val="en-US" w:eastAsia="zh-CN"/>
                    </w:rPr>
                  </w:pPr>
                  <w:r>
                    <w:rPr>
                      <w:rFonts w:hint="eastAsia" w:ascii="Times New Roman" w:hAnsi="Times New Roman" w:eastAsia="宋体" w:cs="Times New Roman"/>
                      <w:color w:val="auto"/>
                      <w:szCs w:val="21"/>
                      <w:highlight w:val="none"/>
                      <w:vertAlign w:val="baseline"/>
                      <w:lang w:val="en-US" w:eastAsia="zh-CN"/>
                    </w:rPr>
                    <w:t>④初期雨水：初期雨水经390m³的初期雨水收集池收集沉淀后，用于堆场内洒水抑尘。</w:t>
                  </w:r>
                </w:p>
                <w:p w14:paraId="44615EEB">
                  <w:pPr>
                    <w:pStyle w:val="31"/>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both"/>
                    <w:textAlignment w:val="auto"/>
                    <w:rPr>
                      <w:rFonts w:hint="default" w:cs="Times New Roman"/>
                      <w:color w:val="auto"/>
                      <w:szCs w:val="21"/>
                      <w:highlight w:val="none"/>
                      <w:vertAlign w:val="baseline"/>
                      <w:lang w:val="en-US" w:eastAsia="zh-CN"/>
                    </w:rPr>
                  </w:pPr>
                  <w:r>
                    <w:rPr>
                      <w:rFonts w:hint="eastAsia" w:ascii="Times New Roman" w:hAnsi="Times New Roman" w:eastAsia="宋体" w:cs="Times New Roman"/>
                      <w:color w:val="auto"/>
                      <w:szCs w:val="21"/>
                      <w:highlight w:val="none"/>
                      <w:vertAlign w:val="baseline"/>
                      <w:lang w:val="en-US" w:eastAsia="zh-CN"/>
                    </w:rPr>
                    <w:t>⑤事故废水：本项目新建415m³事故池，用于事故废水的存放，与园区事故废水池联通，确保事故状态下废水不进入外环境。</w:t>
                  </w:r>
                </w:p>
              </w:tc>
              <w:tc>
                <w:tcPr>
                  <w:tcW w:w="649" w:type="dxa"/>
                </w:tcPr>
                <w:p w14:paraId="4297096D">
                  <w:pPr>
                    <w:pStyle w:val="31"/>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szCs w:val="21"/>
                      <w:highlight w:val="none"/>
                      <w:vertAlign w:val="baseline"/>
                      <w:lang w:val="en-US" w:eastAsia="zh-CN"/>
                    </w:rPr>
                  </w:pPr>
                  <w:r>
                    <w:rPr>
                      <w:rFonts w:hint="default" w:ascii="Times New Roman" w:hAnsi="Times New Roman" w:cs="Times New Roman"/>
                      <w:color w:val="auto"/>
                      <w:szCs w:val="21"/>
                      <w:highlight w:val="none"/>
                      <w:vertAlign w:val="baseline"/>
                      <w:lang w:val="en-US" w:eastAsia="zh-CN"/>
                    </w:rPr>
                    <w:t>新建</w:t>
                  </w:r>
                </w:p>
              </w:tc>
            </w:tr>
            <w:tr w14:paraId="1D196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69" w:type="dxa"/>
                  <w:vMerge w:val="continue"/>
                </w:tcPr>
                <w:p w14:paraId="0138F207">
                  <w:pPr>
                    <w:pStyle w:val="31"/>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szCs w:val="21"/>
                      <w:highlight w:val="none"/>
                      <w:vertAlign w:val="baseline"/>
                      <w:lang w:val="en-US" w:eastAsia="zh-CN"/>
                    </w:rPr>
                  </w:pPr>
                </w:p>
              </w:tc>
              <w:tc>
                <w:tcPr>
                  <w:tcW w:w="1099" w:type="dxa"/>
                </w:tcPr>
                <w:p w14:paraId="02FA18AF">
                  <w:pPr>
                    <w:pStyle w:val="31"/>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szCs w:val="21"/>
                      <w:highlight w:val="none"/>
                      <w:vertAlign w:val="baseline"/>
                      <w:lang w:val="en-US" w:eastAsia="zh-CN"/>
                    </w:rPr>
                  </w:pPr>
                  <w:r>
                    <w:rPr>
                      <w:rFonts w:hint="default" w:ascii="Times New Roman" w:hAnsi="Times New Roman" w:cs="Times New Roman"/>
                      <w:color w:val="auto"/>
                      <w:szCs w:val="21"/>
                      <w:highlight w:val="none"/>
                      <w:vertAlign w:val="baseline"/>
                      <w:lang w:val="en-US" w:eastAsia="zh-CN"/>
                    </w:rPr>
                    <w:t>噪声</w:t>
                  </w:r>
                </w:p>
              </w:tc>
              <w:tc>
                <w:tcPr>
                  <w:tcW w:w="5401" w:type="dxa"/>
                  <w:gridSpan w:val="2"/>
                </w:tcPr>
                <w:p w14:paraId="75E6DEC5">
                  <w:pPr>
                    <w:pStyle w:val="31"/>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both"/>
                    <w:textAlignment w:val="auto"/>
                    <w:rPr>
                      <w:rFonts w:hint="default" w:ascii="Times New Roman" w:hAnsi="Times New Roman" w:cs="Times New Roman"/>
                      <w:color w:val="auto"/>
                      <w:szCs w:val="21"/>
                      <w:highlight w:val="none"/>
                      <w:vertAlign w:val="baseline"/>
                      <w:lang w:val="en-US" w:eastAsia="zh-CN"/>
                    </w:rPr>
                  </w:pPr>
                  <w:r>
                    <w:rPr>
                      <w:rFonts w:hint="default" w:ascii="Times New Roman" w:hAnsi="Times New Roman" w:cs="Times New Roman"/>
                      <w:color w:val="auto"/>
                      <w:szCs w:val="21"/>
                      <w:highlight w:val="none"/>
                      <w:vertAlign w:val="baseline"/>
                      <w:lang w:val="en-US" w:eastAsia="zh-CN"/>
                    </w:rPr>
                    <w:t>基础减震、</w:t>
                  </w:r>
                  <w:r>
                    <w:rPr>
                      <w:rFonts w:hint="eastAsia" w:cs="Times New Roman"/>
                      <w:color w:val="auto"/>
                      <w:szCs w:val="21"/>
                      <w:highlight w:val="none"/>
                      <w:vertAlign w:val="baseline"/>
                      <w:lang w:val="en-US" w:eastAsia="zh-CN"/>
                    </w:rPr>
                    <w:t>使用低噪声设备、</w:t>
                  </w:r>
                  <w:r>
                    <w:rPr>
                      <w:rFonts w:hint="default" w:ascii="Times New Roman" w:hAnsi="Times New Roman" w:cs="Times New Roman"/>
                      <w:color w:val="auto"/>
                      <w:szCs w:val="21"/>
                      <w:highlight w:val="none"/>
                      <w:vertAlign w:val="baseline"/>
                      <w:lang w:val="en-US" w:eastAsia="zh-CN"/>
                    </w:rPr>
                    <w:t>保养润滑、墙体隔声</w:t>
                  </w:r>
                  <w:r>
                    <w:rPr>
                      <w:rFonts w:hint="eastAsia" w:cs="Times New Roman"/>
                      <w:color w:val="auto"/>
                      <w:szCs w:val="21"/>
                      <w:highlight w:val="none"/>
                      <w:vertAlign w:val="baseline"/>
                      <w:lang w:val="en-US" w:eastAsia="zh-CN"/>
                    </w:rPr>
                    <w:t>。</w:t>
                  </w:r>
                </w:p>
              </w:tc>
              <w:tc>
                <w:tcPr>
                  <w:tcW w:w="649" w:type="dxa"/>
                </w:tcPr>
                <w:p w14:paraId="775F7B18">
                  <w:pPr>
                    <w:pStyle w:val="31"/>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szCs w:val="21"/>
                      <w:highlight w:val="none"/>
                      <w:vertAlign w:val="baseline"/>
                      <w:lang w:val="en-US" w:eastAsia="zh-CN"/>
                    </w:rPr>
                  </w:pPr>
                  <w:r>
                    <w:rPr>
                      <w:rFonts w:hint="default" w:ascii="Times New Roman" w:hAnsi="Times New Roman" w:cs="Times New Roman"/>
                      <w:color w:val="auto"/>
                      <w:szCs w:val="21"/>
                      <w:highlight w:val="none"/>
                      <w:vertAlign w:val="baseline"/>
                      <w:lang w:val="en-US" w:eastAsia="zh-CN"/>
                    </w:rPr>
                    <w:t>新建</w:t>
                  </w:r>
                </w:p>
              </w:tc>
            </w:tr>
            <w:tr w14:paraId="25817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69" w:type="dxa"/>
                  <w:vMerge w:val="continue"/>
                </w:tcPr>
                <w:p w14:paraId="79209BD1">
                  <w:pPr>
                    <w:pStyle w:val="31"/>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szCs w:val="21"/>
                      <w:highlight w:val="none"/>
                      <w:vertAlign w:val="baseline"/>
                      <w:lang w:val="en-US" w:eastAsia="zh-CN"/>
                    </w:rPr>
                  </w:pPr>
                </w:p>
              </w:tc>
              <w:tc>
                <w:tcPr>
                  <w:tcW w:w="1099" w:type="dxa"/>
                </w:tcPr>
                <w:p w14:paraId="267340F1">
                  <w:pPr>
                    <w:pStyle w:val="31"/>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szCs w:val="21"/>
                      <w:highlight w:val="none"/>
                      <w:vertAlign w:val="baseline"/>
                      <w:lang w:val="en-US" w:eastAsia="zh-CN"/>
                    </w:rPr>
                  </w:pPr>
                  <w:r>
                    <w:rPr>
                      <w:rFonts w:hint="default" w:ascii="Times New Roman" w:hAnsi="Times New Roman" w:cs="Times New Roman"/>
                      <w:color w:val="auto"/>
                      <w:szCs w:val="21"/>
                      <w:highlight w:val="none"/>
                      <w:vertAlign w:val="baseline"/>
                      <w:lang w:val="en-US" w:eastAsia="zh-CN"/>
                    </w:rPr>
                    <w:t>固废</w:t>
                  </w:r>
                </w:p>
              </w:tc>
              <w:tc>
                <w:tcPr>
                  <w:tcW w:w="5401" w:type="dxa"/>
                  <w:gridSpan w:val="2"/>
                </w:tcPr>
                <w:p w14:paraId="5872877B">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eastAsia"/>
                      <w:color w:val="auto"/>
                      <w:highlight w:val="none"/>
                      <w:lang w:val="en-US" w:eastAsia="zh-CN"/>
                    </w:rPr>
                  </w:pPr>
                  <w:r>
                    <w:rPr>
                      <w:rFonts w:hint="eastAsia" w:ascii="Times New Roman" w:hAnsi="Times New Roman" w:eastAsia="宋体" w:cs="Times New Roman"/>
                      <w:color w:val="auto"/>
                      <w:kern w:val="2"/>
                      <w:sz w:val="21"/>
                      <w:szCs w:val="21"/>
                      <w:highlight w:val="none"/>
                      <w:vertAlign w:val="baseline"/>
                      <w:lang w:val="en-US" w:eastAsia="zh-CN" w:bidi="ar-SA"/>
                    </w:rPr>
                    <w:t>①</w:t>
                  </w:r>
                  <w:r>
                    <w:rPr>
                      <w:rFonts w:hint="eastAsia"/>
                      <w:color w:val="auto"/>
                      <w:highlight w:val="none"/>
                      <w:lang w:val="en-US" w:eastAsia="zh-CN"/>
                    </w:rPr>
                    <w:t>除尘灰：暂存于一般固废暂存间内，定期拉运至园区一般固废填埋场进行填埋处理；</w:t>
                  </w:r>
                </w:p>
                <w:p w14:paraId="038D29D9">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eastAsia"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②</w:t>
                  </w:r>
                  <w:r>
                    <w:rPr>
                      <w:rFonts w:hint="eastAsia" w:cs="Times New Roman"/>
                      <w:color w:val="auto"/>
                      <w:kern w:val="2"/>
                      <w:sz w:val="21"/>
                      <w:szCs w:val="21"/>
                      <w:highlight w:val="none"/>
                      <w:vertAlign w:val="baseline"/>
                      <w:lang w:val="en-US" w:eastAsia="zh-CN" w:bidi="ar-SA"/>
                    </w:rPr>
                    <w:t>废脱硫石膏：暂存于一般固废暂存间内，定期拉运至园区一般固废填埋场进行填埋处理；</w:t>
                  </w:r>
                </w:p>
                <w:p w14:paraId="03C41A67">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eastAsia"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③不可利用煤系高岭土：直接外售周边建材市场进行综合利用</w:t>
                  </w:r>
                  <w:r>
                    <w:rPr>
                      <w:rFonts w:hint="eastAsia" w:cs="Times New Roman"/>
                      <w:color w:val="auto"/>
                      <w:kern w:val="2"/>
                      <w:sz w:val="21"/>
                      <w:szCs w:val="21"/>
                      <w:highlight w:val="none"/>
                      <w:vertAlign w:val="baseline"/>
                      <w:lang w:val="en-US" w:eastAsia="zh-CN" w:bidi="ar-SA"/>
                    </w:rPr>
                    <w:t>；</w:t>
                  </w:r>
                </w:p>
                <w:p w14:paraId="23F8D881">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④废催化剂：本项目产生的废催化剂属于危险废物（HW50，772-007-50）暂存于危险废物暂存间内，定期交由有资质单位进行处置。</w:t>
                  </w:r>
                </w:p>
                <w:p w14:paraId="268FD5BA">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⑤</w:t>
                  </w:r>
                  <w:r>
                    <w:rPr>
                      <w:rFonts w:hint="eastAsia" w:ascii="Times New Roman" w:hAnsi="Times New Roman" w:eastAsia="宋体" w:cs="Times New Roman"/>
                      <w:color w:val="auto"/>
                      <w:kern w:val="2"/>
                      <w:sz w:val="21"/>
                      <w:szCs w:val="21"/>
                      <w:highlight w:val="none"/>
                      <w:vertAlign w:val="baseline"/>
                      <w:lang w:val="en-US" w:eastAsia="zh-CN" w:bidi="ar-SA"/>
                    </w:rPr>
                    <w:t>生活垃圾</w:t>
                  </w:r>
                  <w:r>
                    <w:rPr>
                      <w:rFonts w:hint="eastAsia" w:cs="Times New Roman"/>
                      <w:color w:val="auto"/>
                      <w:kern w:val="2"/>
                      <w:sz w:val="21"/>
                      <w:szCs w:val="21"/>
                      <w:highlight w:val="none"/>
                      <w:vertAlign w:val="baseline"/>
                      <w:lang w:val="en-US" w:eastAsia="zh-CN" w:bidi="ar-SA"/>
                    </w:rPr>
                    <w:t>：本项目厂区内设置的2个垃圾桶收集，统一收集后定期交由当地环卫部门统一清运。</w:t>
                  </w:r>
                </w:p>
              </w:tc>
              <w:tc>
                <w:tcPr>
                  <w:tcW w:w="649" w:type="dxa"/>
                </w:tcPr>
                <w:p w14:paraId="24E0D006">
                  <w:pPr>
                    <w:pStyle w:val="31"/>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szCs w:val="21"/>
                      <w:highlight w:val="none"/>
                      <w:vertAlign w:val="baseline"/>
                      <w:lang w:val="en-US" w:eastAsia="zh-CN"/>
                    </w:rPr>
                  </w:pPr>
                  <w:r>
                    <w:rPr>
                      <w:rFonts w:hint="default" w:ascii="Times New Roman" w:hAnsi="Times New Roman" w:cs="Times New Roman"/>
                      <w:color w:val="auto"/>
                      <w:szCs w:val="21"/>
                      <w:highlight w:val="none"/>
                      <w:vertAlign w:val="baseline"/>
                      <w:lang w:val="en-US" w:eastAsia="zh-CN"/>
                    </w:rPr>
                    <w:t>新建</w:t>
                  </w:r>
                </w:p>
              </w:tc>
            </w:tr>
            <w:tr w14:paraId="56783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trPr>
              <w:tc>
                <w:tcPr>
                  <w:tcW w:w="1868" w:type="dxa"/>
                  <w:gridSpan w:val="2"/>
                </w:tcPr>
                <w:p w14:paraId="7ECAACB2">
                  <w:pPr>
                    <w:pStyle w:val="31"/>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szCs w:val="21"/>
                      <w:highlight w:val="none"/>
                      <w:vertAlign w:val="baseline"/>
                      <w:lang w:val="en-US" w:eastAsia="zh-CN"/>
                    </w:rPr>
                  </w:pPr>
                  <w:r>
                    <w:rPr>
                      <w:rFonts w:hint="eastAsia" w:cs="Times New Roman"/>
                      <w:color w:val="auto"/>
                      <w:szCs w:val="21"/>
                      <w:highlight w:val="none"/>
                      <w:vertAlign w:val="baseline"/>
                      <w:lang w:val="en-US" w:eastAsia="zh-CN"/>
                    </w:rPr>
                    <w:t>防渗措施</w:t>
                  </w:r>
                </w:p>
              </w:tc>
              <w:tc>
                <w:tcPr>
                  <w:tcW w:w="5401" w:type="dxa"/>
                  <w:gridSpan w:val="2"/>
                </w:tcPr>
                <w:p w14:paraId="13FAD47F">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eastAsia"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本项目实行分区防渗，全封闭生产车间及运输道路进行简单防渗处理；对脱硫循环水池、事故池、初期雨水收集池进行一般防渗处理；危险废物暂存间采用重点防渗；具体防渗措施如下：</w:t>
                  </w:r>
                </w:p>
                <w:p w14:paraId="669BF19A">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eastAsia"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简单防渗：进行水泥地面硬化。</w:t>
                  </w:r>
                </w:p>
                <w:p w14:paraId="6CFCDA3A">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eastAsia"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一般防渗：要求防渗性能等效粘土防渗层Mb≥1.5m，K≤1×10</w:t>
                  </w:r>
                  <w:r>
                    <w:rPr>
                      <w:rFonts w:hint="eastAsia" w:cs="Times New Roman"/>
                      <w:color w:val="auto"/>
                      <w:kern w:val="2"/>
                      <w:sz w:val="21"/>
                      <w:szCs w:val="21"/>
                      <w:highlight w:val="none"/>
                      <w:vertAlign w:val="superscript"/>
                      <w:lang w:val="en-US" w:eastAsia="zh-CN" w:bidi="ar-SA"/>
                    </w:rPr>
                    <w:t>-7</w:t>
                  </w:r>
                  <w:r>
                    <w:rPr>
                      <w:rFonts w:hint="eastAsia" w:cs="Times New Roman"/>
                      <w:color w:val="auto"/>
                      <w:kern w:val="2"/>
                      <w:sz w:val="21"/>
                      <w:szCs w:val="21"/>
                      <w:highlight w:val="none"/>
                      <w:vertAlign w:val="baseline"/>
                      <w:lang w:val="en-US" w:eastAsia="zh-CN" w:bidi="ar-SA"/>
                    </w:rPr>
                    <w:t>cm/s，经过防渗处理后可防止系统内废水流向地下水环境。</w:t>
                  </w:r>
                </w:p>
                <w:p w14:paraId="2D6E6FD8">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重点防渗措施：危险废物暂存间按照《危险废物贮存污染控制标准》（GB18597-2023）设计为封闭式、防雨、防风、防晒，危险废物危险废物暂存间地面及裙角、泄漏液体集液池均按照《危险废物贮存污染控制标准》（GB18597-2023）相关内容进行防渗，防渗层为至少1m厚黏土层（渗透系数≤1.0×10</w:t>
                  </w:r>
                  <w:r>
                    <w:rPr>
                      <w:rFonts w:hint="eastAsia" w:cs="Times New Roman"/>
                      <w:color w:val="auto"/>
                      <w:kern w:val="2"/>
                      <w:sz w:val="21"/>
                      <w:szCs w:val="21"/>
                      <w:highlight w:val="none"/>
                      <w:vertAlign w:val="superscript"/>
                      <w:lang w:val="en-US" w:eastAsia="zh-CN" w:bidi="ar-SA"/>
                    </w:rPr>
                    <w:t>-7</w:t>
                  </w:r>
                  <w:r>
                    <w:rPr>
                      <w:rFonts w:hint="eastAsia" w:cs="Times New Roman"/>
                      <w:color w:val="auto"/>
                      <w:kern w:val="2"/>
                      <w:sz w:val="21"/>
                      <w:szCs w:val="21"/>
                      <w:highlight w:val="none"/>
                      <w:vertAlign w:val="baseline"/>
                      <w:lang w:val="en-US" w:eastAsia="zh-CN" w:bidi="ar-SA"/>
                    </w:rPr>
                    <w:t>cm/s），或2mm厚高密度聚乙烯，或至少2mm厚的其它人工材料，总体渗透系数≤1.0×10</w:t>
                  </w:r>
                  <w:r>
                    <w:rPr>
                      <w:rFonts w:hint="eastAsia" w:cs="Times New Roman"/>
                      <w:color w:val="auto"/>
                      <w:kern w:val="2"/>
                      <w:sz w:val="21"/>
                      <w:szCs w:val="21"/>
                      <w:highlight w:val="none"/>
                      <w:vertAlign w:val="superscript"/>
                      <w:lang w:val="en-US" w:eastAsia="zh-CN" w:bidi="ar-SA"/>
                    </w:rPr>
                    <w:t>-10</w:t>
                  </w:r>
                  <w:r>
                    <w:rPr>
                      <w:rFonts w:hint="eastAsia" w:cs="Times New Roman"/>
                      <w:color w:val="auto"/>
                      <w:kern w:val="2"/>
                      <w:sz w:val="21"/>
                      <w:szCs w:val="21"/>
                      <w:highlight w:val="none"/>
                      <w:vertAlign w:val="baseline"/>
                      <w:lang w:val="en-US" w:eastAsia="zh-CN" w:bidi="ar-SA"/>
                    </w:rPr>
                    <w:t>cm/s。</w:t>
                  </w:r>
                </w:p>
              </w:tc>
              <w:tc>
                <w:tcPr>
                  <w:tcW w:w="649" w:type="dxa"/>
                </w:tcPr>
                <w:p w14:paraId="654C6BC2">
                  <w:pPr>
                    <w:pStyle w:val="31"/>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szCs w:val="21"/>
                      <w:highlight w:val="none"/>
                      <w:vertAlign w:val="baseline"/>
                      <w:lang w:val="en-US" w:eastAsia="zh-CN"/>
                    </w:rPr>
                  </w:pPr>
                  <w:r>
                    <w:rPr>
                      <w:rFonts w:hint="eastAsia" w:cs="Times New Roman"/>
                      <w:color w:val="auto"/>
                      <w:szCs w:val="21"/>
                      <w:highlight w:val="none"/>
                      <w:vertAlign w:val="baseline"/>
                      <w:lang w:val="en-US" w:eastAsia="zh-CN"/>
                    </w:rPr>
                    <w:t>新建</w:t>
                  </w:r>
                </w:p>
              </w:tc>
            </w:tr>
          </w:tbl>
          <w:p w14:paraId="2017E744">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2</w:t>
            </w:r>
            <w:r>
              <w:rPr>
                <w:rFonts w:hint="eastAsia" w:cs="Times New Roman"/>
                <w:b/>
                <w:bCs/>
                <w:color w:val="auto"/>
                <w:highlight w:val="none"/>
                <w:lang w:val="en-US" w:eastAsia="zh-CN"/>
              </w:rPr>
              <w:t>.</w:t>
            </w:r>
            <w:r>
              <w:rPr>
                <w:rFonts w:hint="default" w:ascii="Times New Roman" w:hAnsi="Times New Roman" w:cs="Times New Roman"/>
                <w:b/>
                <w:bCs/>
                <w:color w:val="auto"/>
                <w:highlight w:val="none"/>
                <w:lang w:val="en-US" w:eastAsia="zh-CN"/>
              </w:rPr>
              <w:t>主要设备一览表</w:t>
            </w:r>
          </w:p>
          <w:p w14:paraId="5CE9263F">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w:t>
            </w:r>
            <w:r>
              <w:rPr>
                <w:rFonts w:hint="eastAsia" w:cs="Times New Roman"/>
                <w:color w:val="auto"/>
                <w:highlight w:val="none"/>
                <w:lang w:val="en-US" w:eastAsia="zh-CN"/>
              </w:rPr>
              <w:t>项目主要设备一览表见表2-2。</w:t>
            </w:r>
          </w:p>
          <w:p w14:paraId="6EAB3755">
            <w:pPr>
              <w:bidi w:val="0"/>
              <w:ind w:left="0" w:leftChars="0" w:firstLine="0" w:firstLineChars="0"/>
              <w:jc w:val="center"/>
              <w:rPr>
                <w:rFonts w:hint="default" w:ascii="Times New Roman" w:hAnsi="Times New Roman" w:cs="Times New Roman"/>
                <w:b/>
                <w:bCs/>
                <w:color w:val="auto"/>
                <w:highlight w:val="none"/>
                <w:vertAlign w:val="baseline"/>
                <w:lang w:val="en-US" w:eastAsia="zh-CN"/>
              </w:rPr>
            </w:pPr>
            <w:r>
              <w:rPr>
                <w:rFonts w:hint="default" w:ascii="Times New Roman" w:hAnsi="Times New Roman" w:cs="Times New Roman"/>
                <w:b/>
                <w:bCs/>
                <w:color w:val="auto"/>
                <w:highlight w:val="none"/>
                <w:lang w:val="en-US" w:eastAsia="zh-CN"/>
              </w:rPr>
              <w:t>表2-2</w:t>
            </w:r>
            <w:r>
              <w:rPr>
                <w:rFonts w:hint="eastAsia" w:cs="Times New Roman"/>
                <w:b/>
                <w:bCs/>
                <w:color w:val="auto"/>
                <w:highlight w:val="none"/>
                <w:lang w:val="en-US" w:eastAsia="zh-CN"/>
              </w:rPr>
              <w:t>：</w:t>
            </w:r>
            <w:r>
              <w:rPr>
                <w:rFonts w:hint="default" w:ascii="Times New Roman" w:hAnsi="Times New Roman" w:cs="Times New Roman"/>
                <w:b/>
                <w:bCs/>
                <w:color w:val="auto"/>
                <w:highlight w:val="none"/>
                <w:lang w:val="en-US" w:eastAsia="zh-CN"/>
              </w:rPr>
              <w:t>主要设备一览表</w:t>
            </w:r>
          </w:p>
          <w:tbl>
            <w:tblPr>
              <w:tblStyle w:val="24"/>
              <w:tblW w:w="79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5"/>
              <w:gridCol w:w="381"/>
              <w:gridCol w:w="1500"/>
              <w:gridCol w:w="1648"/>
              <w:gridCol w:w="704"/>
              <w:gridCol w:w="1027"/>
              <w:gridCol w:w="2083"/>
            </w:tblGrid>
            <w:tr w14:paraId="4076F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jc w:val="center"/>
              </w:trPr>
              <w:tc>
                <w:tcPr>
                  <w:tcW w:w="655" w:type="dxa"/>
                  <w:noWrap w:val="0"/>
                  <w:vAlign w:val="center"/>
                </w:tcPr>
                <w:p w14:paraId="58F32CEC">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名称</w:t>
                  </w:r>
                </w:p>
              </w:tc>
              <w:tc>
                <w:tcPr>
                  <w:tcW w:w="381" w:type="dxa"/>
                  <w:noWrap w:val="0"/>
                  <w:vAlign w:val="center"/>
                </w:tcPr>
                <w:p w14:paraId="7BB46AEB">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序号</w:t>
                  </w:r>
                </w:p>
              </w:tc>
              <w:tc>
                <w:tcPr>
                  <w:tcW w:w="1500" w:type="dxa"/>
                  <w:noWrap w:val="0"/>
                  <w:vAlign w:val="center"/>
                </w:tcPr>
                <w:p w14:paraId="6A66C71F">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规格</w:t>
                  </w:r>
                </w:p>
              </w:tc>
              <w:tc>
                <w:tcPr>
                  <w:tcW w:w="1648" w:type="dxa"/>
                  <w:noWrap w:val="0"/>
                  <w:vAlign w:val="center"/>
                </w:tcPr>
                <w:p w14:paraId="2C8774EC">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规格型号</w:t>
                  </w:r>
                </w:p>
              </w:tc>
              <w:tc>
                <w:tcPr>
                  <w:tcW w:w="704" w:type="dxa"/>
                  <w:noWrap w:val="0"/>
                  <w:vAlign w:val="center"/>
                </w:tcPr>
                <w:p w14:paraId="292235B7">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工作台数</w:t>
                  </w:r>
                </w:p>
              </w:tc>
              <w:tc>
                <w:tcPr>
                  <w:tcW w:w="1027" w:type="dxa"/>
                  <w:noWrap w:val="0"/>
                  <w:vAlign w:val="center"/>
                </w:tcPr>
                <w:p w14:paraId="2A904EA6">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额定功率</w:t>
                  </w:r>
                </w:p>
              </w:tc>
              <w:tc>
                <w:tcPr>
                  <w:tcW w:w="2083" w:type="dxa"/>
                  <w:noWrap w:val="0"/>
                  <w:vAlign w:val="center"/>
                </w:tcPr>
                <w:p w14:paraId="6E8A19EA">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电机型号</w:t>
                  </w:r>
                </w:p>
              </w:tc>
            </w:tr>
            <w:tr w14:paraId="406FE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55" w:type="dxa"/>
                  <w:vMerge w:val="restart"/>
                  <w:noWrap w:val="0"/>
                  <w:vAlign w:val="center"/>
                </w:tcPr>
                <w:p w14:paraId="33AB9216">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上料装窑设备</w:t>
                  </w:r>
                </w:p>
              </w:tc>
              <w:tc>
                <w:tcPr>
                  <w:tcW w:w="381" w:type="dxa"/>
                  <w:noWrap w:val="0"/>
                  <w:vAlign w:val="center"/>
                </w:tcPr>
                <w:p w14:paraId="76E118C5">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w:t>
                  </w:r>
                </w:p>
              </w:tc>
              <w:tc>
                <w:tcPr>
                  <w:tcW w:w="1500" w:type="dxa"/>
                  <w:noWrap w:val="0"/>
                  <w:vAlign w:val="center"/>
                </w:tcPr>
                <w:p w14:paraId="557EE03F">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漏斗给料机</w:t>
                  </w:r>
                </w:p>
              </w:tc>
              <w:tc>
                <w:tcPr>
                  <w:tcW w:w="1648" w:type="dxa"/>
                  <w:noWrap w:val="0"/>
                  <w:vAlign w:val="center"/>
                </w:tcPr>
                <w:p w14:paraId="3DCFD8B9">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600×800</w:t>
                  </w:r>
                </w:p>
              </w:tc>
              <w:tc>
                <w:tcPr>
                  <w:tcW w:w="704" w:type="dxa"/>
                  <w:noWrap w:val="0"/>
                  <w:vAlign w:val="center"/>
                </w:tcPr>
                <w:p w14:paraId="64D6B97D">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4</w:t>
                  </w:r>
                </w:p>
              </w:tc>
              <w:tc>
                <w:tcPr>
                  <w:tcW w:w="1027" w:type="dxa"/>
                  <w:noWrap w:val="0"/>
                  <w:vAlign w:val="center"/>
                </w:tcPr>
                <w:p w14:paraId="43729320">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1.1kw</w:t>
                  </w:r>
                </w:p>
              </w:tc>
              <w:tc>
                <w:tcPr>
                  <w:tcW w:w="2083" w:type="dxa"/>
                  <w:noWrap w:val="0"/>
                  <w:vAlign w:val="center"/>
                </w:tcPr>
                <w:p w14:paraId="3C59CC31">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YZO-10-6</w:t>
                  </w:r>
                </w:p>
              </w:tc>
            </w:tr>
            <w:tr w14:paraId="288BA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55" w:type="dxa"/>
                  <w:vMerge w:val="continue"/>
                  <w:noWrap w:val="0"/>
                  <w:vAlign w:val="center"/>
                </w:tcPr>
                <w:p w14:paraId="14121DFE">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p>
              </w:tc>
              <w:tc>
                <w:tcPr>
                  <w:tcW w:w="381" w:type="dxa"/>
                  <w:noWrap w:val="0"/>
                  <w:vAlign w:val="center"/>
                </w:tcPr>
                <w:p w14:paraId="081329C9">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w:t>
                  </w:r>
                </w:p>
              </w:tc>
              <w:tc>
                <w:tcPr>
                  <w:tcW w:w="1500" w:type="dxa"/>
                  <w:noWrap w:val="0"/>
                  <w:vAlign w:val="center"/>
                </w:tcPr>
                <w:p w14:paraId="47EC746A">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振动筛</w:t>
                  </w:r>
                </w:p>
              </w:tc>
              <w:tc>
                <w:tcPr>
                  <w:tcW w:w="1648" w:type="dxa"/>
                  <w:noWrap w:val="0"/>
                  <w:vAlign w:val="center"/>
                </w:tcPr>
                <w:p w14:paraId="13FE9B6F">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1200×2000</w:t>
                  </w:r>
                </w:p>
              </w:tc>
              <w:tc>
                <w:tcPr>
                  <w:tcW w:w="704" w:type="dxa"/>
                  <w:noWrap w:val="0"/>
                  <w:vAlign w:val="center"/>
                </w:tcPr>
                <w:p w14:paraId="1D3FC99D">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w:t>
                  </w:r>
                </w:p>
              </w:tc>
              <w:tc>
                <w:tcPr>
                  <w:tcW w:w="1027" w:type="dxa"/>
                  <w:noWrap w:val="0"/>
                  <w:vAlign w:val="center"/>
                </w:tcPr>
                <w:p w14:paraId="7C83FF4D">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1.1kw×2</w:t>
                  </w:r>
                </w:p>
              </w:tc>
              <w:tc>
                <w:tcPr>
                  <w:tcW w:w="2083" w:type="dxa"/>
                  <w:noWrap w:val="0"/>
                  <w:vAlign w:val="center"/>
                </w:tcPr>
                <w:p w14:paraId="0FDCF34E">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YO-10-6</w:t>
                  </w:r>
                </w:p>
              </w:tc>
            </w:tr>
            <w:tr w14:paraId="70C41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 w:hRule="atLeast"/>
                <w:jc w:val="center"/>
              </w:trPr>
              <w:tc>
                <w:tcPr>
                  <w:tcW w:w="655" w:type="dxa"/>
                  <w:vMerge w:val="continue"/>
                  <w:noWrap w:val="0"/>
                  <w:vAlign w:val="center"/>
                </w:tcPr>
                <w:p w14:paraId="439658A2">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381" w:type="dxa"/>
                  <w:noWrap w:val="0"/>
                  <w:vAlign w:val="center"/>
                </w:tcPr>
                <w:p w14:paraId="43B4B271">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3</w:t>
                  </w:r>
                </w:p>
              </w:tc>
              <w:tc>
                <w:tcPr>
                  <w:tcW w:w="1500" w:type="dxa"/>
                  <w:noWrap w:val="0"/>
                  <w:vAlign w:val="center"/>
                </w:tcPr>
                <w:p w14:paraId="79FECA98">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窑炉提升绞车</w:t>
                  </w:r>
                </w:p>
              </w:tc>
              <w:tc>
                <w:tcPr>
                  <w:tcW w:w="1648" w:type="dxa"/>
                  <w:noWrap w:val="0"/>
                  <w:vAlign w:val="center"/>
                </w:tcPr>
                <w:p w14:paraId="341843C8">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Ф400×600</w:t>
                  </w:r>
                </w:p>
              </w:tc>
              <w:tc>
                <w:tcPr>
                  <w:tcW w:w="704" w:type="dxa"/>
                  <w:noWrap w:val="0"/>
                  <w:vAlign w:val="center"/>
                </w:tcPr>
                <w:p w14:paraId="2D02FDE2">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w:t>
                  </w:r>
                </w:p>
              </w:tc>
              <w:tc>
                <w:tcPr>
                  <w:tcW w:w="1027" w:type="dxa"/>
                  <w:noWrap w:val="0"/>
                  <w:vAlign w:val="center"/>
                </w:tcPr>
                <w:p w14:paraId="6BBA62E6">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22kw</w:t>
                  </w:r>
                </w:p>
              </w:tc>
              <w:tc>
                <w:tcPr>
                  <w:tcW w:w="2083" w:type="dxa"/>
                  <w:noWrap w:val="0"/>
                  <w:vAlign w:val="center"/>
                </w:tcPr>
                <w:p w14:paraId="46F82190">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YP2-180M-4</w:t>
                  </w:r>
                </w:p>
              </w:tc>
            </w:tr>
            <w:tr w14:paraId="4BDD3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55" w:type="dxa"/>
                  <w:vMerge w:val="continue"/>
                  <w:noWrap w:val="0"/>
                  <w:vAlign w:val="center"/>
                </w:tcPr>
                <w:p w14:paraId="236EB0B0">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381" w:type="dxa"/>
                  <w:noWrap w:val="0"/>
                  <w:vAlign w:val="center"/>
                </w:tcPr>
                <w:p w14:paraId="27935AA4">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4</w:t>
                  </w:r>
                </w:p>
              </w:tc>
              <w:tc>
                <w:tcPr>
                  <w:tcW w:w="1500" w:type="dxa"/>
                  <w:noWrap w:val="0"/>
                  <w:vAlign w:val="center"/>
                </w:tcPr>
                <w:p w14:paraId="67C43CE8">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窑顶给料机</w:t>
                  </w:r>
                </w:p>
              </w:tc>
              <w:tc>
                <w:tcPr>
                  <w:tcW w:w="1648" w:type="dxa"/>
                  <w:noWrap w:val="0"/>
                  <w:vAlign w:val="center"/>
                </w:tcPr>
                <w:p w14:paraId="0DA251FF">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600×800</w:t>
                  </w:r>
                </w:p>
              </w:tc>
              <w:tc>
                <w:tcPr>
                  <w:tcW w:w="704" w:type="dxa"/>
                  <w:noWrap w:val="0"/>
                  <w:vAlign w:val="center"/>
                </w:tcPr>
                <w:p w14:paraId="371FEB98">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w:t>
                  </w:r>
                </w:p>
              </w:tc>
              <w:tc>
                <w:tcPr>
                  <w:tcW w:w="1027" w:type="dxa"/>
                  <w:noWrap w:val="0"/>
                  <w:vAlign w:val="center"/>
                </w:tcPr>
                <w:p w14:paraId="34396866">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val="en-US" w:eastAsia="zh-CN"/>
                    </w:rPr>
                    <w:t>1.1kw</w:t>
                  </w:r>
                </w:p>
              </w:tc>
              <w:tc>
                <w:tcPr>
                  <w:tcW w:w="2083" w:type="dxa"/>
                  <w:noWrap w:val="0"/>
                  <w:vAlign w:val="center"/>
                </w:tcPr>
                <w:p w14:paraId="7AD8BFA7">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YZO-10-6</w:t>
                  </w:r>
                </w:p>
              </w:tc>
            </w:tr>
            <w:tr w14:paraId="16B16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55" w:type="dxa"/>
                  <w:vMerge w:val="continue"/>
                  <w:noWrap w:val="0"/>
                  <w:vAlign w:val="center"/>
                </w:tcPr>
                <w:p w14:paraId="756075F8">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381" w:type="dxa"/>
                  <w:noWrap w:val="0"/>
                  <w:vAlign w:val="center"/>
                </w:tcPr>
                <w:p w14:paraId="50D81525">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5</w:t>
                  </w:r>
                </w:p>
              </w:tc>
              <w:tc>
                <w:tcPr>
                  <w:tcW w:w="1500" w:type="dxa"/>
                  <w:noWrap w:val="0"/>
                  <w:vAlign w:val="center"/>
                </w:tcPr>
                <w:p w14:paraId="177B4898">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窑炉行走矿车</w:t>
                  </w:r>
                </w:p>
              </w:tc>
              <w:tc>
                <w:tcPr>
                  <w:tcW w:w="1648" w:type="dxa"/>
                  <w:noWrap w:val="0"/>
                  <w:vAlign w:val="center"/>
                </w:tcPr>
                <w:p w14:paraId="58153F15">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1.5</w:t>
                  </w:r>
                </w:p>
              </w:tc>
              <w:tc>
                <w:tcPr>
                  <w:tcW w:w="704" w:type="dxa"/>
                  <w:noWrap w:val="0"/>
                  <w:vAlign w:val="center"/>
                </w:tcPr>
                <w:p w14:paraId="3417ED6A">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w:t>
                  </w:r>
                </w:p>
              </w:tc>
              <w:tc>
                <w:tcPr>
                  <w:tcW w:w="1027" w:type="dxa"/>
                  <w:noWrap w:val="0"/>
                  <w:vAlign w:val="center"/>
                </w:tcPr>
                <w:p w14:paraId="23DE165B">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3kw×2</w:t>
                  </w:r>
                </w:p>
              </w:tc>
              <w:tc>
                <w:tcPr>
                  <w:tcW w:w="2083" w:type="dxa"/>
                  <w:noWrap w:val="0"/>
                  <w:vAlign w:val="center"/>
                </w:tcPr>
                <w:p w14:paraId="78369D8F">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Y100L-6</w:t>
                  </w:r>
                </w:p>
              </w:tc>
            </w:tr>
            <w:tr w14:paraId="165D6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55" w:type="dxa"/>
                  <w:vMerge w:val="continue"/>
                  <w:noWrap w:val="0"/>
                  <w:vAlign w:val="center"/>
                </w:tcPr>
                <w:p w14:paraId="6B0A2408">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381" w:type="dxa"/>
                  <w:noWrap w:val="0"/>
                  <w:vAlign w:val="center"/>
                </w:tcPr>
                <w:p w14:paraId="35A73B48">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6</w:t>
                  </w:r>
                </w:p>
              </w:tc>
              <w:tc>
                <w:tcPr>
                  <w:tcW w:w="1500" w:type="dxa"/>
                  <w:noWrap w:val="0"/>
                  <w:vAlign w:val="center"/>
                </w:tcPr>
                <w:p w14:paraId="07396B4E">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拉板机</w:t>
                  </w:r>
                </w:p>
              </w:tc>
              <w:tc>
                <w:tcPr>
                  <w:tcW w:w="1648" w:type="dxa"/>
                  <w:noWrap w:val="0"/>
                  <w:vAlign w:val="center"/>
                </w:tcPr>
                <w:p w14:paraId="663B4D56">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500×600</w:t>
                  </w:r>
                </w:p>
              </w:tc>
              <w:tc>
                <w:tcPr>
                  <w:tcW w:w="704" w:type="dxa"/>
                  <w:noWrap w:val="0"/>
                  <w:vAlign w:val="center"/>
                </w:tcPr>
                <w:p w14:paraId="4C4BF08D">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14</w:t>
                  </w:r>
                </w:p>
              </w:tc>
              <w:tc>
                <w:tcPr>
                  <w:tcW w:w="1027" w:type="dxa"/>
                  <w:noWrap w:val="0"/>
                  <w:vAlign w:val="center"/>
                </w:tcPr>
                <w:p w14:paraId="340BFF00">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1.5kw</w:t>
                  </w:r>
                </w:p>
              </w:tc>
              <w:tc>
                <w:tcPr>
                  <w:tcW w:w="2083" w:type="dxa"/>
                  <w:noWrap w:val="0"/>
                  <w:vAlign w:val="center"/>
                </w:tcPr>
                <w:p w14:paraId="3C89B233">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液压拉板机</w:t>
                  </w:r>
                </w:p>
              </w:tc>
            </w:tr>
            <w:tr w14:paraId="553E8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 w:hRule="atLeast"/>
                <w:jc w:val="center"/>
              </w:trPr>
              <w:tc>
                <w:tcPr>
                  <w:tcW w:w="655" w:type="dxa"/>
                  <w:vMerge w:val="restart"/>
                  <w:noWrap w:val="0"/>
                  <w:vAlign w:val="center"/>
                </w:tcPr>
                <w:p w14:paraId="4C48D954">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煅烧设备</w:t>
                  </w:r>
                </w:p>
              </w:tc>
              <w:tc>
                <w:tcPr>
                  <w:tcW w:w="381" w:type="dxa"/>
                  <w:noWrap w:val="0"/>
                  <w:vAlign w:val="center"/>
                </w:tcPr>
                <w:p w14:paraId="1609FB54">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w:t>
                  </w:r>
                </w:p>
              </w:tc>
              <w:tc>
                <w:tcPr>
                  <w:tcW w:w="1500" w:type="dxa"/>
                  <w:noWrap w:val="0"/>
                  <w:vAlign w:val="center"/>
                </w:tcPr>
                <w:p w14:paraId="11FA4F38">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eastAsia="zh-CN"/>
                    </w:rPr>
                    <w:t>煅烧窑炉</w:t>
                  </w:r>
                </w:p>
              </w:tc>
              <w:tc>
                <w:tcPr>
                  <w:tcW w:w="1648" w:type="dxa"/>
                  <w:noWrap w:val="0"/>
                  <w:vAlign w:val="center"/>
                </w:tcPr>
                <w:p w14:paraId="21027FEA">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6×5.6×18</w:t>
                  </w:r>
                </w:p>
              </w:tc>
              <w:tc>
                <w:tcPr>
                  <w:tcW w:w="704" w:type="dxa"/>
                  <w:noWrap w:val="0"/>
                  <w:vAlign w:val="center"/>
                </w:tcPr>
                <w:p w14:paraId="0D3D2F7D">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4</w:t>
                  </w:r>
                </w:p>
              </w:tc>
              <w:tc>
                <w:tcPr>
                  <w:tcW w:w="1027" w:type="dxa"/>
                  <w:noWrap w:val="0"/>
                  <w:vAlign w:val="center"/>
                </w:tcPr>
                <w:p w14:paraId="2AE21033">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val="en-US" w:eastAsia="zh-CN"/>
                    </w:rPr>
                    <w:t>总1300kw</w:t>
                  </w:r>
                </w:p>
              </w:tc>
              <w:tc>
                <w:tcPr>
                  <w:tcW w:w="2083" w:type="dxa"/>
                  <w:noWrap w:val="0"/>
                  <w:vAlign w:val="center"/>
                </w:tcPr>
                <w:p w14:paraId="363BCAAE">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val="en-US" w:eastAsia="zh-CN"/>
                    </w:rPr>
                    <w:t>130kw/单窑</w:t>
                  </w:r>
                </w:p>
              </w:tc>
            </w:tr>
            <w:tr w14:paraId="2CCC4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55" w:type="dxa"/>
                  <w:vMerge w:val="continue"/>
                  <w:noWrap w:val="0"/>
                  <w:vAlign w:val="center"/>
                </w:tcPr>
                <w:p w14:paraId="6297F7B8">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381" w:type="dxa"/>
                  <w:noWrap w:val="0"/>
                  <w:vAlign w:val="center"/>
                </w:tcPr>
                <w:p w14:paraId="6ED8B7F5">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w:t>
                  </w:r>
                </w:p>
              </w:tc>
              <w:tc>
                <w:tcPr>
                  <w:tcW w:w="1500" w:type="dxa"/>
                  <w:noWrap w:val="0"/>
                  <w:vAlign w:val="center"/>
                </w:tcPr>
                <w:p w14:paraId="4AF59162">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eastAsia="zh-CN"/>
                    </w:rPr>
                    <w:t>窑炉排烟</w:t>
                  </w:r>
                  <w:r>
                    <w:rPr>
                      <w:rFonts w:hint="default" w:ascii="Times New Roman" w:hAnsi="Times New Roman" w:eastAsia="宋体" w:cs="Times New Roman"/>
                      <w:color w:val="auto"/>
                      <w:sz w:val="21"/>
                      <w:szCs w:val="21"/>
                      <w:highlight w:val="none"/>
                    </w:rPr>
                    <w:t>风机</w:t>
                  </w:r>
                </w:p>
              </w:tc>
              <w:tc>
                <w:tcPr>
                  <w:tcW w:w="1648" w:type="dxa"/>
                  <w:noWrap w:val="0"/>
                  <w:vAlign w:val="center"/>
                </w:tcPr>
                <w:p w14:paraId="567495E2">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Y5-48N</w:t>
                  </w:r>
                  <w:r>
                    <w:rPr>
                      <w:rFonts w:hint="default" w:ascii="Times New Roman" w:hAnsi="Times New Roman" w:eastAsia="宋体" w:cs="Times New Roman"/>
                      <w:color w:val="auto"/>
                      <w:sz w:val="21"/>
                      <w:szCs w:val="21"/>
                      <w:highlight w:val="none"/>
                      <w:vertAlign w:val="subscript"/>
                    </w:rPr>
                    <w:t>0</w:t>
                  </w:r>
                  <w:r>
                    <w:rPr>
                      <w:rFonts w:hint="default" w:ascii="Times New Roman" w:hAnsi="Times New Roman" w:eastAsia="宋体" w:cs="Times New Roman"/>
                      <w:color w:val="auto"/>
                      <w:sz w:val="21"/>
                      <w:szCs w:val="21"/>
                      <w:highlight w:val="none"/>
                    </w:rPr>
                    <w:t>1</w:t>
                  </w:r>
                  <w:r>
                    <w:rPr>
                      <w:rFonts w:hint="default" w:ascii="Times New Roman" w:hAnsi="Times New Roman" w:eastAsia="宋体" w:cs="Times New Roman"/>
                      <w:color w:val="auto"/>
                      <w:sz w:val="21"/>
                      <w:szCs w:val="21"/>
                      <w:highlight w:val="none"/>
                      <w:lang w:val="en-US" w:eastAsia="zh-CN"/>
                    </w:rPr>
                    <w:t>0D</w:t>
                  </w:r>
                  <w:r>
                    <w:rPr>
                      <w:rFonts w:hint="default" w:ascii="Times New Roman" w:hAnsi="Times New Roman" w:eastAsia="宋体" w:cs="Times New Roman"/>
                      <w:color w:val="auto"/>
                      <w:sz w:val="21"/>
                      <w:szCs w:val="21"/>
                      <w:highlight w:val="none"/>
                    </w:rPr>
                    <w:t>左90</w:t>
                  </w:r>
                  <w:r>
                    <w:rPr>
                      <w:rFonts w:hint="default" w:ascii="Times New Roman" w:hAnsi="Times New Roman" w:eastAsia="宋体" w:cs="Times New Roman"/>
                      <w:color w:val="auto"/>
                      <w:sz w:val="21"/>
                      <w:szCs w:val="21"/>
                      <w:highlight w:val="none"/>
                      <w:vertAlign w:val="superscript"/>
                    </w:rPr>
                    <w:t>0</w:t>
                  </w:r>
                </w:p>
              </w:tc>
              <w:tc>
                <w:tcPr>
                  <w:tcW w:w="704" w:type="dxa"/>
                  <w:noWrap w:val="0"/>
                  <w:vAlign w:val="center"/>
                </w:tcPr>
                <w:p w14:paraId="6ECC0771">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4</w:t>
                  </w:r>
                </w:p>
              </w:tc>
              <w:tc>
                <w:tcPr>
                  <w:tcW w:w="1027" w:type="dxa"/>
                  <w:noWrap w:val="0"/>
                  <w:vAlign w:val="center"/>
                </w:tcPr>
                <w:p w14:paraId="4412C80F">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75kw</w:t>
                  </w:r>
                </w:p>
              </w:tc>
              <w:tc>
                <w:tcPr>
                  <w:tcW w:w="2083" w:type="dxa"/>
                  <w:noWrap w:val="0"/>
                  <w:vAlign w:val="center"/>
                </w:tcPr>
                <w:p w14:paraId="75D93BE3">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YVP2-250M-4（变频）</w:t>
                  </w:r>
                </w:p>
              </w:tc>
            </w:tr>
            <w:tr w14:paraId="12341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 w:hRule="atLeast"/>
                <w:jc w:val="center"/>
              </w:trPr>
              <w:tc>
                <w:tcPr>
                  <w:tcW w:w="655" w:type="dxa"/>
                  <w:vMerge w:val="continue"/>
                  <w:noWrap w:val="0"/>
                  <w:vAlign w:val="center"/>
                </w:tcPr>
                <w:p w14:paraId="2C38ACCC">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381" w:type="dxa"/>
                  <w:noWrap w:val="0"/>
                  <w:vAlign w:val="center"/>
                </w:tcPr>
                <w:p w14:paraId="57590C2A">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3</w:t>
                  </w:r>
                </w:p>
              </w:tc>
              <w:tc>
                <w:tcPr>
                  <w:tcW w:w="1500" w:type="dxa"/>
                  <w:noWrap w:val="0"/>
                  <w:vAlign w:val="center"/>
                </w:tcPr>
                <w:p w14:paraId="6E2423C8">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eastAsia="zh-CN"/>
                    </w:rPr>
                    <w:t>窑炉助燃风机</w:t>
                  </w:r>
                </w:p>
              </w:tc>
              <w:tc>
                <w:tcPr>
                  <w:tcW w:w="1648" w:type="dxa"/>
                  <w:noWrap w:val="0"/>
                  <w:vAlign w:val="center"/>
                </w:tcPr>
                <w:p w14:paraId="2E16DF5D">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Y9-26N08D左90</w:t>
                  </w:r>
                </w:p>
              </w:tc>
              <w:tc>
                <w:tcPr>
                  <w:tcW w:w="704" w:type="dxa"/>
                  <w:noWrap w:val="0"/>
                  <w:vAlign w:val="center"/>
                </w:tcPr>
                <w:p w14:paraId="3F0EC6D4">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4</w:t>
                  </w:r>
                </w:p>
              </w:tc>
              <w:tc>
                <w:tcPr>
                  <w:tcW w:w="1027" w:type="dxa"/>
                  <w:noWrap w:val="0"/>
                  <w:vAlign w:val="center"/>
                </w:tcPr>
                <w:p w14:paraId="3B656078">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22kw</w:t>
                  </w:r>
                </w:p>
              </w:tc>
              <w:tc>
                <w:tcPr>
                  <w:tcW w:w="2083" w:type="dxa"/>
                  <w:noWrap w:val="0"/>
                  <w:vAlign w:val="center"/>
                </w:tcPr>
                <w:p w14:paraId="37711CBE">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YVP2-180L-4（变频）</w:t>
                  </w:r>
                </w:p>
              </w:tc>
            </w:tr>
            <w:tr w14:paraId="17800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55" w:type="dxa"/>
                  <w:vMerge w:val="continue"/>
                  <w:noWrap w:val="0"/>
                  <w:vAlign w:val="center"/>
                </w:tcPr>
                <w:p w14:paraId="102CE85F">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381" w:type="dxa"/>
                  <w:noWrap w:val="0"/>
                  <w:vAlign w:val="center"/>
                </w:tcPr>
                <w:p w14:paraId="4F54F6B9">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4</w:t>
                  </w:r>
                </w:p>
              </w:tc>
              <w:tc>
                <w:tcPr>
                  <w:tcW w:w="1500" w:type="dxa"/>
                  <w:noWrap w:val="0"/>
                  <w:vAlign w:val="center"/>
                </w:tcPr>
                <w:p w14:paraId="41B753B6">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eastAsia="zh-CN"/>
                    </w:rPr>
                    <w:t>窑炉冷却</w:t>
                  </w:r>
                  <w:r>
                    <w:rPr>
                      <w:rFonts w:hint="default" w:ascii="Times New Roman" w:hAnsi="Times New Roman" w:eastAsia="宋体" w:cs="Times New Roman"/>
                      <w:color w:val="auto"/>
                      <w:sz w:val="21"/>
                      <w:szCs w:val="21"/>
                      <w:highlight w:val="none"/>
                    </w:rPr>
                    <w:t>风机</w:t>
                  </w:r>
                </w:p>
              </w:tc>
              <w:tc>
                <w:tcPr>
                  <w:tcW w:w="1648" w:type="dxa"/>
                  <w:noWrap w:val="0"/>
                  <w:vAlign w:val="center"/>
                </w:tcPr>
                <w:p w14:paraId="77273C6C">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4-707A左</w:t>
                  </w:r>
                  <w:r>
                    <w:rPr>
                      <w:rFonts w:hint="default" w:ascii="Times New Roman" w:hAnsi="Times New Roman" w:eastAsia="宋体" w:cs="Times New Roman"/>
                      <w:color w:val="auto"/>
                      <w:sz w:val="21"/>
                      <w:szCs w:val="21"/>
                      <w:highlight w:val="none"/>
                      <w:lang w:val="en-US" w:eastAsia="zh-CN"/>
                    </w:rPr>
                    <w:t>90</w:t>
                  </w:r>
                  <w:r>
                    <w:rPr>
                      <w:rFonts w:hint="default" w:ascii="Times New Roman" w:hAnsi="Times New Roman" w:eastAsia="宋体" w:cs="Times New Roman"/>
                      <w:color w:val="auto"/>
                      <w:sz w:val="21"/>
                      <w:szCs w:val="21"/>
                      <w:highlight w:val="none"/>
                      <w:vertAlign w:val="superscript"/>
                    </w:rPr>
                    <w:t>0</w:t>
                  </w:r>
                </w:p>
              </w:tc>
              <w:tc>
                <w:tcPr>
                  <w:tcW w:w="704" w:type="dxa"/>
                  <w:noWrap w:val="0"/>
                  <w:vAlign w:val="center"/>
                </w:tcPr>
                <w:p w14:paraId="58915440">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4</w:t>
                  </w:r>
                </w:p>
              </w:tc>
              <w:tc>
                <w:tcPr>
                  <w:tcW w:w="1027" w:type="dxa"/>
                  <w:noWrap w:val="0"/>
                  <w:vAlign w:val="center"/>
                </w:tcPr>
                <w:p w14:paraId="23897EEB">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7.5kw</w:t>
                  </w:r>
                </w:p>
              </w:tc>
              <w:tc>
                <w:tcPr>
                  <w:tcW w:w="2083" w:type="dxa"/>
                  <w:noWrap w:val="0"/>
                  <w:vAlign w:val="center"/>
                </w:tcPr>
                <w:p w14:paraId="70A85E89">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Y132S2-4</w:t>
                  </w:r>
                </w:p>
              </w:tc>
            </w:tr>
            <w:tr w14:paraId="4C61F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55" w:type="dxa"/>
                  <w:vMerge w:val="restart"/>
                  <w:noWrap w:val="0"/>
                  <w:vAlign w:val="center"/>
                </w:tcPr>
                <w:p w14:paraId="452B5C38">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出料拣选设备</w:t>
                  </w:r>
                </w:p>
              </w:tc>
              <w:tc>
                <w:tcPr>
                  <w:tcW w:w="381" w:type="dxa"/>
                  <w:noWrap w:val="0"/>
                  <w:vAlign w:val="center"/>
                </w:tcPr>
                <w:p w14:paraId="69925D58">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w:t>
                  </w:r>
                </w:p>
              </w:tc>
              <w:tc>
                <w:tcPr>
                  <w:tcW w:w="1500" w:type="dxa"/>
                  <w:noWrap w:val="0"/>
                  <w:vAlign w:val="center"/>
                </w:tcPr>
                <w:p w14:paraId="18D6C359">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窑炉出料机</w:t>
                  </w:r>
                </w:p>
              </w:tc>
              <w:tc>
                <w:tcPr>
                  <w:tcW w:w="1648" w:type="dxa"/>
                  <w:noWrap w:val="0"/>
                  <w:vAlign w:val="center"/>
                </w:tcPr>
                <w:p w14:paraId="56364E15">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1900×1200</w:t>
                  </w:r>
                </w:p>
              </w:tc>
              <w:tc>
                <w:tcPr>
                  <w:tcW w:w="704" w:type="dxa"/>
                  <w:noWrap w:val="0"/>
                  <w:vAlign w:val="center"/>
                </w:tcPr>
                <w:p w14:paraId="7B8C45E7">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10</w:t>
                  </w:r>
                </w:p>
              </w:tc>
              <w:tc>
                <w:tcPr>
                  <w:tcW w:w="1027" w:type="dxa"/>
                  <w:noWrap w:val="0"/>
                  <w:vAlign w:val="center"/>
                </w:tcPr>
                <w:p w14:paraId="400320CA">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5.5kw</w:t>
                  </w:r>
                </w:p>
              </w:tc>
              <w:tc>
                <w:tcPr>
                  <w:tcW w:w="2083" w:type="dxa"/>
                  <w:noWrap w:val="0"/>
                  <w:vAlign w:val="center"/>
                </w:tcPr>
                <w:p w14:paraId="2515DC66">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Y132S-1-4</w:t>
                  </w:r>
                </w:p>
              </w:tc>
            </w:tr>
            <w:tr w14:paraId="396C8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55" w:type="dxa"/>
                  <w:vMerge w:val="continue"/>
                  <w:noWrap w:val="0"/>
                  <w:vAlign w:val="center"/>
                </w:tcPr>
                <w:p w14:paraId="05C14B91">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381" w:type="dxa"/>
                  <w:noWrap w:val="0"/>
                  <w:vAlign w:val="center"/>
                </w:tcPr>
                <w:p w14:paraId="4F6C1099">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w:t>
                  </w:r>
                </w:p>
              </w:tc>
              <w:tc>
                <w:tcPr>
                  <w:tcW w:w="1500" w:type="dxa"/>
                  <w:noWrap w:val="0"/>
                  <w:vAlign w:val="center"/>
                </w:tcPr>
                <w:p w14:paraId="2E9F4503">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电磁给料机</w:t>
                  </w:r>
                </w:p>
              </w:tc>
              <w:tc>
                <w:tcPr>
                  <w:tcW w:w="1648" w:type="dxa"/>
                  <w:noWrap w:val="0"/>
                  <w:vAlign w:val="center"/>
                </w:tcPr>
                <w:p w14:paraId="6673246B">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400</w:t>
                  </w:r>
                </w:p>
              </w:tc>
              <w:tc>
                <w:tcPr>
                  <w:tcW w:w="704" w:type="dxa"/>
                  <w:noWrap w:val="0"/>
                  <w:vAlign w:val="center"/>
                </w:tcPr>
                <w:p w14:paraId="792ACA57">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20</w:t>
                  </w:r>
                </w:p>
              </w:tc>
              <w:tc>
                <w:tcPr>
                  <w:tcW w:w="1027" w:type="dxa"/>
                  <w:noWrap w:val="0"/>
                  <w:vAlign w:val="center"/>
                </w:tcPr>
                <w:p w14:paraId="4E39AD33">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2kw</w:t>
                  </w:r>
                </w:p>
              </w:tc>
              <w:tc>
                <w:tcPr>
                  <w:tcW w:w="2083" w:type="dxa"/>
                  <w:noWrap w:val="0"/>
                  <w:vAlign w:val="center"/>
                </w:tcPr>
                <w:p w14:paraId="690629C5">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电磁振动器</w:t>
                  </w:r>
                </w:p>
              </w:tc>
            </w:tr>
            <w:tr w14:paraId="605EB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55" w:type="dxa"/>
                  <w:vMerge w:val="continue"/>
                  <w:noWrap w:val="0"/>
                  <w:vAlign w:val="center"/>
                </w:tcPr>
                <w:p w14:paraId="071677DF">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381" w:type="dxa"/>
                  <w:noWrap w:val="0"/>
                  <w:vAlign w:val="center"/>
                </w:tcPr>
                <w:p w14:paraId="508CF1C6">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3</w:t>
                  </w:r>
                </w:p>
              </w:tc>
              <w:tc>
                <w:tcPr>
                  <w:tcW w:w="1500" w:type="dxa"/>
                  <w:noWrap w:val="0"/>
                  <w:vAlign w:val="center"/>
                </w:tcPr>
                <w:p w14:paraId="570A9814">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eastAsia="zh-CN"/>
                    </w:rPr>
                    <w:t>熟料皮带机</w:t>
                  </w:r>
                </w:p>
              </w:tc>
              <w:tc>
                <w:tcPr>
                  <w:tcW w:w="1648" w:type="dxa"/>
                  <w:noWrap w:val="0"/>
                  <w:vAlign w:val="center"/>
                </w:tcPr>
                <w:p w14:paraId="349825C9">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B1000L=20</w:t>
                  </w:r>
                  <w:r>
                    <w:rPr>
                      <w:rFonts w:hint="eastAsia" w:ascii="Times New Roman" w:hAnsi="Times New Roman" w:eastAsia="宋体" w:cs="Times New Roman"/>
                      <w:color w:val="auto"/>
                      <w:sz w:val="21"/>
                      <w:szCs w:val="21"/>
                      <w:highlight w:val="none"/>
                      <w:lang w:val="en-US" w:eastAsia="zh-CN"/>
                    </w:rPr>
                    <w:t>m</w:t>
                  </w:r>
                </w:p>
              </w:tc>
              <w:tc>
                <w:tcPr>
                  <w:tcW w:w="704" w:type="dxa"/>
                  <w:noWrap w:val="0"/>
                  <w:vAlign w:val="center"/>
                </w:tcPr>
                <w:p w14:paraId="06864EAF">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w:t>
                  </w:r>
                </w:p>
              </w:tc>
              <w:tc>
                <w:tcPr>
                  <w:tcW w:w="1027" w:type="dxa"/>
                  <w:noWrap w:val="0"/>
                  <w:vAlign w:val="center"/>
                </w:tcPr>
                <w:p w14:paraId="43FC365C">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18.5kw</w:t>
                  </w:r>
                </w:p>
              </w:tc>
              <w:tc>
                <w:tcPr>
                  <w:tcW w:w="2083" w:type="dxa"/>
                  <w:noWrap w:val="0"/>
                  <w:vAlign w:val="center"/>
                </w:tcPr>
                <w:p w14:paraId="7A3521EF">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Y160L-4</w:t>
                  </w:r>
                </w:p>
              </w:tc>
            </w:tr>
            <w:tr w14:paraId="16096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55" w:type="dxa"/>
                  <w:vMerge w:val="continue"/>
                  <w:noWrap w:val="0"/>
                  <w:vAlign w:val="center"/>
                </w:tcPr>
                <w:p w14:paraId="6FD8C419">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381" w:type="dxa"/>
                  <w:noWrap w:val="0"/>
                  <w:vAlign w:val="center"/>
                </w:tcPr>
                <w:p w14:paraId="77D5C8EB">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4</w:t>
                  </w:r>
                </w:p>
              </w:tc>
              <w:tc>
                <w:tcPr>
                  <w:tcW w:w="1500" w:type="dxa"/>
                  <w:noWrap w:val="0"/>
                  <w:vAlign w:val="center"/>
                </w:tcPr>
                <w:p w14:paraId="42304480">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eastAsia="zh-CN"/>
                    </w:rPr>
                    <w:t>熟料倾角皮带机</w:t>
                  </w:r>
                </w:p>
              </w:tc>
              <w:tc>
                <w:tcPr>
                  <w:tcW w:w="1648" w:type="dxa"/>
                  <w:noWrap w:val="0"/>
                  <w:vAlign w:val="center"/>
                </w:tcPr>
                <w:p w14:paraId="5F407865">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B600L=18</w:t>
                  </w:r>
                  <w:r>
                    <w:rPr>
                      <w:rFonts w:hint="eastAsia" w:cs="Times New Roman"/>
                      <w:color w:val="auto"/>
                      <w:sz w:val="21"/>
                      <w:szCs w:val="21"/>
                      <w:highlight w:val="none"/>
                      <w:lang w:val="en-US" w:eastAsia="zh-CN"/>
                    </w:rPr>
                    <w:t>m</w:t>
                  </w:r>
                </w:p>
              </w:tc>
              <w:tc>
                <w:tcPr>
                  <w:tcW w:w="704" w:type="dxa"/>
                  <w:noWrap w:val="0"/>
                  <w:vAlign w:val="center"/>
                </w:tcPr>
                <w:p w14:paraId="2A3D752A">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w:t>
                  </w:r>
                </w:p>
              </w:tc>
              <w:tc>
                <w:tcPr>
                  <w:tcW w:w="1027" w:type="dxa"/>
                  <w:noWrap w:val="0"/>
                  <w:vAlign w:val="center"/>
                </w:tcPr>
                <w:p w14:paraId="5EDD949F">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18.5kw</w:t>
                  </w:r>
                </w:p>
              </w:tc>
              <w:tc>
                <w:tcPr>
                  <w:tcW w:w="2083" w:type="dxa"/>
                  <w:noWrap w:val="0"/>
                  <w:vAlign w:val="center"/>
                </w:tcPr>
                <w:p w14:paraId="0A52ABCA">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Y160L-4</w:t>
                  </w:r>
                </w:p>
              </w:tc>
            </w:tr>
            <w:tr w14:paraId="433D9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55" w:type="dxa"/>
                  <w:vMerge w:val="restart"/>
                  <w:noWrap w:val="0"/>
                  <w:vAlign w:val="center"/>
                </w:tcPr>
                <w:p w14:paraId="198B96AD">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环保设备</w:t>
                  </w:r>
                </w:p>
                <w:p w14:paraId="006F0C39">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381" w:type="dxa"/>
                  <w:noWrap w:val="0"/>
                  <w:vAlign w:val="center"/>
                </w:tcPr>
                <w:p w14:paraId="0B2BC27B">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1</w:t>
                  </w:r>
                </w:p>
              </w:tc>
              <w:tc>
                <w:tcPr>
                  <w:tcW w:w="1500" w:type="dxa"/>
                  <w:noWrap w:val="0"/>
                  <w:vAlign w:val="center"/>
                </w:tcPr>
                <w:p w14:paraId="429F8C22">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压风机</w:t>
                  </w:r>
                </w:p>
              </w:tc>
              <w:tc>
                <w:tcPr>
                  <w:tcW w:w="1648" w:type="dxa"/>
                  <w:noWrap w:val="0"/>
                  <w:vAlign w:val="center"/>
                </w:tcPr>
                <w:p w14:paraId="32632D61">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83cm×75cm×16cm</w:t>
                  </w:r>
                </w:p>
              </w:tc>
              <w:tc>
                <w:tcPr>
                  <w:tcW w:w="704" w:type="dxa"/>
                  <w:noWrap w:val="0"/>
                  <w:vAlign w:val="center"/>
                </w:tcPr>
                <w:p w14:paraId="3D64B1CC">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w:t>
                  </w:r>
                </w:p>
              </w:tc>
              <w:tc>
                <w:tcPr>
                  <w:tcW w:w="1027" w:type="dxa"/>
                  <w:noWrap w:val="0"/>
                  <w:vAlign w:val="center"/>
                </w:tcPr>
                <w:p w14:paraId="31C0A594">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22kw</w:t>
                  </w:r>
                </w:p>
              </w:tc>
              <w:tc>
                <w:tcPr>
                  <w:tcW w:w="2083" w:type="dxa"/>
                  <w:noWrap w:val="0"/>
                  <w:vAlign w:val="center"/>
                </w:tcPr>
                <w:p w14:paraId="1EE84147">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永磁变频螺杆式空压机</w:t>
                  </w:r>
                </w:p>
              </w:tc>
            </w:tr>
            <w:tr w14:paraId="30881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55" w:type="dxa"/>
                  <w:vMerge w:val="continue"/>
                  <w:noWrap w:val="0"/>
                  <w:vAlign w:val="center"/>
                </w:tcPr>
                <w:p w14:paraId="306B80EA">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381" w:type="dxa"/>
                  <w:noWrap w:val="0"/>
                  <w:vAlign w:val="center"/>
                </w:tcPr>
                <w:p w14:paraId="684758AB">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2</w:t>
                  </w:r>
                </w:p>
              </w:tc>
              <w:tc>
                <w:tcPr>
                  <w:tcW w:w="1500" w:type="dxa"/>
                  <w:noWrap w:val="0"/>
                  <w:vAlign w:val="center"/>
                </w:tcPr>
                <w:p w14:paraId="32D9EA0B">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袋式除尘器</w:t>
                  </w:r>
                </w:p>
              </w:tc>
              <w:tc>
                <w:tcPr>
                  <w:tcW w:w="1648" w:type="dxa"/>
                  <w:noWrap w:val="0"/>
                  <w:vAlign w:val="center"/>
                </w:tcPr>
                <w:p w14:paraId="3E3CF4B9">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Q=20000立方/小时</w:t>
                  </w:r>
                </w:p>
              </w:tc>
              <w:tc>
                <w:tcPr>
                  <w:tcW w:w="704" w:type="dxa"/>
                  <w:noWrap w:val="0"/>
                  <w:vAlign w:val="center"/>
                </w:tcPr>
                <w:p w14:paraId="7F88F03D">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2</w:t>
                  </w:r>
                </w:p>
              </w:tc>
              <w:tc>
                <w:tcPr>
                  <w:tcW w:w="1027" w:type="dxa"/>
                  <w:noWrap w:val="0"/>
                  <w:vAlign w:val="center"/>
                </w:tcPr>
                <w:p w14:paraId="74486D87">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18.5kw</w:t>
                  </w:r>
                </w:p>
              </w:tc>
              <w:tc>
                <w:tcPr>
                  <w:tcW w:w="2083" w:type="dxa"/>
                  <w:noWrap w:val="0"/>
                  <w:vAlign w:val="center"/>
                </w:tcPr>
                <w:p w14:paraId="7CC12026">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1用1备</w:t>
                  </w:r>
                </w:p>
              </w:tc>
            </w:tr>
            <w:tr w14:paraId="5047C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655" w:type="dxa"/>
                  <w:vMerge w:val="continue"/>
                  <w:noWrap w:val="0"/>
                  <w:vAlign w:val="center"/>
                </w:tcPr>
                <w:p w14:paraId="3076630F">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381" w:type="dxa"/>
                  <w:noWrap w:val="0"/>
                  <w:vAlign w:val="center"/>
                </w:tcPr>
                <w:p w14:paraId="72F07648">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3</w:t>
                  </w:r>
                </w:p>
              </w:tc>
              <w:tc>
                <w:tcPr>
                  <w:tcW w:w="1500" w:type="dxa"/>
                  <w:noWrap w:val="0"/>
                  <w:vAlign w:val="center"/>
                </w:tcPr>
                <w:p w14:paraId="3F665720">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引风机</w:t>
                  </w:r>
                </w:p>
              </w:tc>
              <w:tc>
                <w:tcPr>
                  <w:tcW w:w="1648" w:type="dxa"/>
                  <w:noWrap w:val="0"/>
                  <w:vAlign w:val="center"/>
                </w:tcPr>
                <w:p w14:paraId="0893C425">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4-70</w:t>
                  </w:r>
                  <w:r>
                    <w:rPr>
                      <w:rFonts w:hint="default" w:ascii="Times New Roman" w:hAnsi="Times New Roman" w:eastAsia="宋体" w:cs="Times New Roman"/>
                      <w:color w:val="auto"/>
                      <w:sz w:val="21"/>
                      <w:szCs w:val="21"/>
                      <w:highlight w:val="none"/>
                      <w:lang w:val="en-US" w:eastAsia="zh-CN"/>
                    </w:rPr>
                    <w:t>10</w:t>
                  </w:r>
                  <w:r>
                    <w:rPr>
                      <w:rFonts w:hint="default" w:ascii="Times New Roman" w:hAnsi="Times New Roman" w:eastAsia="宋体" w:cs="Times New Roman"/>
                      <w:color w:val="auto"/>
                      <w:sz w:val="21"/>
                      <w:szCs w:val="21"/>
                      <w:highlight w:val="none"/>
                    </w:rPr>
                    <w:t>A</w:t>
                  </w:r>
                  <w:r>
                    <w:rPr>
                      <w:rFonts w:hint="default" w:ascii="Times New Roman" w:hAnsi="Times New Roman" w:eastAsia="宋体" w:cs="Times New Roman"/>
                      <w:color w:val="auto"/>
                      <w:sz w:val="21"/>
                      <w:szCs w:val="21"/>
                      <w:highlight w:val="none"/>
                      <w:lang w:val="en-US" w:eastAsia="zh-CN"/>
                    </w:rPr>
                    <w:t>D</w:t>
                  </w:r>
                  <w:r>
                    <w:rPr>
                      <w:rFonts w:hint="default" w:ascii="Times New Roman" w:hAnsi="Times New Roman" w:eastAsia="宋体" w:cs="Times New Roman"/>
                      <w:color w:val="auto"/>
                      <w:sz w:val="21"/>
                      <w:szCs w:val="21"/>
                      <w:highlight w:val="none"/>
                    </w:rPr>
                    <w:t>左</w:t>
                  </w:r>
                  <w:r>
                    <w:rPr>
                      <w:rFonts w:hint="default" w:ascii="Times New Roman" w:hAnsi="Times New Roman" w:eastAsia="宋体" w:cs="Times New Roman"/>
                      <w:color w:val="auto"/>
                      <w:sz w:val="21"/>
                      <w:szCs w:val="21"/>
                      <w:highlight w:val="none"/>
                      <w:lang w:val="en-US" w:eastAsia="zh-CN"/>
                    </w:rPr>
                    <w:t>90</w:t>
                  </w:r>
                  <w:r>
                    <w:rPr>
                      <w:rFonts w:hint="default" w:ascii="Times New Roman" w:hAnsi="Times New Roman" w:eastAsia="宋体" w:cs="Times New Roman"/>
                      <w:color w:val="auto"/>
                      <w:sz w:val="21"/>
                      <w:szCs w:val="21"/>
                      <w:highlight w:val="none"/>
                      <w:vertAlign w:val="superscript"/>
                    </w:rPr>
                    <w:t>0</w:t>
                  </w:r>
                </w:p>
              </w:tc>
              <w:tc>
                <w:tcPr>
                  <w:tcW w:w="704" w:type="dxa"/>
                  <w:noWrap w:val="0"/>
                  <w:vAlign w:val="center"/>
                </w:tcPr>
                <w:p w14:paraId="4495FB9D">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2</w:t>
                  </w:r>
                </w:p>
              </w:tc>
              <w:tc>
                <w:tcPr>
                  <w:tcW w:w="1027" w:type="dxa"/>
                  <w:noWrap w:val="0"/>
                  <w:vAlign w:val="center"/>
                </w:tcPr>
                <w:p w14:paraId="349C74C1">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37kw</w:t>
                  </w:r>
                </w:p>
              </w:tc>
              <w:tc>
                <w:tcPr>
                  <w:tcW w:w="2083" w:type="dxa"/>
                  <w:noWrap w:val="0"/>
                  <w:vAlign w:val="center"/>
                </w:tcPr>
                <w:p w14:paraId="287B1612">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134.5kw</w:t>
                  </w:r>
                  <w:r>
                    <w:rPr>
                      <w:rFonts w:hint="eastAsia" w:cs="Times New Roman"/>
                      <w:color w:val="auto"/>
                      <w:kern w:val="2"/>
                      <w:sz w:val="21"/>
                      <w:szCs w:val="21"/>
                      <w:highlight w:val="none"/>
                      <w:lang w:val="en-US" w:eastAsia="zh-CN" w:bidi="ar-SA"/>
                    </w:rPr>
                    <w:t>（</w:t>
                  </w:r>
                  <w:r>
                    <w:rPr>
                      <w:rFonts w:hint="default" w:ascii="Times New Roman" w:hAnsi="Times New Roman" w:eastAsia="宋体" w:cs="Times New Roman"/>
                      <w:color w:val="auto"/>
                      <w:kern w:val="2"/>
                      <w:sz w:val="21"/>
                      <w:szCs w:val="21"/>
                      <w:highlight w:val="none"/>
                      <w:lang w:val="en-US" w:eastAsia="zh-CN" w:bidi="ar-SA"/>
                    </w:rPr>
                    <w:t>环保总装机）</w:t>
                  </w:r>
                </w:p>
              </w:tc>
            </w:tr>
            <w:tr w14:paraId="12120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55" w:type="dxa"/>
                  <w:vMerge w:val="continue"/>
                  <w:noWrap w:val="0"/>
                  <w:vAlign w:val="center"/>
                </w:tcPr>
                <w:p w14:paraId="06D388DE">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381" w:type="dxa"/>
                  <w:noWrap w:val="0"/>
                  <w:vAlign w:val="center"/>
                </w:tcPr>
                <w:p w14:paraId="7006F93C">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4</w:t>
                  </w:r>
                </w:p>
              </w:tc>
              <w:tc>
                <w:tcPr>
                  <w:tcW w:w="1500" w:type="dxa"/>
                  <w:noWrap w:val="0"/>
                  <w:vAlign w:val="center"/>
                </w:tcPr>
                <w:p w14:paraId="28AE6687">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烧嘴</w:t>
                  </w:r>
                </w:p>
              </w:tc>
              <w:tc>
                <w:tcPr>
                  <w:tcW w:w="1648" w:type="dxa"/>
                  <w:noWrap w:val="0"/>
                  <w:vAlign w:val="center"/>
                </w:tcPr>
                <w:p w14:paraId="2905B0D2">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25万大卡</w:t>
                  </w:r>
                </w:p>
              </w:tc>
              <w:tc>
                <w:tcPr>
                  <w:tcW w:w="704" w:type="dxa"/>
                  <w:noWrap w:val="0"/>
                  <w:vAlign w:val="center"/>
                </w:tcPr>
                <w:p w14:paraId="2459A45B">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60</w:t>
                  </w:r>
                </w:p>
              </w:tc>
              <w:tc>
                <w:tcPr>
                  <w:tcW w:w="1027" w:type="dxa"/>
                  <w:noWrap w:val="0"/>
                  <w:vAlign w:val="center"/>
                </w:tcPr>
                <w:p w14:paraId="08703C86">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w:t>
                  </w:r>
                </w:p>
              </w:tc>
              <w:tc>
                <w:tcPr>
                  <w:tcW w:w="2083" w:type="dxa"/>
                  <w:noWrap w:val="0"/>
                  <w:vAlign w:val="center"/>
                </w:tcPr>
                <w:p w14:paraId="5FBD12A9">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w:t>
                  </w:r>
                </w:p>
              </w:tc>
            </w:tr>
            <w:tr w14:paraId="28DC5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55" w:type="dxa"/>
                  <w:vMerge w:val="continue"/>
                  <w:noWrap w:val="0"/>
                  <w:vAlign w:val="center"/>
                </w:tcPr>
                <w:p w14:paraId="09BDAA00">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381" w:type="dxa"/>
                  <w:noWrap w:val="0"/>
                  <w:vAlign w:val="center"/>
                </w:tcPr>
                <w:p w14:paraId="4D156306">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5</w:t>
                  </w:r>
                </w:p>
              </w:tc>
              <w:tc>
                <w:tcPr>
                  <w:tcW w:w="1500" w:type="dxa"/>
                  <w:noWrap w:val="0"/>
                  <w:vAlign w:val="center"/>
                </w:tcPr>
                <w:p w14:paraId="0320229B">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脱硫塔</w:t>
                  </w:r>
                </w:p>
              </w:tc>
              <w:tc>
                <w:tcPr>
                  <w:tcW w:w="1648" w:type="dxa"/>
                  <w:noWrap w:val="0"/>
                  <w:vAlign w:val="center"/>
                </w:tcPr>
                <w:p w14:paraId="078E41CC">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6万风量</w:t>
                  </w:r>
                </w:p>
              </w:tc>
              <w:tc>
                <w:tcPr>
                  <w:tcW w:w="704" w:type="dxa"/>
                  <w:noWrap w:val="0"/>
                  <w:vAlign w:val="center"/>
                </w:tcPr>
                <w:p w14:paraId="342D2205">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3</w:t>
                  </w:r>
                </w:p>
              </w:tc>
              <w:tc>
                <w:tcPr>
                  <w:tcW w:w="1027" w:type="dxa"/>
                  <w:noWrap w:val="0"/>
                  <w:vAlign w:val="center"/>
                </w:tcPr>
                <w:p w14:paraId="5F6141A8">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w:t>
                  </w:r>
                </w:p>
              </w:tc>
              <w:tc>
                <w:tcPr>
                  <w:tcW w:w="2083" w:type="dxa"/>
                  <w:noWrap w:val="0"/>
                  <w:vAlign w:val="center"/>
                </w:tcPr>
                <w:p w14:paraId="094ADE2F">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w:t>
                  </w:r>
                </w:p>
              </w:tc>
            </w:tr>
            <w:tr w14:paraId="75CCA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55" w:type="dxa"/>
                  <w:vMerge w:val="continue"/>
                  <w:noWrap w:val="0"/>
                  <w:vAlign w:val="center"/>
                </w:tcPr>
                <w:p w14:paraId="06C5FC9A">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381" w:type="dxa"/>
                  <w:noWrap w:val="0"/>
                  <w:vAlign w:val="center"/>
                </w:tcPr>
                <w:p w14:paraId="70808E76">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6</w:t>
                  </w:r>
                </w:p>
              </w:tc>
              <w:tc>
                <w:tcPr>
                  <w:tcW w:w="1500" w:type="dxa"/>
                  <w:noWrap w:val="0"/>
                  <w:vAlign w:val="center"/>
                </w:tcPr>
                <w:p w14:paraId="109FFA33">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脱硝设备</w:t>
                  </w:r>
                </w:p>
              </w:tc>
              <w:tc>
                <w:tcPr>
                  <w:tcW w:w="1648" w:type="dxa"/>
                  <w:noWrap w:val="0"/>
                  <w:vAlign w:val="center"/>
                </w:tcPr>
                <w:p w14:paraId="07C61EDD">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7.5千瓦双喷</w:t>
                  </w:r>
                </w:p>
              </w:tc>
              <w:tc>
                <w:tcPr>
                  <w:tcW w:w="704" w:type="dxa"/>
                  <w:noWrap w:val="0"/>
                  <w:vAlign w:val="center"/>
                </w:tcPr>
                <w:p w14:paraId="7F1F331B">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3</w:t>
                  </w:r>
                </w:p>
              </w:tc>
              <w:tc>
                <w:tcPr>
                  <w:tcW w:w="1027" w:type="dxa"/>
                  <w:noWrap w:val="0"/>
                  <w:vAlign w:val="center"/>
                </w:tcPr>
                <w:p w14:paraId="5445A818">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w:t>
                  </w:r>
                </w:p>
              </w:tc>
              <w:tc>
                <w:tcPr>
                  <w:tcW w:w="2083" w:type="dxa"/>
                  <w:noWrap w:val="0"/>
                  <w:vAlign w:val="center"/>
                </w:tcPr>
                <w:p w14:paraId="2BC08007">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w:t>
                  </w:r>
                </w:p>
              </w:tc>
            </w:tr>
          </w:tbl>
          <w:p w14:paraId="4E7079EB">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3</w:t>
            </w:r>
            <w:r>
              <w:rPr>
                <w:rFonts w:hint="eastAsia" w:cs="Times New Roman"/>
                <w:b/>
                <w:bCs/>
                <w:color w:val="auto"/>
                <w:highlight w:val="none"/>
                <w:lang w:val="en-US" w:eastAsia="zh-CN"/>
              </w:rPr>
              <w:t>.</w:t>
            </w:r>
            <w:r>
              <w:rPr>
                <w:rFonts w:hint="default" w:ascii="Times New Roman" w:hAnsi="Times New Roman" w:cs="Times New Roman"/>
                <w:b/>
                <w:bCs/>
                <w:color w:val="auto"/>
                <w:highlight w:val="none"/>
                <w:lang w:val="en-US" w:eastAsia="zh-CN"/>
              </w:rPr>
              <w:t>原辅材料</w:t>
            </w:r>
          </w:p>
          <w:p w14:paraId="219E6327">
            <w:pPr>
              <w:pStyle w:val="7"/>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本项目使用的主要原辅材料见表2-</w:t>
            </w:r>
            <w:r>
              <w:rPr>
                <w:rFonts w:hint="eastAsia" w:ascii="Times New Roman" w:hAnsi="Times New Roman" w:cs="Times New Roman"/>
                <w:color w:val="auto"/>
                <w:highlight w:val="none"/>
                <w:lang w:val="en-US" w:eastAsia="zh-CN"/>
              </w:rPr>
              <w:t>3</w:t>
            </w:r>
            <w:r>
              <w:rPr>
                <w:rFonts w:hint="default" w:ascii="Times New Roman" w:hAnsi="Times New Roman" w:cs="Times New Roman"/>
                <w:color w:val="auto"/>
                <w:highlight w:val="none"/>
                <w:lang w:val="en-US" w:eastAsia="zh-CN"/>
              </w:rPr>
              <w:t>。</w:t>
            </w:r>
          </w:p>
          <w:p w14:paraId="69B0C0CC">
            <w:pPr>
              <w:pStyle w:val="7"/>
              <w:ind w:left="0" w:leftChars="0" w:firstLine="0" w:firstLineChars="0"/>
              <w:jc w:val="center"/>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表2-</w:t>
            </w:r>
            <w:r>
              <w:rPr>
                <w:rFonts w:hint="eastAsia" w:ascii="Times New Roman" w:hAnsi="Times New Roman" w:cs="Times New Roman"/>
                <w:b/>
                <w:bCs/>
                <w:color w:val="auto"/>
                <w:highlight w:val="none"/>
                <w:lang w:val="en-US" w:eastAsia="zh-CN"/>
              </w:rPr>
              <w:t>3</w:t>
            </w:r>
            <w:r>
              <w:rPr>
                <w:rFonts w:hint="eastAsia" w:cs="Times New Roman"/>
                <w:b/>
                <w:bCs/>
                <w:color w:val="auto"/>
                <w:highlight w:val="none"/>
                <w:lang w:val="en-US" w:eastAsia="zh-CN"/>
              </w:rPr>
              <w:t>：</w:t>
            </w:r>
            <w:r>
              <w:rPr>
                <w:rFonts w:hint="default" w:ascii="Times New Roman" w:hAnsi="Times New Roman" w:cs="Times New Roman"/>
                <w:b/>
                <w:bCs/>
                <w:color w:val="auto"/>
                <w:highlight w:val="none"/>
                <w:lang w:val="en-US" w:eastAsia="zh-CN"/>
              </w:rPr>
              <w:t>项目原辅材料一览表</w:t>
            </w:r>
          </w:p>
          <w:tbl>
            <w:tblPr>
              <w:tblStyle w:val="24"/>
              <w:tblW w:w="78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3"/>
              <w:gridCol w:w="1275"/>
              <w:gridCol w:w="1227"/>
              <w:gridCol w:w="1795"/>
              <w:gridCol w:w="2888"/>
            </w:tblGrid>
            <w:tr w14:paraId="5F443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2" w:hRule="atLeast"/>
              </w:trPr>
              <w:tc>
                <w:tcPr>
                  <w:tcW w:w="713" w:type="dxa"/>
                  <w:noWrap w:val="0"/>
                  <w:vAlign w:val="top"/>
                </w:tcPr>
                <w:p w14:paraId="5500AAFD">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类别</w:t>
                  </w:r>
                </w:p>
              </w:tc>
              <w:tc>
                <w:tcPr>
                  <w:tcW w:w="1275" w:type="dxa"/>
                  <w:noWrap w:val="0"/>
                  <w:vAlign w:val="top"/>
                </w:tcPr>
                <w:p w14:paraId="42EB7088">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名称</w:t>
                  </w:r>
                </w:p>
              </w:tc>
              <w:tc>
                <w:tcPr>
                  <w:tcW w:w="1227" w:type="dxa"/>
                  <w:noWrap w:val="0"/>
                  <w:vAlign w:val="top"/>
                </w:tcPr>
                <w:p w14:paraId="20279A86">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数量</w:t>
                  </w:r>
                </w:p>
              </w:tc>
              <w:tc>
                <w:tcPr>
                  <w:tcW w:w="1795" w:type="dxa"/>
                  <w:noWrap w:val="0"/>
                  <w:vAlign w:val="top"/>
                </w:tcPr>
                <w:p w14:paraId="0C02AF0D">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储存位置</w:t>
                  </w:r>
                </w:p>
              </w:tc>
              <w:tc>
                <w:tcPr>
                  <w:tcW w:w="2888" w:type="dxa"/>
                  <w:noWrap w:val="0"/>
                  <w:vAlign w:val="top"/>
                </w:tcPr>
                <w:p w14:paraId="0B0FCB81">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来源</w:t>
                  </w:r>
                </w:p>
              </w:tc>
            </w:tr>
            <w:tr w14:paraId="1B3FE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713" w:type="dxa"/>
                  <w:noWrap w:val="0"/>
                  <w:vAlign w:val="top"/>
                </w:tcPr>
                <w:p w14:paraId="5C810619">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原料</w:t>
                  </w:r>
                </w:p>
              </w:tc>
              <w:tc>
                <w:tcPr>
                  <w:tcW w:w="1275" w:type="dxa"/>
                  <w:noWrap w:val="0"/>
                  <w:vAlign w:val="top"/>
                </w:tcPr>
                <w:p w14:paraId="3DC8E25F">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煤系高岭土</w:t>
                  </w:r>
                </w:p>
              </w:tc>
              <w:tc>
                <w:tcPr>
                  <w:tcW w:w="1227" w:type="dxa"/>
                  <w:noWrap w:val="0"/>
                  <w:vAlign w:val="top"/>
                </w:tcPr>
                <w:p w14:paraId="08EA1DF4">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25万t/a</w:t>
                  </w:r>
                </w:p>
              </w:tc>
              <w:tc>
                <w:tcPr>
                  <w:tcW w:w="1795" w:type="dxa"/>
                  <w:noWrap w:val="0"/>
                  <w:vAlign w:val="top"/>
                </w:tcPr>
                <w:p w14:paraId="57FD41D8">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原料库</w:t>
                  </w:r>
                </w:p>
              </w:tc>
              <w:tc>
                <w:tcPr>
                  <w:tcW w:w="2888" w:type="dxa"/>
                  <w:noWrap w:val="0"/>
                  <w:vAlign w:val="top"/>
                </w:tcPr>
                <w:p w14:paraId="0D053411">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由距离本项目150km处的</w:t>
                  </w:r>
                  <w:r>
                    <w:rPr>
                      <w:rFonts w:hint="default" w:ascii="Times New Roman" w:hAnsi="Times New Roman" w:eastAsia="宋体" w:cs="Times New Roman"/>
                      <w:color w:val="auto"/>
                      <w:kern w:val="2"/>
                      <w:sz w:val="21"/>
                      <w:szCs w:val="21"/>
                      <w:highlight w:val="none"/>
                      <w:lang w:val="en-US" w:eastAsia="zh-CN" w:bidi="ar-SA"/>
                    </w:rPr>
                    <w:t>鄂托克旗棋盘井安联煤矿</w:t>
                  </w:r>
                  <w:r>
                    <w:rPr>
                      <w:rFonts w:hint="eastAsia"/>
                      <w:color w:val="auto"/>
                      <w:highlight w:val="none"/>
                      <w:lang w:val="en-US" w:eastAsia="zh-CN"/>
                    </w:rPr>
                    <w:t>提供</w:t>
                  </w:r>
                </w:p>
              </w:tc>
            </w:tr>
            <w:tr w14:paraId="7E044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trPr>
              <w:tc>
                <w:tcPr>
                  <w:tcW w:w="713" w:type="dxa"/>
                  <w:vMerge w:val="restart"/>
                  <w:noWrap w:val="0"/>
                  <w:vAlign w:val="top"/>
                </w:tcPr>
                <w:p w14:paraId="08E9694E">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辅料</w:t>
                  </w:r>
                </w:p>
              </w:tc>
              <w:tc>
                <w:tcPr>
                  <w:tcW w:w="1275" w:type="dxa"/>
                  <w:noWrap w:val="0"/>
                  <w:vAlign w:val="top"/>
                </w:tcPr>
                <w:p w14:paraId="769FF653">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氨水（25%）脱硝剂</w:t>
                  </w:r>
                </w:p>
              </w:tc>
              <w:tc>
                <w:tcPr>
                  <w:tcW w:w="1227" w:type="dxa"/>
                  <w:noWrap w:val="0"/>
                  <w:vAlign w:val="top"/>
                </w:tcPr>
                <w:p w14:paraId="246B2ED4">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12.2t/a</w:t>
                  </w:r>
                </w:p>
              </w:tc>
              <w:tc>
                <w:tcPr>
                  <w:tcW w:w="1795" w:type="dxa"/>
                  <w:noWrap w:val="0"/>
                  <w:vAlign w:val="top"/>
                </w:tcPr>
                <w:p w14:paraId="62FF47B6">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氨水储罐（10m³）</w:t>
                  </w:r>
                </w:p>
              </w:tc>
              <w:tc>
                <w:tcPr>
                  <w:tcW w:w="2888" w:type="dxa"/>
                  <w:noWrap w:val="0"/>
                  <w:vAlign w:val="top"/>
                </w:tcPr>
                <w:p w14:paraId="5A3E6CA6">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b/>
                      <w:bCs/>
                      <w:color w:val="auto"/>
                      <w:kern w:val="2"/>
                      <w:sz w:val="21"/>
                      <w:szCs w:val="21"/>
                      <w:highlight w:val="none"/>
                      <w:lang w:val="en-US" w:eastAsia="zh-CN" w:bidi="ar-SA"/>
                    </w:rPr>
                  </w:pPr>
                  <w:r>
                    <w:rPr>
                      <w:rFonts w:hint="eastAsia"/>
                      <w:color w:val="auto"/>
                      <w:highlight w:val="none"/>
                      <w:lang w:val="en-US" w:eastAsia="zh-CN"/>
                    </w:rPr>
                    <w:t>外购</w:t>
                  </w:r>
                </w:p>
              </w:tc>
            </w:tr>
            <w:tr w14:paraId="5069A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13" w:type="dxa"/>
                  <w:vMerge w:val="continue"/>
                  <w:noWrap w:val="0"/>
                  <w:vAlign w:val="top"/>
                </w:tcPr>
                <w:p w14:paraId="74FDB5CA">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eastAsia" w:ascii="Times New Roman" w:hAnsi="Times New Roman" w:eastAsia="宋体" w:cs="Times New Roman"/>
                      <w:color w:val="auto"/>
                      <w:kern w:val="2"/>
                      <w:sz w:val="21"/>
                      <w:szCs w:val="21"/>
                      <w:highlight w:val="none"/>
                      <w:lang w:val="en-US" w:eastAsia="zh-CN" w:bidi="ar-SA"/>
                    </w:rPr>
                  </w:pPr>
                </w:p>
              </w:tc>
              <w:tc>
                <w:tcPr>
                  <w:tcW w:w="1275" w:type="dxa"/>
                  <w:noWrap w:val="0"/>
                  <w:vAlign w:val="top"/>
                </w:tcPr>
                <w:p w14:paraId="2A494C2D">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生石灰</w:t>
                  </w:r>
                  <w:r>
                    <w:rPr>
                      <w:rFonts w:hint="eastAsia" w:ascii="Times New Roman" w:hAnsi="Times New Roman" w:eastAsia="宋体" w:cs="Times New Roman"/>
                      <w:color w:val="auto"/>
                      <w:kern w:val="2"/>
                      <w:sz w:val="21"/>
                      <w:szCs w:val="21"/>
                      <w:highlight w:val="none"/>
                      <w:lang w:val="en-US" w:eastAsia="zh-CN" w:bidi="ar-SA"/>
                    </w:rPr>
                    <w:t>脱硫剂</w:t>
                  </w:r>
                </w:p>
              </w:tc>
              <w:tc>
                <w:tcPr>
                  <w:tcW w:w="1227" w:type="dxa"/>
                  <w:noWrap w:val="0"/>
                  <w:vAlign w:val="top"/>
                </w:tcPr>
                <w:p w14:paraId="74863156">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800</w:t>
                  </w:r>
                </w:p>
              </w:tc>
              <w:tc>
                <w:tcPr>
                  <w:tcW w:w="1795" w:type="dxa"/>
                  <w:noWrap w:val="0"/>
                  <w:vAlign w:val="top"/>
                </w:tcPr>
                <w:p w14:paraId="1ED9B203">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袋装存储于原料库内</w:t>
                  </w:r>
                </w:p>
              </w:tc>
              <w:tc>
                <w:tcPr>
                  <w:tcW w:w="2888" w:type="dxa"/>
                  <w:noWrap w:val="0"/>
                  <w:vAlign w:val="top"/>
                </w:tcPr>
                <w:p w14:paraId="7F092269">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olor w:val="auto"/>
                      <w:highlight w:val="none"/>
                      <w:lang w:val="en-US" w:eastAsia="zh-CN"/>
                    </w:rPr>
                    <w:t>外购</w:t>
                  </w:r>
                </w:p>
              </w:tc>
            </w:tr>
            <w:tr w14:paraId="229B9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13" w:type="dxa"/>
                  <w:vMerge w:val="continue"/>
                  <w:noWrap w:val="0"/>
                  <w:vAlign w:val="top"/>
                </w:tcPr>
                <w:p w14:paraId="2047F984">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eastAsia" w:ascii="Times New Roman" w:hAnsi="Times New Roman" w:eastAsia="宋体" w:cs="Times New Roman"/>
                      <w:color w:val="auto"/>
                      <w:kern w:val="2"/>
                      <w:sz w:val="21"/>
                      <w:szCs w:val="21"/>
                      <w:highlight w:val="none"/>
                      <w:lang w:val="en-US" w:eastAsia="zh-CN" w:bidi="ar-SA"/>
                    </w:rPr>
                  </w:pPr>
                </w:p>
              </w:tc>
              <w:tc>
                <w:tcPr>
                  <w:tcW w:w="1275" w:type="dxa"/>
                  <w:noWrap w:val="0"/>
                  <w:vAlign w:val="top"/>
                </w:tcPr>
                <w:p w14:paraId="09A82892">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氢氧化钠脱硫剂</w:t>
                  </w:r>
                </w:p>
              </w:tc>
              <w:tc>
                <w:tcPr>
                  <w:tcW w:w="1227" w:type="dxa"/>
                  <w:noWrap w:val="0"/>
                  <w:vAlign w:val="top"/>
                </w:tcPr>
                <w:p w14:paraId="663149F3">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78</w:t>
                  </w:r>
                </w:p>
              </w:tc>
              <w:tc>
                <w:tcPr>
                  <w:tcW w:w="1795" w:type="dxa"/>
                  <w:noWrap w:val="0"/>
                  <w:vAlign w:val="top"/>
                </w:tcPr>
                <w:p w14:paraId="5F6CF6E2">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eastAsia"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袋装存储于原料库内</w:t>
                  </w:r>
                </w:p>
              </w:tc>
              <w:tc>
                <w:tcPr>
                  <w:tcW w:w="2888" w:type="dxa"/>
                  <w:noWrap w:val="0"/>
                  <w:vAlign w:val="top"/>
                </w:tcPr>
                <w:p w14:paraId="71548610">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b/>
                      <w:bCs/>
                      <w:color w:val="auto"/>
                      <w:highlight w:val="none"/>
                    </w:rPr>
                  </w:pPr>
                  <w:r>
                    <w:rPr>
                      <w:rFonts w:hint="eastAsia"/>
                      <w:color w:val="auto"/>
                      <w:highlight w:val="none"/>
                      <w:lang w:val="en-US" w:eastAsia="zh-CN"/>
                    </w:rPr>
                    <w:t>外购</w:t>
                  </w:r>
                </w:p>
              </w:tc>
            </w:tr>
            <w:tr w14:paraId="6F430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713" w:type="dxa"/>
                  <w:noWrap w:val="0"/>
                  <w:vAlign w:val="top"/>
                </w:tcPr>
                <w:p w14:paraId="32A32E61">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能源</w:t>
                  </w:r>
                </w:p>
              </w:tc>
              <w:tc>
                <w:tcPr>
                  <w:tcW w:w="1275" w:type="dxa"/>
                  <w:noWrap w:val="0"/>
                  <w:vAlign w:val="top"/>
                </w:tcPr>
                <w:p w14:paraId="12BC93D0">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天然气</w:t>
                  </w:r>
                </w:p>
              </w:tc>
              <w:tc>
                <w:tcPr>
                  <w:tcW w:w="1227" w:type="dxa"/>
                  <w:noWrap w:val="0"/>
                  <w:vAlign w:val="top"/>
                </w:tcPr>
                <w:p w14:paraId="3D75E207">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1000</w:t>
                  </w:r>
                  <w:r>
                    <w:rPr>
                      <w:rFonts w:hint="default" w:ascii="Times New Roman" w:hAnsi="Times New Roman" w:eastAsia="宋体" w:cs="Times New Roman"/>
                      <w:color w:val="auto"/>
                      <w:kern w:val="2"/>
                      <w:sz w:val="21"/>
                      <w:szCs w:val="21"/>
                      <w:highlight w:val="none"/>
                      <w:lang w:val="en-US" w:eastAsia="zh-CN" w:bidi="ar-SA"/>
                    </w:rPr>
                    <w:t>万m³/a</w:t>
                  </w:r>
                </w:p>
              </w:tc>
              <w:tc>
                <w:tcPr>
                  <w:tcW w:w="1795" w:type="dxa"/>
                  <w:noWrap w:val="0"/>
                  <w:vAlign w:val="top"/>
                </w:tcPr>
                <w:p w14:paraId="6BC5F378">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管道输送不暂存</w:t>
                  </w:r>
                </w:p>
              </w:tc>
              <w:tc>
                <w:tcPr>
                  <w:tcW w:w="2888" w:type="dxa"/>
                  <w:noWrap w:val="0"/>
                  <w:vAlign w:val="top"/>
                </w:tcPr>
                <w:p w14:paraId="5A075844">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由内蒙古陆泰天然气有限公司提供</w:t>
                  </w:r>
                </w:p>
              </w:tc>
            </w:tr>
            <w:tr w14:paraId="4E098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13" w:type="dxa"/>
                  <w:vMerge w:val="restart"/>
                  <w:noWrap w:val="0"/>
                  <w:vAlign w:val="top"/>
                </w:tcPr>
                <w:p w14:paraId="04571036">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资源</w:t>
                  </w:r>
                </w:p>
              </w:tc>
              <w:tc>
                <w:tcPr>
                  <w:tcW w:w="1275" w:type="dxa"/>
                  <w:noWrap w:val="0"/>
                  <w:vAlign w:val="top"/>
                </w:tcPr>
                <w:p w14:paraId="130EF3A7">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水</w:t>
                  </w:r>
                </w:p>
              </w:tc>
              <w:tc>
                <w:tcPr>
                  <w:tcW w:w="1227" w:type="dxa"/>
                  <w:noWrap w:val="0"/>
                  <w:vAlign w:val="top"/>
                </w:tcPr>
                <w:p w14:paraId="30F2C42B">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8208.45t/a</w:t>
                  </w:r>
                </w:p>
              </w:tc>
              <w:tc>
                <w:tcPr>
                  <w:tcW w:w="1795" w:type="dxa"/>
                  <w:noWrap w:val="0"/>
                  <w:vAlign w:val="top"/>
                </w:tcPr>
                <w:p w14:paraId="5B7FA513">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管道输送</w:t>
                  </w:r>
                </w:p>
              </w:tc>
              <w:tc>
                <w:tcPr>
                  <w:tcW w:w="2888" w:type="dxa"/>
                  <w:noWrap w:val="0"/>
                  <w:vAlign w:val="top"/>
                </w:tcPr>
                <w:p w14:paraId="2F0519B4">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鄂尔多斯市泽鑫水务投资集团有限责任公司污水处理厂中水提供</w:t>
                  </w:r>
                </w:p>
              </w:tc>
            </w:tr>
            <w:tr w14:paraId="07245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713" w:type="dxa"/>
                  <w:vMerge w:val="continue"/>
                  <w:noWrap w:val="0"/>
                  <w:vAlign w:val="top"/>
                </w:tcPr>
                <w:p w14:paraId="28FCC4ED">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1275" w:type="dxa"/>
                  <w:noWrap w:val="0"/>
                  <w:vAlign w:val="top"/>
                </w:tcPr>
                <w:p w14:paraId="27828B57">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电</w:t>
                  </w:r>
                </w:p>
              </w:tc>
              <w:tc>
                <w:tcPr>
                  <w:tcW w:w="1227" w:type="dxa"/>
                  <w:noWrap w:val="0"/>
                  <w:vAlign w:val="top"/>
                </w:tcPr>
                <w:p w14:paraId="26B2BD4E">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650.97万KW</w:t>
                  </w:r>
                  <w:r>
                    <w:rPr>
                      <w:rFonts w:hint="eastAsia" w:ascii="Times New Roman" w:hAnsi="Times New Roman" w:eastAsia="宋体" w:cs="Times New Roman"/>
                      <w:color w:val="auto"/>
                      <w:kern w:val="2"/>
                      <w:sz w:val="21"/>
                      <w:szCs w:val="21"/>
                      <w:highlight w:val="none"/>
                      <w:lang w:val="en-US" w:eastAsia="zh-CN" w:bidi="ar-SA"/>
                    </w:rPr>
                    <w:t>·</w:t>
                  </w:r>
                  <w:r>
                    <w:rPr>
                      <w:rFonts w:hint="default" w:ascii="Times New Roman" w:hAnsi="Times New Roman" w:eastAsia="宋体" w:cs="Times New Roman"/>
                      <w:color w:val="auto"/>
                      <w:kern w:val="2"/>
                      <w:sz w:val="21"/>
                      <w:szCs w:val="21"/>
                      <w:highlight w:val="none"/>
                      <w:lang w:val="en-US" w:eastAsia="zh-CN" w:bidi="ar-SA"/>
                    </w:rPr>
                    <w:t>h</w:t>
                  </w:r>
                </w:p>
              </w:tc>
              <w:tc>
                <w:tcPr>
                  <w:tcW w:w="4683" w:type="dxa"/>
                  <w:gridSpan w:val="2"/>
                  <w:noWrap w:val="0"/>
                  <w:vAlign w:val="top"/>
                </w:tcPr>
                <w:p w14:paraId="07524CE6">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由园区市政供电线路进行供电</w:t>
                  </w:r>
                </w:p>
              </w:tc>
            </w:tr>
          </w:tbl>
          <w:p w14:paraId="5BAB601A">
            <w:pPr>
              <w:bidi w:val="0"/>
              <w:rPr>
                <w:rFonts w:hint="default"/>
                <w:b/>
                <w:bCs/>
                <w:color w:val="auto"/>
                <w:highlight w:val="none"/>
                <w:lang w:val="en-US" w:eastAsia="zh-CN"/>
              </w:rPr>
            </w:pPr>
            <w:r>
              <w:rPr>
                <w:rFonts w:hint="eastAsia"/>
                <w:b/>
                <w:bCs/>
                <w:color w:val="auto"/>
                <w:highlight w:val="none"/>
                <w:lang w:val="en-US" w:eastAsia="zh-CN"/>
              </w:rPr>
              <w:t>原辅材料理化性质</w:t>
            </w:r>
          </w:p>
          <w:p w14:paraId="18576262">
            <w:pPr>
              <w:bidi w:val="0"/>
              <w:rPr>
                <w:rFonts w:hint="eastAsia"/>
                <w:b/>
                <w:bCs/>
                <w:color w:val="auto"/>
                <w:highlight w:val="none"/>
                <w:lang w:val="en-US" w:eastAsia="zh-CN"/>
              </w:rPr>
            </w:pPr>
            <w:r>
              <w:rPr>
                <w:rFonts w:hint="eastAsia"/>
                <w:b/>
                <w:bCs/>
                <w:color w:val="auto"/>
                <w:highlight w:val="none"/>
                <w:lang w:val="en-US" w:eastAsia="zh-CN"/>
              </w:rPr>
              <w:t>①煤系高岭土</w:t>
            </w:r>
          </w:p>
          <w:p w14:paraId="0D3E5827">
            <w:pPr>
              <w:bidi w:val="0"/>
              <w:rPr>
                <w:rFonts w:hint="eastAsia"/>
                <w:b w:val="0"/>
                <w:bCs w:val="0"/>
                <w:color w:val="auto"/>
                <w:highlight w:val="none"/>
                <w:lang w:val="en-US" w:eastAsia="zh-CN"/>
              </w:rPr>
            </w:pPr>
            <w:r>
              <w:rPr>
                <w:rFonts w:hint="eastAsia"/>
                <w:b w:val="0"/>
                <w:bCs w:val="0"/>
                <w:color w:val="auto"/>
                <w:highlight w:val="none"/>
                <w:lang w:val="en-US" w:eastAsia="zh-CN"/>
              </w:rPr>
              <w:t>煤系高岭土是采煤过程和洗煤过程中排放的固体废物，是一种在成煤过程中与煤层伴生的一种含碳量较低、比煤坚硬的黑灰色岩石，包括巷道掘进过程中的掘进矸石、采掘过程中从顶板、底板及夹层里采出的矸石以及洗煤过程中挑出的洗矸石。其主要成分是Al</w:t>
            </w:r>
            <w:r>
              <w:rPr>
                <w:rFonts w:hint="eastAsia"/>
                <w:b w:val="0"/>
                <w:bCs w:val="0"/>
                <w:color w:val="auto"/>
                <w:highlight w:val="none"/>
                <w:vertAlign w:val="subscript"/>
                <w:lang w:val="en-US" w:eastAsia="zh-CN"/>
              </w:rPr>
              <w:t>2</w:t>
            </w:r>
            <w:r>
              <w:rPr>
                <w:rFonts w:hint="eastAsia"/>
                <w:b w:val="0"/>
                <w:bCs w:val="0"/>
                <w:color w:val="auto"/>
                <w:highlight w:val="none"/>
                <w:lang w:val="en-US" w:eastAsia="zh-CN"/>
              </w:rPr>
              <w:t>O</w:t>
            </w:r>
            <w:r>
              <w:rPr>
                <w:rFonts w:hint="eastAsia"/>
                <w:b w:val="0"/>
                <w:bCs w:val="0"/>
                <w:color w:val="auto"/>
                <w:highlight w:val="none"/>
                <w:vertAlign w:val="subscript"/>
                <w:lang w:val="en-US" w:eastAsia="zh-CN"/>
              </w:rPr>
              <w:t>3</w:t>
            </w:r>
            <w:r>
              <w:rPr>
                <w:rFonts w:hint="eastAsia"/>
                <w:b w:val="0"/>
                <w:bCs w:val="0"/>
                <w:color w:val="auto"/>
                <w:highlight w:val="none"/>
                <w:lang w:val="en-US" w:eastAsia="zh-CN"/>
              </w:rPr>
              <w:t>、SiO</w:t>
            </w:r>
            <w:r>
              <w:rPr>
                <w:rFonts w:hint="eastAsia"/>
                <w:b w:val="0"/>
                <w:bCs w:val="0"/>
                <w:color w:val="auto"/>
                <w:highlight w:val="none"/>
                <w:vertAlign w:val="subscript"/>
                <w:lang w:val="en-US" w:eastAsia="zh-CN"/>
              </w:rPr>
              <w:t>2</w:t>
            </w:r>
            <w:r>
              <w:rPr>
                <w:rFonts w:hint="eastAsia"/>
                <w:b w:val="0"/>
                <w:bCs w:val="0"/>
                <w:color w:val="auto"/>
                <w:highlight w:val="none"/>
                <w:lang w:val="en-US" w:eastAsia="zh-CN"/>
              </w:rPr>
              <w:t>，另外还含有数量不等的Fe</w:t>
            </w:r>
            <w:r>
              <w:rPr>
                <w:rFonts w:hint="eastAsia"/>
                <w:b w:val="0"/>
                <w:bCs w:val="0"/>
                <w:color w:val="auto"/>
                <w:highlight w:val="none"/>
                <w:vertAlign w:val="subscript"/>
                <w:lang w:val="en-US" w:eastAsia="zh-CN"/>
              </w:rPr>
              <w:t>2</w:t>
            </w:r>
            <w:r>
              <w:rPr>
                <w:rFonts w:hint="eastAsia"/>
                <w:b w:val="0"/>
                <w:bCs w:val="0"/>
                <w:color w:val="auto"/>
                <w:highlight w:val="none"/>
                <w:lang w:val="en-US" w:eastAsia="zh-CN"/>
              </w:rPr>
              <w:t>O</w:t>
            </w:r>
            <w:r>
              <w:rPr>
                <w:rFonts w:hint="eastAsia"/>
                <w:b w:val="0"/>
                <w:bCs w:val="0"/>
                <w:color w:val="auto"/>
                <w:highlight w:val="none"/>
                <w:vertAlign w:val="subscript"/>
                <w:lang w:val="en-US" w:eastAsia="zh-CN"/>
              </w:rPr>
              <w:t>3</w:t>
            </w:r>
            <w:r>
              <w:rPr>
                <w:rFonts w:hint="eastAsia"/>
                <w:b w:val="0"/>
                <w:bCs w:val="0"/>
                <w:color w:val="auto"/>
                <w:highlight w:val="none"/>
                <w:lang w:val="en-US" w:eastAsia="zh-CN"/>
              </w:rPr>
              <w:t>、CaO、MgO、SO</w:t>
            </w:r>
            <w:r>
              <w:rPr>
                <w:rFonts w:hint="eastAsia"/>
                <w:b w:val="0"/>
                <w:bCs w:val="0"/>
                <w:color w:val="auto"/>
                <w:highlight w:val="none"/>
                <w:vertAlign w:val="subscript"/>
                <w:lang w:val="en-US" w:eastAsia="zh-CN"/>
              </w:rPr>
              <w:t>3</w:t>
            </w:r>
            <w:r>
              <w:rPr>
                <w:rFonts w:hint="eastAsia"/>
                <w:b w:val="0"/>
                <w:bCs w:val="0"/>
                <w:color w:val="auto"/>
                <w:highlight w:val="none"/>
                <w:lang w:val="en-US" w:eastAsia="zh-CN"/>
              </w:rPr>
              <w:t>和微量稀有元素（镓、钒、钛、钴）。其主要成分见下表2-4。</w:t>
            </w:r>
          </w:p>
          <w:p w14:paraId="6DE3EF14">
            <w:pPr>
              <w:bidi w:val="0"/>
              <w:ind w:left="0" w:leftChars="0" w:firstLine="0" w:firstLineChars="0"/>
              <w:jc w:val="center"/>
              <w:rPr>
                <w:rFonts w:hint="default"/>
                <w:b/>
                <w:bCs/>
                <w:color w:val="auto"/>
                <w:highlight w:val="none"/>
                <w:lang w:val="en-US" w:eastAsia="zh-CN"/>
              </w:rPr>
            </w:pPr>
            <w:r>
              <w:rPr>
                <w:rFonts w:hint="eastAsia"/>
                <w:b/>
                <w:bCs/>
                <w:color w:val="auto"/>
                <w:highlight w:val="none"/>
                <w:lang w:val="en-US" w:eastAsia="zh-CN"/>
              </w:rPr>
              <w:t>表2-4煤系高岭土主要成分一览表</w:t>
            </w:r>
          </w:p>
          <w:tbl>
            <w:tblPr>
              <w:tblStyle w:val="24"/>
              <w:tblW w:w="79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9"/>
              <w:gridCol w:w="910"/>
              <w:gridCol w:w="890"/>
              <w:gridCol w:w="1097"/>
              <w:gridCol w:w="813"/>
              <w:gridCol w:w="1292"/>
              <w:gridCol w:w="1327"/>
              <w:gridCol w:w="957"/>
            </w:tblGrid>
            <w:tr w14:paraId="3CD13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9" w:type="dxa"/>
                </w:tcPr>
                <w:p w14:paraId="3078A4AC">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b w:val="0"/>
                      <w:bCs w:val="0"/>
                      <w:color w:val="auto"/>
                      <w:highlight w:val="none"/>
                      <w:vertAlign w:val="baseline"/>
                      <w:lang w:val="en-US" w:eastAsia="zh-CN"/>
                    </w:rPr>
                  </w:pPr>
                  <w:r>
                    <w:rPr>
                      <w:rFonts w:hint="eastAsia"/>
                      <w:b w:val="0"/>
                      <w:bCs w:val="0"/>
                      <w:color w:val="auto"/>
                      <w:highlight w:val="none"/>
                      <w:vertAlign w:val="baseline"/>
                      <w:lang w:val="en-US" w:eastAsia="zh-CN"/>
                    </w:rPr>
                    <w:t>检测项目</w:t>
                  </w:r>
                </w:p>
              </w:tc>
              <w:tc>
                <w:tcPr>
                  <w:tcW w:w="910" w:type="dxa"/>
                </w:tcPr>
                <w:p w14:paraId="06147ED6">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b w:val="0"/>
                      <w:bCs w:val="0"/>
                      <w:color w:val="auto"/>
                      <w:highlight w:val="none"/>
                      <w:vertAlign w:val="baseline"/>
                      <w:lang w:val="en-US" w:eastAsia="zh-CN"/>
                    </w:rPr>
                  </w:pPr>
                  <w:r>
                    <w:rPr>
                      <w:rFonts w:hint="eastAsia"/>
                      <w:b w:val="0"/>
                      <w:bCs w:val="0"/>
                      <w:color w:val="auto"/>
                      <w:highlight w:val="none"/>
                      <w:lang w:val="en-US" w:eastAsia="zh-CN"/>
                    </w:rPr>
                    <w:t>CaO</w:t>
                  </w:r>
                </w:p>
              </w:tc>
              <w:tc>
                <w:tcPr>
                  <w:tcW w:w="890" w:type="dxa"/>
                </w:tcPr>
                <w:p w14:paraId="412DA3D0">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b w:val="0"/>
                      <w:bCs w:val="0"/>
                      <w:color w:val="auto"/>
                      <w:highlight w:val="none"/>
                      <w:vertAlign w:val="baseline"/>
                      <w:lang w:val="en-US" w:eastAsia="zh-CN"/>
                    </w:rPr>
                  </w:pPr>
                  <w:r>
                    <w:rPr>
                      <w:rFonts w:hint="eastAsia"/>
                      <w:b w:val="0"/>
                      <w:bCs w:val="0"/>
                      <w:color w:val="auto"/>
                      <w:highlight w:val="none"/>
                      <w:lang w:val="en-US" w:eastAsia="zh-CN"/>
                    </w:rPr>
                    <w:t>MgO</w:t>
                  </w:r>
                </w:p>
              </w:tc>
              <w:tc>
                <w:tcPr>
                  <w:tcW w:w="1097" w:type="dxa"/>
                </w:tcPr>
                <w:p w14:paraId="2D0A6D21">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b w:val="0"/>
                      <w:bCs w:val="0"/>
                      <w:color w:val="auto"/>
                      <w:highlight w:val="none"/>
                      <w:vertAlign w:val="baseline"/>
                      <w:lang w:val="en-US" w:eastAsia="zh-CN"/>
                    </w:rPr>
                  </w:pPr>
                  <w:r>
                    <w:rPr>
                      <w:rFonts w:hint="eastAsia"/>
                      <w:b w:val="0"/>
                      <w:bCs w:val="0"/>
                      <w:color w:val="auto"/>
                      <w:highlight w:val="none"/>
                      <w:lang w:val="en-US" w:eastAsia="zh-CN"/>
                    </w:rPr>
                    <w:t>SiO</w:t>
                  </w:r>
                  <w:r>
                    <w:rPr>
                      <w:rFonts w:hint="eastAsia"/>
                      <w:b w:val="0"/>
                      <w:bCs w:val="0"/>
                      <w:color w:val="auto"/>
                      <w:highlight w:val="none"/>
                      <w:vertAlign w:val="subscript"/>
                      <w:lang w:val="en-US" w:eastAsia="zh-CN"/>
                    </w:rPr>
                    <w:t>2</w:t>
                  </w:r>
                </w:p>
              </w:tc>
              <w:tc>
                <w:tcPr>
                  <w:tcW w:w="813" w:type="dxa"/>
                </w:tcPr>
                <w:p w14:paraId="016298AB">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b w:val="0"/>
                      <w:bCs w:val="0"/>
                      <w:color w:val="auto"/>
                      <w:highlight w:val="none"/>
                      <w:vertAlign w:val="baseline"/>
                      <w:lang w:val="en-US" w:eastAsia="zh-CN"/>
                    </w:rPr>
                  </w:pPr>
                  <w:r>
                    <w:rPr>
                      <w:rFonts w:hint="eastAsia"/>
                      <w:b w:val="0"/>
                      <w:bCs w:val="0"/>
                      <w:color w:val="auto"/>
                      <w:highlight w:val="none"/>
                      <w:vertAlign w:val="baseline"/>
                      <w:lang w:val="en-US" w:eastAsia="zh-CN"/>
                    </w:rPr>
                    <w:t>S</w:t>
                  </w:r>
                </w:p>
              </w:tc>
              <w:tc>
                <w:tcPr>
                  <w:tcW w:w="1292" w:type="dxa"/>
                </w:tcPr>
                <w:p w14:paraId="1C0ED000">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b w:val="0"/>
                      <w:bCs w:val="0"/>
                      <w:color w:val="auto"/>
                      <w:highlight w:val="none"/>
                      <w:vertAlign w:val="baseline"/>
                      <w:lang w:val="en-US" w:eastAsia="zh-CN"/>
                    </w:rPr>
                  </w:pPr>
                  <w:r>
                    <w:rPr>
                      <w:rFonts w:hint="eastAsia"/>
                      <w:b w:val="0"/>
                      <w:bCs w:val="0"/>
                      <w:color w:val="auto"/>
                      <w:highlight w:val="none"/>
                      <w:lang w:val="en-US" w:eastAsia="zh-CN"/>
                    </w:rPr>
                    <w:t>Al</w:t>
                  </w:r>
                  <w:r>
                    <w:rPr>
                      <w:rFonts w:hint="eastAsia"/>
                      <w:b w:val="0"/>
                      <w:bCs w:val="0"/>
                      <w:color w:val="auto"/>
                      <w:highlight w:val="none"/>
                      <w:vertAlign w:val="subscript"/>
                      <w:lang w:val="en-US" w:eastAsia="zh-CN"/>
                    </w:rPr>
                    <w:t>2</w:t>
                  </w:r>
                  <w:r>
                    <w:rPr>
                      <w:rFonts w:hint="eastAsia"/>
                      <w:b w:val="0"/>
                      <w:bCs w:val="0"/>
                      <w:color w:val="auto"/>
                      <w:highlight w:val="none"/>
                      <w:lang w:val="en-US" w:eastAsia="zh-CN"/>
                    </w:rPr>
                    <w:t>O</w:t>
                  </w:r>
                  <w:r>
                    <w:rPr>
                      <w:rFonts w:hint="eastAsia"/>
                      <w:b w:val="0"/>
                      <w:bCs w:val="0"/>
                      <w:color w:val="auto"/>
                      <w:highlight w:val="none"/>
                      <w:vertAlign w:val="subscript"/>
                      <w:lang w:val="en-US" w:eastAsia="zh-CN"/>
                    </w:rPr>
                    <w:t>3</w:t>
                  </w:r>
                </w:p>
              </w:tc>
              <w:tc>
                <w:tcPr>
                  <w:tcW w:w="1327" w:type="dxa"/>
                </w:tcPr>
                <w:p w14:paraId="1DE1306B">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b w:val="0"/>
                      <w:bCs w:val="0"/>
                      <w:color w:val="auto"/>
                      <w:highlight w:val="none"/>
                      <w:vertAlign w:val="baseline"/>
                      <w:lang w:val="en-US" w:eastAsia="zh-CN"/>
                    </w:rPr>
                  </w:pPr>
                  <w:r>
                    <w:rPr>
                      <w:rFonts w:hint="eastAsia"/>
                      <w:b w:val="0"/>
                      <w:bCs w:val="0"/>
                      <w:color w:val="auto"/>
                      <w:highlight w:val="none"/>
                      <w:vertAlign w:val="baseline"/>
                      <w:lang w:val="en-US" w:eastAsia="zh-CN"/>
                    </w:rPr>
                    <w:t>Fe</w:t>
                  </w:r>
                  <w:r>
                    <w:rPr>
                      <w:rFonts w:hint="eastAsia"/>
                      <w:b w:val="0"/>
                      <w:bCs w:val="0"/>
                      <w:color w:val="auto"/>
                      <w:highlight w:val="none"/>
                      <w:vertAlign w:val="subscript"/>
                      <w:lang w:val="en-US" w:eastAsia="zh-CN"/>
                    </w:rPr>
                    <w:t>2</w:t>
                  </w:r>
                  <w:r>
                    <w:rPr>
                      <w:rFonts w:hint="eastAsia"/>
                      <w:b w:val="0"/>
                      <w:bCs w:val="0"/>
                      <w:color w:val="auto"/>
                      <w:highlight w:val="none"/>
                      <w:lang w:val="en-US" w:eastAsia="zh-CN"/>
                    </w:rPr>
                    <w:t>O</w:t>
                  </w:r>
                  <w:r>
                    <w:rPr>
                      <w:rFonts w:hint="eastAsia"/>
                      <w:b w:val="0"/>
                      <w:bCs w:val="0"/>
                      <w:color w:val="auto"/>
                      <w:highlight w:val="none"/>
                      <w:vertAlign w:val="subscript"/>
                      <w:lang w:val="en-US" w:eastAsia="zh-CN"/>
                    </w:rPr>
                    <w:t>3</w:t>
                  </w:r>
                </w:p>
              </w:tc>
              <w:tc>
                <w:tcPr>
                  <w:tcW w:w="957" w:type="dxa"/>
                </w:tcPr>
                <w:p w14:paraId="61A3574D">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b w:val="0"/>
                      <w:bCs w:val="0"/>
                      <w:color w:val="auto"/>
                      <w:highlight w:val="none"/>
                      <w:vertAlign w:val="baseline"/>
                      <w:lang w:val="en-US" w:eastAsia="zh-CN"/>
                    </w:rPr>
                  </w:pPr>
                  <w:r>
                    <w:rPr>
                      <w:rFonts w:hint="eastAsia"/>
                      <w:b w:val="0"/>
                      <w:bCs w:val="0"/>
                      <w:color w:val="auto"/>
                      <w:highlight w:val="none"/>
                      <w:vertAlign w:val="baseline"/>
                      <w:lang w:val="en-US" w:eastAsia="zh-CN"/>
                    </w:rPr>
                    <w:t>H</w:t>
                  </w:r>
                  <w:r>
                    <w:rPr>
                      <w:rFonts w:hint="eastAsia"/>
                      <w:b w:val="0"/>
                      <w:bCs w:val="0"/>
                      <w:color w:val="auto"/>
                      <w:highlight w:val="none"/>
                      <w:vertAlign w:val="subscript"/>
                      <w:lang w:val="en-US" w:eastAsia="zh-CN"/>
                    </w:rPr>
                    <w:t>2</w:t>
                  </w:r>
                  <w:r>
                    <w:rPr>
                      <w:rFonts w:hint="eastAsia"/>
                      <w:b w:val="0"/>
                      <w:bCs w:val="0"/>
                      <w:color w:val="auto"/>
                      <w:highlight w:val="none"/>
                      <w:vertAlign w:val="baseline"/>
                      <w:lang w:val="en-US" w:eastAsia="zh-CN"/>
                    </w:rPr>
                    <w:t>O</w:t>
                  </w:r>
                </w:p>
              </w:tc>
            </w:tr>
            <w:tr w14:paraId="43447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9" w:type="dxa"/>
                </w:tcPr>
                <w:p w14:paraId="6D4D6ED5">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b w:val="0"/>
                      <w:bCs w:val="0"/>
                      <w:color w:val="auto"/>
                      <w:highlight w:val="none"/>
                      <w:vertAlign w:val="baseline"/>
                      <w:lang w:val="en-US" w:eastAsia="zh-CN"/>
                    </w:rPr>
                  </w:pPr>
                  <w:r>
                    <w:rPr>
                      <w:rFonts w:hint="eastAsia"/>
                      <w:b w:val="0"/>
                      <w:bCs w:val="0"/>
                      <w:color w:val="auto"/>
                      <w:highlight w:val="none"/>
                      <w:vertAlign w:val="baseline"/>
                      <w:lang w:val="en-US" w:eastAsia="zh-CN"/>
                    </w:rPr>
                    <w:t>成分含量</w:t>
                  </w:r>
                </w:p>
              </w:tc>
              <w:tc>
                <w:tcPr>
                  <w:tcW w:w="910" w:type="dxa"/>
                </w:tcPr>
                <w:p w14:paraId="3D28BE55">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b w:val="0"/>
                      <w:bCs w:val="0"/>
                      <w:color w:val="auto"/>
                      <w:highlight w:val="none"/>
                      <w:vertAlign w:val="baseline"/>
                      <w:lang w:val="en-US" w:eastAsia="zh-CN"/>
                    </w:rPr>
                  </w:pPr>
                  <w:r>
                    <w:rPr>
                      <w:rFonts w:hint="eastAsia"/>
                      <w:b w:val="0"/>
                      <w:bCs w:val="0"/>
                      <w:color w:val="auto"/>
                      <w:highlight w:val="none"/>
                      <w:vertAlign w:val="baseline"/>
                      <w:lang w:val="en-US" w:eastAsia="zh-CN"/>
                    </w:rPr>
                    <w:t>0.46%</w:t>
                  </w:r>
                </w:p>
              </w:tc>
              <w:tc>
                <w:tcPr>
                  <w:tcW w:w="890" w:type="dxa"/>
                </w:tcPr>
                <w:p w14:paraId="63046F1A">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b w:val="0"/>
                      <w:bCs w:val="0"/>
                      <w:color w:val="auto"/>
                      <w:highlight w:val="none"/>
                      <w:vertAlign w:val="baseline"/>
                      <w:lang w:val="en-US" w:eastAsia="zh-CN"/>
                    </w:rPr>
                  </w:pPr>
                  <w:r>
                    <w:rPr>
                      <w:rFonts w:hint="eastAsia"/>
                      <w:b w:val="0"/>
                      <w:bCs w:val="0"/>
                      <w:color w:val="auto"/>
                      <w:highlight w:val="none"/>
                      <w:vertAlign w:val="baseline"/>
                      <w:lang w:val="en-US" w:eastAsia="zh-CN"/>
                    </w:rPr>
                    <w:t>0.75%</w:t>
                  </w:r>
                </w:p>
              </w:tc>
              <w:tc>
                <w:tcPr>
                  <w:tcW w:w="1097" w:type="dxa"/>
                </w:tcPr>
                <w:p w14:paraId="0E1CEB8A">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b w:val="0"/>
                      <w:bCs w:val="0"/>
                      <w:color w:val="auto"/>
                      <w:highlight w:val="none"/>
                      <w:vertAlign w:val="baseline"/>
                      <w:lang w:val="en-US" w:eastAsia="zh-CN"/>
                    </w:rPr>
                  </w:pPr>
                  <w:r>
                    <w:rPr>
                      <w:rFonts w:hint="eastAsia"/>
                      <w:b w:val="0"/>
                      <w:bCs w:val="0"/>
                      <w:color w:val="auto"/>
                      <w:highlight w:val="none"/>
                      <w:vertAlign w:val="baseline"/>
                      <w:lang w:val="en-US" w:eastAsia="zh-CN"/>
                    </w:rPr>
                    <w:t>59.5%</w:t>
                  </w:r>
                </w:p>
              </w:tc>
              <w:tc>
                <w:tcPr>
                  <w:tcW w:w="813" w:type="dxa"/>
                </w:tcPr>
                <w:p w14:paraId="7B673BEF">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b w:val="0"/>
                      <w:bCs w:val="0"/>
                      <w:color w:val="auto"/>
                      <w:highlight w:val="none"/>
                      <w:vertAlign w:val="baseline"/>
                      <w:lang w:val="en-US" w:eastAsia="zh-CN"/>
                    </w:rPr>
                  </w:pPr>
                  <w:r>
                    <w:rPr>
                      <w:rFonts w:hint="eastAsia"/>
                      <w:b w:val="0"/>
                      <w:bCs w:val="0"/>
                      <w:color w:val="auto"/>
                      <w:highlight w:val="none"/>
                      <w:vertAlign w:val="baseline"/>
                      <w:lang w:val="en-US" w:eastAsia="zh-CN"/>
                    </w:rPr>
                    <w:t>0.12%</w:t>
                  </w:r>
                </w:p>
              </w:tc>
              <w:tc>
                <w:tcPr>
                  <w:tcW w:w="1292" w:type="dxa"/>
                </w:tcPr>
                <w:p w14:paraId="20B7816B">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b w:val="0"/>
                      <w:bCs w:val="0"/>
                      <w:color w:val="auto"/>
                      <w:highlight w:val="none"/>
                      <w:vertAlign w:val="baseline"/>
                      <w:lang w:val="en-US" w:eastAsia="zh-CN"/>
                    </w:rPr>
                  </w:pPr>
                  <w:r>
                    <w:rPr>
                      <w:rFonts w:hint="eastAsia"/>
                      <w:b w:val="0"/>
                      <w:bCs w:val="0"/>
                      <w:color w:val="auto"/>
                      <w:highlight w:val="none"/>
                      <w:vertAlign w:val="baseline"/>
                      <w:lang w:val="en-US" w:eastAsia="zh-CN"/>
                    </w:rPr>
                    <w:t>22.40%</w:t>
                  </w:r>
                </w:p>
              </w:tc>
              <w:tc>
                <w:tcPr>
                  <w:tcW w:w="1327" w:type="dxa"/>
                </w:tcPr>
                <w:p w14:paraId="07F86CBA">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b w:val="0"/>
                      <w:bCs w:val="0"/>
                      <w:color w:val="auto"/>
                      <w:highlight w:val="none"/>
                      <w:vertAlign w:val="baseline"/>
                      <w:lang w:val="en-US" w:eastAsia="zh-CN"/>
                    </w:rPr>
                  </w:pPr>
                  <w:r>
                    <w:rPr>
                      <w:rFonts w:hint="eastAsia"/>
                      <w:b w:val="0"/>
                      <w:bCs w:val="0"/>
                      <w:color w:val="auto"/>
                      <w:highlight w:val="none"/>
                      <w:vertAlign w:val="baseline"/>
                      <w:lang w:val="en-US" w:eastAsia="zh-CN"/>
                    </w:rPr>
                    <w:t>3.92%</w:t>
                  </w:r>
                </w:p>
              </w:tc>
              <w:tc>
                <w:tcPr>
                  <w:tcW w:w="957" w:type="dxa"/>
                </w:tcPr>
                <w:p w14:paraId="79A228C0">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b w:val="0"/>
                      <w:bCs w:val="0"/>
                      <w:color w:val="auto"/>
                      <w:highlight w:val="none"/>
                      <w:vertAlign w:val="baseline"/>
                      <w:lang w:val="en-US" w:eastAsia="zh-CN"/>
                    </w:rPr>
                  </w:pPr>
                  <w:r>
                    <w:rPr>
                      <w:rFonts w:hint="eastAsia"/>
                      <w:b w:val="0"/>
                      <w:bCs w:val="0"/>
                      <w:color w:val="auto"/>
                      <w:highlight w:val="none"/>
                      <w:vertAlign w:val="baseline"/>
                      <w:lang w:val="en-US" w:eastAsia="zh-CN"/>
                    </w:rPr>
                    <w:t>10.49%</w:t>
                  </w:r>
                </w:p>
              </w:tc>
            </w:tr>
          </w:tbl>
          <w:p w14:paraId="09BF8782">
            <w:pPr>
              <w:bidi w:val="0"/>
              <w:rPr>
                <w:rFonts w:hint="eastAsia"/>
                <w:b/>
                <w:bCs/>
                <w:color w:val="auto"/>
                <w:highlight w:val="none"/>
                <w:lang w:val="en-US" w:eastAsia="zh-CN"/>
              </w:rPr>
            </w:pPr>
            <w:r>
              <w:rPr>
                <w:rFonts w:hint="eastAsia"/>
                <w:b/>
                <w:bCs/>
                <w:color w:val="auto"/>
                <w:highlight w:val="none"/>
                <w:lang w:val="en-US" w:eastAsia="zh-CN"/>
              </w:rPr>
              <w:t>②天然气</w:t>
            </w:r>
          </w:p>
          <w:p w14:paraId="43E2FBD1">
            <w:pPr>
              <w:bidi w:val="0"/>
              <w:rPr>
                <w:rFonts w:hint="eastAsia"/>
                <w:color w:val="auto"/>
                <w:highlight w:val="none"/>
                <w:lang w:val="en-US" w:eastAsia="zh-CN"/>
              </w:rPr>
            </w:pPr>
            <w:r>
              <w:rPr>
                <w:rFonts w:hint="eastAsia"/>
                <w:color w:val="auto"/>
                <w:highlight w:val="none"/>
                <w:lang w:val="en-US" w:eastAsia="zh-CN"/>
              </w:rPr>
              <w:t>天然气是指自然界中存在的一类可燃性气体，是一种化石燃料，包括</w:t>
            </w:r>
            <w:r>
              <w:rPr>
                <w:rFonts w:hint="eastAsia"/>
                <w:color w:val="auto"/>
                <w:highlight w:val="none"/>
                <w:lang w:val="en-US" w:eastAsia="zh-CN"/>
              </w:rPr>
              <w:fldChar w:fldCharType="begin"/>
            </w:r>
            <w:r>
              <w:rPr>
                <w:rFonts w:hint="eastAsia"/>
                <w:color w:val="auto"/>
                <w:highlight w:val="none"/>
                <w:lang w:val="en-US" w:eastAsia="zh-CN"/>
              </w:rPr>
              <w:instrText xml:space="preserve"> HYPERLINK "https://baike.so.com/doc/6692828-6906734.html" \t "https://baike.so.com/doc/_blank" </w:instrText>
            </w:r>
            <w:r>
              <w:rPr>
                <w:rFonts w:hint="eastAsia"/>
                <w:color w:val="auto"/>
                <w:highlight w:val="none"/>
                <w:lang w:val="en-US" w:eastAsia="zh-CN"/>
              </w:rPr>
              <w:fldChar w:fldCharType="separate"/>
            </w:r>
            <w:r>
              <w:rPr>
                <w:rFonts w:hint="eastAsia"/>
                <w:color w:val="auto"/>
                <w:highlight w:val="none"/>
                <w:lang w:val="en-US" w:eastAsia="zh-CN"/>
              </w:rPr>
              <w:t>大气圈</w:t>
            </w:r>
            <w:r>
              <w:rPr>
                <w:rFonts w:hint="eastAsia"/>
                <w:color w:val="auto"/>
                <w:highlight w:val="none"/>
                <w:lang w:val="en-US" w:eastAsia="zh-CN"/>
              </w:rPr>
              <w:fldChar w:fldCharType="end"/>
            </w:r>
            <w:r>
              <w:rPr>
                <w:rFonts w:hint="eastAsia"/>
                <w:color w:val="auto"/>
                <w:highlight w:val="none"/>
                <w:lang w:val="en-US" w:eastAsia="zh-CN"/>
              </w:rPr>
              <w:t>、水圈、和</w:t>
            </w:r>
            <w:r>
              <w:rPr>
                <w:rFonts w:hint="eastAsia"/>
                <w:color w:val="auto"/>
                <w:highlight w:val="none"/>
                <w:lang w:val="en-US" w:eastAsia="zh-CN"/>
              </w:rPr>
              <w:fldChar w:fldCharType="begin"/>
            </w:r>
            <w:r>
              <w:rPr>
                <w:rFonts w:hint="eastAsia"/>
                <w:color w:val="auto"/>
                <w:highlight w:val="none"/>
                <w:lang w:val="en-US" w:eastAsia="zh-CN"/>
              </w:rPr>
              <w:instrText xml:space="preserve"> HYPERLINK "https://baike.so.com/doc/1758966-1860007.html" \t "https://baike.so.com/doc/_blank" </w:instrText>
            </w:r>
            <w:r>
              <w:rPr>
                <w:rFonts w:hint="eastAsia"/>
                <w:color w:val="auto"/>
                <w:highlight w:val="none"/>
                <w:lang w:val="en-US" w:eastAsia="zh-CN"/>
              </w:rPr>
              <w:fldChar w:fldCharType="separate"/>
            </w:r>
            <w:r>
              <w:rPr>
                <w:rFonts w:hint="eastAsia"/>
                <w:color w:val="auto"/>
                <w:highlight w:val="none"/>
                <w:lang w:val="en-US" w:eastAsia="zh-CN"/>
              </w:rPr>
              <w:t>岩石圈</w:t>
            </w:r>
            <w:r>
              <w:rPr>
                <w:rFonts w:hint="eastAsia"/>
                <w:color w:val="auto"/>
                <w:highlight w:val="none"/>
                <w:lang w:val="en-US" w:eastAsia="zh-CN"/>
              </w:rPr>
              <w:fldChar w:fldCharType="end"/>
            </w:r>
            <w:r>
              <w:rPr>
                <w:rFonts w:hint="eastAsia"/>
                <w:color w:val="auto"/>
                <w:highlight w:val="none"/>
                <w:lang w:val="en-US" w:eastAsia="zh-CN"/>
              </w:rPr>
              <w:t>中各种自然过程形成的气体（包括</w:t>
            </w:r>
            <w:r>
              <w:rPr>
                <w:rFonts w:hint="eastAsia"/>
                <w:color w:val="auto"/>
                <w:highlight w:val="none"/>
                <w:lang w:val="en-US" w:eastAsia="zh-CN"/>
              </w:rPr>
              <w:fldChar w:fldCharType="begin"/>
            </w:r>
            <w:r>
              <w:rPr>
                <w:rFonts w:hint="eastAsia"/>
                <w:color w:val="auto"/>
                <w:highlight w:val="none"/>
                <w:lang w:val="en-US" w:eastAsia="zh-CN"/>
              </w:rPr>
              <w:instrText xml:space="preserve"> HYPERLINK "https://baike.so.com/doc/9442885-9784048.html" \t "https://baike.so.com/doc/_blank" </w:instrText>
            </w:r>
            <w:r>
              <w:rPr>
                <w:rFonts w:hint="eastAsia"/>
                <w:color w:val="auto"/>
                <w:highlight w:val="none"/>
                <w:lang w:val="en-US" w:eastAsia="zh-CN"/>
              </w:rPr>
              <w:fldChar w:fldCharType="separate"/>
            </w:r>
            <w:r>
              <w:rPr>
                <w:rFonts w:hint="eastAsia"/>
                <w:color w:val="auto"/>
                <w:highlight w:val="none"/>
                <w:lang w:val="en-US" w:eastAsia="zh-CN"/>
              </w:rPr>
              <w:t>油田气</w:t>
            </w:r>
            <w:r>
              <w:rPr>
                <w:rFonts w:hint="eastAsia"/>
                <w:color w:val="auto"/>
                <w:highlight w:val="none"/>
                <w:lang w:val="en-US" w:eastAsia="zh-CN"/>
              </w:rPr>
              <w:fldChar w:fldCharType="end"/>
            </w:r>
            <w:r>
              <w:rPr>
                <w:rFonts w:hint="eastAsia"/>
                <w:color w:val="auto"/>
                <w:highlight w:val="none"/>
                <w:lang w:val="en-US" w:eastAsia="zh-CN"/>
              </w:rPr>
              <w:t>、气田气、</w:t>
            </w:r>
            <w:r>
              <w:rPr>
                <w:rFonts w:hint="eastAsia"/>
                <w:color w:val="auto"/>
                <w:highlight w:val="none"/>
                <w:lang w:val="en-US" w:eastAsia="zh-CN"/>
              </w:rPr>
              <w:fldChar w:fldCharType="begin"/>
            </w:r>
            <w:r>
              <w:rPr>
                <w:rFonts w:hint="eastAsia"/>
                <w:color w:val="auto"/>
                <w:highlight w:val="none"/>
                <w:lang w:val="en-US" w:eastAsia="zh-CN"/>
              </w:rPr>
              <w:instrText xml:space="preserve"> HYPERLINK "https://baike.so.com/doc/8172559-8489547.html" \t "https://baike.so.com/doc/_blank" </w:instrText>
            </w:r>
            <w:r>
              <w:rPr>
                <w:rFonts w:hint="eastAsia"/>
                <w:color w:val="auto"/>
                <w:highlight w:val="none"/>
                <w:lang w:val="en-US" w:eastAsia="zh-CN"/>
              </w:rPr>
              <w:fldChar w:fldCharType="separate"/>
            </w:r>
            <w:r>
              <w:rPr>
                <w:rFonts w:hint="eastAsia"/>
                <w:color w:val="auto"/>
                <w:highlight w:val="none"/>
                <w:lang w:val="en-US" w:eastAsia="zh-CN"/>
              </w:rPr>
              <w:t>泥火山气</w:t>
            </w:r>
            <w:r>
              <w:rPr>
                <w:rFonts w:hint="eastAsia"/>
                <w:color w:val="auto"/>
                <w:highlight w:val="none"/>
                <w:lang w:val="en-US" w:eastAsia="zh-CN"/>
              </w:rPr>
              <w:fldChar w:fldCharType="end"/>
            </w:r>
            <w:r>
              <w:rPr>
                <w:rFonts w:hint="eastAsia"/>
                <w:color w:val="auto"/>
                <w:highlight w:val="none"/>
                <w:lang w:val="en-US" w:eastAsia="zh-CN"/>
              </w:rPr>
              <w:t>、</w:t>
            </w:r>
            <w:r>
              <w:rPr>
                <w:rFonts w:hint="eastAsia"/>
                <w:color w:val="auto"/>
                <w:highlight w:val="none"/>
                <w:lang w:val="en-US" w:eastAsia="zh-CN"/>
              </w:rPr>
              <w:fldChar w:fldCharType="begin"/>
            </w:r>
            <w:r>
              <w:rPr>
                <w:rFonts w:hint="eastAsia"/>
                <w:color w:val="auto"/>
                <w:highlight w:val="none"/>
                <w:lang w:val="en-US" w:eastAsia="zh-CN"/>
              </w:rPr>
              <w:instrText xml:space="preserve"> HYPERLINK "https://baike.so.com/doc/1180832-1249131.html" \t "https://baike.so.com/doc/_blank" </w:instrText>
            </w:r>
            <w:r>
              <w:rPr>
                <w:rFonts w:hint="eastAsia"/>
                <w:color w:val="auto"/>
                <w:highlight w:val="none"/>
                <w:lang w:val="en-US" w:eastAsia="zh-CN"/>
              </w:rPr>
              <w:fldChar w:fldCharType="separate"/>
            </w:r>
            <w:r>
              <w:rPr>
                <w:rFonts w:hint="eastAsia"/>
                <w:color w:val="auto"/>
                <w:highlight w:val="none"/>
                <w:lang w:val="en-US" w:eastAsia="zh-CN"/>
              </w:rPr>
              <w:t>煤层气</w:t>
            </w:r>
            <w:r>
              <w:rPr>
                <w:rFonts w:hint="eastAsia"/>
                <w:color w:val="auto"/>
                <w:highlight w:val="none"/>
                <w:lang w:val="en-US" w:eastAsia="zh-CN"/>
              </w:rPr>
              <w:fldChar w:fldCharType="end"/>
            </w:r>
            <w:r>
              <w:rPr>
                <w:rFonts w:hint="eastAsia"/>
                <w:color w:val="auto"/>
                <w:highlight w:val="none"/>
                <w:lang w:val="en-US" w:eastAsia="zh-CN"/>
              </w:rPr>
              <w:t>和</w:t>
            </w:r>
            <w:r>
              <w:rPr>
                <w:rFonts w:hint="eastAsia"/>
                <w:color w:val="auto"/>
                <w:highlight w:val="none"/>
                <w:lang w:val="en-US" w:eastAsia="zh-CN"/>
              </w:rPr>
              <w:fldChar w:fldCharType="begin"/>
            </w:r>
            <w:r>
              <w:rPr>
                <w:rFonts w:hint="eastAsia"/>
                <w:color w:val="auto"/>
                <w:highlight w:val="none"/>
                <w:lang w:val="en-US" w:eastAsia="zh-CN"/>
              </w:rPr>
              <w:instrText xml:space="preserve"> HYPERLINK "https://baike.so.com/doc/9740058-10086592.html" \t "https://baike.so.com/doc/_blank" </w:instrText>
            </w:r>
            <w:r>
              <w:rPr>
                <w:rFonts w:hint="eastAsia"/>
                <w:color w:val="auto"/>
                <w:highlight w:val="none"/>
                <w:lang w:val="en-US" w:eastAsia="zh-CN"/>
              </w:rPr>
              <w:fldChar w:fldCharType="separate"/>
            </w:r>
            <w:r>
              <w:rPr>
                <w:rFonts w:hint="eastAsia"/>
                <w:color w:val="auto"/>
                <w:highlight w:val="none"/>
                <w:lang w:val="en-US" w:eastAsia="zh-CN"/>
              </w:rPr>
              <w:t>生物生成气</w:t>
            </w:r>
            <w:r>
              <w:rPr>
                <w:rFonts w:hint="eastAsia"/>
                <w:color w:val="auto"/>
                <w:highlight w:val="none"/>
                <w:lang w:val="en-US" w:eastAsia="zh-CN"/>
              </w:rPr>
              <w:fldChar w:fldCharType="end"/>
            </w:r>
            <w:r>
              <w:rPr>
                <w:rFonts w:hint="eastAsia"/>
                <w:color w:val="auto"/>
                <w:highlight w:val="none"/>
                <w:lang w:val="en-US" w:eastAsia="zh-CN"/>
              </w:rPr>
              <w:t>等）。其组成以烃类为主，并含有非烃气体，因而燃烧产生黄色或蓝色火焰。</w:t>
            </w:r>
          </w:p>
          <w:p w14:paraId="07A9830C">
            <w:pPr>
              <w:bidi w:val="0"/>
              <w:rPr>
                <w:rFonts w:hint="eastAsia"/>
                <w:color w:val="auto"/>
                <w:highlight w:val="none"/>
                <w:lang w:val="en-US" w:eastAsia="zh-CN"/>
              </w:rPr>
            </w:pPr>
            <w:r>
              <w:rPr>
                <w:rFonts w:hint="eastAsia"/>
                <w:color w:val="auto"/>
                <w:highlight w:val="none"/>
                <w:lang w:val="en-US" w:eastAsia="zh-CN"/>
              </w:rPr>
              <w:t>天然气主要用途是作燃料，可制造炭黑、化学药品和</w:t>
            </w:r>
            <w:r>
              <w:rPr>
                <w:rFonts w:hint="eastAsia"/>
                <w:color w:val="auto"/>
                <w:highlight w:val="none"/>
                <w:lang w:val="en-US" w:eastAsia="zh-CN"/>
              </w:rPr>
              <w:fldChar w:fldCharType="begin"/>
            </w:r>
            <w:r>
              <w:rPr>
                <w:rFonts w:hint="eastAsia"/>
                <w:color w:val="auto"/>
                <w:highlight w:val="none"/>
                <w:lang w:val="en-US" w:eastAsia="zh-CN"/>
              </w:rPr>
              <w:instrText xml:space="preserve"> HYPERLINK "https://baike.so.com/doc/896140-947292.html" \t "https://baike.so.com/doc/_blank" </w:instrText>
            </w:r>
            <w:r>
              <w:rPr>
                <w:rFonts w:hint="eastAsia"/>
                <w:color w:val="auto"/>
                <w:highlight w:val="none"/>
                <w:lang w:val="en-US" w:eastAsia="zh-CN"/>
              </w:rPr>
              <w:fldChar w:fldCharType="separate"/>
            </w:r>
            <w:r>
              <w:rPr>
                <w:rFonts w:hint="eastAsia"/>
                <w:color w:val="auto"/>
                <w:highlight w:val="none"/>
                <w:lang w:val="en-US" w:eastAsia="zh-CN"/>
              </w:rPr>
              <w:t>液化石油气</w:t>
            </w:r>
            <w:r>
              <w:rPr>
                <w:rFonts w:hint="eastAsia"/>
                <w:color w:val="auto"/>
                <w:highlight w:val="none"/>
                <w:lang w:val="en-US" w:eastAsia="zh-CN"/>
              </w:rPr>
              <w:fldChar w:fldCharType="end"/>
            </w:r>
            <w:r>
              <w:rPr>
                <w:rFonts w:hint="eastAsia"/>
                <w:color w:val="auto"/>
                <w:highlight w:val="none"/>
                <w:lang w:val="en-US" w:eastAsia="zh-CN"/>
              </w:rPr>
              <w:t>，由天然气生产的丙烷、丁烷是现代工业的重要原料。天然气主要由气态</w:t>
            </w:r>
            <w:r>
              <w:rPr>
                <w:rFonts w:hint="eastAsia"/>
                <w:color w:val="auto"/>
                <w:highlight w:val="none"/>
                <w:lang w:val="en-US" w:eastAsia="zh-CN"/>
              </w:rPr>
              <w:fldChar w:fldCharType="begin"/>
            </w:r>
            <w:r>
              <w:rPr>
                <w:rFonts w:hint="eastAsia"/>
                <w:color w:val="auto"/>
                <w:highlight w:val="none"/>
                <w:lang w:val="en-US" w:eastAsia="zh-CN"/>
              </w:rPr>
              <w:instrText xml:space="preserve"> HYPERLINK "https://baike.so.com/doc/1469734-1554021.html" \t "https://baike.so.com/doc/_blank" </w:instrText>
            </w:r>
            <w:r>
              <w:rPr>
                <w:rFonts w:hint="eastAsia"/>
                <w:color w:val="auto"/>
                <w:highlight w:val="none"/>
                <w:lang w:val="en-US" w:eastAsia="zh-CN"/>
              </w:rPr>
              <w:fldChar w:fldCharType="separate"/>
            </w:r>
            <w:r>
              <w:rPr>
                <w:rFonts w:hint="eastAsia"/>
                <w:color w:val="auto"/>
                <w:highlight w:val="none"/>
                <w:lang w:val="en-US" w:eastAsia="zh-CN"/>
              </w:rPr>
              <w:t>低分子烃</w:t>
            </w:r>
            <w:r>
              <w:rPr>
                <w:rFonts w:hint="eastAsia"/>
                <w:color w:val="auto"/>
                <w:highlight w:val="none"/>
                <w:lang w:val="en-US" w:eastAsia="zh-CN"/>
              </w:rPr>
              <w:fldChar w:fldCharType="end"/>
            </w:r>
            <w:r>
              <w:rPr>
                <w:rFonts w:hint="eastAsia"/>
                <w:color w:val="auto"/>
                <w:highlight w:val="none"/>
                <w:lang w:val="en-US" w:eastAsia="zh-CN"/>
              </w:rPr>
              <w:t>和非烃气体混合组成。天然气是存在于地下岩石储集层中以烃为主体的</w:t>
            </w:r>
            <w:r>
              <w:rPr>
                <w:rFonts w:hint="eastAsia"/>
                <w:color w:val="auto"/>
                <w:highlight w:val="none"/>
                <w:lang w:val="en-US" w:eastAsia="zh-CN"/>
              </w:rPr>
              <w:fldChar w:fldCharType="begin"/>
            </w:r>
            <w:r>
              <w:rPr>
                <w:rFonts w:hint="eastAsia"/>
                <w:color w:val="auto"/>
                <w:highlight w:val="none"/>
                <w:lang w:val="en-US" w:eastAsia="zh-CN"/>
              </w:rPr>
              <w:instrText xml:space="preserve"> HYPERLINK "https://baike.so.com/doc/5893907-6106794.html" \t "https://baike.so.com/doc/_blank" </w:instrText>
            </w:r>
            <w:r>
              <w:rPr>
                <w:rFonts w:hint="eastAsia"/>
                <w:color w:val="auto"/>
                <w:highlight w:val="none"/>
                <w:lang w:val="en-US" w:eastAsia="zh-CN"/>
              </w:rPr>
              <w:fldChar w:fldCharType="separate"/>
            </w:r>
            <w:r>
              <w:rPr>
                <w:rFonts w:hint="eastAsia"/>
                <w:color w:val="auto"/>
                <w:highlight w:val="none"/>
                <w:lang w:val="en-US" w:eastAsia="zh-CN"/>
              </w:rPr>
              <w:t>混合气体</w:t>
            </w:r>
            <w:r>
              <w:rPr>
                <w:rFonts w:hint="eastAsia"/>
                <w:color w:val="auto"/>
                <w:highlight w:val="none"/>
                <w:lang w:val="en-US" w:eastAsia="zh-CN"/>
              </w:rPr>
              <w:fldChar w:fldCharType="end"/>
            </w:r>
            <w:r>
              <w:rPr>
                <w:rFonts w:hint="eastAsia"/>
                <w:color w:val="auto"/>
                <w:highlight w:val="none"/>
                <w:lang w:val="en-US" w:eastAsia="zh-CN"/>
              </w:rPr>
              <w:t>的统称，</w:t>
            </w:r>
            <w:r>
              <w:rPr>
                <w:rFonts w:hint="eastAsia"/>
                <w:color w:val="auto"/>
                <w:highlight w:val="none"/>
                <w:lang w:val="en-US" w:eastAsia="zh-CN"/>
              </w:rPr>
              <w:fldChar w:fldCharType="begin"/>
            </w:r>
            <w:r>
              <w:rPr>
                <w:rFonts w:hint="eastAsia"/>
                <w:color w:val="auto"/>
                <w:highlight w:val="none"/>
                <w:lang w:val="en-US" w:eastAsia="zh-CN"/>
              </w:rPr>
              <w:instrText xml:space="preserve"> HYPERLINK "https://baike.so.com/doc/2447932-2587757.html" \t "https://baike.so.com/doc/_blank" </w:instrText>
            </w:r>
            <w:r>
              <w:rPr>
                <w:rFonts w:hint="eastAsia"/>
                <w:color w:val="auto"/>
                <w:highlight w:val="none"/>
                <w:lang w:val="en-US" w:eastAsia="zh-CN"/>
              </w:rPr>
              <w:fldChar w:fldCharType="separate"/>
            </w:r>
            <w:r>
              <w:rPr>
                <w:rFonts w:hint="eastAsia"/>
                <w:color w:val="auto"/>
                <w:highlight w:val="none"/>
                <w:lang w:val="en-US" w:eastAsia="zh-CN"/>
              </w:rPr>
              <w:t>比重</w:t>
            </w:r>
            <w:r>
              <w:rPr>
                <w:rFonts w:hint="eastAsia"/>
                <w:color w:val="auto"/>
                <w:highlight w:val="none"/>
                <w:lang w:val="en-US" w:eastAsia="zh-CN"/>
              </w:rPr>
              <w:fldChar w:fldCharType="end"/>
            </w:r>
            <w:r>
              <w:rPr>
                <w:rFonts w:hint="eastAsia"/>
                <w:color w:val="auto"/>
                <w:highlight w:val="none"/>
                <w:lang w:val="en-US" w:eastAsia="zh-CN"/>
              </w:rPr>
              <w:t>约0.65，比空气轻，具有无色、无味、无毒之特性。</w:t>
            </w:r>
          </w:p>
          <w:p w14:paraId="48D1F01E">
            <w:pPr>
              <w:bidi w:val="0"/>
              <w:rPr>
                <w:rFonts w:hint="default"/>
                <w:color w:val="auto"/>
                <w:highlight w:val="none"/>
                <w:lang w:val="en-US" w:eastAsia="zh-CN"/>
              </w:rPr>
            </w:pPr>
            <w:r>
              <w:rPr>
                <w:rFonts w:hint="eastAsia"/>
                <w:color w:val="auto"/>
                <w:highlight w:val="none"/>
                <w:lang w:val="en-US" w:eastAsia="zh-CN"/>
              </w:rPr>
              <w:t>天然气主要成分</w:t>
            </w:r>
            <w:r>
              <w:rPr>
                <w:rFonts w:hint="eastAsia"/>
                <w:color w:val="auto"/>
                <w:highlight w:val="none"/>
                <w:lang w:val="en-US" w:eastAsia="zh-CN"/>
              </w:rPr>
              <w:fldChar w:fldCharType="begin"/>
            </w:r>
            <w:r>
              <w:rPr>
                <w:rFonts w:hint="eastAsia"/>
                <w:color w:val="auto"/>
                <w:highlight w:val="none"/>
                <w:lang w:val="en-US" w:eastAsia="zh-CN"/>
              </w:rPr>
              <w:instrText xml:space="preserve"> HYPERLINK "https://baike.so.com/doc/1378366-1457098.html" \t "https://baike.so.com/doc/_blank" </w:instrText>
            </w:r>
            <w:r>
              <w:rPr>
                <w:rFonts w:hint="eastAsia"/>
                <w:color w:val="auto"/>
                <w:highlight w:val="none"/>
                <w:lang w:val="en-US" w:eastAsia="zh-CN"/>
              </w:rPr>
              <w:fldChar w:fldCharType="separate"/>
            </w:r>
            <w:r>
              <w:rPr>
                <w:rFonts w:hint="eastAsia"/>
                <w:color w:val="auto"/>
                <w:highlight w:val="none"/>
                <w:lang w:val="en-US" w:eastAsia="zh-CN"/>
              </w:rPr>
              <w:t>烷烃</w:t>
            </w:r>
            <w:r>
              <w:rPr>
                <w:rFonts w:hint="eastAsia"/>
                <w:color w:val="auto"/>
                <w:highlight w:val="none"/>
                <w:lang w:val="en-US" w:eastAsia="zh-CN"/>
              </w:rPr>
              <w:fldChar w:fldCharType="end"/>
            </w:r>
            <w:r>
              <w:rPr>
                <w:rFonts w:hint="eastAsia"/>
                <w:color w:val="auto"/>
                <w:highlight w:val="none"/>
                <w:lang w:val="en-US" w:eastAsia="zh-CN"/>
              </w:rPr>
              <w:t>，其中甲烷占绝大多数，另有少量的</w:t>
            </w:r>
            <w:r>
              <w:rPr>
                <w:rFonts w:hint="eastAsia"/>
                <w:color w:val="auto"/>
                <w:highlight w:val="none"/>
                <w:lang w:val="en-US" w:eastAsia="zh-CN"/>
              </w:rPr>
              <w:fldChar w:fldCharType="begin"/>
            </w:r>
            <w:r>
              <w:rPr>
                <w:rFonts w:hint="eastAsia"/>
                <w:color w:val="auto"/>
                <w:highlight w:val="none"/>
                <w:lang w:val="en-US" w:eastAsia="zh-CN"/>
              </w:rPr>
              <w:instrText xml:space="preserve"> HYPERLINK "https://baike.so.com/doc/719999-762284.html" \t "https://baike.so.com/doc/_blank" </w:instrText>
            </w:r>
            <w:r>
              <w:rPr>
                <w:rFonts w:hint="eastAsia"/>
                <w:color w:val="auto"/>
                <w:highlight w:val="none"/>
                <w:lang w:val="en-US" w:eastAsia="zh-CN"/>
              </w:rPr>
              <w:fldChar w:fldCharType="separate"/>
            </w:r>
            <w:r>
              <w:rPr>
                <w:rFonts w:hint="eastAsia"/>
                <w:color w:val="auto"/>
                <w:highlight w:val="none"/>
                <w:lang w:val="en-US" w:eastAsia="zh-CN"/>
              </w:rPr>
              <w:t>乙烷</w:t>
            </w:r>
            <w:r>
              <w:rPr>
                <w:rFonts w:hint="eastAsia"/>
                <w:color w:val="auto"/>
                <w:highlight w:val="none"/>
                <w:lang w:val="en-US" w:eastAsia="zh-CN"/>
              </w:rPr>
              <w:fldChar w:fldCharType="end"/>
            </w:r>
            <w:r>
              <w:rPr>
                <w:rFonts w:hint="eastAsia"/>
                <w:color w:val="auto"/>
                <w:highlight w:val="none"/>
                <w:lang w:val="en-US" w:eastAsia="zh-CN"/>
              </w:rPr>
              <w:t>、</w:t>
            </w:r>
            <w:r>
              <w:rPr>
                <w:rFonts w:hint="eastAsia"/>
                <w:color w:val="auto"/>
                <w:highlight w:val="none"/>
                <w:lang w:val="en-US" w:eastAsia="zh-CN"/>
              </w:rPr>
              <w:fldChar w:fldCharType="begin"/>
            </w:r>
            <w:r>
              <w:rPr>
                <w:rFonts w:hint="eastAsia"/>
                <w:color w:val="auto"/>
                <w:highlight w:val="none"/>
                <w:lang w:val="en-US" w:eastAsia="zh-CN"/>
              </w:rPr>
              <w:instrText xml:space="preserve"> HYPERLINK "https://baike.so.com/doc/489999-7117624.html" \t "https://baike.so.com/doc/_blank" </w:instrText>
            </w:r>
            <w:r>
              <w:rPr>
                <w:rFonts w:hint="eastAsia"/>
                <w:color w:val="auto"/>
                <w:highlight w:val="none"/>
                <w:lang w:val="en-US" w:eastAsia="zh-CN"/>
              </w:rPr>
              <w:fldChar w:fldCharType="separate"/>
            </w:r>
            <w:r>
              <w:rPr>
                <w:rFonts w:hint="eastAsia"/>
                <w:color w:val="auto"/>
                <w:highlight w:val="none"/>
                <w:lang w:val="en-US" w:eastAsia="zh-CN"/>
              </w:rPr>
              <w:t>丙烷</w:t>
            </w:r>
            <w:r>
              <w:rPr>
                <w:rFonts w:hint="eastAsia"/>
                <w:color w:val="auto"/>
                <w:highlight w:val="none"/>
                <w:lang w:val="en-US" w:eastAsia="zh-CN"/>
              </w:rPr>
              <w:fldChar w:fldCharType="end"/>
            </w:r>
            <w:r>
              <w:rPr>
                <w:rFonts w:hint="eastAsia"/>
                <w:color w:val="auto"/>
                <w:highlight w:val="none"/>
                <w:lang w:val="en-US" w:eastAsia="zh-CN"/>
              </w:rPr>
              <w:t>和</w:t>
            </w:r>
            <w:r>
              <w:rPr>
                <w:rFonts w:hint="eastAsia"/>
                <w:color w:val="auto"/>
                <w:highlight w:val="none"/>
                <w:lang w:val="en-US" w:eastAsia="zh-CN"/>
              </w:rPr>
              <w:fldChar w:fldCharType="begin"/>
            </w:r>
            <w:r>
              <w:rPr>
                <w:rFonts w:hint="eastAsia"/>
                <w:color w:val="auto"/>
                <w:highlight w:val="none"/>
                <w:lang w:val="en-US" w:eastAsia="zh-CN"/>
              </w:rPr>
              <w:instrText xml:space="preserve"> HYPERLINK "https://baike.so.com/doc/5441661-5680001.html" \t "https://baike.so.com/doc/_blank" </w:instrText>
            </w:r>
            <w:r>
              <w:rPr>
                <w:rFonts w:hint="eastAsia"/>
                <w:color w:val="auto"/>
                <w:highlight w:val="none"/>
                <w:lang w:val="en-US" w:eastAsia="zh-CN"/>
              </w:rPr>
              <w:fldChar w:fldCharType="separate"/>
            </w:r>
            <w:r>
              <w:rPr>
                <w:rFonts w:hint="eastAsia"/>
                <w:color w:val="auto"/>
                <w:highlight w:val="none"/>
                <w:lang w:val="en-US" w:eastAsia="zh-CN"/>
              </w:rPr>
              <w:t>丁烷</w:t>
            </w:r>
            <w:r>
              <w:rPr>
                <w:rFonts w:hint="eastAsia"/>
                <w:color w:val="auto"/>
                <w:highlight w:val="none"/>
                <w:lang w:val="en-US" w:eastAsia="zh-CN"/>
              </w:rPr>
              <w:fldChar w:fldCharType="end"/>
            </w:r>
            <w:r>
              <w:rPr>
                <w:rFonts w:hint="eastAsia"/>
                <w:color w:val="auto"/>
                <w:highlight w:val="none"/>
                <w:lang w:val="en-US" w:eastAsia="zh-CN"/>
              </w:rPr>
              <w:t>，此外一般有</w:t>
            </w:r>
            <w:r>
              <w:rPr>
                <w:rFonts w:hint="eastAsia"/>
                <w:color w:val="auto"/>
                <w:highlight w:val="none"/>
                <w:lang w:val="en-US" w:eastAsia="zh-CN"/>
              </w:rPr>
              <w:fldChar w:fldCharType="begin"/>
            </w:r>
            <w:r>
              <w:rPr>
                <w:rFonts w:hint="eastAsia"/>
                <w:color w:val="auto"/>
                <w:highlight w:val="none"/>
                <w:lang w:val="en-US" w:eastAsia="zh-CN"/>
              </w:rPr>
              <w:instrText xml:space="preserve"> HYPERLINK "https://baike.so.com/doc/876621-926630.html" \t "https://baike.so.com/doc/_blank" </w:instrText>
            </w:r>
            <w:r>
              <w:rPr>
                <w:rFonts w:hint="eastAsia"/>
                <w:color w:val="auto"/>
                <w:highlight w:val="none"/>
                <w:lang w:val="en-US" w:eastAsia="zh-CN"/>
              </w:rPr>
              <w:fldChar w:fldCharType="separate"/>
            </w:r>
            <w:r>
              <w:rPr>
                <w:rFonts w:hint="eastAsia"/>
                <w:color w:val="auto"/>
                <w:highlight w:val="none"/>
                <w:lang w:val="en-US" w:eastAsia="zh-CN"/>
              </w:rPr>
              <w:t>硫化氢</w:t>
            </w:r>
            <w:r>
              <w:rPr>
                <w:rFonts w:hint="eastAsia"/>
                <w:color w:val="auto"/>
                <w:highlight w:val="none"/>
                <w:lang w:val="en-US" w:eastAsia="zh-CN"/>
              </w:rPr>
              <w:fldChar w:fldCharType="end"/>
            </w:r>
            <w:r>
              <w:rPr>
                <w:rFonts w:hint="eastAsia"/>
                <w:color w:val="auto"/>
                <w:highlight w:val="none"/>
                <w:lang w:val="en-US" w:eastAsia="zh-CN"/>
              </w:rPr>
              <w:t>、二氧化碳、氮和水气和少量一氧化碳及微量的稀有气体，如</w:t>
            </w:r>
            <w:r>
              <w:rPr>
                <w:rFonts w:hint="eastAsia"/>
                <w:color w:val="auto"/>
                <w:highlight w:val="none"/>
                <w:lang w:val="en-US" w:eastAsia="zh-CN"/>
              </w:rPr>
              <w:fldChar w:fldCharType="begin"/>
            </w:r>
            <w:r>
              <w:rPr>
                <w:rFonts w:hint="eastAsia"/>
                <w:color w:val="auto"/>
                <w:highlight w:val="none"/>
                <w:lang w:val="en-US" w:eastAsia="zh-CN"/>
              </w:rPr>
              <w:instrText xml:space="preserve"> HYPERLINK "https://baike.so.com/doc/1730036-1829074.html" \t "https://baike.so.com/doc/_blank" </w:instrText>
            </w:r>
            <w:r>
              <w:rPr>
                <w:rFonts w:hint="eastAsia"/>
                <w:color w:val="auto"/>
                <w:highlight w:val="none"/>
                <w:lang w:val="en-US" w:eastAsia="zh-CN"/>
              </w:rPr>
              <w:fldChar w:fldCharType="separate"/>
            </w:r>
            <w:r>
              <w:rPr>
                <w:rFonts w:hint="eastAsia"/>
                <w:color w:val="auto"/>
                <w:highlight w:val="none"/>
                <w:lang w:val="en-US" w:eastAsia="zh-CN"/>
              </w:rPr>
              <w:t>氦</w:t>
            </w:r>
            <w:r>
              <w:rPr>
                <w:rFonts w:hint="eastAsia"/>
                <w:color w:val="auto"/>
                <w:highlight w:val="none"/>
                <w:lang w:val="en-US" w:eastAsia="zh-CN"/>
              </w:rPr>
              <w:fldChar w:fldCharType="end"/>
            </w:r>
            <w:r>
              <w:rPr>
                <w:rFonts w:hint="eastAsia"/>
                <w:color w:val="auto"/>
                <w:highlight w:val="none"/>
                <w:lang w:val="en-US" w:eastAsia="zh-CN"/>
              </w:rPr>
              <w:t>和</w:t>
            </w:r>
            <w:r>
              <w:rPr>
                <w:rFonts w:hint="eastAsia"/>
                <w:color w:val="auto"/>
                <w:highlight w:val="none"/>
                <w:lang w:val="en-US" w:eastAsia="zh-CN"/>
              </w:rPr>
              <w:fldChar w:fldCharType="begin"/>
            </w:r>
            <w:r>
              <w:rPr>
                <w:rFonts w:hint="eastAsia"/>
                <w:color w:val="auto"/>
                <w:highlight w:val="none"/>
                <w:lang w:val="en-US" w:eastAsia="zh-CN"/>
              </w:rPr>
              <w:instrText xml:space="preserve"> HYPERLINK "https://baike.so.com/doc/4233864-4435758.html" \t "https://baike.so.com/doc/_blank" </w:instrText>
            </w:r>
            <w:r>
              <w:rPr>
                <w:rFonts w:hint="eastAsia"/>
                <w:color w:val="auto"/>
                <w:highlight w:val="none"/>
                <w:lang w:val="en-US" w:eastAsia="zh-CN"/>
              </w:rPr>
              <w:fldChar w:fldCharType="separate"/>
            </w:r>
            <w:r>
              <w:rPr>
                <w:rFonts w:hint="eastAsia"/>
                <w:color w:val="auto"/>
                <w:highlight w:val="none"/>
                <w:lang w:val="en-US" w:eastAsia="zh-CN"/>
              </w:rPr>
              <w:t>氩</w:t>
            </w:r>
            <w:r>
              <w:rPr>
                <w:rFonts w:hint="eastAsia"/>
                <w:color w:val="auto"/>
                <w:highlight w:val="none"/>
                <w:lang w:val="en-US" w:eastAsia="zh-CN"/>
              </w:rPr>
              <w:fldChar w:fldCharType="end"/>
            </w:r>
            <w:r>
              <w:rPr>
                <w:rFonts w:hint="eastAsia"/>
                <w:color w:val="auto"/>
                <w:highlight w:val="none"/>
                <w:lang w:val="en-US" w:eastAsia="zh-CN"/>
              </w:rPr>
              <w:t>等。天然气不溶于</w:t>
            </w:r>
            <w:r>
              <w:rPr>
                <w:rFonts w:hint="eastAsia"/>
                <w:color w:val="auto"/>
                <w:highlight w:val="none"/>
                <w:lang w:val="en-US" w:eastAsia="zh-CN"/>
              </w:rPr>
              <w:fldChar w:fldCharType="begin"/>
            </w:r>
            <w:r>
              <w:rPr>
                <w:rFonts w:hint="eastAsia"/>
                <w:color w:val="auto"/>
                <w:highlight w:val="none"/>
                <w:lang w:val="en-US" w:eastAsia="zh-CN"/>
              </w:rPr>
              <w:instrText xml:space="preserve"> HYPERLINK "https://baike.so.com/doc/5342961-7116906.html" \t "https://baike.so.com/doc/_blank" </w:instrText>
            </w:r>
            <w:r>
              <w:rPr>
                <w:rFonts w:hint="eastAsia"/>
                <w:color w:val="auto"/>
                <w:highlight w:val="none"/>
                <w:lang w:val="en-US" w:eastAsia="zh-CN"/>
              </w:rPr>
              <w:fldChar w:fldCharType="separate"/>
            </w:r>
            <w:r>
              <w:rPr>
                <w:rFonts w:hint="eastAsia"/>
                <w:color w:val="auto"/>
                <w:highlight w:val="none"/>
                <w:lang w:val="en-US" w:eastAsia="zh-CN"/>
              </w:rPr>
              <w:t>水</w:t>
            </w:r>
            <w:r>
              <w:rPr>
                <w:rFonts w:hint="eastAsia"/>
                <w:color w:val="auto"/>
                <w:highlight w:val="none"/>
                <w:lang w:val="en-US" w:eastAsia="zh-CN"/>
              </w:rPr>
              <w:fldChar w:fldCharType="end"/>
            </w:r>
            <w:r>
              <w:rPr>
                <w:rFonts w:hint="eastAsia"/>
                <w:color w:val="auto"/>
                <w:highlight w:val="none"/>
                <w:lang w:val="en-US" w:eastAsia="zh-CN"/>
              </w:rPr>
              <w:t>，密度为0.7174kg/Nm</w:t>
            </w:r>
            <w:r>
              <w:rPr>
                <w:rFonts w:hint="eastAsia"/>
                <w:color w:val="auto"/>
                <w:highlight w:val="none"/>
                <w:vertAlign w:val="superscript"/>
                <w:lang w:val="en-US" w:eastAsia="zh-CN"/>
              </w:rPr>
              <w:t>3</w:t>
            </w:r>
            <w:r>
              <w:rPr>
                <w:rFonts w:hint="eastAsia"/>
                <w:color w:val="auto"/>
                <w:highlight w:val="none"/>
                <w:lang w:val="en-US" w:eastAsia="zh-CN"/>
              </w:rPr>
              <w:t>，相对密度（水）</w:t>
            </w:r>
            <w:r>
              <w:rPr>
                <w:rFonts w:hint="eastAsia" w:ascii="Times New Roman" w:eastAsia="宋体"/>
                <w:color w:val="auto"/>
                <w:highlight w:val="none"/>
                <w:lang w:val="en-US" w:eastAsia="zh-CN"/>
              </w:rPr>
              <w:t>约</w:t>
            </w:r>
            <w:r>
              <w:rPr>
                <w:rFonts w:hint="eastAsia"/>
                <w:color w:val="auto"/>
                <w:highlight w:val="none"/>
                <w:lang w:val="en-US" w:eastAsia="zh-CN"/>
              </w:rPr>
              <w:t>为0.45（液化）燃点为650℃，</w:t>
            </w:r>
            <w:r>
              <w:rPr>
                <w:rFonts w:hint="eastAsia"/>
                <w:color w:val="auto"/>
                <w:highlight w:val="none"/>
                <w:lang w:val="en-US" w:eastAsia="zh-CN"/>
              </w:rPr>
              <w:fldChar w:fldCharType="begin"/>
            </w:r>
            <w:r>
              <w:rPr>
                <w:rFonts w:hint="eastAsia"/>
                <w:color w:val="auto"/>
                <w:highlight w:val="none"/>
                <w:lang w:val="en-US" w:eastAsia="zh-CN"/>
              </w:rPr>
              <w:instrText xml:space="preserve"> HYPERLINK "https://baike.so.com/doc/625906-662542.html" \t "https://baike.so.com/doc/_blank" </w:instrText>
            </w:r>
            <w:r>
              <w:rPr>
                <w:rFonts w:hint="eastAsia"/>
                <w:color w:val="auto"/>
                <w:highlight w:val="none"/>
                <w:lang w:val="en-US" w:eastAsia="zh-CN"/>
              </w:rPr>
              <w:fldChar w:fldCharType="separate"/>
            </w:r>
            <w:r>
              <w:rPr>
                <w:rFonts w:hint="eastAsia"/>
                <w:color w:val="auto"/>
                <w:highlight w:val="none"/>
                <w:lang w:val="en-US" w:eastAsia="zh-CN"/>
              </w:rPr>
              <w:t>爆炸极限</w:t>
            </w:r>
            <w:r>
              <w:rPr>
                <w:rFonts w:hint="eastAsia"/>
                <w:color w:val="auto"/>
                <w:highlight w:val="none"/>
                <w:lang w:val="en-US" w:eastAsia="zh-CN"/>
              </w:rPr>
              <w:fldChar w:fldCharType="end"/>
            </w:r>
            <w:r>
              <w:rPr>
                <w:rFonts w:hint="eastAsia"/>
                <w:color w:val="auto"/>
                <w:highlight w:val="none"/>
                <w:lang w:val="en-US" w:eastAsia="zh-CN"/>
              </w:rPr>
              <w:t>（V%）为5-15。在</w:t>
            </w:r>
            <w:r>
              <w:rPr>
                <w:rFonts w:hint="eastAsia"/>
                <w:color w:val="auto"/>
                <w:highlight w:val="none"/>
                <w:lang w:val="en-US" w:eastAsia="zh-CN"/>
              </w:rPr>
              <w:fldChar w:fldCharType="begin"/>
            </w:r>
            <w:r>
              <w:rPr>
                <w:rFonts w:hint="eastAsia"/>
                <w:color w:val="auto"/>
                <w:highlight w:val="none"/>
                <w:lang w:val="en-US" w:eastAsia="zh-CN"/>
              </w:rPr>
              <w:instrText xml:space="preserve"> HYPERLINK "https://baike.so.com/doc/553589-586107.html" \t "https://baike.so.com/doc/_blank" </w:instrText>
            </w:r>
            <w:r>
              <w:rPr>
                <w:rFonts w:hint="eastAsia"/>
                <w:color w:val="auto"/>
                <w:highlight w:val="none"/>
                <w:lang w:val="en-US" w:eastAsia="zh-CN"/>
              </w:rPr>
              <w:fldChar w:fldCharType="separate"/>
            </w:r>
            <w:r>
              <w:rPr>
                <w:rFonts w:hint="eastAsia"/>
                <w:color w:val="auto"/>
                <w:highlight w:val="none"/>
                <w:lang w:val="en-US" w:eastAsia="zh-CN"/>
              </w:rPr>
              <w:t>标准状况</w:t>
            </w:r>
            <w:r>
              <w:rPr>
                <w:rFonts w:hint="eastAsia"/>
                <w:color w:val="auto"/>
                <w:highlight w:val="none"/>
                <w:lang w:val="en-US" w:eastAsia="zh-CN"/>
              </w:rPr>
              <w:fldChar w:fldCharType="end"/>
            </w:r>
            <w:r>
              <w:rPr>
                <w:rFonts w:hint="eastAsia"/>
                <w:color w:val="auto"/>
                <w:highlight w:val="none"/>
                <w:lang w:val="en-US" w:eastAsia="zh-CN"/>
              </w:rPr>
              <w:t>下，甲烷至丁烷以气体状态存在，戊烷以上为液体。甲烷是最短和最轻的</w:t>
            </w:r>
            <w:r>
              <w:rPr>
                <w:rFonts w:hint="eastAsia"/>
                <w:color w:val="auto"/>
                <w:highlight w:val="none"/>
                <w:lang w:val="en-US" w:eastAsia="zh-CN"/>
              </w:rPr>
              <w:fldChar w:fldCharType="begin"/>
            </w:r>
            <w:r>
              <w:rPr>
                <w:rFonts w:hint="eastAsia"/>
                <w:color w:val="auto"/>
                <w:highlight w:val="none"/>
                <w:lang w:val="en-US" w:eastAsia="zh-CN"/>
              </w:rPr>
              <w:instrText xml:space="preserve"> HYPERLINK "https://baike.so.com/doc/3658052-3844889.html" \t "https://baike.so.com/doc/_blank" </w:instrText>
            </w:r>
            <w:r>
              <w:rPr>
                <w:rFonts w:hint="eastAsia"/>
                <w:color w:val="auto"/>
                <w:highlight w:val="none"/>
                <w:lang w:val="en-US" w:eastAsia="zh-CN"/>
              </w:rPr>
              <w:fldChar w:fldCharType="separate"/>
            </w:r>
            <w:r>
              <w:rPr>
                <w:rFonts w:hint="eastAsia"/>
                <w:color w:val="auto"/>
                <w:highlight w:val="none"/>
                <w:lang w:val="en-US" w:eastAsia="zh-CN"/>
              </w:rPr>
              <w:t>烃</w:t>
            </w:r>
            <w:r>
              <w:rPr>
                <w:rFonts w:hint="eastAsia"/>
                <w:color w:val="auto"/>
                <w:highlight w:val="none"/>
                <w:lang w:val="en-US" w:eastAsia="zh-CN"/>
              </w:rPr>
              <w:fldChar w:fldCharType="end"/>
            </w:r>
            <w:r>
              <w:rPr>
                <w:rFonts w:hint="eastAsia"/>
                <w:color w:val="auto"/>
                <w:highlight w:val="none"/>
                <w:lang w:val="en-US" w:eastAsia="zh-CN"/>
              </w:rPr>
              <w:t>分子。有机硫化物和</w:t>
            </w:r>
            <w:r>
              <w:rPr>
                <w:rFonts w:hint="eastAsia"/>
                <w:color w:val="auto"/>
                <w:highlight w:val="none"/>
                <w:lang w:val="en-US" w:eastAsia="zh-CN"/>
              </w:rPr>
              <w:fldChar w:fldCharType="begin"/>
            </w:r>
            <w:r>
              <w:rPr>
                <w:rFonts w:hint="eastAsia"/>
                <w:color w:val="auto"/>
                <w:highlight w:val="none"/>
                <w:lang w:val="en-US" w:eastAsia="zh-CN"/>
              </w:rPr>
              <w:instrText xml:space="preserve"> HYPERLINK "https://baike.so.com/doc/876621-926630.html" \t "https://baike.so.com/doc/_blank" </w:instrText>
            </w:r>
            <w:r>
              <w:rPr>
                <w:rFonts w:hint="eastAsia"/>
                <w:color w:val="auto"/>
                <w:highlight w:val="none"/>
                <w:lang w:val="en-US" w:eastAsia="zh-CN"/>
              </w:rPr>
              <w:fldChar w:fldCharType="separate"/>
            </w:r>
            <w:r>
              <w:rPr>
                <w:rFonts w:hint="eastAsia"/>
                <w:color w:val="auto"/>
                <w:highlight w:val="none"/>
                <w:lang w:val="en-US" w:eastAsia="zh-CN"/>
              </w:rPr>
              <w:t>硫化氢</w:t>
            </w:r>
            <w:r>
              <w:rPr>
                <w:rFonts w:hint="eastAsia"/>
                <w:color w:val="auto"/>
                <w:highlight w:val="none"/>
                <w:lang w:val="en-US" w:eastAsia="zh-CN"/>
              </w:rPr>
              <w:fldChar w:fldCharType="end"/>
            </w:r>
            <w:r>
              <w:rPr>
                <w:rFonts w:hint="eastAsia"/>
                <w:color w:val="auto"/>
                <w:highlight w:val="none"/>
                <w:lang w:val="en-US" w:eastAsia="zh-CN"/>
              </w:rPr>
              <w:t>（H</w:t>
            </w:r>
            <w:r>
              <w:rPr>
                <w:rFonts w:hint="eastAsia"/>
                <w:color w:val="auto"/>
                <w:highlight w:val="none"/>
                <w:vertAlign w:val="subscript"/>
                <w:lang w:val="en-US" w:eastAsia="zh-CN"/>
              </w:rPr>
              <w:t>2</w:t>
            </w:r>
            <w:r>
              <w:rPr>
                <w:rFonts w:hint="eastAsia"/>
                <w:color w:val="auto"/>
                <w:highlight w:val="none"/>
                <w:lang w:val="en-US" w:eastAsia="zh-CN"/>
              </w:rPr>
              <w:t>S）是常见的杂质，在大多数利用天然气的情况下都必须预先除去。天然气每立方燃烧热值为8000大卡至8500大卡。本项目天然气采购自</w:t>
            </w:r>
            <w:r>
              <w:rPr>
                <w:rFonts w:hint="eastAsia" w:cs="Times New Roman"/>
                <w:color w:val="auto"/>
                <w:szCs w:val="21"/>
                <w:highlight w:val="none"/>
                <w:vertAlign w:val="baseline"/>
                <w:lang w:val="en-US" w:eastAsia="zh-CN"/>
              </w:rPr>
              <w:t>内蒙古陆泰天然气有限公司，燃气来源为中国石油化工股份有限公司华北油气分公司。</w:t>
            </w:r>
          </w:p>
          <w:p w14:paraId="70F89F1D">
            <w:pPr>
              <w:bidi w:val="0"/>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4</w:t>
            </w:r>
            <w:r>
              <w:rPr>
                <w:rFonts w:hint="eastAsia" w:cs="Times New Roman"/>
                <w:b/>
                <w:bCs/>
                <w:color w:val="auto"/>
                <w:highlight w:val="none"/>
                <w:lang w:val="en-US" w:eastAsia="zh-CN"/>
              </w:rPr>
              <w:t>.</w:t>
            </w:r>
            <w:r>
              <w:rPr>
                <w:rFonts w:hint="eastAsia" w:ascii="Times New Roman" w:hAnsi="Times New Roman" w:eastAsia="宋体" w:cs="Times New Roman"/>
                <w:b/>
                <w:bCs/>
                <w:color w:val="auto"/>
                <w:highlight w:val="none"/>
                <w:lang w:val="en-US" w:eastAsia="zh-CN"/>
              </w:rPr>
              <w:t>项目产能及产品方案</w:t>
            </w:r>
          </w:p>
          <w:p w14:paraId="42CB7931">
            <w:pPr>
              <w:bidi w:val="0"/>
              <w:rPr>
                <w:rFonts w:hint="default"/>
                <w:color w:val="auto"/>
                <w:highlight w:val="none"/>
                <w:lang w:val="en-US" w:eastAsia="zh-CN"/>
              </w:rPr>
            </w:pPr>
            <w:r>
              <w:rPr>
                <w:rFonts w:hint="eastAsia"/>
                <w:color w:val="auto"/>
                <w:highlight w:val="none"/>
                <w:lang w:val="en-US" w:eastAsia="zh-CN"/>
              </w:rPr>
              <w:t>本项目产品方案一览表见表2-5。</w:t>
            </w:r>
          </w:p>
          <w:p w14:paraId="6F6E5FF0">
            <w:pPr>
              <w:bidi w:val="0"/>
              <w:ind w:left="0" w:leftChars="0" w:firstLine="0" w:firstLineChars="0"/>
              <w:jc w:val="center"/>
              <w:rPr>
                <w:rFonts w:hint="default" w:ascii="Times New Roman" w:hAnsi="Times New Roman" w:eastAsia="宋体" w:cs="Times New Roman"/>
                <w:b/>
                <w:bCs/>
                <w:color w:val="auto"/>
                <w:highlight w:val="none"/>
                <w:vertAlign w:val="baseline"/>
                <w:lang w:val="en-US" w:eastAsia="zh-CN"/>
              </w:rPr>
            </w:pPr>
            <w:r>
              <w:rPr>
                <w:rFonts w:hint="eastAsia" w:ascii="Times New Roman" w:hAnsi="Times New Roman" w:eastAsia="宋体" w:cs="Times New Roman"/>
                <w:b/>
                <w:bCs/>
                <w:color w:val="auto"/>
                <w:highlight w:val="none"/>
                <w:lang w:val="en-US" w:eastAsia="zh-CN"/>
              </w:rPr>
              <w:t>表2-</w:t>
            </w:r>
            <w:r>
              <w:rPr>
                <w:rFonts w:hint="eastAsia" w:cs="Times New Roman"/>
                <w:b/>
                <w:bCs/>
                <w:color w:val="auto"/>
                <w:highlight w:val="none"/>
                <w:lang w:val="en-US" w:eastAsia="zh-CN"/>
              </w:rPr>
              <w:t>5：</w:t>
            </w:r>
            <w:r>
              <w:rPr>
                <w:rFonts w:hint="eastAsia" w:ascii="Times New Roman" w:hAnsi="Times New Roman" w:eastAsia="宋体" w:cs="Times New Roman"/>
                <w:b/>
                <w:bCs/>
                <w:color w:val="auto"/>
                <w:highlight w:val="none"/>
                <w:lang w:val="en-US" w:eastAsia="zh-CN"/>
              </w:rPr>
              <w:t>项目产品方案一览表</w:t>
            </w:r>
          </w:p>
          <w:tbl>
            <w:tblPr>
              <w:tblStyle w:val="24"/>
              <w:tblW w:w="80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7"/>
              <w:gridCol w:w="2637"/>
              <w:gridCol w:w="1062"/>
              <w:gridCol w:w="1393"/>
              <w:gridCol w:w="2419"/>
            </w:tblGrid>
            <w:tr w14:paraId="30013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507" w:type="dxa"/>
                </w:tcPr>
                <w:p w14:paraId="7EB29574">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序号</w:t>
                  </w:r>
                </w:p>
              </w:tc>
              <w:tc>
                <w:tcPr>
                  <w:tcW w:w="2637" w:type="dxa"/>
                </w:tcPr>
                <w:p w14:paraId="2CE38F4F">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产品名称</w:t>
                  </w:r>
                </w:p>
              </w:tc>
              <w:tc>
                <w:tcPr>
                  <w:tcW w:w="1062" w:type="dxa"/>
                </w:tcPr>
                <w:p w14:paraId="072CC381">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年产生量</w:t>
                  </w:r>
                </w:p>
              </w:tc>
              <w:tc>
                <w:tcPr>
                  <w:tcW w:w="1393" w:type="dxa"/>
                </w:tcPr>
                <w:p w14:paraId="0CA665F3">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vertAlign w:val="baseline"/>
                      <w:lang w:val="en-US" w:eastAsia="zh-CN"/>
                    </w:rPr>
                  </w:pPr>
                  <w:r>
                    <w:rPr>
                      <w:rFonts w:hint="eastAsia" w:cs="Times New Roman"/>
                      <w:color w:val="auto"/>
                      <w:highlight w:val="none"/>
                      <w:vertAlign w:val="baseline"/>
                      <w:lang w:val="en-US" w:eastAsia="zh-CN"/>
                    </w:rPr>
                    <w:t>粒径规格</w:t>
                  </w:r>
                </w:p>
              </w:tc>
              <w:tc>
                <w:tcPr>
                  <w:tcW w:w="2419" w:type="dxa"/>
                </w:tcPr>
                <w:p w14:paraId="02FBFBA4">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备注</w:t>
                  </w:r>
                </w:p>
              </w:tc>
            </w:tr>
            <w:tr w14:paraId="49A17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507" w:type="dxa"/>
                </w:tcPr>
                <w:p w14:paraId="5DB7E6D3">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1</w:t>
                  </w:r>
                </w:p>
              </w:tc>
              <w:tc>
                <w:tcPr>
                  <w:tcW w:w="2637" w:type="dxa"/>
                </w:tcPr>
                <w:p w14:paraId="5E59D84F">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vertAlign w:val="baseline"/>
                      <w:lang w:val="en-US" w:eastAsia="zh-CN"/>
                    </w:rPr>
                  </w:pPr>
                  <w:r>
                    <w:rPr>
                      <w:rFonts w:hint="default" w:ascii="Times New Roman" w:hAnsi="Times New Roman" w:eastAsia="宋体" w:cs="Times New Roman"/>
                      <w:color w:val="auto"/>
                      <w:highlight w:val="none"/>
                      <w:vertAlign w:val="baseline"/>
                      <w:lang w:val="en-US" w:eastAsia="zh-CN"/>
                    </w:rPr>
                    <w:t>高岭土煅烧料（块料）</w:t>
                  </w:r>
                </w:p>
              </w:tc>
              <w:tc>
                <w:tcPr>
                  <w:tcW w:w="1062" w:type="dxa"/>
                </w:tcPr>
                <w:p w14:paraId="386E1F45">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vertAlign w:val="baseline"/>
                      <w:lang w:val="en-US" w:eastAsia="zh-CN"/>
                    </w:rPr>
                  </w:pPr>
                  <w:r>
                    <w:rPr>
                      <w:rFonts w:hint="eastAsia" w:cs="Times New Roman"/>
                      <w:color w:val="auto"/>
                      <w:highlight w:val="none"/>
                      <w:vertAlign w:val="baseline"/>
                      <w:lang w:val="en-US" w:eastAsia="zh-CN"/>
                    </w:rPr>
                    <w:t>18万t/a</w:t>
                  </w:r>
                </w:p>
              </w:tc>
              <w:tc>
                <w:tcPr>
                  <w:tcW w:w="1393" w:type="dxa"/>
                </w:tcPr>
                <w:p w14:paraId="3DF489E3">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eastAsia" w:cs="Times New Roman"/>
                      <w:color w:val="auto"/>
                      <w:highlight w:val="none"/>
                      <w:vertAlign w:val="baseline"/>
                      <w:lang w:val="en-US" w:eastAsia="zh-CN"/>
                    </w:rPr>
                  </w:pPr>
                  <w:r>
                    <w:rPr>
                      <w:rFonts w:hint="eastAsia" w:cs="Times New Roman"/>
                      <w:color w:val="auto"/>
                      <w:highlight w:val="none"/>
                      <w:vertAlign w:val="baseline"/>
                      <w:lang w:val="en-US" w:eastAsia="zh-CN"/>
                    </w:rPr>
                    <w:t>60-100mm</w:t>
                  </w:r>
                </w:p>
              </w:tc>
              <w:tc>
                <w:tcPr>
                  <w:tcW w:w="2419" w:type="dxa"/>
                  <w:vMerge w:val="restart"/>
                </w:tcPr>
                <w:p w14:paraId="4DE83508">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both"/>
                    <w:textAlignment w:val="auto"/>
                    <w:rPr>
                      <w:rFonts w:hint="default" w:ascii="Times New Roman" w:hAnsi="Times New Roman" w:eastAsia="宋体" w:cs="Times New Roman"/>
                      <w:color w:val="auto"/>
                      <w:highlight w:val="none"/>
                      <w:vertAlign w:val="baseline"/>
                      <w:lang w:val="en-US" w:eastAsia="zh-CN"/>
                    </w:rPr>
                  </w:pPr>
                  <w:r>
                    <w:rPr>
                      <w:rFonts w:hint="eastAsia" w:cs="Times New Roman"/>
                      <w:color w:val="auto"/>
                      <w:highlight w:val="none"/>
                      <w:vertAlign w:val="baseline"/>
                      <w:lang w:val="en-US" w:eastAsia="zh-CN"/>
                    </w:rPr>
                    <w:t>外售用于造纸、耐火材料等用途</w:t>
                  </w:r>
                </w:p>
              </w:tc>
            </w:tr>
            <w:tr w14:paraId="0A71F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507" w:type="dxa"/>
                </w:tcPr>
                <w:p w14:paraId="5FAA8FA9">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vertAlign w:val="baseline"/>
                      <w:lang w:val="en-US" w:eastAsia="zh-CN"/>
                    </w:rPr>
                  </w:pPr>
                  <w:r>
                    <w:rPr>
                      <w:rFonts w:hint="eastAsia" w:cs="Times New Roman"/>
                      <w:color w:val="auto"/>
                      <w:highlight w:val="none"/>
                      <w:vertAlign w:val="baseline"/>
                      <w:lang w:val="en-US" w:eastAsia="zh-CN"/>
                    </w:rPr>
                    <w:t>2</w:t>
                  </w:r>
                </w:p>
              </w:tc>
              <w:tc>
                <w:tcPr>
                  <w:tcW w:w="2637" w:type="dxa"/>
                </w:tcPr>
                <w:p w14:paraId="2A05D98D">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vertAlign w:val="baseline"/>
                      <w:lang w:val="en-US" w:eastAsia="zh-CN"/>
                    </w:rPr>
                  </w:pPr>
                  <w:r>
                    <w:rPr>
                      <w:rFonts w:hint="default" w:ascii="Times New Roman" w:hAnsi="Times New Roman" w:eastAsia="宋体" w:cs="Times New Roman"/>
                      <w:color w:val="auto"/>
                      <w:highlight w:val="none"/>
                      <w:vertAlign w:val="baseline"/>
                      <w:lang w:val="en-US" w:eastAsia="zh-CN"/>
                    </w:rPr>
                    <w:t>煤系高岭土煅烧料（大块）</w:t>
                  </w:r>
                </w:p>
              </w:tc>
              <w:tc>
                <w:tcPr>
                  <w:tcW w:w="1062" w:type="dxa"/>
                </w:tcPr>
                <w:p w14:paraId="078595A2">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vertAlign w:val="baseline"/>
                      <w:lang w:val="en-US" w:eastAsia="zh-CN"/>
                    </w:rPr>
                  </w:pPr>
                  <w:r>
                    <w:rPr>
                      <w:rFonts w:hint="eastAsia" w:cs="Times New Roman"/>
                      <w:color w:val="auto"/>
                      <w:highlight w:val="none"/>
                      <w:vertAlign w:val="baseline"/>
                      <w:lang w:val="en-US" w:eastAsia="zh-CN"/>
                    </w:rPr>
                    <w:t>2万t/a</w:t>
                  </w:r>
                </w:p>
              </w:tc>
              <w:tc>
                <w:tcPr>
                  <w:tcW w:w="1393" w:type="dxa"/>
                </w:tcPr>
                <w:p w14:paraId="73D88B41">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eastAsia" w:cs="Times New Roman"/>
                      <w:color w:val="auto"/>
                      <w:highlight w:val="none"/>
                      <w:vertAlign w:val="baseline"/>
                      <w:lang w:val="en-US" w:eastAsia="zh-CN"/>
                    </w:rPr>
                  </w:pPr>
                  <w:r>
                    <w:rPr>
                      <w:rFonts w:hint="eastAsia" w:cs="Times New Roman"/>
                      <w:color w:val="auto"/>
                      <w:highlight w:val="none"/>
                      <w:vertAlign w:val="baseline"/>
                      <w:lang w:val="en-US" w:eastAsia="zh-CN"/>
                    </w:rPr>
                    <w:t>30-60mm</w:t>
                  </w:r>
                </w:p>
              </w:tc>
              <w:tc>
                <w:tcPr>
                  <w:tcW w:w="2419" w:type="dxa"/>
                  <w:vMerge w:val="continue"/>
                </w:tcPr>
                <w:p w14:paraId="2C61E1FB">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vertAlign w:val="baseline"/>
                      <w:lang w:val="en-US" w:eastAsia="zh-CN"/>
                    </w:rPr>
                  </w:pPr>
                </w:p>
              </w:tc>
            </w:tr>
            <w:tr w14:paraId="17091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 w:hRule="atLeast"/>
                <w:jc w:val="center"/>
              </w:trPr>
              <w:tc>
                <w:tcPr>
                  <w:tcW w:w="507" w:type="dxa"/>
                </w:tcPr>
                <w:p w14:paraId="1F5DB55F">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vertAlign w:val="baseline"/>
                      <w:lang w:val="en-US" w:eastAsia="zh-CN"/>
                    </w:rPr>
                  </w:pPr>
                  <w:r>
                    <w:rPr>
                      <w:rFonts w:hint="eastAsia" w:cs="Times New Roman"/>
                      <w:color w:val="auto"/>
                      <w:highlight w:val="none"/>
                      <w:vertAlign w:val="baseline"/>
                      <w:lang w:val="en-US" w:eastAsia="zh-CN"/>
                    </w:rPr>
                    <w:t>3</w:t>
                  </w:r>
                </w:p>
              </w:tc>
              <w:tc>
                <w:tcPr>
                  <w:tcW w:w="2637" w:type="dxa"/>
                </w:tcPr>
                <w:p w14:paraId="11F165EE">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vertAlign w:val="baseline"/>
                      <w:lang w:val="en-US" w:eastAsia="zh-CN"/>
                    </w:rPr>
                  </w:pPr>
                  <w:r>
                    <w:rPr>
                      <w:rFonts w:hint="default" w:ascii="Times New Roman" w:hAnsi="Times New Roman" w:eastAsia="宋体" w:cs="Times New Roman"/>
                      <w:color w:val="auto"/>
                      <w:highlight w:val="none"/>
                      <w:vertAlign w:val="baseline"/>
                      <w:lang w:val="en-US" w:eastAsia="zh-CN"/>
                    </w:rPr>
                    <w:t>煤系高岭土煅烧料（小块）</w:t>
                  </w:r>
                </w:p>
              </w:tc>
              <w:tc>
                <w:tcPr>
                  <w:tcW w:w="1062" w:type="dxa"/>
                </w:tcPr>
                <w:p w14:paraId="3B828C84">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vertAlign w:val="baseline"/>
                      <w:lang w:val="en-US" w:eastAsia="zh-CN"/>
                    </w:rPr>
                  </w:pPr>
                  <w:r>
                    <w:rPr>
                      <w:rFonts w:hint="eastAsia" w:cs="Times New Roman"/>
                      <w:color w:val="auto"/>
                      <w:highlight w:val="none"/>
                      <w:vertAlign w:val="baseline"/>
                      <w:lang w:val="en-US" w:eastAsia="zh-CN"/>
                    </w:rPr>
                    <w:t>2万t/a</w:t>
                  </w:r>
                </w:p>
              </w:tc>
              <w:tc>
                <w:tcPr>
                  <w:tcW w:w="1393" w:type="dxa"/>
                </w:tcPr>
                <w:p w14:paraId="335F0188">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eastAsia" w:cs="Times New Roman"/>
                      <w:color w:val="auto"/>
                      <w:highlight w:val="none"/>
                      <w:vertAlign w:val="baseline"/>
                      <w:lang w:val="en-US" w:eastAsia="zh-CN"/>
                    </w:rPr>
                  </w:pPr>
                  <w:r>
                    <w:rPr>
                      <w:rFonts w:hint="eastAsia" w:cs="Times New Roman"/>
                      <w:color w:val="auto"/>
                      <w:highlight w:val="none"/>
                      <w:vertAlign w:val="baseline"/>
                      <w:lang w:val="en-US" w:eastAsia="zh-CN"/>
                    </w:rPr>
                    <w:t>1-30mm</w:t>
                  </w:r>
                </w:p>
              </w:tc>
              <w:tc>
                <w:tcPr>
                  <w:tcW w:w="2419" w:type="dxa"/>
                  <w:vMerge w:val="continue"/>
                </w:tcPr>
                <w:p w14:paraId="72CE0244">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vertAlign w:val="baseline"/>
                      <w:lang w:val="en-US" w:eastAsia="zh-CN"/>
                    </w:rPr>
                  </w:pPr>
                </w:p>
              </w:tc>
            </w:tr>
            <w:tr w14:paraId="3C7C7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7" w:type="dxa"/>
                </w:tcPr>
                <w:p w14:paraId="649EFCDA">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cs="Times New Roman"/>
                      <w:color w:val="auto"/>
                      <w:highlight w:val="none"/>
                      <w:vertAlign w:val="baseline"/>
                      <w:lang w:val="en-US" w:eastAsia="zh-CN"/>
                    </w:rPr>
                  </w:pPr>
                  <w:r>
                    <w:rPr>
                      <w:rFonts w:hint="eastAsia" w:cs="Times New Roman"/>
                      <w:color w:val="auto"/>
                      <w:highlight w:val="none"/>
                      <w:vertAlign w:val="baseline"/>
                      <w:lang w:val="en-US" w:eastAsia="zh-CN"/>
                    </w:rPr>
                    <w:t>4</w:t>
                  </w:r>
                </w:p>
              </w:tc>
              <w:tc>
                <w:tcPr>
                  <w:tcW w:w="2637" w:type="dxa"/>
                </w:tcPr>
                <w:p w14:paraId="0D68F736">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vertAlign w:val="baseline"/>
                      <w:lang w:val="en-US" w:eastAsia="zh-CN"/>
                    </w:rPr>
                  </w:pPr>
                  <w:r>
                    <w:rPr>
                      <w:rFonts w:hint="eastAsia" w:cs="Times New Roman"/>
                      <w:color w:val="auto"/>
                      <w:highlight w:val="none"/>
                      <w:vertAlign w:val="baseline"/>
                      <w:lang w:val="en-US" w:eastAsia="zh-CN"/>
                    </w:rPr>
                    <w:t>不可利用煤系高岭土</w:t>
                  </w:r>
                </w:p>
              </w:tc>
              <w:tc>
                <w:tcPr>
                  <w:tcW w:w="1062" w:type="dxa"/>
                </w:tcPr>
                <w:p w14:paraId="5D87CA62">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cs="Times New Roman"/>
                      <w:color w:val="auto"/>
                      <w:highlight w:val="none"/>
                      <w:vertAlign w:val="baseline"/>
                      <w:lang w:val="en-US" w:eastAsia="zh-CN"/>
                    </w:rPr>
                  </w:pPr>
                  <w:r>
                    <w:rPr>
                      <w:rFonts w:hint="default" w:cs="Times New Roman"/>
                      <w:color w:val="auto"/>
                      <w:highlight w:val="none"/>
                      <w:vertAlign w:val="baseline"/>
                      <w:lang w:val="en-US" w:eastAsia="zh-CN"/>
                    </w:rPr>
                    <w:t>2</w:t>
                  </w:r>
                  <w:r>
                    <w:rPr>
                      <w:rFonts w:hint="eastAsia" w:cs="Times New Roman"/>
                      <w:color w:val="auto"/>
                      <w:highlight w:val="none"/>
                      <w:vertAlign w:val="baseline"/>
                      <w:lang w:val="en-US" w:eastAsia="zh-CN"/>
                    </w:rPr>
                    <w:t>.9万t/a</w:t>
                  </w:r>
                </w:p>
              </w:tc>
              <w:tc>
                <w:tcPr>
                  <w:tcW w:w="1393" w:type="dxa"/>
                </w:tcPr>
                <w:p w14:paraId="593E0829">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cs="Times New Roman"/>
                      <w:color w:val="auto"/>
                      <w:highlight w:val="none"/>
                      <w:vertAlign w:val="baseline"/>
                      <w:lang w:val="en-US" w:eastAsia="zh-CN"/>
                    </w:rPr>
                  </w:pPr>
                  <w:r>
                    <w:rPr>
                      <w:rFonts w:hint="eastAsia" w:cs="Times New Roman"/>
                      <w:color w:val="auto"/>
                      <w:highlight w:val="none"/>
                      <w:vertAlign w:val="baseline"/>
                      <w:lang w:val="en-US" w:eastAsia="zh-CN"/>
                    </w:rPr>
                    <w:t>＞100mm</w:t>
                  </w:r>
                </w:p>
              </w:tc>
              <w:tc>
                <w:tcPr>
                  <w:tcW w:w="2419" w:type="dxa"/>
                </w:tcPr>
                <w:p w14:paraId="28DC37A2">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both"/>
                    <w:textAlignment w:val="auto"/>
                    <w:rPr>
                      <w:rFonts w:hint="default" w:ascii="Times New Roman" w:hAnsi="Times New Roman" w:eastAsia="宋体" w:cs="Times New Roman"/>
                      <w:color w:val="auto"/>
                      <w:highlight w:val="none"/>
                      <w:vertAlign w:val="baseline"/>
                      <w:lang w:val="en-US" w:eastAsia="zh-CN"/>
                    </w:rPr>
                  </w:pPr>
                  <w:r>
                    <w:rPr>
                      <w:rFonts w:hint="eastAsia"/>
                      <w:color w:val="auto"/>
                      <w:highlight w:val="none"/>
                      <w:lang w:val="en-US" w:eastAsia="zh-CN"/>
                    </w:rPr>
                    <w:t>直接外售</w:t>
                  </w:r>
                </w:p>
              </w:tc>
            </w:tr>
          </w:tbl>
          <w:p w14:paraId="33D45BF8">
            <w:pPr>
              <w:bidi w:val="0"/>
              <w:ind w:left="0" w:leftChars="0" w:firstLine="0" w:firstLineChars="0"/>
              <w:jc w:val="center"/>
              <w:rPr>
                <w:rFonts w:hint="default"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表2-6</w:t>
            </w:r>
            <w:r>
              <w:rPr>
                <w:rFonts w:hint="eastAsia" w:cs="Times New Roman"/>
                <w:b/>
                <w:bCs/>
                <w:color w:val="auto"/>
                <w:highlight w:val="none"/>
                <w:lang w:val="en-US" w:eastAsia="zh-CN"/>
              </w:rPr>
              <w:t>：</w:t>
            </w:r>
            <w:r>
              <w:rPr>
                <w:rFonts w:hint="eastAsia" w:ascii="Times New Roman" w:hAnsi="Times New Roman" w:eastAsia="宋体" w:cs="Times New Roman"/>
                <w:b/>
                <w:bCs/>
                <w:color w:val="auto"/>
                <w:highlight w:val="none"/>
                <w:lang w:val="en-US" w:eastAsia="zh-CN"/>
              </w:rPr>
              <w:t>产品高岭土煅烧质量指标</w:t>
            </w:r>
          </w:p>
          <w:tbl>
            <w:tblPr>
              <w:tblStyle w:val="24"/>
              <w:tblW w:w="79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5"/>
              <w:gridCol w:w="3007"/>
              <w:gridCol w:w="1986"/>
              <w:gridCol w:w="1987"/>
            </w:tblGrid>
            <w:tr w14:paraId="52EE4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5" w:type="dxa"/>
                </w:tcPr>
                <w:p w14:paraId="413373F4">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cs="Times New Roman"/>
                      <w:b w:val="0"/>
                      <w:bCs w:val="0"/>
                      <w:color w:val="auto"/>
                      <w:szCs w:val="21"/>
                      <w:highlight w:val="none"/>
                      <w:vertAlign w:val="baseline"/>
                      <w:lang w:val="en-US" w:eastAsia="zh-CN"/>
                    </w:rPr>
                  </w:pPr>
                  <w:r>
                    <w:rPr>
                      <w:rFonts w:hint="eastAsia" w:cs="Times New Roman"/>
                      <w:b w:val="0"/>
                      <w:bCs w:val="0"/>
                      <w:color w:val="auto"/>
                      <w:szCs w:val="21"/>
                      <w:highlight w:val="none"/>
                      <w:vertAlign w:val="baseline"/>
                      <w:lang w:val="en-US" w:eastAsia="zh-CN"/>
                    </w:rPr>
                    <w:t>序号</w:t>
                  </w:r>
                </w:p>
              </w:tc>
              <w:tc>
                <w:tcPr>
                  <w:tcW w:w="3007" w:type="dxa"/>
                </w:tcPr>
                <w:p w14:paraId="47067959">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cs="Times New Roman"/>
                      <w:b w:val="0"/>
                      <w:bCs w:val="0"/>
                      <w:color w:val="auto"/>
                      <w:szCs w:val="21"/>
                      <w:highlight w:val="none"/>
                      <w:vertAlign w:val="baseline"/>
                      <w:lang w:val="en-US" w:eastAsia="zh-CN"/>
                    </w:rPr>
                  </w:pPr>
                  <w:r>
                    <w:rPr>
                      <w:rFonts w:hint="eastAsia" w:cs="Times New Roman"/>
                      <w:b w:val="0"/>
                      <w:bCs w:val="0"/>
                      <w:color w:val="auto"/>
                      <w:szCs w:val="21"/>
                      <w:highlight w:val="none"/>
                      <w:vertAlign w:val="baseline"/>
                      <w:lang w:val="en-US" w:eastAsia="zh-CN"/>
                    </w:rPr>
                    <w:t>项目</w:t>
                  </w:r>
                </w:p>
              </w:tc>
              <w:tc>
                <w:tcPr>
                  <w:tcW w:w="1986" w:type="dxa"/>
                </w:tcPr>
                <w:p w14:paraId="7975D2BC">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cs="Times New Roman"/>
                      <w:b w:val="0"/>
                      <w:bCs w:val="0"/>
                      <w:color w:val="auto"/>
                      <w:szCs w:val="21"/>
                      <w:highlight w:val="none"/>
                      <w:vertAlign w:val="baseline"/>
                      <w:lang w:val="en-US" w:eastAsia="zh-CN"/>
                    </w:rPr>
                  </w:pPr>
                  <w:r>
                    <w:rPr>
                      <w:rFonts w:hint="eastAsia" w:cs="Times New Roman"/>
                      <w:b w:val="0"/>
                      <w:bCs w:val="0"/>
                      <w:color w:val="auto"/>
                      <w:szCs w:val="21"/>
                      <w:highlight w:val="none"/>
                      <w:vertAlign w:val="baseline"/>
                      <w:lang w:val="en-US" w:eastAsia="zh-CN"/>
                    </w:rPr>
                    <w:t>单位</w:t>
                  </w:r>
                </w:p>
              </w:tc>
              <w:tc>
                <w:tcPr>
                  <w:tcW w:w="1987" w:type="dxa"/>
                </w:tcPr>
                <w:p w14:paraId="21612569">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cs="Times New Roman"/>
                      <w:b w:val="0"/>
                      <w:bCs w:val="0"/>
                      <w:color w:val="auto"/>
                      <w:szCs w:val="21"/>
                      <w:highlight w:val="none"/>
                      <w:vertAlign w:val="baseline"/>
                      <w:lang w:val="en-US" w:eastAsia="zh-CN"/>
                    </w:rPr>
                  </w:pPr>
                  <w:r>
                    <w:rPr>
                      <w:rFonts w:hint="eastAsia" w:cs="Times New Roman"/>
                      <w:b w:val="0"/>
                      <w:bCs w:val="0"/>
                      <w:color w:val="auto"/>
                      <w:szCs w:val="21"/>
                      <w:highlight w:val="none"/>
                      <w:vertAlign w:val="baseline"/>
                      <w:lang w:val="en-US" w:eastAsia="zh-CN"/>
                    </w:rPr>
                    <w:t>物理指标</w:t>
                  </w:r>
                </w:p>
              </w:tc>
            </w:tr>
            <w:tr w14:paraId="79A1D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5" w:type="dxa"/>
                </w:tcPr>
                <w:p w14:paraId="0CEBE53F">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cs="Times New Roman"/>
                      <w:b w:val="0"/>
                      <w:bCs w:val="0"/>
                      <w:color w:val="auto"/>
                      <w:szCs w:val="21"/>
                      <w:highlight w:val="none"/>
                      <w:vertAlign w:val="baseline"/>
                      <w:lang w:val="en-US" w:eastAsia="zh-CN"/>
                    </w:rPr>
                  </w:pPr>
                  <w:r>
                    <w:rPr>
                      <w:rFonts w:hint="eastAsia" w:cs="Times New Roman"/>
                      <w:b w:val="0"/>
                      <w:bCs w:val="0"/>
                      <w:color w:val="auto"/>
                      <w:szCs w:val="21"/>
                      <w:highlight w:val="none"/>
                      <w:vertAlign w:val="baseline"/>
                      <w:lang w:val="en-US" w:eastAsia="zh-CN"/>
                    </w:rPr>
                    <w:t>1</w:t>
                  </w:r>
                </w:p>
              </w:tc>
              <w:tc>
                <w:tcPr>
                  <w:tcW w:w="3007" w:type="dxa"/>
                </w:tcPr>
                <w:p w14:paraId="556F6483">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cs="Times New Roman"/>
                      <w:b w:val="0"/>
                      <w:bCs w:val="0"/>
                      <w:color w:val="auto"/>
                      <w:szCs w:val="21"/>
                      <w:highlight w:val="none"/>
                      <w:vertAlign w:val="baseline"/>
                      <w:lang w:val="en-US" w:eastAsia="zh-CN"/>
                    </w:rPr>
                  </w:pPr>
                  <w:r>
                    <w:rPr>
                      <w:rFonts w:hint="eastAsia" w:cs="Times New Roman"/>
                      <w:b w:val="0"/>
                      <w:bCs w:val="0"/>
                      <w:color w:val="auto"/>
                      <w:szCs w:val="21"/>
                      <w:highlight w:val="none"/>
                      <w:vertAlign w:val="baseline"/>
                      <w:lang w:val="en-US" w:eastAsia="zh-CN"/>
                    </w:rPr>
                    <w:t>白度</w:t>
                  </w:r>
                </w:p>
              </w:tc>
              <w:tc>
                <w:tcPr>
                  <w:tcW w:w="1986" w:type="dxa"/>
                </w:tcPr>
                <w:p w14:paraId="462B14E3">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cs="Times New Roman"/>
                      <w:b w:val="0"/>
                      <w:bCs w:val="0"/>
                      <w:color w:val="auto"/>
                      <w:szCs w:val="21"/>
                      <w:highlight w:val="none"/>
                      <w:vertAlign w:val="baseline"/>
                      <w:lang w:val="en-US" w:eastAsia="zh-CN"/>
                    </w:rPr>
                  </w:pPr>
                  <w:r>
                    <w:rPr>
                      <w:rFonts w:hint="eastAsia" w:cs="Times New Roman"/>
                      <w:b w:val="0"/>
                      <w:bCs w:val="0"/>
                      <w:color w:val="auto"/>
                      <w:szCs w:val="21"/>
                      <w:highlight w:val="none"/>
                      <w:vertAlign w:val="baseline"/>
                      <w:lang w:val="en-US" w:eastAsia="zh-CN"/>
                    </w:rPr>
                    <w:t>%</w:t>
                  </w:r>
                </w:p>
              </w:tc>
              <w:tc>
                <w:tcPr>
                  <w:tcW w:w="1987" w:type="dxa"/>
                </w:tcPr>
                <w:p w14:paraId="4D8FC762">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cs="Times New Roman"/>
                      <w:b w:val="0"/>
                      <w:bCs w:val="0"/>
                      <w:color w:val="auto"/>
                      <w:szCs w:val="21"/>
                      <w:highlight w:val="none"/>
                      <w:vertAlign w:val="baseline"/>
                      <w:lang w:val="en-US" w:eastAsia="zh-CN"/>
                    </w:rPr>
                  </w:pPr>
                  <w:r>
                    <w:rPr>
                      <w:rFonts w:hint="eastAsia" w:cs="Times New Roman"/>
                      <w:b w:val="0"/>
                      <w:bCs w:val="0"/>
                      <w:color w:val="auto"/>
                      <w:szCs w:val="21"/>
                      <w:highlight w:val="none"/>
                      <w:vertAlign w:val="baseline"/>
                      <w:lang w:val="en-US" w:eastAsia="zh-CN"/>
                    </w:rPr>
                    <w:t>93±2</w:t>
                  </w:r>
                </w:p>
              </w:tc>
            </w:tr>
            <w:tr w14:paraId="5199A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5" w:type="dxa"/>
                </w:tcPr>
                <w:p w14:paraId="286DCD2E">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cs="Times New Roman"/>
                      <w:b w:val="0"/>
                      <w:bCs w:val="0"/>
                      <w:color w:val="auto"/>
                      <w:szCs w:val="21"/>
                      <w:highlight w:val="none"/>
                      <w:vertAlign w:val="baseline"/>
                      <w:lang w:val="en-US" w:eastAsia="zh-CN"/>
                    </w:rPr>
                  </w:pPr>
                  <w:r>
                    <w:rPr>
                      <w:rFonts w:hint="eastAsia" w:cs="Times New Roman"/>
                      <w:b w:val="0"/>
                      <w:bCs w:val="0"/>
                      <w:color w:val="auto"/>
                      <w:szCs w:val="21"/>
                      <w:highlight w:val="none"/>
                      <w:vertAlign w:val="baseline"/>
                      <w:lang w:val="en-US" w:eastAsia="zh-CN"/>
                    </w:rPr>
                    <w:t>2</w:t>
                  </w:r>
                </w:p>
              </w:tc>
              <w:tc>
                <w:tcPr>
                  <w:tcW w:w="3007" w:type="dxa"/>
                </w:tcPr>
                <w:p w14:paraId="4E1FFBAB">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cs="Times New Roman"/>
                      <w:b w:val="0"/>
                      <w:bCs w:val="0"/>
                      <w:color w:val="auto"/>
                      <w:szCs w:val="21"/>
                      <w:highlight w:val="none"/>
                      <w:vertAlign w:val="baseline"/>
                      <w:lang w:val="en-US" w:eastAsia="zh-CN"/>
                    </w:rPr>
                  </w:pPr>
                  <w:r>
                    <w:rPr>
                      <w:rFonts w:hint="eastAsia" w:cs="Times New Roman"/>
                      <w:b w:val="0"/>
                      <w:bCs w:val="0"/>
                      <w:color w:val="auto"/>
                      <w:szCs w:val="21"/>
                      <w:highlight w:val="none"/>
                      <w:vertAlign w:val="baseline"/>
                      <w:lang w:val="en-US" w:eastAsia="zh-CN"/>
                    </w:rPr>
                    <w:t>折射率</w:t>
                  </w:r>
                </w:p>
              </w:tc>
              <w:tc>
                <w:tcPr>
                  <w:tcW w:w="1986" w:type="dxa"/>
                </w:tcPr>
                <w:p w14:paraId="718D03EF">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cs="Times New Roman"/>
                      <w:b w:val="0"/>
                      <w:bCs w:val="0"/>
                      <w:color w:val="auto"/>
                      <w:szCs w:val="21"/>
                      <w:highlight w:val="none"/>
                      <w:vertAlign w:val="baseline"/>
                      <w:lang w:val="en-US" w:eastAsia="zh-CN"/>
                    </w:rPr>
                  </w:pPr>
                  <w:r>
                    <w:rPr>
                      <w:rFonts w:hint="eastAsia" w:cs="Times New Roman"/>
                      <w:b w:val="0"/>
                      <w:bCs w:val="0"/>
                      <w:color w:val="auto"/>
                      <w:szCs w:val="21"/>
                      <w:highlight w:val="none"/>
                      <w:vertAlign w:val="baseline"/>
                      <w:lang w:val="en-US" w:eastAsia="zh-CN"/>
                    </w:rPr>
                    <w:t>%</w:t>
                  </w:r>
                </w:p>
              </w:tc>
              <w:tc>
                <w:tcPr>
                  <w:tcW w:w="1987" w:type="dxa"/>
                </w:tcPr>
                <w:p w14:paraId="43745E8A">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cs="Times New Roman"/>
                      <w:b w:val="0"/>
                      <w:bCs w:val="0"/>
                      <w:color w:val="auto"/>
                      <w:szCs w:val="21"/>
                      <w:highlight w:val="none"/>
                      <w:vertAlign w:val="baseline"/>
                      <w:lang w:val="en-US" w:eastAsia="zh-CN"/>
                    </w:rPr>
                  </w:pPr>
                  <w:r>
                    <w:rPr>
                      <w:rFonts w:hint="eastAsia" w:cs="Times New Roman"/>
                      <w:b w:val="0"/>
                      <w:bCs w:val="0"/>
                      <w:color w:val="auto"/>
                      <w:szCs w:val="21"/>
                      <w:highlight w:val="none"/>
                      <w:vertAlign w:val="baseline"/>
                      <w:lang w:val="en-US" w:eastAsia="zh-CN"/>
                    </w:rPr>
                    <w:t>1.65</w:t>
                  </w:r>
                </w:p>
              </w:tc>
            </w:tr>
            <w:tr w14:paraId="653AB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5" w:type="dxa"/>
                </w:tcPr>
                <w:p w14:paraId="4CBAC8A5">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cs="Times New Roman"/>
                      <w:b w:val="0"/>
                      <w:bCs w:val="0"/>
                      <w:color w:val="auto"/>
                      <w:szCs w:val="21"/>
                      <w:highlight w:val="none"/>
                      <w:vertAlign w:val="baseline"/>
                      <w:lang w:val="en-US" w:eastAsia="zh-CN"/>
                    </w:rPr>
                  </w:pPr>
                  <w:r>
                    <w:rPr>
                      <w:rFonts w:hint="eastAsia" w:cs="Times New Roman"/>
                      <w:b w:val="0"/>
                      <w:bCs w:val="0"/>
                      <w:color w:val="auto"/>
                      <w:szCs w:val="21"/>
                      <w:highlight w:val="none"/>
                      <w:vertAlign w:val="baseline"/>
                      <w:lang w:val="en-US" w:eastAsia="zh-CN"/>
                    </w:rPr>
                    <w:t>3</w:t>
                  </w:r>
                </w:p>
              </w:tc>
              <w:tc>
                <w:tcPr>
                  <w:tcW w:w="3007" w:type="dxa"/>
                </w:tcPr>
                <w:p w14:paraId="22B0B135">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cs="Times New Roman"/>
                      <w:b w:val="0"/>
                      <w:bCs w:val="0"/>
                      <w:color w:val="auto"/>
                      <w:szCs w:val="21"/>
                      <w:highlight w:val="none"/>
                      <w:vertAlign w:val="baseline"/>
                      <w:lang w:val="en-US" w:eastAsia="zh-CN"/>
                    </w:rPr>
                  </w:pPr>
                  <w:r>
                    <w:rPr>
                      <w:rFonts w:hint="eastAsia" w:cs="Times New Roman"/>
                      <w:b w:val="0"/>
                      <w:bCs w:val="0"/>
                      <w:color w:val="auto"/>
                      <w:szCs w:val="21"/>
                      <w:highlight w:val="none"/>
                      <w:vertAlign w:val="baseline"/>
                      <w:lang w:val="en-US" w:eastAsia="zh-CN"/>
                    </w:rPr>
                    <w:t>水分</w:t>
                  </w:r>
                </w:p>
              </w:tc>
              <w:tc>
                <w:tcPr>
                  <w:tcW w:w="1986" w:type="dxa"/>
                </w:tcPr>
                <w:p w14:paraId="77E66BF7">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cs="Times New Roman"/>
                      <w:b w:val="0"/>
                      <w:bCs w:val="0"/>
                      <w:color w:val="auto"/>
                      <w:szCs w:val="21"/>
                      <w:highlight w:val="none"/>
                      <w:vertAlign w:val="baseline"/>
                      <w:lang w:val="en-US" w:eastAsia="zh-CN"/>
                    </w:rPr>
                  </w:pPr>
                  <w:r>
                    <w:rPr>
                      <w:rFonts w:hint="eastAsia" w:cs="Times New Roman"/>
                      <w:b w:val="0"/>
                      <w:bCs w:val="0"/>
                      <w:color w:val="auto"/>
                      <w:szCs w:val="21"/>
                      <w:highlight w:val="none"/>
                      <w:vertAlign w:val="baseline"/>
                      <w:lang w:val="en-US" w:eastAsia="zh-CN"/>
                    </w:rPr>
                    <w:t>%</w:t>
                  </w:r>
                </w:p>
              </w:tc>
              <w:tc>
                <w:tcPr>
                  <w:tcW w:w="1987" w:type="dxa"/>
                </w:tcPr>
                <w:p w14:paraId="79E56515">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cs="Times New Roman"/>
                      <w:b w:val="0"/>
                      <w:bCs w:val="0"/>
                      <w:color w:val="auto"/>
                      <w:szCs w:val="21"/>
                      <w:highlight w:val="none"/>
                      <w:vertAlign w:val="baseline"/>
                      <w:lang w:val="en-US" w:eastAsia="zh-CN"/>
                    </w:rPr>
                  </w:pPr>
                  <w:r>
                    <w:rPr>
                      <w:rFonts w:hint="eastAsia" w:cs="Times New Roman"/>
                      <w:b w:val="0"/>
                      <w:bCs w:val="0"/>
                      <w:color w:val="auto"/>
                      <w:szCs w:val="21"/>
                      <w:highlight w:val="none"/>
                      <w:vertAlign w:val="baseline"/>
                      <w:lang w:val="en-US" w:eastAsia="zh-CN"/>
                    </w:rPr>
                    <w:t>≤0.5</w:t>
                  </w:r>
                </w:p>
              </w:tc>
            </w:tr>
            <w:tr w14:paraId="02E4F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5" w:type="dxa"/>
                </w:tcPr>
                <w:p w14:paraId="3E547249">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cs="Times New Roman"/>
                      <w:b w:val="0"/>
                      <w:bCs w:val="0"/>
                      <w:color w:val="auto"/>
                      <w:szCs w:val="21"/>
                      <w:highlight w:val="none"/>
                      <w:vertAlign w:val="baseline"/>
                      <w:lang w:val="en-US" w:eastAsia="zh-CN"/>
                    </w:rPr>
                  </w:pPr>
                  <w:r>
                    <w:rPr>
                      <w:rFonts w:hint="eastAsia" w:cs="Times New Roman"/>
                      <w:b w:val="0"/>
                      <w:bCs w:val="0"/>
                      <w:color w:val="auto"/>
                      <w:szCs w:val="21"/>
                      <w:highlight w:val="none"/>
                      <w:vertAlign w:val="baseline"/>
                      <w:lang w:val="en-US" w:eastAsia="zh-CN"/>
                    </w:rPr>
                    <w:t>4</w:t>
                  </w:r>
                </w:p>
              </w:tc>
              <w:tc>
                <w:tcPr>
                  <w:tcW w:w="3007" w:type="dxa"/>
                </w:tcPr>
                <w:p w14:paraId="3394623D">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cs="Times New Roman"/>
                      <w:b w:val="0"/>
                      <w:bCs w:val="0"/>
                      <w:color w:val="auto"/>
                      <w:szCs w:val="21"/>
                      <w:highlight w:val="none"/>
                      <w:vertAlign w:val="baseline"/>
                      <w:lang w:val="en-US" w:eastAsia="zh-CN"/>
                    </w:rPr>
                  </w:pPr>
                  <w:r>
                    <w:rPr>
                      <w:rFonts w:hint="eastAsia" w:cs="Times New Roman"/>
                      <w:b w:val="0"/>
                      <w:bCs w:val="0"/>
                      <w:color w:val="auto"/>
                      <w:szCs w:val="21"/>
                      <w:highlight w:val="none"/>
                      <w:vertAlign w:val="baseline"/>
                      <w:lang w:val="en-US" w:eastAsia="zh-CN"/>
                    </w:rPr>
                    <w:t>水悬浮液pH值</w:t>
                  </w:r>
                </w:p>
              </w:tc>
              <w:tc>
                <w:tcPr>
                  <w:tcW w:w="1986" w:type="dxa"/>
                </w:tcPr>
                <w:p w14:paraId="44A3CBD1">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cs="Times New Roman"/>
                      <w:b w:val="0"/>
                      <w:bCs w:val="0"/>
                      <w:color w:val="auto"/>
                      <w:szCs w:val="21"/>
                      <w:highlight w:val="none"/>
                      <w:vertAlign w:val="baseline"/>
                      <w:lang w:val="en-US" w:eastAsia="zh-CN"/>
                    </w:rPr>
                  </w:pPr>
                </w:p>
              </w:tc>
              <w:tc>
                <w:tcPr>
                  <w:tcW w:w="1987" w:type="dxa"/>
                </w:tcPr>
                <w:p w14:paraId="586C4C81">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cs="Times New Roman"/>
                      <w:b w:val="0"/>
                      <w:bCs w:val="0"/>
                      <w:color w:val="auto"/>
                      <w:szCs w:val="21"/>
                      <w:highlight w:val="none"/>
                      <w:vertAlign w:val="baseline"/>
                      <w:lang w:val="en-US" w:eastAsia="zh-CN"/>
                    </w:rPr>
                  </w:pPr>
                  <w:r>
                    <w:rPr>
                      <w:rFonts w:hint="eastAsia" w:cs="Times New Roman"/>
                      <w:b w:val="0"/>
                      <w:bCs w:val="0"/>
                      <w:color w:val="auto"/>
                      <w:szCs w:val="21"/>
                      <w:highlight w:val="none"/>
                      <w:vertAlign w:val="baseline"/>
                      <w:lang w:val="en-US" w:eastAsia="zh-CN"/>
                    </w:rPr>
                    <w:t>6.5-7.5</w:t>
                  </w:r>
                </w:p>
              </w:tc>
            </w:tr>
          </w:tbl>
          <w:p w14:paraId="331E5990">
            <w:pPr>
              <w:bidi w:val="0"/>
              <w:ind w:left="0" w:leftChars="0" w:firstLine="0" w:firstLineChars="0"/>
              <w:jc w:val="center"/>
              <w:rPr>
                <w:rFonts w:hint="default"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表2-7</w:t>
            </w:r>
            <w:r>
              <w:rPr>
                <w:rFonts w:hint="eastAsia" w:cs="Times New Roman"/>
                <w:b/>
                <w:bCs/>
                <w:color w:val="auto"/>
                <w:highlight w:val="none"/>
                <w:lang w:val="en-US" w:eastAsia="zh-CN"/>
              </w:rPr>
              <w:t>：</w:t>
            </w:r>
            <w:r>
              <w:rPr>
                <w:rFonts w:hint="eastAsia" w:ascii="Times New Roman" w:hAnsi="Times New Roman" w:eastAsia="宋体" w:cs="Times New Roman"/>
                <w:b/>
                <w:bCs/>
                <w:color w:val="auto"/>
                <w:highlight w:val="none"/>
                <w:lang w:val="en-US" w:eastAsia="zh-CN"/>
              </w:rPr>
              <w:t>产品化学指标</w:t>
            </w:r>
          </w:p>
          <w:tbl>
            <w:tblPr>
              <w:tblStyle w:val="24"/>
              <w:tblW w:w="79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2"/>
              <w:gridCol w:w="882"/>
              <w:gridCol w:w="883"/>
              <w:gridCol w:w="883"/>
              <w:gridCol w:w="883"/>
              <w:gridCol w:w="798"/>
              <w:gridCol w:w="854"/>
              <w:gridCol w:w="854"/>
              <w:gridCol w:w="1026"/>
            </w:tblGrid>
            <w:tr w14:paraId="47822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2" w:type="dxa"/>
                </w:tcPr>
                <w:p w14:paraId="45A0D258">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cs="Times New Roman"/>
                      <w:b w:val="0"/>
                      <w:bCs w:val="0"/>
                      <w:color w:val="auto"/>
                      <w:szCs w:val="21"/>
                      <w:highlight w:val="none"/>
                      <w:vertAlign w:val="baseline"/>
                      <w:lang w:val="en-US" w:eastAsia="zh-CN"/>
                    </w:rPr>
                  </w:pPr>
                  <w:r>
                    <w:rPr>
                      <w:rFonts w:hint="default" w:cs="Times New Roman"/>
                      <w:b w:val="0"/>
                      <w:bCs w:val="0"/>
                      <w:color w:val="auto"/>
                      <w:szCs w:val="21"/>
                      <w:highlight w:val="none"/>
                      <w:vertAlign w:val="baseline"/>
                      <w:lang w:val="en-US" w:eastAsia="zh-CN"/>
                    </w:rPr>
                    <w:t>SiO</w:t>
                  </w:r>
                  <w:r>
                    <w:rPr>
                      <w:rFonts w:hint="default" w:cs="Times New Roman"/>
                      <w:b w:val="0"/>
                      <w:bCs w:val="0"/>
                      <w:color w:val="auto"/>
                      <w:szCs w:val="21"/>
                      <w:highlight w:val="none"/>
                      <w:vertAlign w:val="subscript"/>
                      <w:lang w:val="en-US" w:eastAsia="zh-CN"/>
                    </w:rPr>
                    <w:t>2</w:t>
                  </w:r>
                  <w:r>
                    <w:rPr>
                      <w:rFonts w:hint="default" w:cs="Times New Roman"/>
                      <w:b w:val="0"/>
                      <w:bCs w:val="0"/>
                      <w:color w:val="auto"/>
                      <w:szCs w:val="21"/>
                      <w:highlight w:val="none"/>
                      <w:vertAlign w:val="baseline"/>
                      <w:lang w:val="en-US" w:eastAsia="zh-CN"/>
                    </w:rPr>
                    <w:t>（%）</w:t>
                  </w:r>
                </w:p>
              </w:tc>
              <w:tc>
                <w:tcPr>
                  <w:tcW w:w="882" w:type="dxa"/>
                  <w:vAlign w:val="center"/>
                </w:tcPr>
                <w:p w14:paraId="4E55EBA4">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Cs w:val="21"/>
                      <w:highlight w:val="none"/>
                      <w:vertAlign w:val="baseline"/>
                      <w:lang w:val="en-US" w:eastAsia="zh-CN"/>
                    </w:rPr>
                  </w:pPr>
                  <w:r>
                    <w:rPr>
                      <w:rFonts w:hint="default" w:ascii="Times New Roman" w:hAnsi="Times New Roman" w:eastAsia="宋体" w:cs="Times New Roman"/>
                      <w:b w:val="0"/>
                      <w:bCs w:val="0"/>
                      <w:color w:val="auto"/>
                      <w:szCs w:val="21"/>
                      <w:highlight w:val="none"/>
                      <w:vertAlign w:val="baseline"/>
                      <w:lang w:val="en-US" w:eastAsia="zh-CN"/>
                    </w:rPr>
                    <w:t>Al</w:t>
                  </w:r>
                  <w:r>
                    <w:rPr>
                      <w:rFonts w:hint="default" w:ascii="Times New Roman" w:hAnsi="Times New Roman" w:eastAsia="宋体" w:cs="Times New Roman"/>
                      <w:b w:val="0"/>
                      <w:bCs w:val="0"/>
                      <w:color w:val="auto"/>
                      <w:szCs w:val="21"/>
                      <w:highlight w:val="none"/>
                      <w:vertAlign w:val="subscript"/>
                      <w:lang w:val="en-US" w:eastAsia="zh-CN"/>
                    </w:rPr>
                    <w:t>2</w:t>
                  </w:r>
                  <w:r>
                    <w:rPr>
                      <w:rFonts w:hint="default" w:ascii="Times New Roman" w:hAnsi="Times New Roman" w:eastAsia="宋体" w:cs="Times New Roman"/>
                      <w:b w:val="0"/>
                      <w:bCs w:val="0"/>
                      <w:color w:val="auto"/>
                      <w:szCs w:val="21"/>
                      <w:highlight w:val="none"/>
                      <w:vertAlign w:val="baseline"/>
                      <w:lang w:val="en-US" w:eastAsia="zh-CN"/>
                    </w:rPr>
                    <w:t>O</w:t>
                  </w:r>
                  <w:r>
                    <w:rPr>
                      <w:rFonts w:hint="default" w:ascii="Times New Roman" w:hAnsi="Times New Roman" w:eastAsia="宋体" w:cs="Times New Roman"/>
                      <w:b w:val="0"/>
                      <w:bCs w:val="0"/>
                      <w:color w:val="auto"/>
                      <w:szCs w:val="21"/>
                      <w:highlight w:val="none"/>
                      <w:vertAlign w:val="subscript"/>
                      <w:lang w:val="en-US" w:eastAsia="zh-CN"/>
                    </w:rPr>
                    <w:t>3</w:t>
                  </w:r>
                  <w:r>
                    <w:rPr>
                      <w:rFonts w:hint="default" w:ascii="Times New Roman" w:hAnsi="Times New Roman" w:eastAsia="宋体" w:cs="Times New Roman"/>
                      <w:b w:val="0"/>
                      <w:bCs w:val="0"/>
                      <w:color w:val="auto"/>
                      <w:szCs w:val="21"/>
                      <w:highlight w:val="none"/>
                      <w:vertAlign w:val="baseline"/>
                      <w:lang w:val="en-US" w:eastAsia="zh-CN"/>
                    </w:rPr>
                    <w:t>（%）</w:t>
                  </w:r>
                </w:p>
              </w:tc>
              <w:tc>
                <w:tcPr>
                  <w:tcW w:w="883" w:type="dxa"/>
                  <w:vAlign w:val="center"/>
                </w:tcPr>
                <w:p w14:paraId="694C32D0">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Cs w:val="21"/>
                      <w:highlight w:val="none"/>
                      <w:vertAlign w:val="baseline"/>
                      <w:lang w:val="en-US" w:eastAsia="zh-CN"/>
                    </w:rPr>
                  </w:pPr>
                  <w:r>
                    <w:rPr>
                      <w:rFonts w:hint="default" w:ascii="Times New Roman" w:hAnsi="Times New Roman" w:eastAsia="宋体" w:cs="Times New Roman"/>
                      <w:b w:val="0"/>
                      <w:bCs w:val="0"/>
                      <w:color w:val="auto"/>
                      <w:szCs w:val="21"/>
                      <w:highlight w:val="none"/>
                      <w:vertAlign w:val="baseline"/>
                      <w:lang w:val="en-US" w:eastAsia="zh-CN"/>
                    </w:rPr>
                    <w:t>Fe</w:t>
                  </w:r>
                  <w:r>
                    <w:rPr>
                      <w:rFonts w:hint="default" w:ascii="Times New Roman" w:hAnsi="Times New Roman" w:eastAsia="宋体" w:cs="Times New Roman"/>
                      <w:b w:val="0"/>
                      <w:bCs w:val="0"/>
                      <w:color w:val="auto"/>
                      <w:szCs w:val="21"/>
                      <w:highlight w:val="none"/>
                      <w:vertAlign w:val="subscript"/>
                      <w:lang w:val="en-US" w:eastAsia="zh-CN"/>
                    </w:rPr>
                    <w:t>2</w:t>
                  </w:r>
                  <w:r>
                    <w:rPr>
                      <w:rFonts w:hint="default" w:ascii="Times New Roman" w:hAnsi="Times New Roman" w:eastAsia="宋体" w:cs="Times New Roman"/>
                      <w:b w:val="0"/>
                      <w:bCs w:val="0"/>
                      <w:color w:val="auto"/>
                      <w:szCs w:val="21"/>
                      <w:highlight w:val="none"/>
                      <w:vertAlign w:val="baseline"/>
                      <w:lang w:val="en-US" w:eastAsia="zh-CN"/>
                    </w:rPr>
                    <w:t>O</w:t>
                  </w:r>
                  <w:r>
                    <w:rPr>
                      <w:rFonts w:hint="default" w:ascii="Times New Roman" w:hAnsi="Times New Roman" w:eastAsia="宋体" w:cs="Times New Roman"/>
                      <w:b w:val="0"/>
                      <w:bCs w:val="0"/>
                      <w:color w:val="auto"/>
                      <w:szCs w:val="21"/>
                      <w:highlight w:val="none"/>
                      <w:vertAlign w:val="subscript"/>
                      <w:lang w:val="en-US" w:eastAsia="zh-CN"/>
                    </w:rPr>
                    <w:t>3</w:t>
                  </w:r>
                  <w:r>
                    <w:rPr>
                      <w:rFonts w:hint="default" w:ascii="Times New Roman" w:hAnsi="Times New Roman" w:eastAsia="宋体" w:cs="Times New Roman"/>
                      <w:b w:val="0"/>
                      <w:bCs w:val="0"/>
                      <w:color w:val="auto"/>
                      <w:szCs w:val="21"/>
                      <w:highlight w:val="none"/>
                      <w:vertAlign w:val="baseline"/>
                      <w:lang w:val="en-US" w:eastAsia="zh-CN"/>
                    </w:rPr>
                    <w:t>（%）</w:t>
                  </w:r>
                </w:p>
              </w:tc>
              <w:tc>
                <w:tcPr>
                  <w:tcW w:w="883" w:type="dxa"/>
                  <w:vAlign w:val="center"/>
                </w:tcPr>
                <w:p w14:paraId="5E6E8CD3">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Cs w:val="21"/>
                      <w:highlight w:val="none"/>
                      <w:vertAlign w:val="baseline"/>
                      <w:lang w:val="en-US" w:eastAsia="zh-CN"/>
                    </w:rPr>
                  </w:pPr>
                  <w:r>
                    <w:rPr>
                      <w:rFonts w:hint="default" w:ascii="Times New Roman" w:hAnsi="Times New Roman" w:eastAsia="宋体" w:cs="Times New Roman"/>
                      <w:b w:val="0"/>
                      <w:bCs w:val="0"/>
                      <w:color w:val="auto"/>
                      <w:szCs w:val="21"/>
                      <w:highlight w:val="none"/>
                      <w:vertAlign w:val="baseline"/>
                      <w:lang w:val="en-US" w:eastAsia="zh-CN"/>
                    </w:rPr>
                    <w:t>TiO</w:t>
                  </w:r>
                  <w:r>
                    <w:rPr>
                      <w:rFonts w:hint="default" w:ascii="Times New Roman" w:hAnsi="Times New Roman" w:eastAsia="宋体" w:cs="Times New Roman"/>
                      <w:b w:val="0"/>
                      <w:bCs w:val="0"/>
                      <w:color w:val="auto"/>
                      <w:szCs w:val="21"/>
                      <w:highlight w:val="none"/>
                      <w:vertAlign w:val="subscript"/>
                      <w:lang w:val="en-US" w:eastAsia="zh-CN"/>
                    </w:rPr>
                    <w:t>2</w:t>
                  </w:r>
                  <w:r>
                    <w:rPr>
                      <w:rFonts w:hint="default" w:ascii="Times New Roman" w:hAnsi="Times New Roman" w:eastAsia="宋体" w:cs="Times New Roman"/>
                      <w:b w:val="0"/>
                      <w:bCs w:val="0"/>
                      <w:color w:val="auto"/>
                      <w:szCs w:val="21"/>
                      <w:highlight w:val="none"/>
                      <w:vertAlign w:val="baseline"/>
                      <w:lang w:val="en-US" w:eastAsia="zh-CN"/>
                    </w:rPr>
                    <w:t>（%）</w:t>
                  </w:r>
                </w:p>
              </w:tc>
              <w:tc>
                <w:tcPr>
                  <w:tcW w:w="883" w:type="dxa"/>
                  <w:vAlign w:val="center"/>
                </w:tcPr>
                <w:p w14:paraId="75B2E2ED">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Cs w:val="21"/>
                      <w:highlight w:val="none"/>
                      <w:vertAlign w:val="baseline"/>
                      <w:lang w:val="en-US" w:eastAsia="zh-CN"/>
                    </w:rPr>
                  </w:pPr>
                  <w:r>
                    <w:rPr>
                      <w:rFonts w:hint="default" w:ascii="Times New Roman" w:hAnsi="Times New Roman" w:eastAsia="宋体" w:cs="Times New Roman"/>
                      <w:b w:val="0"/>
                      <w:bCs w:val="0"/>
                      <w:color w:val="auto"/>
                      <w:szCs w:val="21"/>
                      <w:highlight w:val="none"/>
                      <w:vertAlign w:val="baseline"/>
                      <w:lang w:val="en-US" w:eastAsia="zh-CN"/>
                    </w:rPr>
                    <w:t>CaO（%）</w:t>
                  </w:r>
                </w:p>
              </w:tc>
              <w:tc>
                <w:tcPr>
                  <w:tcW w:w="798" w:type="dxa"/>
                  <w:vAlign w:val="center"/>
                </w:tcPr>
                <w:p w14:paraId="3945ECC1">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Cs w:val="21"/>
                      <w:highlight w:val="none"/>
                      <w:vertAlign w:val="baseline"/>
                      <w:lang w:val="en-US" w:eastAsia="zh-CN"/>
                    </w:rPr>
                  </w:pPr>
                  <w:r>
                    <w:rPr>
                      <w:rFonts w:hint="default" w:ascii="Times New Roman" w:hAnsi="Times New Roman" w:eastAsia="宋体" w:cs="Times New Roman"/>
                      <w:b w:val="0"/>
                      <w:bCs w:val="0"/>
                      <w:color w:val="auto"/>
                      <w:szCs w:val="21"/>
                      <w:highlight w:val="none"/>
                      <w:vertAlign w:val="baseline"/>
                      <w:lang w:val="en-US" w:eastAsia="zh-CN"/>
                    </w:rPr>
                    <w:t>MgO（%）</w:t>
                  </w:r>
                </w:p>
              </w:tc>
              <w:tc>
                <w:tcPr>
                  <w:tcW w:w="854" w:type="dxa"/>
                  <w:vAlign w:val="center"/>
                </w:tcPr>
                <w:p w14:paraId="0A724C5F">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Cs w:val="21"/>
                      <w:highlight w:val="none"/>
                      <w:vertAlign w:val="baseline"/>
                      <w:lang w:val="en-US" w:eastAsia="zh-CN"/>
                    </w:rPr>
                  </w:pPr>
                  <w:r>
                    <w:rPr>
                      <w:rFonts w:hint="default" w:ascii="Times New Roman" w:hAnsi="Times New Roman" w:eastAsia="宋体" w:cs="Times New Roman"/>
                      <w:b w:val="0"/>
                      <w:bCs w:val="0"/>
                      <w:color w:val="auto"/>
                      <w:szCs w:val="21"/>
                      <w:highlight w:val="none"/>
                      <w:vertAlign w:val="baseline"/>
                      <w:lang w:val="en-US" w:eastAsia="zh-CN"/>
                    </w:rPr>
                    <w:t>K</w:t>
                  </w:r>
                  <w:r>
                    <w:rPr>
                      <w:rFonts w:hint="default" w:ascii="Times New Roman" w:hAnsi="Times New Roman" w:eastAsia="宋体" w:cs="Times New Roman"/>
                      <w:b w:val="0"/>
                      <w:bCs w:val="0"/>
                      <w:color w:val="auto"/>
                      <w:szCs w:val="21"/>
                      <w:highlight w:val="none"/>
                      <w:vertAlign w:val="subscript"/>
                      <w:lang w:val="en-US" w:eastAsia="zh-CN"/>
                    </w:rPr>
                    <w:t>2</w:t>
                  </w:r>
                  <w:r>
                    <w:rPr>
                      <w:rFonts w:hint="default" w:ascii="Times New Roman" w:hAnsi="Times New Roman" w:eastAsia="宋体" w:cs="Times New Roman"/>
                      <w:b w:val="0"/>
                      <w:bCs w:val="0"/>
                      <w:color w:val="auto"/>
                      <w:szCs w:val="21"/>
                      <w:highlight w:val="none"/>
                      <w:vertAlign w:val="baseline"/>
                      <w:lang w:val="en-US" w:eastAsia="zh-CN"/>
                    </w:rPr>
                    <w:t>O（%）</w:t>
                  </w:r>
                </w:p>
              </w:tc>
              <w:tc>
                <w:tcPr>
                  <w:tcW w:w="854" w:type="dxa"/>
                  <w:vAlign w:val="center"/>
                </w:tcPr>
                <w:p w14:paraId="59409855">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Cs w:val="21"/>
                      <w:highlight w:val="none"/>
                      <w:vertAlign w:val="baseline"/>
                      <w:lang w:val="en-US" w:eastAsia="zh-CN"/>
                    </w:rPr>
                  </w:pPr>
                  <w:r>
                    <w:rPr>
                      <w:rFonts w:hint="default" w:ascii="Times New Roman" w:hAnsi="Times New Roman" w:eastAsia="宋体" w:cs="Times New Roman"/>
                      <w:b w:val="0"/>
                      <w:bCs w:val="0"/>
                      <w:color w:val="auto"/>
                      <w:szCs w:val="21"/>
                      <w:highlight w:val="none"/>
                      <w:vertAlign w:val="baseline"/>
                      <w:lang w:val="en-US" w:eastAsia="zh-CN"/>
                    </w:rPr>
                    <w:t>Na</w:t>
                  </w:r>
                  <w:r>
                    <w:rPr>
                      <w:rFonts w:hint="default" w:ascii="Times New Roman" w:hAnsi="Times New Roman" w:eastAsia="宋体" w:cs="Times New Roman"/>
                      <w:b w:val="0"/>
                      <w:bCs w:val="0"/>
                      <w:color w:val="auto"/>
                      <w:szCs w:val="21"/>
                      <w:highlight w:val="none"/>
                      <w:vertAlign w:val="subscript"/>
                      <w:lang w:val="en-US" w:eastAsia="zh-CN"/>
                    </w:rPr>
                    <w:t>2</w:t>
                  </w:r>
                  <w:r>
                    <w:rPr>
                      <w:rFonts w:hint="default" w:ascii="Times New Roman" w:hAnsi="Times New Roman" w:eastAsia="宋体" w:cs="Times New Roman"/>
                      <w:b w:val="0"/>
                      <w:bCs w:val="0"/>
                      <w:color w:val="auto"/>
                      <w:szCs w:val="21"/>
                      <w:highlight w:val="none"/>
                      <w:vertAlign w:val="baseline"/>
                      <w:lang w:val="en-US" w:eastAsia="zh-CN"/>
                    </w:rPr>
                    <w:t>O（%）</w:t>
                  </w:r>
                </w:p>
              </w:tc>
              <w:tc>
                <w:tcPr>
                  <w:tcW w:w="1026" w:type="dxa"/>
                  <w:vAlign w:val="center"/>
                </w:tcPr>
                <w:p w14:paraId="7FE12E67">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Cs w:val="21"/>
                      <w:highlight w:val="none"/>
                      <w:vertAlign w:val="baseline"/>
                      <w:lang w:val="en-US" w:eastAsia="zh-CN"/>
                    </w:rPr>
                  </w:pPr>
                  <w:r>
                    <w:rPr>
                      <w:rFonts w:hint="default" w:ascii="Times New Roman" w:hAnsi="Times New Roman" w:eastAsia="宋体" w:cs="Times New Roman"/>
                      <w:b w:val="0"/>
                      <w:bCs w:val="0"/>
                      <w:color w:val="auto"/>
                      <w:szCs w:val="21"/>
                      <w:highlight w:val="none"/>
                      <w:vertAlign w:val="baseline"/>
                      <w:lang w:val="en-US" w:eastAsia="zh-CN"/>
                    </w:rPr>
                    <w:t>MnO（%）</w:t>
                  </w:r>
                </w:p>
              </w:tc>
            </w:tr>
            <w:tr w14:paraId="3BB3A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2" w:type="dxa"/>
                  <w:vAlign w:val="center"/>
                </w:tcPr>
                <w:p w14:paraId="51312B20">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Cs w:val="21"/>
                      <w:highlight w:val="none"/>
                      <w:vertAlign w:val="baseline"/>
                      <w:lang w:val="en-US" w:eastAsia="zh-CN"/>
                    </w:rPr>
                  </w:pPr>
                  <w:r>
                    <w:rPr>
                      <w:rFonts w:hint="eastAsia" w:ascii="Times New Roman" w:hAnsi="Times New Roman" w:eastAsia="宋体" w:cs="Times New Roman"/>
                      <w:b w:val="0"/>
                      <w:bCs w:val="0"/>
                      <w:color w:val="auto"/>
                      <w:szCs w:val="21"/>
                      <w:highlight w:val="none"/>
                      <w:vertAlign w:val="baseline"/>
                      <w:lang w:val="en-US" w:eastAsia="zh-CN"/>
                    </w:rPr>
                    <w:t>52±2</w:t>
                  </w:r>
                </w:p>
              </w:tc>
              <w:tc>
                <w:tcPr>
                  <w:tcW w:w="882" w:type="dxa"/>
                  <w:vAlign w:val="center"/>
                </w:tcPr>
                <w:p w14:paraId="66FB5046">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Cs w:val="21"/>
                      <w:highlight w:val="none"/>
                      <w:vertAlign w:val="baseline"/>
                      <w:lang w:val="en-US" w:eastAsia="zh-CN"/>
                    </w:rPr>
                  </w:pPr>
                  <w:r>
                    <w:rPr>
                      <w:rFonts w:hint="eastAsia" w:ascii="Times New Roman" w:hAnsi="Times New Roman" w:eastAsia="宋体" w:cs="Times New Roman"/>
                      <w:b w:val="0"/>
                      <w:bCs w:val="0"/>
                      <w:color w:val="auto"/>
                      <w:szCs w:val="21"/>
                      <w:highlight w:val="none"/>
                      <w:vertAlign w:val="baseline"/>
                      <w:lang w:val="en-US" w:eastAsia="zh-CN"/>
                    </w:rPr>
                    <w:t>45±2</w:t>
                  </w:r>
                </w:p>
              </w:tc>
              <w:tc>
                <w:tcPr>
                  <w:tcW w:w="883" w:type="dxa"/>
                  <w:vAlign w:val="center"/>
                </w:tcPr>
                <w:p w14:paraId="7ED15EC6">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Cs w:val="21"/>
                      <w:highlight w:val="none"/>
                      <w:vertAlign w:val="baseline"/>
                      <w:lang w:val="en-US" w:eastAsia="zh-CN"/>
                    </w:rPr>
                  </w:pPr>
                  <w:r>
                    <w:rPr>
                      <w:rFonts w:hint="eastAsia" w:ascii="Times New Roman" w:hAnsi="Times New Roman" w:eastAsia="宋体" w:cs="Times New Roman"/>
                      <w:b w:val="0"/>
                      <w:bCs w:val="0"/>
                      <w:color w:val="auto"/>
                      <w:szCs w:val="21"/>
                      <w:highlight w:val="none"/>
                      <w:vertAlign w:val="baseline"/>
                      <w:lang w:val="en-US" w:eastAsia="zh-CN"/>
                    </w:rPr>
                    <w:t>＜0.4</w:t>
                  </w:r>
                </w:p>
              </w:tc>
              <w:tc>
                <w:tcPr>
                  <w:tcW w:w="883" w:type="dxa"/>
                  <w:vAlign w:val="center"/>
                </w:tcPr>
                <w:p w14:paraId="5CD61639">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Cs w:val="21"/>
                      <w:highlight w:val="none"/>
                      <w:vertAlign w:val="baseline"/>
                      <w:lang w:val="en-US" w:eastAsia="zh-CN"/>
                    </w:rPr>
                  </w:pPr>
                  <w:r>
                    <w:rPr>
                      <w:rFonts w:hint="eastAsia" w:ascii="Times New Roman" w:hAnsi="Times New Roman" w:eastAsia="宋体" w:cs="Times New Roman"/>
                      <w:b w:val="0"/>
                      <w:bCs w:val="0"/>
                      <w:color w:val="auto"/>
                      <w:szCs w:val="21"/>
                      <w:highlight w:val="none"/>
                      <w:vertAlign w:val="baseline"/>
                      <w:lang w:val="en-US" w:eastAsia="zh-CN"/>
                    </w:rPr>
                    <w:t>＜1.0</w:t>
                  </w:r>
                </w:p>
              </w:tc>
              <w:tc>
                <w:tcPr>
                  <w:tcW w:w="883" w:type="dxa"/>
                  <w:vAlign w:val="center"/>
                </w:tcPr>
                <w:p w14:paraId="21745B62">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Cs w:val="21"/>
                      <w:highlight w:val="none"/>
                      <w:vertAlign w:val="baseline"/>
                      <w:lang w:val="en-US" w:eastAsia="zh-CN"/>
                    </w:rPr>
                  </w:pPr>
                  <w:r>
                    <w:rPr>
                      <w:rFonts w:hint="eastAsia" w:ascii="Times New Roman" w:hAnsi="Times New Roman" w:eastAsia="宋体" w:cs="Times New Roman"/>
                      <w:b w:val="0"/>
                      <w:bCs w:val="0"/>
                      <w:color w:val="auto"/>
                      <w:szCs w:val="21"/>
                      <w:highlight w:val="none"/>
                      <w:vertAlign w:val="baseline"/>
                      <w:lang w:val="en-US" w:eastAsia="zh-CN"/>
                    </w:rPr>
                    <w:t>＜0.4</w:t>
                  </w:r>
                </w:p>
              </w:tc>
              <w:tc>
                <w:tcPr>
                  <w:tcW w:w="798" w:type="dxa"/>
                  <w:vAlign w:val="center"/>
                </w:tcPr>
                <w:p w14:paraId="7CC06451">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Cs w:val="21"/>
                      <w:highlight w:val="none"/>
                      <w:vertAlign w:val="baseline"/>
                      <w:lang w:val="en-US" w:eastAsia="zh-CN"/>
                    </w:rPr>
                  </w:pPr>
                  <w:r>
                    <w:rPr>
                      <w:rFonts w:hint="eastAsia" w:ascii="Times New Roman" w:hAnsi="Times New Roman" w:eastAsia="宋体" w:cs="Times New Roman"/>
                      <w:b w:val="0"/>
                      <w:bCs w:val="0"/>
                      <w:color w:val="auto"/>
                      <w:szCs w:val="21"/>
                      <w:highlight w:val="none"/>
                      <w:vertAlign w:val="baseline"/>
                      <w:lang w:val="en-US" w:eastAsia="zh-CN"/>
                    </w:rPr>
                    <w:t>＜0.2</w:t>
                  </w:r>
                </w:p>
              </w:tc>
              <w:tc>
                <w:tcPr>
                  <w:tcW w:w="854" w:type="dxa"/>
                  <w:vAlign w:val="center"/>
                </w:tcPr>
                <w:p w14:paraId="222AF866">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Cs w:val="21"/>
                      <w:highlight w:val="none"/>
                      <w:vertAlign w:val="baseline"/>
                      <w:lang w:val="en-US" w:eastAsia="zh-CN"/>
                    </w:rPr>
                  </w:pPr>
                  <w:r>
                    <w:rPr>
                      <w:rFonts w:hint="eastAsia" w:ascii="Times New Roman" w:hAnsi="Times New Roman" w:eastAsia="宋体" w:cs="Times New Roman"/>
                      <w:b w:val="0"/>
                      <w:bCs w:val="0"/>
                      <w:color w:val="auto"/>
                      <w:szCs w:val="21"/>
                      <w:highlight w:val="none"/>
                      <w:vertAlign w:val="baseline"/>
                      <w:lang w:val="en-US" w:eastAsia="zh-CN"/>
                    </w:rPr>
                    <w:t>＜0.04</w:t>
                  </w:r>
                </w:p>
              </w:tc>
              <w:tc>
                <w:tcPr>
                  <w:tcW w:w="854" w:type="dxa"/>
                  <w:vAlign w:val="center"/>
                </w:tcPr>
                <w:p w14:paraId="2167560C">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Cs w:val="21"/>
                      <w:highlight w:val="none"/>
                      <w:vertAlign w:val="baseline"/>
                      <w:lang w:val="en-US" w:eastAsia="zh-CN"/>
                    </w:rPr>
                  </w:pPr>
                  <w:r>
                    <w:rPr>
                      <w:rFonts w:hint="eastAsia" w:ascii="Times New Roman" w:hAnsi="Times New Roman" w:eastAsia="宋体" w:cs="Times New Roman"/>
                      <w:b w:val="0"/>
                      <w:bCs w:val="0"/>
                      <w:color w:val="auto"/>
                      <w:szCs w:val="21"/>
                      <w:highlight w:val="none"/>
                      <w:vertAlign w:val="baseline"/>
                      <w:lang w:val="en-US" w:eastAsia="zh-CN"/>
                    </w:rPr>
                    <w:t>＜0.1</w:t>
                  </w:r>
                </w:p>
              </w:tc>
              <w:tc>
                <w:tcPr>
                  <w:tcW w:w="1026" w:type="dxa"/>
                  <w:vAlign w:val="center"/>
                </w:tcPr>
                <w:p w14:paraId="50C75186">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Cs w:val="21"/>
                      <w:highlight w:val="none"/>
                      <w:vertAlign w:val="baseline"/>
                      <w:lang w:val="en-US" w:eastAsia="zh-CN"/>
                    </w:rPr>
                  </w:pPr>
                  <w:r>
                    <w:rPr>
                      <w:rFonts w:hint="eastAsia" w:ascii="Times New Roman" w:hAnsi="Times New Roman" w:eastAsia="宋体" w:cs="Times New Roman"/>
                      <w:b w:val="0"/>
                      <w:bCs w:val="0"/>
                      <w:color w:val="auto"/>
                      <w:szCs w:val="21"/>
                      <w:highlight w:val="none"/>
                      <w:vertAlign w:val="baseline"/>
                      <w:lang w:val="en-US" w:eastAsia="zh-CN"/>
                    </w:rPr>
                    <w:t>＜0.005</w:t>
                  </w:r>
                </w:p>
              </w:tc>
            </w:tr>
          </w:tbl>
          <w:p w14:paraId="0F3FC676">
            <w:pPr>
              <w:bidi w:val="0"/>
              <w:rPr>
                <w:rFonts w:hint="eastAsia" w:cs="Times New Roman"/>
                <w:b/>
                <w:bCs/>
                <w:color w:val="auto"/>
                <w:szCs w:val="21"/>
                <w:highlight w:val="none"/>
                <w:lang w:val="en-US" w:eastAsia="zh-CN"/>
              </w:rPr>
            </w:pPr>
            <w:r>
              <w:rPr>
                <w:rFonts w:hint="eastAsia" w:cs="Times New Roman"/>
                <w:b/>
                <w:bCs/>
                <w:color w:val="auto"/>
                <w:szCs w:val="21"/>
                <w:highlight w:val="none"/>
                <w:lang w:val="en-US" w:eastAsia="zh-CN"/>
              </w:rPr>
              <w:t>5.劳动定员及工作制度</w:t>
            </w:r>
          </w:p>
          <w:p w14:paraId="324E86BA">
            <w:pPr>
              <w:bidi w:val="0"/>
              <w:rPr>
                <w:rFonts w:hint="eastAsia"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劳动定员及工作制</w:t>
            </w:r>
            <w:r>
              <w:rPr>
                <w:rFonts w:hint="eastAsia" w:cs="Times New Roman"/>
                <w:color w:val="auto"/>
                <w:szCs w:val="21"/>
                <w:highlight w:val="none"/>
                <w:lang w:val="en-US" w:eastAsia="zh-CN"/>
              </w:rPr>
              <w:t>度</w:t>
            </w:r>
            <w:r>
              <w:rPr>
                <w:rFonts w:hint="eastAsia" w:ascii="Times New Roman" w:hAnsi="Times New Roman" w:cs="Times New Roman"/>
                <w:color w:val="auto"/>
                <w:szCs w:val="21"/>
                <w:highlight w:val="none"/>
                <w:lang w:val="en-US" w:eastAsia="zh-CN"/>
              </w:rPr>
              <w:t>：本项目共计201人，每日三班，每班</w:t>
            </w:r>
            <w:r>
              <w:rPr>
                <w:rFonts w:hint="eastAsia" w:cs="Times New Roman"/>
                <w:color w:val="auto"/>
                <w:szCs w:val="21"/>
                <w:highlight w:val="none"/>
                <w:lang w:val="en-US" w:eastAsia="zh-CN"/>
              </w:rPr>
              <w:t>24</w:t>
            </w:r>
            <w:r>
              <w:rPr>
                <w:rFonts w:hint="eastAsia" w:ascii="Times New Roman" w:hAnsi="Times New Roman" w:cs="Times New Roman"/>
                <w:color w:val="auto"/>
                <w:szCs w:val="21"/>
                <w:highlight w:val="none"/>
                <w:lang w:val="en-US" w:eastAsia="zh-CN"/>
              </w:rPr>
              <w:t>小时，年工作3</w:t>
            </w:r>
            <w:r>
              <w:rPr>
                <w:rFonts w:hint="eastAsia" w:cs="Times New Roman"/>
                <w:color w:val="auto"/>
                <w:szCs w:val="21"/>
                <w:highlight w:val="none"/>
                <w:lang w:val="en-US" w:eastAsia="zh-CN"/>
              </w:rPr>
              <w:t>33d</w:t>
            </w:r>
            <w:r>
              <w:rPr>
                <w:rFonts w:hint="eastAsia" w:ascii="Times New Roman" w:hAnsi="Times New Roman" w:cs="Times New Roman"/>
                <w:color w:val="auto"/>
                <w:szCs w:val="21"/>
                <w:highlight w:val="none"/>
                <w:lang w:val="en-US" w:eastAsia="zh-CN"/>
              </w:rPr>
              <w:t>。</w:t>
            </w:r>
          </w:p>
          <w:p w14:paraId="3E181EF8">
            <w:pPr>
              <w:bidi w:val="0"/>
              <w:rPr>
                <w:rFonts w:hint="eastAsia"/>
                <w:b/>
                <w:bCs/>
                <w:color w:val="auto"/>
                <w:highlight w:val="none"/>
                <w:lang w:val="en-US" w:eastAsia="zh-CN"/>
              </w:rPr>
            </w:pPr>
            <w:r>
              <w:rPr>
                <w:rFonts w:hint="eastAsia"/>
                <w:b/>
                <w:bCs/>
                <w:color w:val="auto"/>
                <w:highlight w:val="none"/>
                <w:lang w:val="en-US" w:eastAsia="zh-CN"/>
              </w:rPr>
              <w:t>6.公用工程</w:t>
            </w:r>
          </w:p>
          <w:p w14:paraId="349D03C8">
            <w:pPr>
              <w:bidi w:val="0"/>
              <w:rPr>
                <w:rFonts w:hint="eastAsia"/>
                <w:b/>
                <w:bCs/>
                <w:color w:val="auto"/>
                <w:highlight w:val="none"/>
                <w:lang w:val="en-US" w:eastAsia="zh-CN"/>
              </w:rPr>
            </w:pPr>
            <w:r>
              <w:rPr>
                <w:rFonts w:hint="eastAsia"/>
                <w:b/>
                <w:bCs/>
                <w:color w:val="auto"/>
                <w:highlight w:val="none"/>
                <w:lang w:val="en-US" w:eastAsia="zh-CN"/>
              </w:rPr>
              <w:t>（1）供电工程</w:t>
            </w:r>
          </w:p>
          <w:p w14:paraId="5255B9D4">
            <w:pPr>
              <w:bidi w:val="0"/>
              <w:rPr>
                <w:rFonts w:hint="eastAsia"/>
                <w:b w:val="0"/>
                <w:bCs w:val="0"/>
                <w:color w:val="auto"/>
                <w:highlight w:val="none"/>
                <w:lang w:val="en-US" w:eastAsia="zh-CN"/>
              </w:rPr>
            </w:pPr>
            <w:r>
              <w:rPr>
                <w:rFonts w:hint="eastAsia"/>
                <w:b w:val="0"/>
                <w:bCs w:val="0"/>
                <w:color w:val="auto"/>
                <w:highlight w:val="none"/>
                <w:lang w:val="en-US" w:eastAsia="zh-CN"/>
              </w:rPr>
              <w:t>本项目由园区市政供电线路进行统一供电，由项目区域附近110KVA变电站引入，接入本项目变压站，再通过供电管网接入用电设备。</w:t>
            </w:r>
          </w:p>
          <w:p w14:paraId="5017960C">
            <w:pPr>
              <w:bidi w:val="0"/>
              <w:rPr>
                <w:rFonts w:hint="eastAsia"/>
                <w:b/>
                <w:bCs/>
                <w:color w:val="auto"/>
                <w:highlight w:val="none"/>
                <w:lang w:val="en-US" w:eastAsia="zh-CN"/>
              </w:rPr>
            </w:pPr>
            <w:r>
              <w:rPr>
                <w:rFonts w:hint="eastAsia"/>
                <w:b/>
                <w:bCs/>
                <w:color w:val="auto"/>
                <w:highlight w:val="none"/>
                <w:lang w:val="en-US" w:eastAsia="zh-CN"/>
              </w:rPr>
              <w:t>（2）供热工程</w:t>
            </w:r>
          </w:p>
          <w:p w14:paraId="63724001">
            <w:pPr>
              <w:bidi w:val="0"/>
              <w:rPr>
                <w:rFonts w:hint="eastAsia"/>
                <w:b/>
                <w:bCs/>
                <w:color w:val="auto"/>
                <w:highlight w:val="none"/>
                <w:lang w:val="en-US" w:eastAsia="zh-CN"/>
              </w:rPr>
            </w:pPr>
            <w:r>
              <w:rPr>
                <w:rFonts w:hint="eastAsia" w:cs="Times New Roman"/>
                <w:color w:val="auto"/>
                <w:szCs w:val="21"/>
                <w:highlight w:val="none"/>
                <w:vertAlign w:val="baseline"/>
                <w:lang w:val="en-US" w:eastAsia="zh-CN"/>
              </w:rPr>
              <w:t>本项目生产车间内整体不建设供暖热源，办公区采用园区统一供暖。</w:t>
            </w:r>
          </w:p>
          <w:p w14:paraId="3CD3E0AB">
            <w:pPr>
              <w:bidi w:val="0"/>
              <w:rPr>
                <w:rFonts w:hint="eastAsia"/>
                <w:b/>
                <w:bCs/>
                <w:color w:val="auto"/>
                <w:highlight w:val="none"/>
                <w:lang w:val="en-US" w:eastAsia="zh-CN"/>
              </w:rPr>
            </w:pPr>
            <w:r>
              <w:rPr>
                <w:rFonts w:hint="eastAsia"/>
                <w:b/>
                <w:bCs/>
                <w:color w:val="auto"/>
                <w:highlight w:val="none"/>
                <w:lang w:val="en-US" w:eastAsia="zh-CN"/>
              </w:rPr>
              <w:t>（3）供气工程</w:t>
            </w:r>
          </w:p>
          <w:p w14:paraId="2F26DE4A">
            <w:pPr>
              <w:bidi w:val="0"/>
              <w:rPr>
                <w:rFonts w:hint="default"/>
                <w:b w:val="0"/>
                <w:bCs w:val="0"/>
                <w:color w:val="auto"/>
                <w:highlight w:val="none"/>
                <w:lang w:val="en-US" w:eastAsia="zh-CN"/>
              </w:rPr>
            </w:pPr>
            <w:r>
              <w:rPr>
                <w:rFonts w:hint="eastAsia"/>
                <w:b w:val="0"/>
                <w:bCs w:val="0"/>
                <w:color w:val="auto"/>
                <w:highlight w:val="none"/>
                <w:lang w:val="en-US" w:eastAsia="zh-CN"/>
              </w:rPr>
              <w:t>本项目煤系高岭土煅烧过程中采用竖窑进行煅烧，竖窑热源由天然气供给，由内蒙古陆泰天然气有限公司提供，燃气由园区供气管网输送至本项目用气单元，天然气供气合同见附件7。</w:t>
            </w:r>
          </w:p>
          <w:p w14:paraId="4CA4577C">
            <w:pPr>
              <w:bidi w:val="0"/>
              <w:ind w:left="0" w:leftChars="0" w:firstLine="0" w:firstLineChars="0"/>
              <w:jc w:val="center"/>
              <w:rPr>
                <w:rFonts w:hint="default"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表2-</w:t>
            </w:r>
            <w:r>
              <w:rPr>
                <w:rFonts w:hint="eastAsia" w:cs="Times New Roman"/>
                <w:b/>
                <w:bCs/>
                <w:color w:val="auto"/>
                <w:highlight w:val="none"/>
                <w:lang w:val="en-US" w:eastAsia="zh-CN"/>
              </w:rPr>
              <w:t>8：</w:t>
            </w:r>
            <w:r>
              <w:rPr>
                <w:rFonts w:hint="eastAsia" w:ascii="Times New Roman" w:hAnsi="Times New Roman" w:eastAsia="宋体" w:cs="Times New Roman"/>
                <w:b/>
                <w:bCs/>
                <w:color w:val="auto"/>
                <w:highlight w:val="none"/>
                <w:lang w:val="en-US" w:eastAsia="zh-CN"/>
              </w:rPr>
              <w:t>天然气主要成分一览表</w:t>
            </w:r>
          </w:p>
          <w:tbl>
            <w:tblPr>
              <w:tblStyle w:val="23"/>
              <w:tblW w:w="79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2"/>
              <w:gridCol w:w="1003"/>
              <w:gridCol w:w="821"/>
              <w:gridCol w:w="762"/>
              <w:gridCol w:w="845"/>
              <w:gridCol w:w="712"/>
              <w:gridCol w:w="674"/>
              <w:gridCol w:w="1436"/>
              <w:gridCol w:w="921"/>
            </w:tblGrid>
            <w:tr w14:paraId="6503A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22" w:type="dxa"/>
                  <w:noWrap w:val="0"/>
                  <w:vAlign w:val="center"/>
                </w:tcPr>
                <w:p w14:paraId="688AF55D">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color w:val="auto"/>
                      <w:highlight w:val="none"/>
                      <w:lang w:val="en-US" w:eastAsia="zh-CN"/>
                    </w:rPr>
                  </w:pPr>
                  <w:r>
                    <w:rPr>
                      <w:rFonts w:hint="default"/>
                      <w:color w:val="auto"/>
                      <w:highlight w:val="none"/>
                      <w:lang w:val="en-US" w:eastAsia="zh-CN"/>
                    </w:rPr>
                    <w:t>成份</w:t>
                  </w:r>
                </w:p>
              </w:tc>
              <w:tc>
                <w:tcPr>
                  <w:tcW w:w="1003" w:type="dxa"/>
                  <w:noWrap w:val="0"/>
                  <w:vAlign w:val="center"/>
                </w:tcPr>
                <w:p w14:paraId="150666F0">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eastAsia"/>
                      <w:color w:val="auto"/>
                      <w:highlight w:val="none"/>
                      <w:lang w:val="en-US" w:eastAsia="zh-CN"/>
                    </w:rPr>
                  </w:pPr>
                  <w:r>
                    <w:rPr>
                      <w:rFonts w:hint="eastAsia"/>
                      <w:color w:val="auto"/>
                      <w:highlight w:val="none"/>
                      <w:lang w:val="en-US" w:eastAsia="zh-CN"/>
                    </w:rPr>
                    <w:t>甲烷</w:t>
                  </w:r>
                </w:p>
              </w:tc>
              <w:tc>
                <w:tcPr>
                  <w:tcW w:w="821" w:type="dxa"/>
                  <w:noWrap w:val="0"/>
                  <w:vAlign w:val="center"/>
                </w:tcPr>
                <w:p w14:paraId="11583E3C">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乙烷</w:t>
                  </w:r>
                </w:p>
              </w:tc>
              <w:tc>
                <w:tcPr>
                  <w:tcW w:w="762" w:type="dxa"/>
                  <w:noWrap w:val="0"/>
                  <w:vAlign w:val="center"/>
                </w:tcPr>
                <w:p w14:paraId="73A241DA">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eastAsia"/>
                      <w:color w:val="auto"/>
                      <w:highlight w:val="none"/>
                      <w:lang w:val="en-US" w:eastAsia="zh-CN"/>
                    </w:rPr>
                  </w:pPr>
                  <w:r>
                    <w:rPr>
                      <w:rFonts w:hint="eastAsia"/>
                      <w:color w:val="auto"/>
                      <w:highlight w:val="none"/>
                      <w:lang w:val="en-US" w:eastAsia="zh-CN"/>
                    </w:rPr>
                    <w:t>丙烷</w:t>
                  </w:r>
                </w:p>
              </w:tc>
              <w:tc>
                <w:tcPr>
                  <w:tcW w:w="845" w:type="dxa"/>
                  <w:noWrap w:val="0"/>
                  <w:vAlign w:val="center"/>
                </w:tcPr>
                <w:p w14:paraId="2015B911">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正丁烷</w:t>
                  </w:r>
                </w:p>
              </w:tc>
              <w:tc>
                <w:tcPr>
                  <w:tcW w:w="712" w:type="dxa"/>
                  <w:noWrap w:val="0"/>
                  <w:vAlign w:val="center"/>
                </w:tcPr>
                <w:p w14:paraId="1D036C59">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C</w:t>
                  </w:r>
                  <w:r>
                    <w:rPr>
                      <w:rFonts w:hint="eastAsia"/>
                      <w:color w:val="auto"/>
                      <w:highlight w:val="none"/>
                      <w:vertAlign w:val="subscript"/>
                      <w:lang w:val="en-US" w:eastAsia="zh-CN"/>
                    </w:rPr>
                    <w:t>6</w:t>
                  </w:r>
                </w:p>
              </w:tc>
              <w:tc>
                <w:tcPr>
                  <w:tcW w:w="674" w:type="dxa"/>
                  <w:noWrap w:val="0"/>
                  <w:vAlign w:val="center"/>
                </w:tcPr>
                <w:p w14:paraId="79194831">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总硫</w:t>
                  </w:r>
                </w:p>
              </w:tc>
              <w:tc>
                <w:tcPr>
                  <w:tcW w:w="1436" w:type="dxa"/>
                  <w:noWrap w:val="0"/>
                  <w:vAlign w:val="center"/>
                </w:tcPr>
                <w:p w14:paraId="1259D5A9">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eastAsia"/>
                      <w:color w:val="auto"/>
                      <w:highlight w:val="none"/>
                      <w:lang w:val="en-US" w:eastAsia="zh-CN"/>
                    </w:rPr>
                  </w:pPr>
                  <w:r>
                    <w:rPr>
                      <w:rFonts w:hint="default"/>
                      <w:color w:val="auto"/>
                      <w:highlight w:val="none"/>
                      <w:lang w:val="en-US" w:eastAsia="zh-CN"/>
                    </w:rPr>
                    <w:t>H</w:t>
                  </w:r>
                  <w:r>
                    <w:rPr>
                      <w:rFonts w:hint="default"/>
                      <w:color w:val="auto"/>
                      <w:highlight w:val="none"/>
                      <w:vertAlign w:val="subscript"/>
                      <w:lang w:val="en-US" w:eastAsia="zh-CN"/>
                    </w:rPr>
                    <w:t>2</w:t>
                  </w:r>
                  <w:r>
                    <w:rPr>
                      <w:rFonts w:hint="default"/>
                      <w:color w:val="auto"/>
                      <w:highlight w:val="none"/>
                      <w:lang w:val="en-US" w:eastAsia="zh-CN"/>
                    </w:rPr>
                    <w:t>S</w:t>
                  </w:r>
                  <w:r>
                    <w:rPr>
                      <w:rFonts w:hint="eastAsia"/>
                      <w:color w:val="auto"/>
                      <w:highlight w:val="none"/>
                      <w:lang w:val="en-US" w:eastAsia="zh-CN"/>
                    </w:rPr>
                    <w:t>（</w:t>
                  </w:r>
                  <w:r>
                    <w:rPr>
                      <w:rFonts w:hint="default"/>
                      <w:color w:val="auto"/>
                      <w:highlight w:val="none"/>
                      <w:lang w:val="en-US" w:eastAsia="zh-CN"/>
                    </w:rPr>
                    <w:t>mg/</w:t>
                  </w:r>
                  <w:r>
                    <w:rPr>
                      <w:rFonts w:hint="eastAsia"/>
                      <w:color w:val="auto"/>
                      <w:highlight w:val="none"/>
                      <w:lang w:val="en-US" w:eastAsia="zh-CN"/>
                    </w:rPr>
                    <w:t>m³）</w:t>
                  </w:r>
                </w:p>
              </w:tc>
              <w:tc>
                <w:tcPr>
                  <w:tcW w:w="921" w:type="dxa"/>
                  <w:noWrap w:val="0"/>
                  <w:vAlign w:val="center"/>
                </w:tcPr>
                <w:p w14:paraId="7BA102A8">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color w:val="auto"/>
                      <w:highlight w:val="none"/>
                      <w:lang w:val="en-US" w:eastAsia="zh-CN"/>
                    </w:rPr>
                  </w:pPr>
                  <w:r>
                    <w:rPr>
                      <w:rFonts w:hint="default"/>
                      <w:color w:val="auto"/>
                      <w:highlight w:val="none"/>
                      <w:lang w:val="en-US" w:eastAsia="zh-CN"/>
                    </w:rPr>
                    <w:t>高位发热量</w:t>
                  </w:r>
                </w:p>
              </w:tc>
            </w:tr>
            <w:tr w14:paraId="6D7DA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22" w:type="dxa"/>
                  <w:noWrap w:val="0"/>
                  <w:vAlign w:val="center"/>
                </w:tcPr>
                <w:p w14:paraId="29104619">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color w:val="auto"/>
                      <w:highlight w:val="none"/>
                      <w:lang w:val="en-US" w:eastAsia="zh-CN"/>
                    </w:rPr>
                  </w:pPr>
                  <w:r>
                    <w:rPr>
                      <w:rFonts w:hint="default"/>
                      <w:color w:val="auto"/>
                      <w:highlight w:val="none"/>
                      <w:lang w:val="en-US" w:eastAsia="zh-CN"/>
                    </w:rPr>
                    <w:t>含量</w:t>
                  </w:r>
                  <w:r>
                    <w:rPr>
                      <w:rFonts w:hint="eastAsia"/>
                      <w:color w:val="auto"/>
                      <w:highlight w:val="none"/>
                      <w:lang w:val="en-US" w:eastAsia="zh-CN"/>
                    </w:rPr>
                    <w:t>（%）</w:t>
                  </w:r>
                </w:p>
              </w:tc>
              <w:tc>
                <w:tcPr>
                  <w:tcW w:w="1003" w:type="dxa"/>
                  <w:noWrap w:val="0"/>
                  <w:vAlign w:val="center"/>
                </w:tcPr>
                <w:p w14:paraId="7EEDCAE5">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92.624</w:t>
                  </w:r>
                </w:p>
              </w:tc>
              <w:tc>
                <w:tcPr>
                  <w:tcW w:w="821" w:type="dxa"/>
                  <w:noWrap w:val="0"/>
                  <w:vAlign w:val="center"/>
                </w:tcPr>
                <w:p w14:paraId="2777017C">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3.551</w:t>
                  </w:r>
                </w:p>
              </w:tc>
              <w:tc>
                <w:tcPr>
                  <w:tcW w:w="762" w:type="dxa"/>
                  <w:noWrap w:val="0"/>
                  <w:vAlign w:val="center"/>
                </w:tcPr>
                <w:p w14:paraId="77683392">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0.804</w:t>
                  </w:r>
                </w:p>
              </w:tc>
              <w:tc>
                <w:tcPr>
                  <w:tcW w:w="845" w:type="dxa"/>
                  <w:noWrap w:val="0"/>
                  <w:vAlign w:val="center"/>
                </w:tcPr>
                <w:p w14:paraId="2A20B809">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0.167</w:t>
                  </w:r>
                </w:p>
              </w:tc>
              <w:tc>
                <w:tcPr>
                  <w:tcW w:w="712" w:type="dxa"/>
                  <w:noWrap w:val="0"/>
                  <w:vAlign w:val="center"/>
                </w:tcPr>
                <w:p w14:paraId="3F6CF151">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0.042</w:t>
                  </w:r>
                </w:p>
              </w:tc>
              <w:tc>
                <w:tcPr>
                  <w:tcW w:w="674" w:type="dxa"/>
                  <w:noWrap w:val="0"/>
                  <w:vAlign w:val="center"/>
                </w:tcPr>
                <w:p w14:paraId="54A9554A">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2.5</w:t>
                  </w:r>
                </w:p>
              </w:tc>
              <w:tc>
                <w:tcPr>
                  <w:tcW w:w="1436" w:type="dxa"/>
                  <w:noWrap w:val="0"/>
                  <w:vAlign w:val="center"/>
                </w:tcPr>
                <w:p w14:paraId="0FB1A088">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1.3</w:t>
                  </w:r>
                </w:p>
              </w:tc>
              <w:tc>
                <w:tcPr>
                  <w:tcW w:w="921" w:type="dxa"/>
                  <w:noWrap w:val="0"/>
                  <w:vAlign w:val="center"/>
                </w:tcPr>
                <w:p w14:paraId="1218C9E1">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38.099</w:t>
                  </w:r>
                  <w:r>
                    <w:rPr>
                      <w:rFonts w:hint="default"/>
                      <w:color w:val="auto"/>
                      <w:highlight w:val="none"/>
                      <w:lang w:val="en-US" w:eastAsia="zh-CN"/>
                    </w:rPr>
                    <w:t>MJ/</w:t>
                  </w:r>
                  <w:r>
                    <w:rPr>
                      <w:rFonts w:hint="eastAsia"/>
                      <w:color w:val="auto"/>
                      <w:highlight w:val="none"/>
                      <w:lang w:val="en-US" w:eastAsia="zh-CN"/>
                    </w:rPr>
                    <w:t>m³</w:t>
                  </w:r>
                </w:p>
              </w:tc>
            </w:tr>
          </w:tbl>
          <w:p w14:paraId="3BCEB225">
            <w:pPr>
              <w:bidi w:val="0"/>
              <w:rPr>
                <w:rFonts w:hint="eastAsia"/>
                <w:b/>
                <w:bCs/>
                <w:color w:val="auto"/>
                <w:highlight w:val="none"/>
                <w:lang w:val="en-US" w:eastAsia="zh-CN"/>
              </w:rPr>
            </w:pPr>
            <w:r>
              <w:rPr>
                <w:rFonts w:hint="eastAsia"/>
                <w:b/>
                <w:bCs/>
                <w:color w:val="auto"/>
                <w:highlight w:val="none"/>
                <w:lang w:val="en-US" w:eastAsia="zh-CN"/>
              </w:rPr>
              <w:t>（4）给水工程</w:t>
            </w:r>
          </w:p>
          <w:p w14:paraId="789A80EE">
            <w:pPr>
              <w:bidi w:val="0"/>
              <w:rPr>
                <w:rFonts w:hint="eastAsia"/>
                <w:color w:val="auto"/>
                <w:highlight w:val="none"/>
                <w:lang w:val="en-US" w:eastAsia="zh-CN"/>
              </w:rPr>
            </w:pPr>
            <w:r>
              <w:rPr>
                <w:rFonts w:hint="eastAsia"/>
                <w:color w:val="auto"/>
                <w:highlight w:val="none"/>
                <w:lang w:val="en-US" w:eastAsia="zh-CN"/>
              </w:rPr>
              <w:t>本项目用水水源为鄂尔多斯市泽鑫水务投资集团有限责任公司提供，供水公司将供水管道敷设至厂区外，本项目接入厂区及供水管网，保证水质、水量的要求。</w:t>
            </w:r>
          </w:p>
          <w:p w14:paraId="7CCA00AF">
            <w:pPr>
              <w:bidi w:val="0"/>
              <w:rPr>
                <w:rFonts w:hint="default"/>
                <w:color w:val="auto"/>
                <w:highlight w:val="none"/>
                <w:lang w:val="en-US" w:eastAsia="zh-CN"/>
              </w:rPr>
            </w:pPr>
            <w:r>
              <w:rPr>
                <w:rFonts w:hint="eastAsia"/>
                <w:color w:val="auto"/>
                <w:highlight w:val="none"/>
                <w:lang w:val="en-US" w:eastAsia="zh-CN"/>
              </w:rPr>
              <w:t>本项目用水主要为：生活用水及生产用水，生产用水主要包括降尘喷淋用水、脱硝剂配置用水、脱硫塔补充用水。</w:t>
            </w:r>
          </w:p>
          <w:p w14:paraId="30449DDF">
            <w:pPr>
              <w:bidi w:val="0"/>
              <w:rPr>
                <w:rFonts w:hint="eastAsia"/>
                <w:b/>
                <w:bCs/>
                <w:color w:val="auto"/>
                <w:highlight w:val="none"/>
                <w:lang w:val="en-US" w:eastAsia="zh-CN"/>
              </w:rPr>
            </w:pPr>
            <w:r>
              <w:rPr>
                <w:rFonts w:hint="eastAsia"/>
                <w:b/>
                <w:bCs/>
                <w:color w:val="auto"/>
                <w:highlight w:val="none"/>
                <w:lang w:val="en-US" w:eastAsia="zh-CN"/>
              </w:rPr>
              <w:t>①生活用水</w:t>
            </w:r>
          </w:p>
          <w:p w14:paraId="4F83DD44">
            <w:pPr>
              <w:bidi w:val="0"/>
              <w:rPr>
                <w:rFonts w:hint="eastAsia"/>
                <w:b/>
                <w:bCs/>
                <w:color w:val="auto"/>
                <w:highlight w:val="none"/>
                <w:lang w:val="en-US" w:eastAsia="zh-CN"/>
              </w:rPr>
            </w:pPr>
            <w:r>
              <w:rPr>
                <w:rFonts w:hint="eastAsia" w:ascii="Times New Roman" w:hAnsi="Times New Roman" w:eastAsia="宋体" w:cs="Times New Roman"/>
                <w:color w:val="auto"/>
                <w:highlight w:val="none"/>
                <w:lang w:val="en-US" w:eastAsia="zh-CN"/>
              </w:rPr>
              <w:t>本项目劳动定员共计201人，用水量参照《内蒙古自治区行业用水定额标准》（DB15/T385-2020），生活用水标准参照60L/（人·d）计，每年生产按333d计，则用水量为12.06m³</w:t>
            </w:r>
            <w:r>
              <w:rPr>
                <w:rFonts w:hint="eastAsia" w:ascii="Times New Roman" w:hAnsi="Times New Roman" w:eastAsia="宋体" w:cs="Times New Roman"/>
                <w:b w:val="0"/>
                <w:bCs w:val="0"/>
                <w:color w:val="auto"/>
                <w:highlight w:val="none"/>
                <w:lang w:val="en-US" w:eastAsia="zh-CN"/>
              </w:rPr>
              <w:t>/d</w:t>
            </w:r>
            <w:r>
              <w:rPr>
                <w:rFonts w:hint="eastAsia"/>
                <w:b w:val="0"/>
                <w:bCs w:val="0"/>
                <w:color w:val="auto"/>
                <w:highlight w:val="none"/>
                <w:lang w:val="en-US" w:eastAsia="zh-CN"/>
              </w:rPr>
              <w:t>（4016m³/a）。</w:t>
            </w:r>
          </w:p>
          <w:p w14:paraId="01B71A36">
            <w:pPr>
              <w:bidi w:val="0"/>
              <w:rPr>
                <w:rFonts w:hint="eastAsia"/>
                <w:b/>
                <w:bCs/>
                <w:color w:val="auto"/>
                <w:highlight w:val="none"/>
                <w:lang w:val="en-US" w:eastAsia="zh-CN"/>
              </w:rPr>
            </w:pPr>
            <w:r>
              <w:rPr>
                <w:rFonts w:hint="eastAsia"/>
                <w:b/>
                <w:bCs/>
                <w:color w:val="auto"/>
                <w:highlight w:val="none"/>
                <w:lang w:val="en-US" w:eastAsia="zh-CN"/>
              </w:rPr>
              <w:t>②生产用水</w:t>
            </w:r>
          </w:p>
          <w:p w14:paraId="3DDD6CAE">
            <w:pPr>
              <w:bidi w:val="0"/>
              <w:rPr>
                <w:rFonts w:hint="eastAsia"/>
                <w:color w:val="auto"/>
                <w:highlight w:val="none"/>
                <w:lang w:val="en-US" w:eastAsia="zh-CN"/>
              </w:rPr>
            </w:pPr>
            <w:r>
              <w:rPr>
                <w:rFonts w:hint="eastAsia"/>
                <w:color w:val="auto"/>
                <w:highlight w:val="none"/>
                <w:lang w:val="en-US" w:eastAsia="zh-CN"/>
              </w:rPr>
              <w:t>本项目原料库、熟料库喷淋用水，喷淋总面积为25296.73㎡，喷水量按照0.5L/次·㎡计，每天喷淋1次，年喷水天数为333天，平均每天用水量为12.65m³/d，即4212.45m³/a；</w:t>
            </w:r>
          </w:p>
          <w:p w14:paraId="4D69F27F">
            <w:pPr>
              <w:bidi w:val="0"/>
              <w:rPr>
                <w:rFonts w:hint="eastAsia"/>
                <w:color w:val="auto"/>
                <w:highlight w:val="none"/>
                <w:lang w:val="en-US" w:eastAsia="zh-CN"/>
              </w:rPr>
            </w:pPr>
            <w:r>
              <w:rPr>
                <w:rFonts w:hint="eastAsia"/>
                <w:color w:val="auto"/>
                <w:highlight w:val="none"/>
                <w:lang w:val="en-US" w:eastAsia="zh-CN"/>
              </w:rPr>
              <w:t>脱硝剂配制用水约为0.1m³/d，即33.3m³/a；</w:t>
            </w:r>
          </w:p>
          <w:p w14:paraId="1B4DD36D">
            <w:pPr>
              <w:bidi w:val="0"/>
              <w:rPr>
                <w:rFonts w:hint="default"/>
                <w:color w:val="auto"/>
                <w:highlight w:val="none"/>
                <w:lang w:val="en-US" w:eastAsia="zh-CN"/>
              </w:rPr>
            </w:pPr>
            <w:r>
              <w:rPr>
                <w:rFonts w:hint="eastAsia"/>
                <w:color w:val="auto"/>
                <w:highlight w:val="none"/>
                <w:lang w:val="en-US" w:eastAsia="zh-CN"/>
              </w:rPr>
              <w:t>脱硫塔循环补水，需补加清水2.4m³/d，799.2m³/a。</w:t>
            </w:r>
          </w:p>
          <w:p w14:paraId="702A39C7">
            <w:pPr>
              <w:bidi w:val="0"/>
              <w:rPr>
                <w:rFonts w:hint="default"/>
                <w:b w:val="0"/>
                <w:bCs w:val="0"/>
                <w:color w:val="auto"/>
                <w:highlight w:val="none"/>
                <w:lang w:val="en-US" w:eastAsia="zh-CN"/>
              </w:rPr>
            </w:pPr>
            <w:r>
              <w:rPr>
                <w:rFonts w:hint="eastAsia"/>
                <w:b w:val="0"/>
                <w:bCs w:val="0"/>
                <w:color w:val="auto"/>
                <w:highlight w:val="none"/>
                <w:lang w:val="en-US" w:eastAsia="zh-CN"/>
              </w:rPr>
              <w:t>综上所述，本项目总用水量共计24.65m³/d，即8208.45m³/a。</w:t>
            </w:r>
          </w:p>
          <w:p w14:paraId="591FE84B">
            <w:pPr>
              <w:bidi w:val="0"/>
              <w:rPr>
                <w:rFonts w:hint="eastAsia"/>
                <w:b/>
                <w:bCs/>
                <w:color w:val="auto"/>
                <w:highlight w:val="none"/>
                <w:lang w:val="en-US" w:eastAsia="zh-CN"/>
              </w:rPr>
            </w:pPr>
            <w:r>
              <w:rPr>
                <w:rFonts w:hint="eastAsia"/>
                <w:b/>
                <w:bCs/>
                <w:color w:val="auto"/>
                <w:highlight w:val="none"/>
                <w:lang w:val="en-US" w:eastAsia="zh-CN"/>
              </w:rPr>
              <w:t>（5）排水工程</w:t>
            </w:r>
          </w:p>
          <w:p w14:paraId="7A1F14BC">
            <w:pPr>
              <w:bidi w:val="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本项目生活污水产生量按照生活用水量的0.8计算，生活污水排放量为9.648m³/d，3212.784m³/a。产生的生活污水由厂区内的化粪池收集后，最终进入园区</w:t>
            </w:r>
            <w:r>
              <w:rPr>
                <w:rFonts w:hint="eastAsia" w:cs="Times New Roman"/>
                <w:color w:val="auto"/>
                <w:highlight w:val="none"/>
                <w:lang w:val="en-US" w:eastAsia="zh-CN"/>
              </w:rPr>
              <w:t>污水处理厂</w:t>
            </w:r>
            <w:r>
              <w:rPr>
                <w:rFonts w:hint="eastAsia" w:ascii="Times New Roman" w:hAnsi="Times New Roman" w:eastAsia="宋体" w:cs="Times New Roman"/>
                <w:color w:val="auto"/>
                <w:highlight w:val="none"/>
                <w:lang w:val="en-US" w:eastAsia="zh-CN"/>
              </w:rPr>
              <w:t>处理。生产废水主要为脱硫废水，经脱硫循环水池澄清处理后用于脱硫塔循环补水，不外排。</w:t>
            </w:r>
          </w:p>
          <w:p w14:paraId="2DA6F88C">
            <w:pPr>
              <w:bidi w:val="0"/>
              <w:rPr>
                <w:rFonts w:hint="default"/>
                <w:color w:val="auto"/>
                <w:highlight w:val="none"/>
                <w:lang w:val="en-US" w:eastAsia="zh-CN"/>
              </w:rPr>
            </w:pPr>
            <w:r>
              <w:rPr>
                <w:rFonts w:hint="eastAsia"/>
                <w:color w:val="auto"/>
                <w:highlight w:val="none"/>
                <w:lang w:val="en-US" w:eastAsia="zh-CN"/>
              </w:rPr>
              <w:t>本项目运营期水平衡一览表见表2-9，水平衡图见图2-1。</w:t>
            </w:r>
          </w:p>
          <w:p w14:paraId="00641426">
            <w:pPr>
              <w:bidi w:val="0"/>
              <w:ind w:left="0" w:leftChars="0" w:firstLine="0" w:firstLineChars="0"/>
              <w:jc w:val="center"/>
              <w:rPr>
                <w:rFonts w:hint="default"/>
                <w:b/>
                <w:bCs/>
                <w:color w:val="auto"/>
                <w:highlight w:val="none"/>
                <w:vertAlign w:val="baseline"/>
                <w:lang w:val="en-US" w:eastAsia="zh-CN"/>
              </w:rPr>
            </w:pPr>
            <w:r>
              <w:rPr>
                <w:rFonts w:hint="eastAsia"/>
                <w:b/>
                <w:bCs/>
                <w:color w:val="auto"/>
                <w:highlight w:val="none"/>
                <w:lang w:val="en-US" w:eastAsia="zh-CN"/>
              </w:rPr>
              <w:t>表2-9：项目运营期水平衡表</w:t>
            </w:r>
          </w:p>
          <w:tbl>
            <w:tblPr>
              <w:tblStyle w:val="24"/>
              <w:tblW w:w="79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5"/>
              <w:gridCol w:w="1945"/>
              <w:gridCol w:w="1667"/>
              <w:gridCol w:w="1589"/>
              <w:gridCol w:w="1589"/>
            </w:tblGrid>
            <w:tr w14:paraId="64C7E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767" w:type="dxa"/>
                  <w:gridSpan w:val="3"/>
                </w:tcPr>
                <w:p w14:paraId="0F34A1F1">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b w:val="0"/>
                      <w:bCs w:val="0"/>
                      <w:color w:val="auto"/>
                      <w:highlight w:val="none"/>
                      <w:vertAlign w:val="baseline"/>
                      <w:lang w:val="en-US" w:eastAsia="zh-CN"/>
                    </w:rPr>
                  </w:pPr>
                  <w:r>
                    <w:rPr>
                      <w:rFonts w:hint="eastAsia"/>
                      <w:b w:val="0"/>
                      <w:bCs w:val="0"/>
                      <w:color w:val="auto"/>
                      <w:highlight w:val="none"/>
                      <w:vertAlign w:val="baseline"/>
                      <w:lang w:val="en-US" w:eastAsia="zh-CN"/>
                    </w:rPr>
                    <w:t>进水（m³/d）</w:t>
                  </w:r>
                </w:p>
              </w:tc>
              <w:tc>
                <w:tcPr>
                  <w:tcW w:w="3178" w:type="dxa"/>
                  <w:gridSpan w:val="2"/>
                </w:tcPr>
                <w:p w14:paraId="47D4D84A">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b w:val="0"/>
                      <w:bCs w:val="0"/>
                      <w:color w:val="auto"/>
                      <w:highlight w:val="none"/>
                      <w:vertAlign w:val="baseline"/>
                      <w:lang w:val="en-US" w:eastAsia="zh-CN"/>
                    </w:rPr>
                  </w:pPr>
                  <w:r>
                    <w:rPr>
                      <w:rFonts w:hint="eastAsia"/>
                      <w:b w:val="0"/>
                      <w:bCs w:val="0"/>
                      <w:color w:val="auto"/>
                      <w:highlight w:val="none"/>
                      <w:vertAlign w:val="baseline"/>
                      <w:lang w:val="en-US" w:eastAsia="zh-CN"/>
                    </w:rPr>
                    <w:t>排水（m³/d）</w:t>
                  </w:r>
                </w:p>
              </w:tc>
            </w:tr>
            <w:tr w14:paraId="59AA3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5" w:type="dxa"/>
                  <w:vMerge w:val="restart"/>
                </w:tcPr>
                <w:p w14:paraId="0158EAC2">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b w:val="0"/>
                      <w:bCs w:val="0"/>
                      <w:color w:val="auto"/>
                      <w:highlight w:val="none"/>
                      <w:vertAlign w:val="baseline"/>
                      <w:lang w:val="en-US" w:eastAsia="zh-CN"/>
                    </w:rPr>
                  </w:pPr>
                  <w:r>
                    <w:rPr>
                      <w:rFonts w:hint="eastAsia"/>
                      <w:b w:val="0"/>
                      <w:bCs w:val="0"/>
                      <w:color w:val="auto"/>
                      <w:highlight w:val="none"/>
                      <w:vertAlign w:val="baseline"/>
                      <w:lang w:val="en-US" w:eastAsia="zh-CN"/>
                    </w:rPr>
                    <w:t>生活</w:t>
                  </w:r>
                </w:p>
              </w:tc>
              <w:tc>
                <w:tcPr>
                  <w:tcW w:w="1945" w:type="dxa"/>
                </w:tcPr>
                <w:p w14:paraId="48258AE6">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b w:val="0"/>
                      <w:bCs w:val="0"/>
                      <w:color w:val="auto"/>
                      <w:highlight w:val="none"/>
                      <w:vertAlign w:val="baseline"/>
                      <w:lang w:val="en-US" w:eastAsia="zh-CN"/>
                    </w:rPr>
                  </w:pPr>
                  <w:r>
                    <w:rPr>
                      <w:rFonts w:hint="eastAsia"/>
                      <w:b w:val="0"/>
                      <w:bCs w:val="0"/>
                      <w:color w:val="auto"/>
                      <w:highlight w:val="none"/>
                      <w:vertAlign w:val="baseline"/>
                      <w:lang w:val="en-US" w:eastAsia="zh-CN"/>
                    </w:rPr>
                    <w:t>生活用水</w:t>
                  </w:r>
                </w:p>
              </w:tc>
              <w:tc>
                <w:tcPr>
                  <w:tcW w:w="1667" w:type="dxa"/>
                </w:tcPr>
                <w:p w14:paraId="061709DB">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b w:val="0"/>
                      <w:bCs w:val="0"/>
                      <w:color w:val="auto"/>
                      <w:highlight w:val="none"/>
                      <w:vertAlign w:val="baseline"/>
                      <w:lang w:val="en-US" w:eastAsia="zh-CN"/>
                    </w:rPr>
                  </w:pPr>
                  <w:r>
                    <w:rPr>
                      <w:rFonts w:hint="eastAsia"/>
                      <w:b w:val="0"/>
                      <w:bCs w:val="0"/>
                      <w:color w:val="auto"/>
                      <w:highlight w:val="none"/>
                      <w:vertAlign w:val="baseline"/>
                      <w:lang w:val="en-US" w:eastAsia="zh-CN"/>
                    </w:rPr>
                    <w:t>12.06</w:t>
                  </w:r>
                </w:p>
              </w:tc>
              <w:tc>
                <w:tcPr>
                  <w:tcW w:w="1589" w:type="dxa"/>
                </w:tcPr>
                <w:p w14:paraId="53E54F73">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b w:val="0"/>
                      <w:bCs w:val="0"/>
                      <w:color w:val="auto"/>
                      <w:highlight w:val="none"/>
                      <w:vertAlign w:val="baseline"/>
                      <w:lang w:val="en-US" w:eastAsia="zh-CN"/>
                    </w:rPr>
                  </w:pPr>
                  <w:r>
                    <w:rPr>
                      <w:rFonts w:hint="eastAsia"/>
                      <w:b w:val="0"/>
                      <w:bCs w:val="0"/>
                      <w:color w:val="auto"/>
                      <w:highlight w:val="none"/>
                      <w:vertAlign w:val="baseline"/>
                      <w:lang w:val="en-US" w:eastAsia="zh-CN"/>
                    </w:rPr>
                    <w:t>生活污水</w:t>
                  </w:r>
                </w:p>
              </w:tc>
              <w:tc>
                <w:tcPr>
                  <w:tcW w:w="1589" w:type="dxa"/>
                </w:tcPr>
                <w:p w14:paraId="2E629D20">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b w:val="0"/>
                      <w:bCs w:val="0"/>
                      <w:color w:val="auto"/>
                      <w:highlight w:val="none"/>
                      <w:vertAlign w:val="baseline"/>
                      <w:lang w:val="en-US" w:eastAsia="zh-CN"/>
                    </w:rPr>
                  </w:pPr>
                  <w:r>
                    <w:rPr>
                      <w:rFonts w:hint="eastAsia"/>
                      <w:b w:val="0"/>
                      <w:bCs w:val="0"/>
                      <w:color w:val="auto"/>
                      <w:highlight w:val="none"/>
                      <w:vertAlign w:val="baseline"/>
                      <w:lang w:val="en-US" w:eastAsia="zh-CN"/>
                    </w:rPr>
                    <w:t>9.648</w:t>
                  </w:r>
                </w:p>
              </w:tc>
            </w:tr>
            <w:tr w14:paraId="41ED5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5" w:type="dxa"/>
                  <w:vMerge w:val="continue"/>
                </w:tcPr>
                <w:p w14:paraId="6D6CB749">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b w:val="0"/>
                      <w:bCs w:val="0"/>
                      <w:color w:val="auto"/>
                      <w:highlight w:val="none"/>
                      <w:vertAlign w:val="baseline"/>
                      <w:lang w:val="en-US" w:eastAsia="zh-CN"/>
                    </w:rPr>
                  </w:pPr>
                </w:p>
              </w:tc>
              <w:tc>
                <w:tcPr>
                  <w:tcW w:w="1945" w:type="dxa"/>
                </w:tcPr>
                <w:p w14:paraId="2FB0D510">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b w:val="0"/>
                      <w:bCs w:val="0"/>
                      <w:color w:val="auto"/>
                      <w:highlight w:val="none"/>
                      <w:vertAlign w:val="baseline"/>
                      <w:lang w:val="en-US" w:eastAsia="zh-CN"/>
                    </w:rPr>
                  </w:pPr>
                  <w:r>
                    <w:rPr>
                      <w:rFonts w:hint="eastAsia"/>
                      <w:b w:val="0"/>
                      <w:bCs w:val="0"/>
                      <w:color w:val="auto"/>
                      <w:highlight w:val="none"/>
                      <w:vertAlign w:val="baseline"/>
                      <w:lang w:val="en-US" w:eastAsia="zh-CN"/>
                    </w:rPr>
                    <w:t>小计</w:t>
                  </w:r>
                </w:p>
              </w:tc>
              <w:tc>
                <w:tcPr>
                  <w:tcW w:w="1667" w:type="dxa"/>
                </w:tcPr>
                <w:p w14:paraId="6959AFEC">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b w:val="0"/>
                      <w:bCs w:val="0"/>
                      <w:color w:val="auto"/>
                      <w:highlight w:val="none"/>
                      <w:vertAlign w:val="baseline"/>
                      <w:lang w:val="en-US" w:eastAsia="zh-CN"/>
                    </w:rPr>
                  </w:pPr>
                  <w:r>
                    <w:rPr>
                      <w:rFonts w:hint="eastAsia"/>
                      <w:b w:val="0"/>
                      <w:bCs w:val="0"/>
                      <w:color w:val="auto"/>
                      <w:highlight w:val="none"/>
                      <w:vertAlign w:val="baseline"/>
                      <w:lang w:val="en-US" w:eastAsia="zh-CN"/>
                    </w:rPr>
                    <w:t>12.06</w:t>
                  </w:r>
                </w:p>
              </w:tc>
              <w:tc>
                <w:tcPr>
                  <w:tcW w:w="1589" w:type="dxa"/>
                </w:tcPr>
                <w:p w14:paraId="07CAA9ED">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b w:val="0"/>
                      <w:bCs w:val="0"/>
                      <w:color w:val="auto"/>
                      <w:highlight w:val="none"/>
                      <w:vertAlign w:val="baseline"/>
                      <w:lang w:val="en-US" w:eastAsia="zh-CN"/>
                    </w:rPr>
                  </w:pPr>
                  <w:r>
                    <w:rPr>
                      <w:rFonts w:hint="eastAsia"/>
                      <w:b w:val="0"/>
                      <w:bCs w:val="0"/>
                      <w:color w:val="auto"/>
                      <w:highlight w:val="none"/>
                      <w:vertAlign w:val="baseline"/>
                      <w:lang w:val="en-US" w:eastAsia="zh-CN"/>
                    </w:rPr>
                    <w:t>损耗</w:t>
                  </w:r>
                </w:p>
              </w:tc>
              <w:tc>
                <w:tcPr>
                  <w:tcW w:w="1589" w:type="dxa"/>
                </w:tcPr>
                <w:p w14:paraId="51F34F23">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b w:val="0"/>
                      <w:bCs w:val="0"/>
                      <w:color w:val="auto"/>
                      <w:highlight w:val="none"/>
                      <w:vertAlign w:val="baseline"/>
                      <w:lang w:val="en-US" w:eastAsia="zh-CN"/>
                    </w:rPr>
                  </w:pPr>
                  <w:r>
                    <w:rPr>
                      <w:rFonts w:hint="eastAsia"/>
                      <w:b w:val="0"/>
                      <w:bCs w:val="0"/>
                      <w:color w:val="auto"/>
                      <w:highlight w:val="none"/>
                      <w:vertAlign w:val="baseline"/>
                      <w:lang w:val="en-US" w:eastAsia="zh-CN"/>
                    </w:rPr>
                    <w:t>2.412</w:t>
                  </w:r>
                </w:p>
              </w:tc>
            </w:tr>
            <w:tr w14:paraId="434DD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5" w:type="dxa"/>
                  <w:vMerge w:val="restart"/>
                </w:tcPr>
                <w:p w14:paraId="49A90632">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b w:val="0"/>
                      <w:bCs w:val="0"/>
                      <w:color w:val="auto"/>
                      <w:highlight w:val="none"/>
                      <w:vertAlign w:val="baseline"/>
                      <w:lang w:val="en-US" w:eastAsia="zh-CN"/>
                    </w:rPr>
                  </w:pPr>
                  <w:r>
                    <w:rPr>
                      <w:rFonts w:hint="eastAsia"/>
                      <w:b w:val="0"/>
                      <w:bCs w:val="0"/>
                      <w:color w:val="auto"/>
                      <w:highlight w:val="none"/>
                      <w:vertAlign w:val="baseline"/>
                      <w:lang w:val="en-US" w:eastAsia="zh-CN"/>
                    </w:rPr>
                    <w:t>生产</w:t>
                  </w:r>
                </w:p>
              </w:tc>
              <w:tc>
                <w:tcPr>
                  <w:tcW w:w="1945" w:type="dxa"/>
                </w:tcPr>
                <w:p w14:paraId="3B8A5FD5">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b w:val="0"/>
                      <w:bCs w:val="0"/>
                      <w:color w:val="auto"/>
                      <w:highlight w:val="none"/>
                      <w:vertAlign w:val="baseline"/>
                      <w:lang w:val="en-US" w:eastAsia="zh-CN"/>
                    </w:rPr>
                  </w:pPr>
                  <w:r>
                    <w:rPr>
                      <w:rFonts w:hint="eastAsia"/>
                      <w:b w:val="0"/>
                      <w:bCs w:val="0"/>
                      <w:color w:val="auto"/>
                      <w:highlight w:val="none"/>
                      <w:vertAlign w:val="baseline"/>
                      <w:lang w:val="en-US" w:eastAsia="zh-CN"/>
                    </w:rPr>
                    <w:t>降尘喷淋用水</w:t>
                  </w:r>
                </w:p>
              </w:tc>
              <w:tc>
                <w:tcPr>
                  <w:tcW w:w="1667" w:type="dxa"/>
                </w:tcPr>
                <w:p w14:paraId="2CC488B2">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b w:val="0"/>
                      <w:bCs w:val="0"/>
                      <w:color w:val="auto"/>
                      <w:highlight w:val="none"/>
                      <w:vertAlign w:val="baseline"/>
                      <w:lang w:val="en-US" w:eastAsia="zh-CN"/>
                    </w:rPr>
                  </w:pPr>
                  <w:r>
                    <w:rPr>
                      <w:rFonts w:hint="eastAsia"/>
                      <w:b w:val="0"/>
                      <w:bCs w:val="0"/>
                      <w:color w:val="auto"/>
                      <w:highlight w:val="none"/>
                      <w:vertAlign w:val="baseline"/>
                      <w:lang w:val="en-US" w:eastAsia="zh-CN"/>
                    </w:rPr>
                    <w:t>12.65</w:t>
                  </w:r>
                </w:p>
              </w:tc>
              <w:tc>
                <w:tcPr>
                  <w:tcW w:w="1589" w:type="dxa"/>
                </w:tcPr>
                <w:p w14:paraId="22EBD907">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b w:val="0"/>
                      <w:bCs w:val="0"/>
                      <w:color w:val="auto"/>
                      <w:highlight w:val="none"/>
                      <w:vertAlign w:val="baseline"/>
                      <w:lang w:val="en-US" w:eastAsia="zh-CN"/>
                    </w:rPr>
                  </w:pPr>
                  <w:r>
                    <w:rPr>
                      <w:rFonts w:hint="eastAsia"/>
                      <w:b w:val="0"/>
                      <w:bCs w:val="0"/>
                      <w:color w:val="auto"/>
                      <w:highlight w:val="none"/>
                      <w:vertAlign w:val="baseline"/>
                      <w:lang w:val="en-US" w:eastAsia="zh-CN"/>
                    </w:rPr>
                    <w:t>0</w:t>
                  </w:r>
                </w:p>
              </w:tc>
              <w:tc>
                <w:tcPr>
                  <w:tcW w:w="1589" w:type="dxa"/>
                </w:tcPr>
                <w:p w14:paraId="410CFFA7">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b w:val="0"/>
                      <w:bCs w:val="0"/>
                      <w:color w:val="auto"/>
                      <w:highlight w:val="none"/>
                      <w:vertAlign w:val="baseline"/>
                      <w:lang w:val="en-US" w:eastAsia="zh-CN"/>
                    </w:rPr>
                  </w:pPr>
                  <w:r>
                    <w:rPr>
                      <w:rFonts w:hint="eastAsia"/>
                      <w:b w:val="0"/>
                      <w:bCs w:val="0"/>
                      <w:color w:val="auto"/>
                      <w:highlight w:val="none"/>
                      <w:vertAlign w:val="baseline"/>
                      <w:lang w:val="en-US" w:eastAsia="zh-CN"/>
                    </w:rPr>
                    <w:t>全部损耗</w:t>
                  </w:r>
                </w:p>
              </w:tc>
            </w:tr>
            <w:tr w14:paraId="4EB5F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trPr>
              <w:tc>
                <w:tcPr>
                  <w:tcW w:w="1155" w:type="dxa"/>
                  <w:vMerge w:val="continue"/>
                </w:tcPr>
                <w:p w14:paraId="782D71F3">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b w:val="0"/>
                      <w:bCs w:val="0"/>
                      <w:color w:val="auto"/>
                      <w:highlight w:val="none"/>
                      <w:vertAlign w:val="baseline"/>
                      <w:lang w:val="en-US" w:eastAsia="zh-CN"/>
                    </w:rPr>
                  </w:pPr>
                </w:p>
              </w:tc>
              <w:tc>
                <w:tcPr>
                  <w:tcW w:w="1945" w:type="dxa"/>
                </w:tcPr>
                <w:p w14:paraId="414CFA49">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b w:val="0"/>
                      <w:bCs w:val="0"/>
                      <w:color w:val="auto"/>
                      <w:highlight w:val="none"/>
                      <w:vertAlign w:val="baseline"/>
                      <w:lang w:val="en-US" w:eastAsia="zh-CN"/>
                    </w:rPr>
                  </w:pPr>
                  <w:r>
                    <w:rPr>
                      <w:rFonts w:hint="eastAsia"/>
                      <w:color w:val="auto"/>
                      <w:highlight w:val="none"/>
                      <w:lang w:val="en-US" w:eastAsia="zh-CN"/>
                    </w:rPr>
                    <w:t>脱硝剂配制用水</w:t>
                  </w:r>
                </w:p>
              </w:tc>
              <w:tc>
                <w:tcPr>
                  <w:tcW w:w="1667" w:type="dxa"/>
                </w:tcPr>
                <w:p w14:paraId="43419192">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b w:val="0"/>
                      <w:bCs w:val="0"/>
                      <w:color w:val="auto"/>
                      <w:highlight w:val="none"/>
                      <w:vertAlign w:val="baseline"/>
                      <w:lang w:val="en-US" w:eastAsia="zh-CN"/>
                    </w:rPr>
                  </w:pPr>
                  <w:r>
                    <w:rPr>
                      <w:rFonts w:hint="eastAsia"/>
                      <w:b w:val="0"/>
                      <w:bCs w:val="0"/>
                      <w:color w:val="auto"/>
                      <w:highlight w:val="none"/>
                      <w:vertAlign w:val="baseline"/>
                      <w:lang w:val="en-US" w:eastAsia="zh-CN"/>
                    </w:rPr>
                    <w:t>0.1</w:t>
                  </w:r>
                </w:p>
              </w:tc>
              <w:tc>
                <w:tcPr>
                  <w:tcW w:w="1589" w:type="dxa"/>
                </w:tcPr>
                <w:p w14:paraId="4A5675E1">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b w:val="0"/>
                      <w:bCs w:val="0"/>
                      <w:color w:val="auto"/>
                      <w:highlight w:val="none"/>
                      <w:vertAlign w:val="baseline"/>
                      <w:lang w:val="en-US" w:eastAsia="zh-CN"/>
                    </w:rPr>
                  </w:pPr>
                  <w:r>
                    <w:rPr>
                      <w:rFonts w:hint="eastAsia"/>
                      <w:b w:val="0"/>
                      <w:bCs w:val="0"/>
                      <w:color w:val="auto"/>
                      <w:highlight w:val="none"/>
                      <w:vertAlign w:val="baseline"/>
                      <w:lang w:val="en-US" w:eastAsia="zh-CN"/>
                    </w:rPr>
                    <w:t>0</w:t>
                  </w:r>
                </w:p>
              </w:tc>
              <w:tc>
                <w:tcPr>
                  <w:tcW w:w="1589" w:type="dxa"/>
                </w:tcPr>
                <w:p w14:paraId="4499A44F">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b w:val="0"/>
                      <w:bCs w:val="0"/>
                      <w:color w:val="auto"/>
                      <w:highlight w:val="none"/>
                      <w:vertAlign w:val="baseline"/>
                      <w:lang w:val="en-US" w:eastAsia="zh-CN"/>
                    </w:rPr>
                  </w:pPr>
                  <w:r>
                    <w:rPr>
                      <w:rFonts w:hint="eastAsia"/>
                      <w:b w:val="0"/>
                      <w:bCs w:val="0"/>
                      <w:color w:val="auto"/>
                      <w:highlight w:val="none"/>
                      <w:vertAlign w:val="baseline"/>
                      <w:lang w:val="en-US" w:eastAsia="zh-CN"/>
                    </w:rPr>
                    <w:t>全部带入产品</w:t>
                  </w:r>
                </w:p>
              </w:tc>
            </w:tr>
            <w:tr w14:paraId="7AF2E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5" w:type="dxa"/>
                  <w:vMerge w:val="continue"/>
                </w:tcPr>
                <w:p w14:paraId="2E059776">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b w:val="0"/>
                      <w:bCs w:val="0"/>
                      <w:color w:val="auto"/>
                      <w:highlight w:val="none"/>
                      <w:vertAlign w:val="baseline"/>
                      <w:lang w:val="en-US" w:eastAsia="zh-CN"/>
                    </w:rPr>
                  </w:pPr>
                </w:p>
              </w:tc>
              <w:tc>
                <w:tcPr>
                  <w:tcW w:w="1945" w:type="dxa"/>
                </w:tcPr>
                <w:p w14:paraId="635B57A0">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b w:val="0"/>
                      <w:bCs w:val="0"/>
                      <w:color w:val="auto"/>
                      <w:highlight w:val="none"/>
                      <w:vertAlign w:val="baseline"/>
                      <w:lang w:val="en-US" w:eastAsia="zh-CN"/>
                    </w:rPr>
                  </w:pPr>
                  <w:r>
                    <w:rPr>
                      <w:rFonts w:hint="eastAsia"/>
                      <w:color w:val="auto"/>
                      <w:highlight w:val="none"/>
                      <w:lang w:val="en-US" w:eastAsia="zh-CN"/>
                    </w:rPr>
                    <w:t>脱硫塔循环补水</w:t>
                  </w:r>
                </w:p>
              </w:tc>
              <w:tc>
                <w:tcPr>
                  <w:tcW w:w="1667" w:type="dxa"/>
                </w:tcPr>
                <w:p w14:paraId="561B7842">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b w:val="0"/>
                      <w:bCs w:val="0"/>
                      <w:color w:val="auto"/>
                      <w:highlight w:val="none"/>
                      <w:vertAlign w:val="baseline"/>
                      <w:lang w:val="en-US" w:eastAsia="zh-CN"/>
                    </w:rPr>
                  </w:pPr>
                  <w:r>
                    <w:rPr>
                      <w:rFonts w:hint="eastAsia"/>
                      <w:b w:val="0"/>
                      <w:bCs w:val="0"/>
                      <w:color w:val="auto"/>
                      <w:highlight w:val="none"/>
                      <w:vertAlign w:val="baseline"/>
                      <w:lang w:val="en-US" w:eastAsia="zh-CN"/>
                    </w:rPr>
                    <w:t>2.4</w:t>
                  </w:r>
                </w:p>
              </w:tc>
              <w:tc>
                <w:tcPr>
                  <w:tcW w:w="1589" w:type="dxa"/>
                </w:tcPr>
                <w:p w14:paraId="0A4C54C9">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b w:val="0"/>
                      <w:bCs w:val="0"/>
                      <w:color w:val="auto"/>
                      <w:highlight w:val="none"/>
                      <w:vertAlign w:val="baseline"/>
                      <w:lang w:val="en-US" w:eastAsia="zh-CN"/>
                    </w:rPr>
                  </w:pPr>
                  <w:r>
                    <w:rPr>
                      <w:rFonts w:hint="eastAsia"/>
                      <w:b w:val="0"/>
                      <w:bCs w:val="0"/>
                      <w:color w:val="auto"/>
                      <w:highlight w:val="none"/>
                      <w:vertAlign w:val="baseline"/>
                      <w:lang w:val="en-US" w:eastAsia="zh-CN"/>
                    </w:rPr>
                    <w:t>0</w:t>
                  </w:r>
                </w:p>
              </w:tc>
              <w:tc>
                <w:tcPr>
                  <w:tcW w:w="1589" w:type="dxa"/>
                </w:tcPr>
                <w:p w14:paraId="43DDC8DE">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b w:val="0"/>
                      <w:bCs w:val="0"/>
                      <w:color w:val="auto"/>
                      <w:highlight w:val="none"/>
                      <w:vertAlign w:val="baseline"/>
                      <w:lang w:val="en-US" w:eastAsia="zh-CN"/>
                    </w:rPr>
                  </w:pPr>
                  <w:r>
                    <w:rPr>
                      <w:rFonts w:hint="eastAsia"/>
                      <w:b w:val="0"/>
                      <w:bCs w:val="0"/>
                      <w:color w:val="auto"/>
                      <w:highlight w:val="none"/>
                      <w:vertAlign w:val="baseline"/>
                      <w:lang w:val="en-US" w:eastAsia="zh-CN"/>
                    </w:rPr>
                    <w:t>全部循环使用</w:t>
                  </w:r>
                </w:p>
              </w:tc>
            </w:tr>
            <w:tr w14:paraId="0F6A3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5" w:type="dxa"/>
                  <w:vMerge w:val="continue"/>
                </w:tcPr>
                <w:p w14:paraId="4DE3F233">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b w:val="0"/>
                      <w:bCs w:val="0"/>
                      <w:color w:val="auto"/>
                      <w:highlight w:val="none"/>
                      <w:vertAlign w:val="baseline"/>
                      <w:lang w:val="en-US" w:eastAsia="zh-CN"/>
                    </w:rPr>
                  </w:pPr>
                </w:p>
              </w:tc>
              <w:tc>
                <w:tcPr>
                  <w:tcW w:w="1945" w:type="dxa"/>
                </w:tcPr>
                <w:p w14:paraId="5C496993">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eastAsia"/>
                      <w:color w:val="auto"/>
                      <w:highlight w:val="none"/>
                      <w:lang w:val="en-US" w:eastAsia="zh-CN"/>
                    </w:rPr>
                  </w:pPr>
                  <w:r>
                    <w:rPr>
                      <w:rFonts w:hint="eastAsia"/>
                      <w:b w:val="0"/>
                      <w:bCs w:val="0"/>
                      <w:color w:val="auto"/>
                      <w:highlight w:val="none"/>
                      <w:vertAlign w:val="baseline"/>
                      <w:lang w:val="en-US" w:eastAsia="zh-CN"/>
                    </w:rPr>
                    <w:t>小计</w:t>
                  </w:r>
                </w:p>
              </w:tc>
              <w:tc>
                <w:tcPr>
                  <w:tcW w:w="1667" w:type="dxa"/>
                </w:tcPr>
                <w:p w14:paraId="035A72D6">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eastAsia"/>
                      <w:b w:val="0"/>
                      <w:bCs w:val="0"/>
                      <w:color w:val="auto"/>
                      <w:highlight w:val="none"/>
                      <w:vertAlign w:val="baseline"/>
                      <w:lang w:val="en-US" w:eastAsia="zh-CN"/>
                    </w:rPr>
                  </w:pPr>
                  <w:r>
                    <w:rPr>
                      <w:rFonts w:hint="eastAsia"/>
                      <w:b w:val="0"/>
                      <w:bCs w:val="0"/>
                      <w:color w:val="auto"/>
                      <w:highlight w:val="none"/>
                      <w:vertAlign w:val="baseline"/>
                      <w:lang w:val="en-US" w:eastAsia="zh-CN"/>
                    </w:rPr>
                    <w:fldChar w:fldCharType="begin"/>
                  </w:r>
                  <w:r>
                    <w:rPr>
                      <w:rFonts w:hint="eastAsia"/>
                      <w:b w:val="0"/>
                      <w:bCs w:val="0"/>
                      <w:color w:val="auto"/>
                      <w:highlight w:val="none"/>
                      <w:vertAlign w:val="baseline"/>
                      <w:lang w:val="en-US" w:eastAsia="zh-CN"/>
                    </w:rPr>
                    <w:instrText xml:space="preserve"> = sum(C4:C6) \* MERGEFORMAT </w:instrText>
                  </w:r>
                  <w:r>
                    <w:rPr>
                      <w:rFonts w:hint="eastAsia"/>
                      <w:b w:val="0"/>
                      <w:bCs w:val="0"/>
                      <w:color w:val="auto"/>
                      <w:highlight w:val="none"/>
                      <w:vertAlign w:val="baseline"/>
                      <w:lang w:val="en-US" w:eastAsia="zh-CN"/>
                    </w:rPr>
                    <w:fldChar w:fldCharType="separate"/>
                  </w:r>
                  <w:r>
                    <w:rPr>
                      <w:rFonts w:hint="eastAsia"/>
                      <w:b w:val="0"/>
                      <w:bCs w:val="0"/>
                      <w:color w:val="auto"/>
                      <w:highlight w:val="none"/>
                      <w:vertAlign w:val="baseline"/>
                      <w:lang w:val="en-US" w:eastAsia="zh-CN"/>
                    </w:rPr>
                    <w:t>12.65</w:t>
                  </w:r>
                  <w:r>
                    <w:rPr>
                      <w:rFonts w:hint="eastAsia"/>
                      <w:b w:val="0"/>
                      <w:bCs w:val="0"/>
                      <w:color w:val="auto"/>
                      <w:highlight w:val="none"/>
                      <w:vertAlign w:val="baseline"/>
                      <w:lang w:val="en-US" w:eastAsia="zh-CN"/>
                    </w:rPr>
                    <w:fldChar w:fldCharType="end"/>
                  </w:r>
                </w:p>
              </w:tc>
              <w:tc>
                <w:tcPr>
                  <w:tcW w:w="1589" w:type="dxa"/>
                </w:tcPr>
                <w:p w14:paraId="539D1A03">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eastAsia"/>
                      <w:b w:val="0"/>
                      <w:bCs w:val="0"/>
                      <w:color w:val="auto"/>
                      <w:highlight w:val="none"/>
                      <w:vertAlign w:val="baseline"/>
                      <w:lang w:val="en-US" w:eastAsia="zh-CN"/>
                    </w:rPr>
                  </w:pPr>
                  <w:r>
                    <w:rPr>
                      <w:rFonts w:hint="eastAsia" w:ascii="Times New Roman" w:hAnsi="Times New Roman" w:eastAsia="宋体" w:cs="Times New Roman"/>
                      <w:color w:val="auto"/>
                      <w:sz w:val="21"/>
                      <w:szCs w:val="21"/>
                      <w:highlight w:val="none"/>
                      <w:lang w:val="en-US" w:eastAsia="zh-CN"/>
                    </w:rPr>
                    <w:t>/</w:t>
                  </w:r>
                </w:p>
              </w:tc>
              <w:tc>
                <w:tcPr>
                  <w:tcW w:w="1589" w:type="dxa"/>
                </w:tcPr>
                <w:p w14:paraId="16579C67">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eastAsia"/>
                      <w:b w:val="0"/>
                      <w:bCs w:val="0"/>
                      <w:color w:val="auto"/>
                      <w:highlight w:val="none"/>
                      <w:vertAlign w:val="baseline"/>
                      <w:lang w:val="en-US" w:eastAsia="zh-CN"/>
                    </w:rPr>
                  </w:pPr>
                </w:p>
              </w:tc>
            </w:tr>
            <w:tr w14:paraId="05845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00" w:type="dxa"/>
                  <w:gridSpan w:val="2"/>
                </w:tcPr>
                <w:p w14:paraId="4BF76CB4">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b w:val="0"/>
                      <w:bCs w:val="0"/>
                      <w:color w:val="auto"/>
                      <w:highlight w:val="none"/>
                      <w:vertAlign w:val="baseline"/>
                      <w:lang w:val="en-US" w:eastAsia="zh-CN"/>
                    </w:rPr>
                  </w:pPr>
                  <w:r>
                    <w:rPr>
                      <w:rFonts w:hint="eastAsia"/>
                      <w:b w:val="0"/>
                      <w:bCs w:val="0"/>
                      <w:color w:val="auto"/>
                      <w:highlight w:val="none"/>
                      <w:vertAlign w:val="baseline"/>
                      <w:lang w:val="en-US" w:eastAsia="zh-CN"/>
                    </w:rPr>
                    <w:t>合计</w:t>
                  </w:r>
                </w:p>
              </w:tc>
              <w:tc>
                <w:tcPr>
                  <w:tcW w:w="1667" w:type="dxa"/>
                </w:tcPr>
                <w:p w14:paraId="1BB0E927">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b w:val="0"/>
                      <w:bCs w:val="0"/>
                      <w:color w:val="auto"/>
                      <w:highlight w:val="none"/>
                      <w:vertAlign w:val="baseline"/>
                      <w:lang w:val="en-US" w:eastAsia="zh-CN"/>
                    </w:rPr>
                  </w:pPr>
                  <w:r>
                    <w:rPr>
                      <w:rFonts w:hint="eastAsia"/>
                      <w:b w:val="0"/>
                      <w:bCs w:val="0"/>
                      <w:color w:val="auto"/>
                      <w:highlight w:val="none"/>
                      <w:vertAlign w:val="baseline"/>
                      <w:lang w:val="en-US" w:eastAsia="zh-CN"/>
                    </w:rPr>
                    <w:t>24.65</w:t>
                  </w:r>
                </w:p>
              </w:tc>
              <w:tc>
                <w:tcPr>
                  <w:tcW w:w="1589" w:type="dxa"/>
                </w:tcPr>
                <w:p w14:paraId="689EA89B">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eastAsia"/>
                      <w:b w:val="0"/>
                      <w:bCs w:val="0"/>
                      <w:color w:val="auto"/>
                      <w:highlight w:val="none"/>
                      <w:vertAlign w:val="baseline"/>
                      <w:lang w:val="en-US" w:eastAsia="zh-CN"/>
                    </w:rPr>
                  </w:pPr>
                  <w:r>
                    <w:rPr>
                      <w:rFonts w:hint="eastAsia" w:ascii="Times New Roman" w:hAnsi="Times New Roman" w:eastAsia="宋体" w:cs="Times New Roman"/>
                      <w:color w:val="auto"/>
                      <w:sz w:val="21"/>
                      <w:szCs w:val="21"/>
                      <w:highlight w:val="none"/>
                      <w:lang w:val="en-US" w:eastAsia="zh-CN"/>
                    </w:rPr>
                    <w:t>/</w:t>
                  </w:r>
                </w:p>
              </w:tc>
              <w:tc>
                <w:tcPr>
                  <w:tcW w:w="1589" w:type="dxa"/>
                </w:tcPr>
                <w:p w14:paraId="7A5DBE66">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b w:val="0"/>
                      <w:bCs w:val="0"/>
                      <w:color w:val="auto"/>
                      <w:highlight w:val="none"/>
                      <w:vertAlign w:val="baseline"/>
                      <w:lang w:val="en-US" w:eastAsia="zh-CN"/>
                    </w:rPr>
                  </w:pPr>
                  <w:r>
                    <w:rPr>
                      <w:rFonts w:hint="eastAsia"/>
                      <w:b w:val="0"/>
                      <w:bCs w:val="0"/>
                      <w:color w:val="auto"/>
                      <w:highlight w:val="none"/>
                      <w:vertAlign w:val="baseline"/>
                      <w:lang w:val="en-US" w:eastAsia="zh-CN"/>
                    </w:rPr>
                    <w:t>2.412</w:t>
                  </w:r>
                </w:p>
              </w:tc>
            </w:tr>
          </w:tbl>
          <w:p w14:paraId="69751E7F">
            <w:pPr>
              <w:bidi w:val="0"/>
              <w:ind w:left="0" w:leftChars="0" w:firstLine="0" w:firstLineChars="0"/>
              <w:jc w:val="center"/>
              <w:rPr>
                <w:rFonts w:hint="default"/>
                <w:b/>
                <w:bCs/>
                <w:color w:val="auto"/>
                <w:highlight w:val="none"/>
                <w:lang w:val="en-US" w:eastAsia="zh-CN"/>
              </w:rPr>
            </w:pPr>
            <w:r>
              <w:rPr>
                <w:rFonts w:hint="default"/>
                <w:b/>
                <w:bCs/>
                <w:color w:val="auto"/>
                <w:highlight w:val="none"/>
                <w:lang w:val="en-US" w:eastAsia="zh-CN"/>
              </w:rPr>
              <w:drawing>
                <wp:inline distT="0" distB="0" distL="114300" distR="114300">
                  <wp:extent cx="4485640" cy="2987040"/>
                  <wp:effectExtent l="0" t="0" r="0" b="0"/>
                  <wp:docPr id="46" name="ECB019B1-382A-4266-B25C-5B523AA43C14-1" descr="C:/Users/Lenovo/AppData/Local/Temp/wps.kKvoZb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ECB019B1-382A-4266-B25C-5B523AA43C14-1" descr="C:/Users/Lenovo/AppData/Local/Temp/wps.kKvoZbwps"/>
                          <pic:cNvPicPr>
                            <a:picLocks noChangeAspect="1"/>
                          </pic:cNvPicPr>
                        </pic:nvPicPr>
                        <pic:blipFill>
                          <a:blip r:embed="rId13"/>
                          <a:stretch>
                            <a:fillRect/>
                          </a:stretch>
                        </pic:blipFill>
                        <pic:spPr>
                          <a:xfrm>
                            <a:off x="0" y="0"/>
                            <a:ext cx="4485640" cy="2987040"/>
                          </a:xfrm>
                          <a:prstGeom prst="rect">
                            <a:avLst/>
                          </a:prstGeom>
                        </pic:spPr>
                      </pic:pic>
                    </a:graphicData>
                  </a:graphic>
                </wp:inline>
              </w:drawing>
            </w:r>
          </w:p>
          <w:p w14:paraId="576BD613">
            <w:pPr>
              <w:bidi w:val="0"/>
              <w:ind w:left="0" w:leftChars="0" w:firstLine="0" w:firstLineChars="0"/>
              <w:jc w:val="center"/>
              <w:rPr>
                <w:rFonts w:hint="eastAsia"/>
                <w:b/>
                <w:bCs/>
                <w:color w:val="auto"/>
                <w:highlight w:val="none"/>
                <w:lang w:val="en-US" w:eastAsia="zh-CN"/>
              </w:rPr>
            </w:pPr>
            <w:r>
              <w:rPr>
                <w:rFonts w:hint="eastAsia"/>
                <w:b/>
                <w:bCs/>
                <w:color w:val="auto"/>
                <w:highlight w:val="none"/>
                <w:lang w:val="en-US" w:eastAsia="zh-CN"/>
              </w:rPr>
              <w:t>图2-1：本项目运营期水平衡图单位：m³/d</w:t>
            </w:r>
          </w:p>
          <w:p w14:paraId="4464A13F">
            <w:pPr>
              <w:bidi w:val="0"/>
              <w:rPr>
                <w:rFonts w:hint="eastAsia"/>
                <w:b/>
                <w:bCs/>
                <w:color w:val="auto"/>
                <w:highlight w:val="none"/>
                <w:lang w:val="en-US" w:eastAsia="zh-CN"/>
              </w:rPr>
            </w:pPr>
            <w:r>
              <w:rPr>
                <w:rFonts w:hint="eastAsia"/>
                <w:b/>
                <w:bCs/>
                <w:color w:val="auto"/>
                <w:highlight w:val="none"/>
                <w:lang w:val="en-US" w:eastAsia="zh-CN"/>
              </w:rPr>
              <w:t>7.平面布置图</w:t>
            </w:r>
          </w:p>
          <w:p w14:paraId="63ED38DC">
            <w:pPr>
              <w:bidi w:val="0"/>
              <w:rPr>
                <w:rFonts w:hint="default"/>
                <w:b/>
                <w:bCs/>
                <w:color w:val="auto"/>
                <w:highlight w:val="none"/>
                <w:lang w:val="en-US" w:eastAsia="zh-CN"/>
              </w:rPr>
            </w:pPr>
            <w:r>
              <w:rPr>
                <w:rFonts w:hint="default"/>
                <w:color w:val="auto"/>
                <w:highlight w:val="none"/>
                <w:lang w:val="en-US" w:eastAsia="zh-CN"/>
              </w:rPr>
              <w:t>本项目平面布置按照“经济、适用、安全、美观”的原则，在布置上充分利用地理自然条件，结合周围环境合理进行功能分区。厂区总体分三个区域，厂区</w:t>
            </w:r>
            <w:r>
              <w:rPr>
                <w:rFonts w:hint="eastAsia"/>
                <w:color w:val="auto"/>
                <w:highlight w:val="none"/>
                <w:lang w:val="en-US" w:eastAsia="zh-CN"/>
              </w:rPr>
              <w:t>西南方向处</w:t>
            </w:r>
            <w:r>
              <w:rPr>
                <w:rFonts w:hint="default"/>
                <w:color w:val="auto"/>
                <w:highlight w:val="none"/>
                <w:lang w:val="en-US" w:eastAsia="zh-CN"/>
              </w:rPr>
              <w:t>为办公生活区域</w:t>
            </w:r>
            <w:r>
              <w:rPr>
                <w:rFonts w:hint="eastAsia"/>
                <w:color w:val="auto"/>
                <w:highlight w:val="none"/>
                <w:lang w:val="en-US" w:eastAsia="zh-CN"/>
              </w:rPr>
              <w:t>办公楼。北侧布设生产车间，车间内分为三个功能区域，生产车间东南侧为原料库，用于本项目的原料存储；东北侧为生产区域，为煤系高岭土煅烧区域；西北侧为成品存放区熟料库</w:t>
            </w:r>
            <w:r>
              <w:rPr>
                <w:rFonts w:hint="default"/>
                <w:color w:val="auto"/>
                <w:highlight w:val="none"/>
                <w:lang w:val="en-US" w:eastAsia="zh-CN"/>
              </w:rPr>
              <w:t>。项目总平面布置可满足运输及工艺路线流畅的要求，从环保角度分析项目平面布局较为合理，项目总平面布置图见附图</w:t>
            </w:r>
            <w:r>
              <w:rPr>
                <w:rFonts w:hint="eastAsia"/>
                <w:color w:val="auto"/>
                <w:highlight w:val="none"/>
                <w:lang w:val="en-US" w:eastAsia="zh-CN"/>
              </w:rPr>
              <w:t>6</w:t>
            </w:r>
            <w:r>
              <w:rPr>
                <w:rFonts w:hint="default"/>
                <w:color w:val="auto"/>
                <w:highlight w:val="none"/>
                <w:lang w:val="en-US" w:eastAsia="zh-CN"/>
              </w:rPr>
              <w:t>。</w:t>
            </w:r>
          </w:p>
        </w:tc>
      </w:tr>
      <w:tr w14:paraId="3084F9D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23" w:type="dxa"/>
            <w:noWrap w:val="0"/>
            <w:vAlign w:val="center"/>
          </w:tcPr>
          <w:p w14:paraId="7D41AD26">
            <w:pPr>
              <w:pStyle w:val="20"/>
              <w:keepNext w:val="0"/>
              <w:keepLines w:val="0"/>
              <w:pageBreakBefore w:val="0"/>
              <w:widowControl/>
              <w:kinsoku/>
              <w:wordWrap/>
              <w:overflowPunct/>
              <w:topLinePunct w:val="0"/>
              <w:autoSpaceDE w:val="0"/>
              <w:autoSpaceDN w:val="0"/>
              <w:bidi w:val="0"/>
              <w:adjustRightInd w:val="0"/>
              <w:snapToGrid w:val="0"/>
              <w:spacing w:before="0" w:beforeAutospacing="0" w:after="0" w:afterAutospacing="0"/>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工艺流程和产排污环节</w:t>
            </w:r>
          </w:p>
        </w:tc>
        <w:tc>
          <w:tcPr>
            <w:tcW w:w="8161" w:type="dxa"/>
            <w:gridSpan w:val="2"/>
            <w:noWrap w:val="0"/>
            <w:vAlign w:val="top"/>
          </w:tcPr>
          <w:p w14:paraId="2EF402D9">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一、施工期工</w:t>
            </w:r>
            <w:r>
              <w:rPr>
                <w:rFonts w:hint="eastAsia" w:cs="Times New Roman"/>
                <w:b/>
                <w:bCs/>
                <w:color w:val="auto"/>
                <w:highlight w:val="none"/>
                <w:lang w:val="en-US" w:eastAsia="zh-CN"/>
              </w:rPr>
              <w:t>艺</w:t>
            </w:r>
            <w:r>
              <w:rPr>
                <w:rFonts w:hint="default" w:ascii="Times New Roman" w:hAnsi="Times New Roman" w:cs="Times New Roman"/>
                <w:b/>
                <w:bCs/>
                <w:color w:val="auto"/>
                <w:highlight w:val="none"/>
                <w:lang w:val="en-US" w:eastAsia="zh-CN"/>
              </w:rPr>
              <w:t>流程及产排污环节</w:t>
            </w:r>
          </w:p>
          <w:p w14:paraId="78797E25">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1</w:t>
            </w:r>
            <w:r>
              <w:rPr>
                <w:rFonts w:hint="eastAsia" w:cs="Times New Roman"/>
                <w:b/>
                <w:bCs/>
                <w:color w:val="auto"/>
                <w:highlight w:val="none"/>
                <w:lang w:val="en-US" w:eastAsia="zh-CN"/>
              </w:rPr>
              <w:t>.</w:t>
            </w:r>
            <w:r>
              <w:rPr>
                <w:rFonts w:hint="default" w:ascii="Times New Roman" w:hAnsi="Times New Roman" w:cs="Times New Roman"/>
                <w:b/>
                <w:bCs/>
                <w:color w:val="auto"/>
                <w:highlight w:val="none"/>
                <w:lang w:val="en-US" w:eastAsia="zh-CN"/>
              </w:rPr>
              <w:t>施工期工艺流程</w:t>
            </w:r>
          </w:p>
          <w:p w14:paraId="44AA02EF">
            <w:pPr>
              <w:bidi w:val="0"/>
              <w:rPr>
                <w:rFonts w:hint="default"/>
                <w:color w:val="auto"/>
                <w:highlight w:val="none"/>
                <w:lang w:val="en-US" w:eastAsia="zh-CN"/>
              </w:rPr>
            </w:pPr>
            <w:r>
              <w:rPr>
                <w:rFonts w:hint="default"/>
                <w:color w:val="auto"/>
                <w:highlight w:val="none"/>
                <w:lang w:val="en-US" w:eastAsia="zh-CN"/>
              </w:rPr>
              <w:t>项目建设内容主要</w:t>
            </w:r>
            <w:r>
              <w:rPr>
                <w:rFonts w:hint="eastAsia"/>
                <w:color w:val="auto"/>
                <w:highlight w:val="none"/>
                <w:lang w:val="en-US" w:eastAsia="zh-CN"/>
              </w:rPr>
              <w:t>为全封闭生产车间</w:t>
            </w:r>
            <w:r>
              <w:rPr>
                <w:rFonts w:hint="default"/>
                <w:color w:val="auto"/>
                <w:highlight w:val="none"/>
                <w:lang w:val="en-US" w:eastAsia="zh-CN"/>
              </w:rPr>
              <w:t>。项目施工对环境的影响主要表现在施工产生的扬尘、施工废水、施工机械噪声、施工固体废弃物等。施工流程及各个阶段的主要污染物见图2-2。</w:t>
            </w:r>
          </w:p>
          <w:p w14:paraId="06F4D3C7">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object>
                <v:shape id="_x0000_i1025" o:spt="75" type="#_x0000_t75" style="height:64.35pt;width:350.85pt;" o:ole="t" filled="f" o:preferrelative="t" stroked="f" coordsize="21600,21600">
                  <v:path/>
                  <v:fill on="f" focussize="0,0"/>
                  <v:stroke on="f"/>
                  <v:imagedata r:id="rId15" o:title=""/>
                  <o:lock v:ext="edit" aspectratio="f"/>
                  <w10:wrap type="none"/>
                  <w10:anchorlock/>
                </v:shape>
                <o:OLEObject Type="Embed" ProgID="" ShapeID="_x0000_i1025" DrawAspect="Content" ObjectID="_1468075725" r:id="rId14">
                  <o:LockedField>false</o:LockedField>
                </o:OLEObject>
              </w:object>
            </w:r>
          </w:p>
          <w:p w14:paraId="33D0AD36">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图2-</w:t>
            </w:r>
            <w:r>
              <w:rPr>
                <w:rFonts w:hint="eastAsia" w:cs="Times New Roman"/>
                <w:b/>
                <w:bCs/>
                <w:color w:val="auto"/>
                <w:highlight w:val="none"/>
                <w:lang w:val="en-US" w:eastAsia="zh-CN"/>
              </w:rPr>
              <w:t>2</w:t>
            </w:r>
            <w:r>
              <w:rPr>
                <w:rFonts w:hint="default" w:ascii="Times New Roman" w:hAnsi="Times New Roman" w:cs="Times New Roman"/>
                <w:b/>
                <w:bCs/>
                <w:color w:val="auto"/>
                <w:highlight w:val="none"/>
                <w:lang w:val="en-US" w:eastAsia="zh-CN"/>
              </w:rPr>
              <w:t>施工期工艺流程图</w:t>
            </w:r>
          </w:p>
          <w:p w14:paraId="63725B47">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2</w:t>
            </w:r>
            <w:r>
              <w:rPr>
                <w:rFonts w:hint="eastAsia" w:cs="Times New Roman"/>
                <w:b/>
                <w:bCs/>
                <w:color w:val="auto"/>
                <w:highlight w:val="none"/>
                <w:lang w:val="en-US" w:eastAsia="zh-CN"/>
              </w:rPr>
              <w:t>.</w:t>
            </w:r>
            <w:r>
              <w:rPr>
                <w:rFonts w:hint="default" w:ascii="Times New Roman" w:hAnsi="Times New Roman" w:cs="Times New Roman"/>
                <w:b/>
                <w:bCs/>
                <w:color w:val="auto"/>
                <w:highlight w:val="none"/>
                <w:lang w:val="en-US" w:eastAsia="zh-CN"/>
              </w:rPr>
              <w:t>施工期产排污环节</w:t>
            </w:r>
          </w:p>
          <w:p w14:paraId="0EDD51BD">
            <w:pPr>
              <w:bidi w:val="0"/>
              <w:rPr>
                <w:rFonts w:hint="default"/>
                <w:b/>
                <w:bCs/>
                <w:color w:val="auto"/>
                <w:highlight w:val="none"/>
                <w:lang w:val="en-US" w:eastAsia="zh-CN"/>
              </w:rPr>
            </w:pPr>
            <w:r>
              <w:rPr>
                <w:rFonts w:hint="default"/>
                <w:b/>
                <w:bCs/>
                <w:color w:val="auto"/>
                <w:highlight w:val="none"/>
                <w:lang w:val="en-US" w:eastAsia="zh-CN"/>
              </w:rPr>
              <w:t>①废水</w:t>
            </w:r>
          </w:p>
          <w:p w14:paraId="0A6A2741">
            <w:pPr>
              <w:bidi w:val="0"/>
              <w:rPr>
                <w:rFonts w:hint="default"/>
                <w:color w:val="auto"/>
                <w:highlight w:val="none"/>
                <w:lang w:val="en-US" w:eastAsia="zh-CN"/>
              </w:rPr>
            </w:pPr>
            <w:r>
              <w:rPr>
                <w:rFonts w:hint="default"/>
                <w:color w:val="auto"/>
                <w:highlight w:val="none"/>
                <w:lang w:val="en-US" w:eastAsia="zh-CN"/>
              </w:rPr>
              <w:t>项目施工期间产生的废水主要是施工人员产生的生活污水。</w:t>
            </w:r>
          </w:p>
          <w:p w14:paraId="1B18CC02">
            <w:pPr>
              <w:bidi w:val="0"/>
              <w:rPr>
                <w:rFonts w:hint="default"/>
                <w:b/>
                <w:bCs/>
                <w:color w:val="auto"/>
                <w:highlight w:val="none"/>
                <w:lang w:val="en-US" w:eastAsia="zh-CN"/>
              </w:rPr>
            </w:pPr>
            <w:r>
              <w:rPr>
                <w:rFonts w:hint="default"/>
                <w:b/>
                <w:bCs/>
                <w:color w:val="auto"/>
                <w:highlight w:val="none"/>
                <w:lang w:val="en-US" w:eastAsia="zh-CN"/>
              </w:rPr>
              <w:t>②噪声</w:t>
            </w:r>
          </w:p>
          <w:p w14:paraId="579B7C07">
            <w:pPr>
              <w:bidi w:val="0"/>
              <w:rPr>
                <w:rFonts w:hint="default"/>
                <w:color w:val="auto"/>
                <w:highlight w:val="none"/>
                <w:lang w:val="en-US" w:eastAsia="zh-CN"/>
              </w:rPr>
            </w:pPr>
            <w:r>
              <w:rPr>
                <w:rFonts w:hint="default"/>
                <w:color w:val="auto"/>
                <w:highlight w:val="none"/>
                <w:lang w:val="en-US" w:eastAsia="zh-CN"/>
              </w:rPr>
              <w:t>项目施工期产生的噪声主要为各类机械设备噪声和物料、设备运输的交通噪声。</w:t>
            </w:r>
          </w:p>
          <w:p w14:paraId="61DD93CF">
            <w:pPr>
              <w:bidi w:val="0"/>
              <w:rPr>
                <w:rFonts w:hint="default"/>
                <w:color w:val="auto"/>
                <w:highlight w:val="none"/>
                <w:lang w:val="en-US" w:eastAsia="zh-CN"/>
              </w:rPr>
            </w:pPr>
            <w:r>
              <w:rPr>
                <w:rFonts w:hint="default"/>
                <w:b/>
                <w:bCs/>
                <w:color w:val="auto"/>
                <w:highlight w:val="none"/>
                <w:lang w:val="en-US" w:eastAsia="zh-CN"/>
              </w:rPr>
              <w:t>③固体废物</w:t>
            </w:r>
          </w:p>
          <w:p w14:paraId="42480AE2">
            <w:pPr>
              <w:bidi w:val="0"/>
              <w:rPr>
                <w:rFonts w:hint="default"/>
                <w:color w:val="auto"/>
                <w:highlight w:val="none"/>
                <w:lang w:val="en-US" w:eastAsia="zh-CN"/>
              </w:rPr>
            </w:pPr>
            <w:r>
              <w:rPr>
                <w:rFonts w:hint="default"/>
                <w:color w:val="auto"/>
                <w:highlight w:val="none"/>
                <w:lang w:val="en-US" w:eastAsia="zh-CN"/>
              </w:rPr>
              <w:t>施工期固体废物主要是设备安装废弃物、施工人员生活垃圾等。</w:t>
            </w:r>
          </w:p>
          <w:p w14:paraId="37E2A689">
            <w:pPr>
              <w:bidi w:val="0"/>
              <w:rPr>
                <w:rFonts w:hint="default"/>
                <w:b/>
                <w:bCs/>
                <w:color w:val="auto"/>
                <w:highlight w:val="none"/>
                <w:lang w:val="en-US" w:eastAsia="zh-CN"/>
              </w:rPr>
            </w:pPr>
            <w:r>
              <w:rPr>
                <w:rFonts w:hint="default"/>
                <w:b/>
                <w:bCs/>
                <w:color w:val="auto"/>
                <w:highlight w:val="none"/>
                <w:lang w:val="en-US" w:eastAsia="zh-CN"/>
              </w:rPr>
              <w:t>④废气</w:t>
            </w:r>
          </w:p>
          <w:p w14:paraId="533050F8">
            <w:pPr>
              <w:bidi w:val="0"/>
              <w:rPr>
                <w:rFonts w:hint="default"/>
                <w:color w:val="auto"/>
                <w:highlight w:val="none"/>
                <w:lang w:val="en-US" w:eastAsia="zh-CN"/>
              </w:rPr>
            </w:pPr>
            <w:r>
              <w:rPr>
                <w:rFonts w:hint="default"/>
                <w:color w:val="auto"/>
                <w:highlight w:val="none"/>
                <w:lang w:val="en-US" w:eastAsia="zh-CN"/>
              </w:rPr>
              <w:t>施工期产生的废气主要为地基开挖、土地平整、建筑材料运输、露天堆放、装卸、施工机械等过程产生扬尘和施工机械、汽车燃油废气等。</w:t>
            </w:r>
          </w:p>
          <w:p w14:paraId="2CCA19B5">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二、运营期</w:t>
            </w:r>
          </w:p>
          <w:p w14:paraId="65707889">
            <w:pPr>
              <w:bidi w:val="0"/>
              <w:rPr>
                <w:color w:val="auto"/>
                <w:highlight w:val="none"/>
              </w:rPr>
            </w:pPr>
            <w:r>
              <w:rPr>
                <w:rFonts w:hint="eastAsia"/>
                <w:b/>
                <w:bCs/>
                <w:color w:val="auto"/>
                <w:highlight w:val="none"/>
                <w:lang w:val="en-US" w:eastAsia="zh-CN"/>
              </w:rPr>
              <w:t>1.生产工艺流程</w:t>
            </w:r>
          </w:p>
          <w:p w14:paraId="206F81B5">
            <w:pPr>
              <w:bidi w:val="0"/>
              <w:rPr>
                <w:rFonts w:hint="eastAsia"/>
                <w:color w:val="auto"/>
                <w:highlight w:val="none"/>
                <w:lang w:eastAsia="zh-CN"/>
              </w:rPr>
            </w:pPr>
            <w:r>
              <w:rPr>
                <w:rFonts w:hint="eastAsia"/>
                <w:color w:val="auto"/>
                <w:highlight w:val="none"/>
                <w:lang w:val="en-US" w:eastAsia="zh-CN"/>
              </w:rPr>
              <w:t>①筛分</w:t>
            </w:r>
          </w:p>
          <w:p w14:paraId="2BEEE09C">
            <w:pPr>
              <w:bidi w:val="0"/>
              <w:rPr>
                <w:rFonts w:hint="eastAsia"/>
                <w:color w:val="auto"/>
                <w:highlight w:val="none"/>
                <w:lang w:val="en-US" w:eastAsia="zh-CN"/>
              </w:rPr>
            </w:pPr>
            <w:r>
              <w:rPr>
                <w:rFonts w:hint="eastAsia"/>
                <w:color w:val="auto"/>
                <w:highlight w:val="none"/>
                <w:lang w:val="en-US" w:eastAsia="zh-CN"/>
              </w:rPr>
              <w:t>原料汽运至厂区内密闭原料仓库堆存，原料库紧邻筛分设备，由铲车将高岭土原料转运至筛分机内对进行分级筛选，粒径＞100mm的原料被分选出来外售处理。通过筛分机筛分出粒径分别为1mm-30mm、30mm-60mm、60mm-100mm的三种粒径物料，被分选出来的三种粒径物料经密闭传送带转运至煅烧车间竖窑顶部料仓进行分别煅烧。</w:t>
            </w:r>
          </w:p>
          <w:p w14:paraId="7F37566B">
            <w:pPr>
              <w:bidi w:val="0"/>
              <w:rPr>
                <w:rFonts w:hint="eastAsia"/>
                <w:color w:val="auto"/>
                <w:highlight w:val="none"/>
                <w:lang w:val="en-US" w:eastAsia="zh-CN"/>
              </w:rPr>
            </w:pPr>
            <w:r>
              <w:rPr>
                <w:rFonts w:hint="eastAsia"/>
                <w:color w:val="auto"/>
                <w:highlight w:val="none"/>
                <w:lang w:val="en-US" w:eastAsia="zh-CN"/>
              </w:rPr>
              <w:t>此工序的主要污染因子为筛分机进料口和筛分过程产生的粉尘废气，以及设备运行噪声等。进料口粉尘经集气罩收集和筛分工艺粉尘通过密闭管道进袋除尘器，最后经15m高排气筒（DA001）排气筒排放。</w:t>
            </w:r>
          </w:p>
          <w:p w14:paraId="352575D9">
            <w:pPr>
              <w:bidi w:val="0"/>
              <w:rPr>
                <w:rFonts w:hint="eastAsia"/>
                <w:color w:val="auto"/>
                <w:highlight w:val="none"/>
                <w:lang w:eastAsia="zh-CN"/>
              </w:rPr>
            </w:pPr>
            <w:r>
              <w:rPr>
                <w:rFonts w:hint="eastAsia"/>
                <w:color w:val="auto"/>
                <w:highlight w:val="none"/>
                <w:lang w:eastAsia="zh-CN"/>
              </w:rPr>
              <w:t>②竖窑煅烧</w:t>
            </w:r>
          </w:p>
          <w:p w14:paraId="73FCA4E9">
            <w:pPr>
              <w:bidi w:val="0"/>
              <w:rPr>
                <w:rFonts w:hint="eastAsia"/>
                <w:color w:val="auto"/>
                <w:highlight w:val="none"/>
                <w:lang w:eastAsia="zh-CN"/>
              </w:rPr>
            </w:pPr>
            <w:r>
              <w:rPr>
                <w:rFonts w:hint="eastAsia"/>
                <w:color w:val="auto"/>
                <w:highlight w:val="none"/>
                <w:lang w:val="en-US" w:eastAsia="zh-CN"/>
              </w:rPr>
              <w:t>三种粒径1mm-30mm、30mm-60mm、60mm-100mm的物料进行分别单批次煅烧，高岭土生料经皮带机将物料转至竖窑顶部料仓，送入4座竖窑中进行煅烧。燃料为天然气，天然气由烧咀喷入竖窑燃烧室内燃烧，温度稳定后，高温气体气进入煅烧带对高岭土进行煅烧，煅烧温度为1200℃，竖窑内设置3个区域，分别为预热带、煅烧带、冷却带。在预热带，物料借助于烟气的热量进行预热；在煅烧带，物料借助于燃料燃烧的热量进行煅烧；在冷却带，已经煅烧好的物料与鼓入的空气进行热交换，物料被冷却。冷却后的产品经转运至熟料库内。</w:t>
            </w:r>
          </w:p>
          <w:p w14:paraId="03811902">
            <w:pPr>
              <w:bidi w:val="0"/>
              <w:rPr>
                <w:rFonts w:hint="eastAsia"/>
                <w:color w:val="auto"/>
                <w:highlight w:val="none"/>
                <w:lang w:val="en-US" w:eastAsia="zh-CN"/>
              </w:rPr>
            </w:pPr>
            <w:r>
              <w:rPr>
                <w:rFonts w:hint="eastAsia"/>
                <w:color w:val="auto"/>
                <w:highlight w:val="none"/>
                <w:lang w:val="en-US" w:eastAsia="zh-CN"/>
              </w:rPr>
              <w:t>此工序的主要污染因子为煅烧工序产生的SO</w:t>
            </w:r>
            <w:r>
              <w:rPr>
                <w:rFonts w:hint="eastAsia"/>
                <w:color w:val="auto"/>
                <w:highlight w:val="none"/>
                <w:vertAlign w:val="subscript"/>
                <w:lang w:val="en-US" w:eastAsia="zh-CN"/>
              </w:rPr>
              <w:t>2</w:t>
            </w:r>
            <w:r>
              <w:rPr>
                <w:rFonts w:hint="eastAsia"/>
                <w:color w:val="auto"/>
                <w:highlight w:val="none"/>
                <w:lang w:val="en-US" w:eastAsia="zh-CN"/>
              </w:rPr>
              <w:t>、NO</w:t>
            </w:r>
            <w:r>
              <w:rPr>
                <w:rFonts w:hint="eastAsia"/>
                <w:color w:val="auto"/>
                <w:highlight w:val="none"/>
                <w:vertAlign w:val="subscript"/>
                <w:lang w:val="en-US" w:eastAsia="zh-CN"/>
              </w:rPr>
              <w:t>X</w:t>
            </w:r>
            <w:r>
              <w:rPr>
                <w:rFonts w:hint="eastAsia"/>
                <w:color w:val="auto"/>
                <w:highlight w:val="none"/>
                <w:lang w:val="en-US" w:eastAsia="zh-CN"/>
              </w:rPr>
              <w:t>及烟尘。煅烧废气采用SNCR脱硝+SCR脱硝+袋式除尘+石灰石-石膏法脱硫+双碱法脱硫最终经过37m高（DA002）排气筒排放。</w:t>
            </w:r>
          </w:p>
          <w:p w14:paraId="390ADBC0">
            <w:pPr>
              <w:bidi w:val="0"/>
              <w:rPr>
                <w:rFonts w:hint="eastAsia"/>
                <w:color w:val="auto"/>
                <w:highlight w:val="none"/>
                <w:lang w:eastAsia="zh-CN"/>
              </w:rPr>
            </w:pPr>
            <w:r>
              <w:rPr>
                <w:rFonts w:hint="eastAsia"/>
                <w:color w:val="auto"/>
                <w:highlight w:val="none"/>
                <w:lang w:eastAsia="zh-CN"/>
              </w:rPr>
              <w:t>③人工筛选</w:t>
            </w:r>
          </w:p>
          <w:p w14:paraId="54BA2563">
            <w:pPr>
              <w:bidi w:val="0"/>
              <w:rPr>
                <w:rFonts w:hint="eastAsia"/>
                <w:color w:val="auto"/>
                <w:highlight w:val="none"/>
                <w:lang w:eastAsia="zh-CN"/>
              </w:rPr>
            </w:pPr>
            <w:r>
              <w:rPr>
                <w:rFonts w:hint="eastAsia"/>
                <w:color w:val="auto"/>
                <w:highlight w:val="none"/>
                <w:lang w:eastAsia="zh-CN"/>
              </w:rPr>
              <w:t>成品自然冷却后，人工将其中杂色成品与纯色成品进行筛选分级，分区贮存。</w:t>
            </w:r>
          </w:p>
          <w:p w14:paraId="50B24F24">
            <w:pPr>
              <w:bidi w:val="0"/>
              <w:rPr>
                <w:rFonts w:hint="eastAsia"/>
                <w:color w:val="auto"/>
                <w:highlight w:val="none"/>
                <w:lang w:val="en-US" w:eastAsia="zh-CN"/>
              </w:rPr>
            </w:pPr>
            <w:r>
              <w:rPr>
                <w:rFonts w:hint="eastAsia"/>
                <w:color w:val="auto"/>
                <w:highlight w:val="none"/>
                <w:lang w:eastAsia="zh-CN"/>
              </w:rPr>
              <w:t>④</w:t>
            </w:r>
            <w:r>
              <w:rPr>
                <w:rFonts w:hint="eastAsia"/>
                <w:color w:val="auto"/>
                <w:highlight w:val="none"/>
                <w:lang w:val="en-US" w:eastAsia="zh-CN"/>
              </w:rPr>
              <w:t>成品贮存</w:t>
            </w:r>
          </w:p>
          <w:p w14:paraId="0C31C0DD">
            <w:pPr>
              <w:pStyle w:val="2"/>
              <w:rPr>
                <w:rFonts w:hint="eastAsia"/>
                <w:color w:val="auto"/>
                <w:highlight w:val="none"/>
                <w:lang w:val="en-US" w:eastAsia="zh-CN"/>
              </w:rPr>
            </w:pPr>
            <w:r>
              <w:rPr>
                <w:rFonts w:hint="eastAsia"/>
                <w:color w:val="auto"/>
                <w:highlight w:val="none"/>
                <w:lang w:val="en-US" w:eastAsia="zh-CN"/>
              </w:rPr>
              <w:t>成品分区贮存于熟料库内。</w:t>
            </w:r>
          </w:p>
          <w:p w14:paraId="043C3993">
            <w:pPr>
              <w:bidi w:val="0"/>
              <w:ind w:left="0" w:leftChars="0" w:firstLine="0" w:firstLineChars="0"/>
              <w:jc w:val="center"/>
              <w:rPr>
                <w:rFonts w:hint="eastAsia"/>
                <w:color w:val="auto"/>
                <w:highlight w:val="none"/>
                <w:lang w:eastAsia="zh-CN"/>
              </w:rPr>
            </w:pPr>
            <w:r>
              <w:rPr>
                <w:rFonts w:hint="eastAsia"/>
                <w:color w:val="auto"/>
                <w:highlight w:val="none"/>
                <w:lang w:eastAsia="zh-CN"/>
              </w:rPr>
              <w:drawing>
                <wp:inline distT="0" distB="0" distL="114300" distR="114300">
                  <wp:extent cx="3575050" cy="3731260"/>
                  <wp:effectExtent l="0" t="0" r="0" b="0"/>
                  <wp:docPr id="40" name="ECB019B1-382A-4266-B25C-5B523AA43C14-2" descr="C:/Users/Lenovo/AppData/Local/Temp/wps.HepdGZ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ECB019B1-382A-4266-B25C-5B523AA43C14-2" descr="C:/Users/Lenovo/AppData/Local/Temp/wps.HepdGZwps"/>
                          <pic:cNvPicPr>
                            <a:picLocks noChangeAspect="1"/>
                          </pic:cNvPicPr>
                        </pic:nvPicPr>
                        <pic:blipFill>
                          <a:blip r:embed="rId16"/>
                          <a:stretch>
                            <a:fillRect/>
                          </a:stretch>
                        </pic:blipFill>
                        <pic:spPr>
                          <a:xfrm>
                            <a:off x="0" y="0"/>
                            <a:ext cx="3575050" cy="3731260"/>
                          </a:xfrm>
                          <a:prstGeom prst="rect">
                            <a:avLst/>
                          </a:prstGeom>
                        </pic:spPr>
                      </pic:pic>
                    </a:graphicData>
                  </a:graphic>
                </wp:inline>
              </w:drawing>
            </w:r>
          </w:p>
          <w:p w14:paraId="270A6B97">
            <w:pPr>
              <w:bidi w:val="0"/>
              <w:ind w:left="0" w:leftChars="0" w:firstLine="0" w:firstLineChars="0"/>
              <w:jc w:val="center"/>
              <w:rPr>
                <w:rFonts w:hint="eastAsia"/>
                <w:b/>
                <w:bCs/>
                <w:color w:val="auto"/>
                <w:highlight w:val="none"/>
                <w:lang w:val="en-US" w:eastAsia="zh-CN"/>
              </w:rPr>
            </w:pPr>
            <w:r>
              <w:rPr>
                <w:rFonts w:hint="eastAsia"/>
                <w:b/>
                <w:bCs/>
                <w:color w:val="auto"/>
                <w:highlight w:val="none"/>
                <w:lang w:val="en-US" w:eastAsia="zh-CN"/>
              </w:rPr>
              <w:t>图2-3运营期工艺流程</w:t>
            </w:r>
          </w:p>
          <w:p w14:paraId="2F98A34A">
            <w:pPr>
              <w:bidi w:val="0"/>
              <w:rPr>
                <w:rFonts w:hint="default" w:ascii="Times New Roman" w:hAnsi="Times New Roman" w:eastAsia="宋体" w:cs="Times New Roman"/>
                <w:color w:val="auto"/>
                <w:highlight w:val="none"/>
                <w:lang w:val="en-US" w:eastAsia="zh-CN"/>
              </w:rPr>
            </w:pPr>
            <w:r>
              <w:rPr>
                <w:rFonts w:hint="eastAsia" w:cs="Times New Roman"/>
                <w:b/>
                <w:bCs/>
                <w:color w:val="auto"/>
                <w:highlight w:val="none"/>
                <w:lang w:val="en-US" w:eastAsia="zh-CN"/>
              </w:rPr>
              <w:t>2.环保设施生产工艺</w:t>
            </w:r>
          </w:p>
          <w:p w14:paraId="4DBEDBF9">
            <w:pPr>
              <w:bidi w:val="0"/>
              <w:rPr>
                <w:rFonts w:hint="default" w:cs="Times New Roman"/>
                <w:b w:val="0"/>
                <w:bCs w:val="0"/>
                <w:color w:val="auto"/>
                <w:highlight w:val="none"/>
                <w:lang w:val="en-US" w:eastAsia="zh-CN"/>
              </w:rPr>
            </w:pPr>
            <w:r>
              <w:rPr>
                <w:rFonts w:hint="eastAsia" w:cs="Times New Roman"/>
                <w:b w:val="0"/>
                <w:bCs w:val="0"/>
                <w:color w:val="auto"/>
                <w:highlight w:val="none"/>
                <w:lang w:val="en-US" w:eastAsia="zh-CN"/>
              </w:rPr>
              <w:t>1）脱氮工艺</w:t>
            </w:r>
          </w:p>
          <w:p w14:paraId="7F83824F">
            <w:pPr>
              <w:bidi w:val="0"/>
              <w:rPr>
                <w:rFonts w:hint="default" w:cs="Times New Roman"/>
                <w:b w:val="0"/>
                <w:bCs w:val="0"/>
                <w:color w:val="auto"/>
                <w:highlight w:val="none"/>
                <w:lang w:val="en-US" w:eastAsia="zh-CN"/>
              </w:rPr>
            </w:pPr>
            <w:r>
              <w:rPr>
                <w:rFonts w:hint="eastAsia" w:cs="Times New Roman"/>
                <w:b w:val="0"/>
                <w:bCs w:val="0"/>
                <w:color w:val="auto"/>
                <w:highlight w:val="none"/>
                <w:lang w:val="en-US" w:eastAsia="zh-CN"/>
              </w:rPr>
              <w:t>①SNCR脱硝处理工艺</w:t>
            </w:r>
          </w:p>
          <w:p w14:paraId="6CD0475F">
            <w:pPr>
              <w:bidi w:val="0"/>
              <w:rPr>
                <w:rFonts w:hint="default" w:cs="Times New Roman"/>
                <w:b w:val="0"/>
                <w:bCs w:val="0"/>
                <w:color w:val="auto"/>
                <w:highlight w:val="none"/>
                <w:lang w:val="en-US" w:eastAsia="zh-CN"/>
              </w:rPr>
            </w:pPr>
            <w:r>
              <w:rPr>
                <w:rFonts w:hint="eastAsia" w:cs="Times New Roman"/>
                <w:b w:val="0"/>
                <w:bCs w:val="0"/>
                <w:color w:val="auto"/>
                <w:highlight w:val="none"/>
                <w:lang w:val="en-US" w:eastAsia="zh-CN"/>
              </w:rPr>
              <w:t>本项目SNCR脱硝改造需要在炉膛850℃-1100℃温度范围内安装还原剂喷枪，将储存罐内的氨水作为还原剂，将一氧化氮还原，生成氮气和水，脱硝效率为50%。主要反应如下：</w:t>
            </w:r>
          </w:p>
          <w:p w14:paraId="1D92E0CC">
            <w:pPr>
              <w:bidi w:val="0"/>
              <w:rPr>
                <w:rFonts w:hint="default" w:cs="Times New Roman"/>
                <w:b w:val="0"/>
                <w:bCs w:val="0"/>
                <w:color w:val="auto"/>
                <w:highlight w:val="none"/>
                <w:lang w:val="en-US" w:eastAsia="zh-CN"/>
              </w:rPr>
            </w:pPr>
            <w:r>
              <w:rPr>
                <w:rFonts w:hint="eastAsia" w:cs="Times New Roman"/>
                <w:b w:val="0"/>
                <w:bCs w:val="0"/>
                <w:color w:val="auto"/>
                <w:highlight w:val="none"/>
                <w:lang w:val="en-US" w:eastAsia="zh-CN"/>
              </w:rPr>
              <w:t>4NO+4NH</w:t>
            </w:r>
            <w:r>
              <w:rPr>
                <w:rFonts w:hint="eastAsia" w:cs="Times New Roman"/>
                <w:b w:val="0"/>
                <w:bCs w:val="0"/>
                <w:color w:val="auto"/>
                <w:highlight w:val="none"/>
                <w:vertAlign w:val="subscript"/>
                <w:lang w:val="en-US" w:eastAsia="zh-CN"/>
              </w:rPr>
              <w:t>4</w:t>
            </w:r>
            <w:r>
              <w:rPr>
                <w:rFonts w:hint="eastAsia" w:cs="Times New Roman"/>
                <w:b w:val="0"/>
                <w:bCs w:val="0"/>
                <w:color w:val="auto"/>
                <w:highlight w:val="none"/>
                <w:lang w:val="en-US" w:eastAsia="zh-CN"/>
              </w:rPr>
              <w:t>+O</w:t>
            </w:r>
            <w:r>
              <w:rPr>
                <w:rFonts w:hint="eastAsia" w:cs="Times New Roman"/>
                <w:b w:val="0"/>
                <w:bCs w:val="0"/>
                <w:color w:val="auto"/>
                <w:highlight w:val="none"/>
                <w:vertAlign w:val="subscript"/>
                <w:lang w:val="en-US" w:eastAsia="zh-CN"/>
              </w:rPr>
              <w:t>2</w:t>
            </w:r>
            <w:r>
              <w:rPr>
                <w:rFonts w:hint="eastAsia" w:cs="Times New Roman"/>
                <w:b w:val="0"/>
                <w:bCs w:val="0"/>
                <w:color w:val="auto"/>
                <w:highlight w:val="none"/>
                <w:lang w:val="en-US" w:eastAsia="zh-CN"/>
              </w:rPr>
              <w:t>→4N</w:t>
            </w:r>
            <w:r>
              <w:rPr>
                <w:rFonts w:hint="eastAsia" w:cs="Times New Roman"/>
                <w:b w:val="0"/>
                <w:bCs w:val="0"/>
                <w:color w:val="auto"/>
                <w:highlight w:val="none"/>
                <w:vertAlign w:val="subscript"/>
                <w:lang w:val="en-US" w:eastAsia="zh-CN"/>
              </w:rPr>
              <w:t>2</w:t>
            </w:r>
            <w:r>
              <w:rPr>
                <w:rFonts w:hint="eastAsia" w:cs="Times New Roman"/>
                <w:b w:val="0"/>
                <w:bCs w:val="0"/>
                <w:color w:val="auto"/>
                <w:highlight w:val="none"/>
                <w:vertAlign w:val="baseline"/>
                <w:lang w:val="en-US" w:eastAsia="zh-CN"/>
              </w:rPr>
              <w:t>+</w:t>
            </w:r>
            <w:r>
              <w:rPr>
                <w:rFonts w:hint="eastAsia" w:cs="Times New Roman"/>
                <w:b w:val="0"/>
                <w:bCs w:val="0"/>
                <w:color w:val="auto"/>
                <w:highlight w:val="none"/>
                <w:lang w:val="en-US" w:eastAsia="zh-CN"/>
              </w:rPr>
              <w:t>6H</w:t>
            </w:r>
            <w:r>
              <w:rPr>
                <w:rFonts w:hint="eastAsia" w:cs="Times New Roman"/>
                <w:b w:val="0"/>
                <w:bCs w:val="0"/>
                <w:color w:val="auto"/>
                <w:highlight w:val="none"/>
                <w:vertAlign w:val="subscript"/>
                <w:lang w:val="en-US" w:eastAsia="zh-CN"/>
              </w:rPr>
              <w:t>2</w:t>
            </w:r>
            <w:r>
              <w:rPr>
                <w:rFonts w:hint="eastAsia" w:cs="Times New Roman"/>
                <w:b w:val="0"/>
                <w:bCs w:val="0"/>
                <w:color w:val="auto"/>
                <w:highlight w:val="none"/>
                <w:lang w:val="en-US" w:eastAsia="zh-CN"/>
              </w:rPr>
              <w:t>O</w:t>
            </w:r>
          </w:p>
          <w:p w14:paraId="5D600C6F">
            <w:pPr>
              <w:bidi w:val="0"/>
              <w:rPr>
                <w:rFonts w:hint="default" w:cs="Times New Roman"/>
                <w:b w:val="0"/>
                <w:bCs w:val="0"/>
                <w:color w:val="auto"/>
                <w:highlight w:val="none"/>
                <w:lang w:val="en-US" w:eastAsia="zh-CN"/>
              </w:rPr>
            </w:pPr>
            <w:r>
              <w:rPr>
                <w:rFonts w:hint="eastAsia" w:cs="Times New Roman"/>
                <w:b w:val="0"/>
                <w:bCs w:val="0"/>
                <w:color w:val="auto"/>
                <w:highlight w:val="none"/>
                <w:lang w:val="en-US" w:eastAsia="zh-CN"/>
              </w:rPr>
              <w:t>②SCR脱硝处理工艺</w:t>
            </w:r>
          </w:p>
          <w:p w14:paraId="7A8A4769">
            <w:pPr>
              <w:bidi w:val="0"/>
              <w:rPr>
                <w:rFonts w:hint="eastAsia"/>
                <w:b w:val="0"/>
                <w:bCs w:val="0"/>
                <w:color w:val="auto"/>
                <w:highlight w:val="none"/>
                <w:lang w:val="en-US" w:eastAsia="zh-CN"/>
              </w:rPr>
            </w:pPr>
            <w:r>
              <w:rPr>
                <w:rFonts w:hint="eastAsia"/>
                <w:b w:val="0"/>
                <w:bCs w:val="0"/>
                <w:color w:val="auto"/>
                <w:highlight w:val="none"/>
                <w:lang w:val="en-US" w:eastAsia="zh-CN"/>
              </w:rPr>
              <w:t>SCR技术采用氨水作为还原剂，在金属催化剂作用下，选择性的与NO</w:t>
            </w:r>
            <w:r>
              <w:rPr>
                <w:rFonts w:hint="eastAsia"/>
                <w:b w:val="0"/>
                <w:bCs w:val="0"/>
                <w:color w:val="auto"/>
                <w:highlight w:val="none"/>
                <w:vertAlign w:val="subscript"/>
                <w:lang w:val="en-US" w:eastAsia="zh-CN"/>
              </w:rPr>
              <w:t>X</w:t>
            </w:r>
            <w:r>
              <w:rPr>
                <w:rFonts w:hint="eastAsia"/>
                <w:b w:val="0"/>
                <w:bCs w:val="0"/>
                <w:color w:val="auto"/>
                <w:highlight w:val="none"/>
                <w:lang w:val="en-US" w:eastAsia="zh-CN"/>
              </w:rPr>
              <w:t>反应生成N</w:t>
            </w:r>
            <w:r>
              <w:rPr>
                <w:rFonts w:hint="eastAsia"/>
                <w:b w:val="0"/>
                <w:bCs w:val="0"/>
                <w:color w:val="auto"/>
                <w:highlight w:val="none"/>
                <w:vertAlign w:val="subscript"/>
                <w:lang w:val="en-US" w:eastAsia="zh-CN"/>
              </w:rPr>
              <w:t>2</w:t>
            </w:r>
            <w:r>
              <w:rPr>
                <w:rFonts w:hint="eastAsia"/>
                <w:b w:val="0"/>
                <w:bCs w:val="0"/>
                <w:color w:val="auto"/>
                <w:highlight w:val="none"/>
                <w:lang w:val="en-US" w:eastAsia="zh-CN"/>
              </w:rPr>
              <w:t>和H</w:t>
            </w:r>
            <w:r>
              <w:rPr>
                <w:rFonts w:hint="eastAsia"/>
                <w:b w:val="0"/>
                <w:bCs w:val="0"/>
                <w:color w:val="auto"/>
                <w:highlight w:val="none"/>
                <w:vertAlign w:val="subscript"/>
                <w:lang w:val="en-US" w:eastAsia="zh-CN"/>
              </w:rPr>
              <w:t>2</w:t>
            </w:r>
            <w:r>
              <w:rPr>
                <w:rFonts w:hint="eastAsia"/>
                <w:b w:val="0"/>
                <w:bCs w:val="0"/>
                <w:color w:val="auto"/>
                <w:highlight w:val="none"/>
                <w:lang w:val="en-US" w:eastAsia="zh-CN"/>
              </w:rPr>
              <w:t>O，而不被O</w:t>
            </w:r>
            <w:r>
              <w:rPr>
                <w:rFonts w:hint="eastAsia"/>
                <w:b w:val="0"/>
                <w:bCs w:val="0"/>
                <w:color w:val="auto"/>
                <w:highlight w:val="none"/>
                <w:vertAlign w:val="subscript"/>
                <w:lang w:val="en-US" w:eastAsia="zh-CN"/>
              </w:rPr>
              <w:t>2</w:t>
            </w:r>
            <w:r>
              <w:rPr>
                <w:rFonts w:hint="eastAsia"/>
                <w:b w:val="0"/>
                <w:bCs w:val="0"/>
                <w:color w:val="auto"/>
                <w:highlight w:val="none"/>
                <w:lang w:val="en-US" w:eastAsia="zh-CN"/>
              </w:rPr>
              <w:t>所氧化。脱硝效率可达80%，反应如下：</w:t>
            </w:r>
          </w:p>
          <w:p w14:paraId="5D38FD54">
            <w:pPr>
              <w:bidi w:val="0"/>
              <w:rPr>
                <w:rFonts w:hint="eastAsia"/>
                <w:b w:val="0"/>
                <w:bCs w:val="0"/>
                <w:color w:val="auto"/>
                <w:highlight w:val="none"/>
                <w:lang w:val="en-US" w:eastAsia="zh-CN"/>
              </w:rPr>
            </w:pPr>
            <w:r>
              <w:rPr>
                <w:rFonts w:hint="eastAsia"/>
                <w:b w:val="0"/>
                <w:bCs w:val="0"/>
                <w:color w:val="auto"/>
                <w:highlight w:val="none"/>
                <w:lang w:val="en-US" w:eastAsia="zh-CN"/>
              </w:rPr>
              <w:t>4NH</w:t>
            </w:r>
            <w:r>
              <w:rPr>
                <w:rFonts w:hint="eastAsia"/>
                <w:b w:val="0"/>
                <w:bCs w:val="0"/>
                <w:color w:val="auto"/>
                <w:highlight w:val="none"/>
                <w:vertAlign w:val="subscript"/>
                <w:lang w:val="en-US" w:eastAsia="zh-CN"/>
              </w:rPr>
              <w:t>3</w:t>
            </w:r>
            <w:r>
              <w:rPr>
                <w:rFonts w:hint="eastAsia"/>
                <w:b w:val="0"/>
                <w:bCs w:val="0"/>
                <w:color w:val="auto"/>
                <w:highlight w:val="none"/>
                <w:lang w:val="en-US" w:eastAsia="zh-CN"/>
              </w:rPr>
              <w:t>+2NO</w:t>
            </w:r>
            <w:r>
              <w:rPr>
                <w:rFonts w:hint="eastAsia"/>
                <w:b w:val="0"/>
                <w:bCs w:val="0"/>
                <w:color w:val="auto"/>
                <w:highlight w:val="none"/>
                <w:vertAlign w:val="subscript"/>
                <w:lang w:val="en-US" w:eastAsia="zh-CN"/>
              </w:rPr>
              <w:t>2</w:t>
            </w:r>
            <w:r>
              <w:rPr>
                <w:rFonts w:hint="eastAsia"/>
                <w:b w:val="0"/>
                <w:bCs w:val="0"/>
                <w:color w:val="auto"/>
                <w:highlight w:val="none"/>
                <w:lang w:val="en-US" w:eastAsia="zh-CN"/>
              </w:rPr>
              <w:t>+O</w:t>
            </w:r>
            <w:r>
              <w:rPr>
                <w:rFonts w:hint="eastAsia"/>
                <w:b w:val="0"/>
                <w:bCs w:val="0"/>
                <w:color w:val="auto"/>
                <w:highlight w:val="none"/>
                <w:vertAlign w:val="subscript"/>
                <w:lang w:val="en-US" w:eastAsia="zh-CN"/>
              </w:rPr>
              <w:t>2</w:t>
            </w:r>
            <w:r>
              <w:rPr>
                <w:rFonts w:hint="eastAsia"/>
                <w:b w:val="0"/>
                <w:bCs w:val="0"/>
                <w:color w:val="auto"/>
                <w:highlight w:val="none"/>
                <w:lang w:val="en-US" w:eastAsia="zh-CN"/>
              </w:rPr>
              <w:t>→3N</w:t>
            </w:r>
            <w:r>
              <w:rPr>
                <w:rFonts w:hint="eastAsia"/>
                <w:b w:val="0"/>
                <w:bCs w:val="0"/>
                <w:color w:val="auto"/>
                <w:highlight w:val="none"/>
                <w:vertAlign w:val="subscript"/>
                <w:lang w:val="en-US" w:eastAsia="zh-CN"/>
              </w:rPr>
              <w:t>2</w:t>
            </w:r>
            <w:r>
              <w:rPr>
                <w:rFonts w:hint="eastAsia"/>
                <w:b w:val="0"/>
                <w:bCs w:val="0"/>
                <w:color w:val="auto"/>
                <w:highlight w:val="none"/>
                <w:lang w:val="en-US" w:eastAsia="zh-CN"/>
              </w:rPr>
              <w:t>+6H</w:t>
            </w:r>
            <w:r>
              <w:rPr>
                <w:rFonts w:hint="eastAsia"/>
                <w:b w:val="0"/>
                <w:bCs w:val="0"/>
                <w:color w:val="auto"/>
                <w:highlight w:val="none"/>
                <w:vertAlign w:val="subscript"/>
                <w:lang w:val="en-US" w:eastAsia="zh-CN"/>
              </w:rPr>
              <w:t>2</w:t>
            </w:r>
            <w:r>
              <w:rPr>
                <w:rFonts w:hint="eastAsia"/>
                <w:b w:val="0"/>
                <w:bCs w:val="0"/>
                <w:color w:val="auto"/>
                <w:highlight w:val="none"/>
                <w:lang w:val="en-US" w:eastAsia="zh-CN"/>
              </w:rPr>
              <w:t>O</w:t>
            </w:r>
          </w:p>
          <w:p w14:paraId="0556468E">
            <w:pPr>
              <w:bidi w:val="0"/>
              <w:rPr>
                <w:rFonts w:hint="default" w:cs="Times New Roman"/>
                <w:b w:val="0"/>
                <w:bCs w:val="0"/>
                <w:color w:val="auto"/>
                <w:highlight w:val="none"/>
                <w:lang w:val="en-US" w:eastAsia="zh-CN"/>
              </w:rPr>
            </w:pPr>
            <w:r>
              <w:rPr>
                <w:rFonts w:hint="eastAsia" w:cs="Times New Roman"/>
                <w:b w:val="0"/>
                <w:bCs w:val="0"/>
                <w:color w:val="auto"/>
                <w:highlight w:val="none"/>
                <w:lang w:val="en-US" w:eastAsia="zh-CN"/>
              </w:rPr>
              <w:t>2）除尘系统</w:t>
            </w:r>
          </w:p>
          <w:p w14:paraId="73FF810A">
            <w:pPr>
              <w:bidi w:val="0"/>
              <w:rPr>
                <w:rFonts w:hint="default" w:cs="Times New Roman"/>
                <w:b w:val="0"/>
                <w:bCs w:val="0"/>
                <w:color w:val="auto"/>
                <w:highlight w:val="none"/>
                <w:lang w:val="en-US" w:eastAsia="zh-CN"/>
              </w:rPr>
            </w:pPr>
            <w:r>
              <w:rPr>
                <w:rFonts w:hint="eastAsia" w:cs="Times New Roman"/>
                <w:b w:val="0"/>
                <w:bCs w:val="0"/>
                <w:color w:val="auto"/>
                <w:highlight w:val="none"/>
                <w:lang w:val="en-US" w:eastAsia="zh-CN"/>
              </w:rPr>
              <w:t>袋式除尘器</w:t>
            </w:r>
          </w:p>
          <w:p w14:paraId="1FE95396">
            <w:pPr>
              <w:bidi w:val="0"/>
              <w:rPr>
                <w:rFonts w:hint="default" w:cs="Times New Roman"/>
                <w:b w:val="0"/>
                <w:bCs w:val="0"/>
                <w:color w:val="auto"/>
                <w:highlight w:val="none"/>
                <w:lang w:val="en-US" w:eastAsia="zh-CN"/>
              </w:rPr>
            </w:pPr>
            <w:r>
              <w:rPr>
                <w:rFonts w:hint="eastAsia" w:cs="Times New Roman"/>
                <w:b w:val="0"/>
                <w:bCs w:val="0"/>
                <w:color w:val="auto"/>
                <w:highlight w:val="none"/>
                <w:lang w:val="en-US" w:eastAsia="zh-CN"/>
              </w:rPr>
              <w:t>排出的烟气经过袋式除尘器除尘，综合除尘效率为99%</w:t>
            </w:r>
          </w:p>
          <w:p w14:paraId="499226C2">
            <w:pPr>
              <w:bidi w:val="0"/>
              <w:rPr>
                <w:rFonts w:hint="default" w:cs="Times New Roman"/>
                <w:b w:val="0"/>
                <w:bCs w:val="0"/>
                <w:color w:val="auto"/>
                <w:highlight w:val="none"/>
                <w:lang w:val="en-US" w:eastAsia="zh-CN"/>
              </w:rPr>
            </w:pPr>
            <w:r>
              <w:rPr>
                <w:rFonts w:hint="eastAsia" w:cs="Times New Roman"/>
                <w:b w:val="0"/>
                <w:bCs w:val="0"/>
                <w:color w:val="auto"/>
                <w:highlight w:val="none"/>
                <w:lang w:val="en-US" w:eastAsia="zh-CN"/>
              </w:rPr>
              <w:t>3）脱硫系统</w:t>
            </w:r>
          </w:p>
          <w:p w14:paraId="29BE41DC">
            <w:pPr>
              <w:bidi w:val="0"/>
              <w:rPr>
                <w:rFonts w:hint="default" w:cs="Times New Roman"/>
                <w:b w:val="0"/>
                <w:bCs w:val="0"/>
                <w:color w:val="auto"/>
                <w:highlight w:val="none"/>
                <w:lang w:val="en-US" w:eastAsia="zh-CN"/>
              </w:rPr>
            </w:pPr>
            <w:r>
              <w:rPr>
                <w:rFonts w:hint="eastAsia" w:cs="Times New Roman"/>
                <w:b w:val="0"/>
                <w:bCs w:val="0"/>
                <w:color w:val="auto"/>
                <w:highlight w:val="none"/>
                <w:lang w:val="en-US" w:eastAsia="zh-CN"/>
              </w:rPr>
              <w:t>①石灰石-石膏法脱硫工艺流程</w:t>
            </w:r>
          </w:p>
          <w:p w14:paraId="2C79D92A">
            <w:pPr>
              <w:bidi w:val="0"/>
              <w:rPr>
                <w:rFonts w:hint="eastAsia"/>
                <w:b w:val="0"/>
                <w:bCs w:val="0"/>
                <w:color w:val="auto"/>
                <w:highlight w:val="none"/>
                <w:lang w:val="en-US" w:eastAsia="zh-CN"/>
              </w:rPr>
            </w:pPr>
            <w:r>
              <w:rPr>
                <w:rFonts w:hint="eastAsia"/>
                <w:b w:val="0"/>
                <w:bCs w:val="0"/>
                <w:color w:val="auto"/>
                <w:highlight w:val="none"/>
                <w:lang w:val="en-US" w:eastAsia="zh-CN"/>
              </w:rPr>
              <w:t>排出的烟气经袋式除尘后，在引风机的作用下进入脱硫塔反应区，烟气向上被均匀地分布在吸收塔横截面上，从吸收塔内喷淋管组喷出的悬浮液滴自上而下，烟气与石灰/石膏浆液滴逆流接触，发生传质和吸收反应，以脱除烟气中的SO</w:t>
            </w:r>
            <w:r>
              <w:rPr>
                <w:rFonts w:hint="eastAsia"/>
                <w:b w:val="0"/>
                <w:bCs w:val="0"/>
                <w:color w:val="auto"/>
                <w:highlight w:val="none"/>
                <w:vertAlign w:val="subscript"/>
                <w:lang w:val="en-US" w:eastAsia="zh-CN"/>
              </w:rPr>
              <w:t>2</w:t>
            </w:r>
            <w:r>
              <w:rPr>
                <w:rFonts w:hint="eastAsia"/>
                <w:b w:val="0"/>
                <w:bCs w:val="0"/>
                <w:color w:val="auto"/>
                <w:highlight w:val="none"/>
                <w:lang w:val="en-US" w:eastAsia="zh-CN"/>
              </w:rPr>
              <w:t>等，脱硫后的烟气出塔后进入排气筒。脱硫效率可达60%。脱硫循环水池中的石灰/石膏浆液由循环泵送至浆液喷雾系统的喷嘴，产生细小的液滴沿吸收塔横截断面均匀向下喷淋，烟气中的SO</w:t>
            </w:r>
            <w:r>
              <w:rPr>
                <w:rFonts w:hint="eastAsia"/>
                <w:b w:val="0"/>
                <w:bCs w:val="0"/>
                <w:color w:val="auto"/>
                <w:highlight w:val="none"/>
                <w:vertAlign w:val="subscript"/>
                <w:lang w:val="en-US" w:eastAsia="zh-CN"/>
              </w:rPr>
              <w:t>2</w:t>
            </w:r>
            <w:r>
              <w:rPr>
                <w:rFonts w:hint="eastAsia"/>
                <w:b w:val="0"/>
                <w:bCs w:val="0"/>
                <w:color w:val="auto"/>
                <w:highlight w:val="none"/>
                <w:lang w:val="en-US" w:eastAsia="zh-CN"/>
              </w:rPr>
              <w:t>和SO</w:t>
            </w:r>
            <w:r>
              <w:rPr>
                <w:rFonts w:hint="eastAsia"/>
                <w:b w:val="0"/>
                <w:bCs w:val="0"/>
                <w:color w:val="auto"/>
                <w:highlight w:val="none"/>
                <w:vertAlign w:val="subscript"/>
                <w:lang w:val="en-US" w:eastAsia="zh-CN"/>
              </w:rPr>
              <w:t>3</w:t>
            </w:r>
            <w:r>
              <w:rPr>
                <w:rFonts w:hint="eastAsia"/>
                <w:b w:val="0"/>
                <w:bCs w:val="0"/>
                <w:color w:val="auto"/>
                <w:highlight w:val="none"/>
                <w:lang w:val="en-US" w:eastAsia="zh-CN"/>
              </w:rPr>
              <w:t>与浆液中石灰反应，生成CaSO</w:t>
            </w:r>
            <w:r>
              <w:rPr>
                <w:rFonts w:hint="eastAsia"/>
                <w:b w:val="0"/>
                <w:bCs w:val="0"/>
                <w:color w:val="auto"/>
                <w:highlight w:val="none"/>
                <w:vertAlign w:val="subscript"/>
                <w:lang w:val="en-US" w:eastAsia="zh-CN"/>
              </w:rPr>
              <w:t>3</w:t>
            </w:r>
            <w:r>
              <w:rPr>
                <w:rFonts w:hint="eastAsia"/>
                <w:b w:val="0"/>
                <w:bCs w:val="0"/>
                <w:color w:val="auto"/>
                <w:highlight w:val="none"/>
                <w:lang w:val="en-US" w:eastAsia="zh-CN"/>
              </w:rPr>
              <w:t>和CaSO</w:t>
            </w:r>
            <w:r>
              <w:rPr>
                <w:rFonts w:hint="eastAsia"/>
                <w:b w:val="0"/>
                <w:bCs w:val="0"/>
                <w:color w:val="auto"/>
                <w:highlight w:val="none"/>
                <w:vertAlign w:val="subscript"/>
                <w:lang w:val="en-US" w:eastAsia="zh-CN"/>
              </w:rPr>
              <w:t>4</w:t>
            </w:r>
            <w:r>
              <w:rPr>
                <w:rFonts w:hint="eastAsia"/>
                <w:b w:val="0"/>
                <w:bCs w:val="0"/>
                <w:color w:val="auto"/>
                <w:highlight w:val="none"/>
                <w:lang w:val="en-US" w:eastAsia="zh-CN"/>
              </w:rPr>
              <w:t>。在脱硫循环水池中鼓入空气将生成的CaSO</w:t>
            </w:r>
            <w:r>
              <w:rPr>
                <w:rFonts w:hint="eastAsia"/>
                <w:b w:val="0"/>
                <w:bCs w:val="0"/>
                <w:color w:val="auto"/>
                <w:highlight w:val="none"/>
                <w:vertAlign w:val="subscript"/>
                <w:lang w:val="en-US" w:eastAsia="zh-CN"/>
              </w:rPr>
              <w:t>3</w:t>
            </w:r>
            <w:r>
              <w:rPr>
                <w:rFonts w:hint="eastAsia"/>
                <w:b w:val="0"/>
                <w:bCs w:val="0"/>
                <w:color w:val="auto"/>
                <w:highlight w:val="none"/>
                <w:lang w:val="en-US" w:eastAsia="zh-CN"/>
              </w:rPr>
              <w:t>氧化成CaSO</w:t>
            </w:r>
            <w:r>
              <w:rPr>
                <w:rFonts w:hint="eastAsia"/>
                <w:b w:val="0"/>
                <w:bCs w:val="0"/>
                <w:color w:val="auto"/>
                <w:highlight w:val="none"/>
                <w:vertAlign w:val="subscript"/>
                <w:lang w:val="en-US" w:eastAsia="zh-CN"/>
              </w:rPr>
              <w:t>4</w:t>
            </w:r>
            <w:r>
              <w:rPr>
                <w:rFonts w:hint="eastAsia"/>
                <w:b w:val="0"/>
                <w:bCs w:val="0"/>
                <w:color w:val="auto"/>
                <w:highlight w:val="none"/>
                <w:lang w:val="en-US" w:eastAsia="zh-CN"/>
              </w:rPr>
              <w:t>，CaSO</w:t>
            </w:r>
            <w:r>
              <w:rPr>
                <w:rFonts w:hint="eastAsia"/>
                <w:b w:val="0"/>
                <w:bCs w:val="0"/>
                <w:color w:val="auto"/>
                <w:highlight w:val="none"/>
                <w:vertAlign w:val="subscript"/>
                <w:lang w:val="en-US" w:eastAsia="zh-CN"/>
              </w:rPr>
              <w:t>4</w:t>
            </w:r>
            <w:r>
              <w:rPr>
                <w:rFonts w:hint="eastAsia"/>
                <w:b w:val="0"/>
                <w:bCs w:val="0"/>
                <w:color w:val="auto"/>
                <w:highlight w:val="none"/>
                <w:lang w:val="en-US" w:eastAsia="zh-CN"/>
              </w:rPr>
              <w:t>结晶生成石膏（CaSO</w:t>
            </w:r>
            <w:r>
              <w:rPr>
                <w:rFonts w:hint="eastAsia"/>
                <w:b w:val="0"/>
                <w:bCs w:val="0"/>
                <w:color w:val="auto"/>
                <w:highlight w:val="none"/>
                <w:vertAlign w:val="subscript"/>
                <w:lang w:val="en-US" w:eastAsia="zh-CN"/>
              </w:rPr>
              <w:t>4</w:t>
            </w:r>
            <w:r>
              <w:rPr>
                <w:rFonts w:hint="eastAsia"/>
                <w:b w:val="0"/>
                <w:bCs w:val="0"/>
                <w:color w:val="auto"/>
                <w:highlight w:val="none"/>
                <w:lang w:val="en-US" w:eastAsia="zh-CN"/>
              </w:rPr>
              <w:t>·2H</w:t>
            </w:r>
            <w:r>
              <w:rPr>
                <w:rFonts w:hint="eastAsia"/>
                <w:b w:val="0"/>
                <w:bCs w:val="0"/>
                <w:color w:val="auto"/>
                <w:highlight w:val="none"/>
                <w:vertAlign w:val="subscript"/>
                <w:lang w:val="en-US" w:eastAsia="zh-CN"/>
              </w:rPr>
              <w:t>2</w:t>
            </w:r>
            <w:r>
              <w:rPr>
                <w:rFonts w:hint="eastAsia"/>
                <w:b w:val="0"/>
                <w:bCs w:val="0"/>
                <w:color w:val="auto"/>
                <w:highlight w:val="none"/>
                <w:lang w:val="en-US" w:eastAsia="zh-CN"/>
              </w:rPr>
              <w:t>O）。石灰—石膏法脱硫工艺主要工艺原理为酸（烟气中的SO</w:t>
            </w:r>
            <w:r>
              <w:rPr>
                <w:rFonts w:hint="eastAsia"/>
                <w:b w:val="0"/>
                <w:bCs w:val="0"/>
                <w:color w:val="auto"/>
                <w:highlight w:val="none"/>
                <w:vertAlign w:val="subscript"/>
                <w:lang w:val="en-US" w:eastAsia="zh-CN"/>
              </w:rPr>
              <w:t>2</w:t>
            </w:r>
            <w:r>
              <w:rPr>
                <w:rFonts w:hint="eastAsia"/>
                <w:b w:val="0"/>
                <w:bCs w:val="0"/>
                <w:color w:val="auto"/>
                <w:highlight w:val="none"/>
                <w:lang w:val="en-US" w:eastAsia="zh-CN"/>
              </w:rPr>
              <w:t>）碱（石灰）中和反应，即：</w:t>
            </w:r>
          </w:p>
          <w:p w14:paraId="24772229">
            <w:pPr>
              <w:bidi w:val="0"/>
              <w:rPr>
                <w:rFonts w:hint="eastAsia"/>
                <w:b w:val="0"/>
                <w:bCs w:val="0"/>
                <w:color w:val="auto"/>
                <w:highlight w:val="none"/>
                <w:lang w:val="en-US" w:eastAsia="zh-CN"/>
              </w:rPr>
            </w:pPr>
            <w:r>
              <w:rPr>
                <w:rFonts w:hint="eastAsia"/>
                <w:b w:val="0"/>
                <w:bCs w:val="0"/>
                <w:color w:val="auto"/>
                <w:highlight w:val="none"/>
                <w:lang w:val="en-US" w:eastAsia="zh-CN"/>
              </w:rPr>
              <w:t>吸收CaO＋H</w:t>
            </w:r>
            <w:r>
              <w:rPr>
                <w:rFonts w:hint="eastAsia"/>
                <w:b w:val="0"/>
                <w:bCs w:val="0"/>
                <w:color w:val="auto"/>
                <w:highlight w:val="none"/>
                <w:vertAlign w:val="subscript"/>
                <w:lang w:val="en-US" w:eastAsia="zh-CN"/>
              </w:rPr>
              <w:t>2</w:t>
            </w:r>
            <w:r>
              <w:rPr>
                <w:rFonts w:hint="eastAsia"/>
                <w:b w:val="0"/>
                <w:bCs w:val="0"/>
                <w:color w:val="auto"/>
                <w:highlight w:val="none"/>
                <w:lang w:val="en-US" w:eastAsia="zh-CN"/>
              </w:rPr>
              <w:t>O→Ca（OH）</w:t>
            </w:r>
            <w:r>
              <w:rPr>
                <w:rFonts w:hint="eastAsia"/>
                <w:b w:val="0"/>
                <w:bCs w:val="0"/>
                <w:color w:val="auto"/>
                <w:highlight w:val="none"/>
                <w:vertAlign w:val="subscript"/>
                <w:lang w:val="en-US" w:eastAsia="zh-CN"/>
              </w:rPr>
              <w:t>2</w:t>
            </w:r>
          </w:p>
          <w:p w14:paraId="0D0C9AFA">
            <w:pPr>
              <w:bidi w:val="0"/>
              <w:rPr>
                <w:rFonts w:hint="eastAsia"/>
                <w:b w:val="0"/>
                <w:bCs w:val="0"/>
                <w:color w:val="auto"/>
                <w:highlight w:val="none"/>
                <w:lang w:val="en-US" w:eastAsia="zh-CN"/>
              </w:rPr>
            </w:pPr>
            <w:r>
              <w:rPr>
                <w:rFonts w:hint="eastAsia"/>
                <w:b w:val="0"/>
                <w:bCs w:val="0"/>
                <w:color w:val="auto"/>
                <w:highlight w:val="none"/>
                <w:lang w:val="en-US" w:eastAsia="zh-CN"/>
              </w:rPr>
              <w:t>Ca（OH）</w:t>
            </w:r>
            <w:r>
              <w:rPr>
                <w:rFonts w:hint="eastAsia"/>
                <w:b w:val="0"/>
                <w:bCs w:val="0"/>
                <w:color w:val="auto"/>
                <w:highlight w:val="none"/>
                <w:vertAlign w:val="subscript"/>
                <w:lang w:val="en-US" w:eastAsia="zh-CN"/>
              </w:rPr>
              <w:t>2</w:t>
            </w:r>
            <w:r>
              <w:rPr>
                <w:rFonts w:hint="eastAsia"/>
                <w:b w:val="0"/>
                <w:bCs w:val="0"/>
                <w:color w:val="auto"/>
                <w:highlight w:val="none"/>
                <w:lang w:val="en-US" w:eastAsia="zh-CN"/>
              </w:rPr>
              <w:t>＋SO</w:t>
            </w:r>
            <w:r>
              <w:rPr>
                <w:rFonts w:hint="eastAsia"/>
                <w:b w:val="0"/>
                <w:bCs w:val="0"/>
                <w:color w:val="auto"/>
                <w:highlight w:val="none"/>
                <w:vertAlign w:val="subscript"/>
                <w:lang w:val="en-US" w:eastAsia="zh-CN"/>
              </w:rPr>
              <w:t>2</w:t>
            </w:r>
            <w:r>
              <w:rPr>
                <w:rFonts w:hint="eastAsia"/>
                <w:b w:val="0"/>
                <w:bCs w:val="0"/>
                <w:color w:val="auto"/>
                <w:highlight w:val="none"/>
                <w:lang w:val="en-US" w:eastAsia="zh-CN"/>
              </w:rPr>
              <w:t>→CaSO</w:t>
            </w:r>
            <w:r>
              <w:rPr>
                <w:rFonts w:hint="eastAsia"/>
                <w:b w:val="0"/>
                <w:bCs w:val="0"/>
                <w:color w:val="auto"/>
                <w:highlight w:val="none"/>
                <w:vertAlign w:val="subscript"/>
                <w:lang w:val="en-US" w:eastAsia="zh-CN"/>
              </w:rPr>
              <w:t>3</w:t>
            </w:r>
            <w:r>
              <w:rPr>
                <w:rFonts w:hint="eastAsia"/>
                <w:b w:val="0"/>
                <w:bCs w:val="0"/>
                <w:color w:val="auto"/>
                <w:highlight w:val="none"/>
                <w:lang w:val="en-US" w:eastAsia="zh-CN"/>
              </w:rPr>
              <w:t>·1/2H</w:t>
            </w:r>
            <w:r>
              <w:rPr>
                <w:rFonts w:hint="eastAsia"/>
                <w:b w:val="0"/>
                <w:bCs w:val="0"/>
                <w:color w:val="auto"/>
                <w:highlight w:val="none"/>
                <w:vertAlign w:val="subscript"/>
                <w:lang w:val="en-US" w:eastAsia="zh-CN"/>
              </w:rPr>
              <w:t>2</w:t>
            </w:r>
            <w:r>
              <w:rPr>
                <w:rFonts w:hint="eastAsia"/>
                <w:b w:val="0"/>
                <w:bCs w:val="0"/>
                <w:color w:val="auto"/>
                <w:highlight w:val="none"/>
                <w:lang w:val="en-US" w:eastAsia="zh-CN"/>
              </w:rPr>
              <w:t>O＋1/2H</w:t>
            </w:r>
            <w:r>
              <w:rPr>
                <w:rFonts w:hint="eastAsia"/>
                <w:b w:val="0"/>
                <w:bCs w:val="0"/>
                <w:color w:val="auto"/>
                <w:highlight w:val="none"/>
                <w:vertAlign w:val="subscript"/>
                <w:lang w:val="en-US" w:eastAsia="zh-CN"/>
              </w:rPr>
              <w:t>2</w:t>
            </w:r>
            <w:r>
              <w:rPr>
                <w:rFonts w:hint="eastAsia"/>
                <w:b w:val="0"/>
                <w:bCs w:val="0"/>
                <w:color w:val="auto"/>
                <w:highlight w:val="none"/>
                <w:lang w:val="en-US" w:eastAsia="zh-CN"/>
              </w:rPr>
              <w:t>O</w:t>
            </w:r>
          </w:p>
          <w:p w14:paraId="775F57EB">
            <w:pPr>
              <w:bidi w:val="0"/>
              <w:rPr>
                <w:rFonts w:hint="eastAsia"/>
                <w:b w:val="0"/>
                <w:bCs w:val="0"/>
                <w:color w:val="auto"/>
                <w:highlight w:val="none"/>
                <w:lang w:val="en-US" w:eastAsia="zh-CN"/>
              </w:rPr>
            </w:pPr>
            <w:r>
              <w:rPr>
                <w:rFonts w:hint="eastAsia"/>
                <w:b w:val="0"/>
                <w:bCs w:val="0"/>
                <w:color w:val="auto"/>
                <w:highlight w:val="none"/>
                <w:lang w:val="en-US" w:eastAsia="zh-CN"/>
              </w:rPr>
              <w:t>氧化CaSO</w:t>
            </w:r>
            <w:r>
              <w:rPr>
                <w:rFonts w:hint="eastAsia"/>
                <w:b w:val="0"/>
                <w:bCs w:val="0"/>
                <w:color w:val="auto"/>
                <w:highlight w:val="none"/>
                <w:vertAlign w:val="subscript"/>
                <w:lang w:val="en-US" w:eastAsia="zh-CN"/>
              </w:rPr>
              <w:t>3</w:t>
            </w:r>
            <w:r>
              <w:rPr>
                <w:rFonts w:hint="eastAsia"/>
                <w:b w:val="0"/>
                <w:bCs w:val="0"/>
                <w:color w:val="auto"/>
                <w:highlight w:val="none"/>
                <w:lang w:val="en-US" w:eastAsia="zh-CN"/>
              </w:rPr>
              <w:t>·1/2H</w:t>
            </w:r>
            <w:r>
              <w:rPr>
                <w:rFonts w:hint="eastAsia"/>
                <w:b w:val="0"/>
                <w:bCs w:val="0"/>
                <w:color w:val="auto"/>
                <w:highlight w:val="none"/>
                <w:vertAlign w:val="subscript"/>
                <w:lang w:val="en-US" w:eastAsia="zh-CN"/>
              </w:rPr>
              <w:t>2</w:t>
            </w:r>
            <w:r>
              <w:rPr>
                <w:rFonts w:hint="eastAsia"/>
                <w:b w:val="0"/>
                <w:bCs w:val="0"/>
                <w:color w:val="auto"/>
                <w:highlight w:val="none"/>
                <w:lang w:val="en-US" w:eastAsia="zh-CN"/>
              </w:rPr>
              <w:t>O＋1/2O</w:t>
            </w:r>
            <w:r>
              <w:rPr>
                <w:rFonts w:hint="eastAsia"/>
                <w:b w:val="0"/>
                <w:bCs w:val="0"/>
                <w:color w:val="auto"/>
                <w:highlight w:val="none"/>
                <w:vertAlign w:val="subscript"/>
                <w:lang w:val="en-US" w:eastAsia="zh-CN"/>
              </w:rPr>
              <w:t>2</w:t>
            </w:r>
            <w:r>
              <w:rPr>
                <w:rFonts w:hint="eastAsia"/>
                <w:b w:val="0"/>
                <w:bCs w:val="0"/>
                <w:color w:val="auto"/>
                <w:highlight w:val="none"/>
                <w:lang w:val="en-US" w:eastAsia="zh-CN"/>
              </w:rPr>
              <w:t>＋1/2H</w:t>
            </w:r>
            <w:r>
              <w:rPr>
                <w:rFonts w:hint="eastAsia"/>
                <w:b w:val="0"/>
                <w:bCs w:val="0"/>
                <w:color w:val="auto"/>
                <w:highlight w:val="none"/>
                <w:vertAlign w:val="subscript"/>
                <w:lang w:val="en-US" w:eastAsia="zh-CN"/>
              </w:rPr>
              <w:t>2</w:t>
            </w:r>
            <w:r>
              <w:rPr>
                <w:rFonts w:hint="eastAsia"/>
                <w:b w:val="0"/>
                <w:bCs w:val="0"/>
                <w:color w:val="auto"/>
                <w:highlight w:val="none"/>
                <w:lang w:val="en-US" w:eastAsia="zh-CN"/>
              </w:rPr>
              <w:t>O→CaSO</w:t>
            </w:r>
            <w:r>
              <w:rPr>
                <w:rFonts w:hint="eastAsia"/>
                <w:b w:val="0"/>
                <w:bCs w:val="0"/>
                <w:color w:val="auto"/>
                <w:highlight w:val="none"/>
                <w:vertAlign w:val="subscript"/>
                <w:lang w:val="en-US" w:eastAsia="zh-CN"/>
              </w:rPr>
              <w:t>4</w:t>
            </w:r>
            <w:r>
              <w:rPr>
                <w:rFonts w:hint="eastAsia"/>
                <w:b w:val="0"/>
                <w:bCs w:val="0"/>
                <w:color w:val="auto"/>
                <w:highlight w:val="none"/>
                <w:lang w:val="en-US" w:eastAsia="zh-CN"/>
              </w:rPr>
              <w:t>·2H</w:t>
            </w:r>
            <w:r>
              <w:rPr>
                <w:rFonts w:hint="eastAsia"/>
                <w:b w:val="0"/>
                <w:bCs w:val="0"/>
                <w:color w:val="auto"/>
                <w:highlight w:val="none"/>
                <w:vertAlign w:val="subscript"/>
                <w:lang w:val="en-US" w:eastAsia="zh-CN"/>
              </w:rPr>
              <w:t>2</w:t>
            </w:r>
            <w:r>
              <w:rPr>
                <w:rFonts w:hint="eastAsia"/>
                <w:b w:val="0"/>
                <w:bCs w:val="0"/>
                <w:color w:val="auto"/>
                <w:highlight w:val="none"/>
                <w:lang w:val="en-US" w:eastAsia="zh-CN"/>
              </w:rPr>
              <w:t>O</w:t>
            </w:r>
          </w:p>
          <w:p w14:paraId="155876F0">
            <w:pPr>
              <w:bidi w:val="0"/>
              <w:rPr>
                <w:rFonts w:hint="default" w:cs="Times New Roman"/>
                <w:b w:val="0"/>
                <w:bCs w:val="0"/>
                <w:color w:val="auto"/>
                <w:highlight w:val="none"/>
                <w:lang w:val="en-US" w:eastAsia="zh-CN"/>
              </w:rPr>
            </w:pPr>
            <w:r>
              <w:rPr>
                <w:rFonts w:hint="eastAsia" w:cs="Times New Roman"/>
                <w:b w:val="0"/>
                <w:bCs w:val="0"/>
                <w:color w:val="auto"/>
                <w:highlight w:val="none"/>
                <w:lang w:val="en-US" w:eastAsia="zh-CN"/>
              </w:rPr>
              <w:t>②双碱法脱硫工艺</w:t>
            </w:r>
          </w:p>
          <w:p w14:paraId="0517FF41">
            <w:pPr>
              <w:bidi w:val="0"/>
              <w:rPr>
                <w:rFonts w:hint="default"/>
                <w:b w:val="0"/>
                <w:bCs w:val="0"/>
                <w:color w:val="auto"/>
                <w:highlight w:val="none"/>
                <w:lang w:val="en-US" w:eastAsia="zh-CN"/>
              </w:rPr>
            </w:pPr>
            <w:r>
              <w:rPr>
                <w:rFonts w:hint="eastAsia"/>
                <w:b w:val="0"/>
                <w:bCs w:val="0"/>
                <w:color w:val="auto"/>
                <w:highlight w:val="none"/>
                <w:lang w:val="en-US" w:eastAsia="zh-CN"/>
              </w:rPr>
              <w:t>双碱法是采用纯碱吸收二氧化硫，然后再用石灰粉再生脱硫液，由于整个反应过程是液气相之间进行，避免了系统结垢问题，而且吸收速率高，液气比低，吸收剂利用率高，投资费用省，运行成本低。脱硫效率可达到80%。</w:t>
            </w:r>
          </w:p>
          <w:p w14:paraId="47172AB4">
            <w:pPr>
              <w:bidi w:val="0"/>
              <w:rPr>
                <w:rFonts w:hint="default"/>
                <w:b w:val="0"/>
                <w:bCs w:val="0"/>
                <w:color w:val="auto"/>
                <w:highlight w:val="none"/>
                <w:lang w:val="en-US" w:eastAsia="zh-CN"/>
              </w:rPr>
            </w:pPr>
            <w:r>
              <w:rPr>
                <w:rFonts w:hint="eastAsia"/>
                <w:b w:val="0"/>
                <w:bCs w:val="0"/>
                <w:color w:val="auto"/>
                <w:highlight w:val="none"/>
                <w:lang w:val="en-US" w:eastAsia="zh-CN"/>
              </w:rPr>
              <w:t>脱硫过程</w:t>
            </w:r>
          </w:p>
          <w:p w14:paraId="19AE50AC">
            <w:pPr>
              <w:bidi w:val="0"/>
              <w:rPr>
                <w:rFonts w:hint="default"/>
                <w:b w:val="0"/>
                <w:bCs w:val="0"/>
                <w:color w:val="auto"/>
                <w:highlight w:val="none"/>
                <w:lang w:val="en-US" w:eastAsia="zh-CN"/>
              </w:rPr>
            </w:pPr>
            <w:r>
              <w:rPr>
                <w:rFonts w:hint="eastAsia"/>
                <w:b w:val="0"/>
                <w:bCs w:val="0"/>
                <w:color w:val="auto"/>
                <w:highlight w:val="none"/>
                <w:lang w:val="en-US" w:eastAsia="zh-CN"/>
              </w:rPr>
              <w:t>Na</w:t>
            </w:r>
            <w:r>
              <w:rPr>
                <w:rFonts w:hint="eastAsia"/>
                <w:b w:val="0"/>
                <w:bCs w:val="0"/>
                <w:color w:val="auto"/>
                <w:highlight w:val="none"/>
                <w:vertAlign w:val="subscript"/>
                <w:lang w:val="en-US" w:eastAsia="zh-CN"/>
              </w:rPr>
              <w:t>2</w:t>
            </w:r>
            <w:r>
              <w:rPr>
                <w:rFonts w:hint="eastAsia"/>
                <w:b w:val="0"/>
                <w:bCs w:val="0"/>
                <w:color w:val="auto"/>
                <w:highlight w:val="none"/>
                <w:lang w:val="en-US" w:eastAsia="zh-CN"/>
              </w:rPr>
              <w:t>CO</w:t>
            </w:r>
            <w:r>
              <w:rPr>
                <w:rFonts w:hint="eastAsia"/>
                <w:b w:val="0"/>
                <w:bCs w:val="0"/>
                <w:color w:val="auto"/>
                <w:highlight w:val="none"/>
                <w:vertAlign w:val="subscript"/>
                <w:lang w:val="en-US" w:eastAsia="zh-CN"/>
              </w:rPr>
              <w:t>3</w:t>
            </w:r>
            <w:r>
              <w:rPr>
                <w:rFonts w:hint="eastAsia"/>
                <w:b w:val="0"/>
                <w:bCs w:val="0"/>
                <w:color w:val="auto"/>
                <w:highlight w:val="none"/>
                <w:lang w:val="en-US" w:eastAsia="zh-CN"/>
              </w:rPr>
              <w:t>+S0</w:t>
            </w:r>
            <w:r>
              <w:rPr>
                <w:rFonts w:hint="eastAsia"/>
                <w:b w:val="0"/>
                <w:bCs w:val="0"/>
                <w:color w:val="auto"/>
                <w:highlight w:val="none"/>
                <w:vertAlign w:val="subscript"/>
                <w:lang w:val="en-US" w:eastAsia="zh-CN"/>
              </w:rPr>
              <w:t>2</w:t>
            </w:r>
            <w:r>
              <w:rPr>
                <w:rFonts w:hint="eastAsia"/>
                <w:b w:val="0"/>
                <w:bCs w:val="0"/>
                <w:color w:val="auto"/>
                <w:highlight w:val="none"/>
                <w:lang w:val="en-US" w:eastAsia="zh-CN"/>
              </w:rPr>
              <w:t>→Na</w:t>
            </w:r>
            <w:r>
              <w:rPr>
                <w:rFonts w:hint="eastAsia"/>
                <w:b w:val="0"/>
                <w:bCs w:val="0"/>
                <w:color w:val="auto"/>
                <w:highlight w:val="none"/>
                <w:vertAlign w:val="subscript"/>
                <w:lang w:val="en-US" w:eastAsia="zh-CN"/>
              </w:rPr>
              <w:t>2</w:t>
            </w:r>
            <w:r>
              <w:rPr>
                <w:rFonts w:hint="eastAsia"/>
                <w:b w:val="0"/>
                <w:bCs w:val="0"/>
                <w:color w:val="auto"/>
                <w:highlight w:val="none"/>
                <w:lang w:val="en-US" w:eastAsia="zh-CN"/>
              </w:rPr>
              <w:t>SO</w:t>
            </w:r>
            <w:r>
              <w:rPr>
                <w:rFonts w:hint="eastAsia"/>
                <w:b w:val="0"/>
                <w:bCs w:val="0"/>
                <w:color w:val="auto"/>
                <w:highlight w:val="none"/>
                <w:vertAlign w:val="subscript"/>
                <w:lang w:val="en-US" w:eastAsia="zh-CN"/>
              </w:rPr>
              <w:t>3</w:t>
            </w:r>
            <w:r>
              <w:rPr>
                <w:rFonts w:hint="eastAsia"/>
                <w:b w:val="0"/>
                <w:bCs w:val="0"/>
                <w:color w:val="auto"/>
                <w:highlight w:val="none"/>
                <w:lang w:val="en-US" w:eastAsia="zh-CN"/>
              </w:rPr>
              <w:t>+CO</w:t>
            </w:r>
            <w:r>
              <w:rPr>
                <w:rFonts w:hint="eastAsia"/>
                <w:b w:val="0"/>
                <w:bCs w:val="0"/>
                <w:color w:val="auto"/>
                <w:highlight w:val="none"/>
                <w:vertAlign w:val="subscript"/>
                <w:lang w:val="en-US" w:eastAsia="zh-CN"/>
              </w:rPr>
              <w:t>2</w:t>
            </w:r>
          </w:p>
          <w:p w14:paraId="46AD7AA0">
            <w:pPr>
              <w:bidi w:val="0"/>
              <w:rPr>
                <w:rFonts w:hint="default"/>
                <w:b w:val="0"/>
                <w:bCs w:val="0"/>
                <w:color w:val="auto"/>
                <w:highlight w:val="none"/>
                <w:vertAlign w:val="baseline"/>
                <w:lang w:val="en-US" w:eastAsia="zh-CN"/>
              </w:rPr>
            </w:pPr>
            <w:r>
              <w:rPr>
                <w:rFonts w:hint="eastAsia" w:cs="Times New Roman"/>
                <w:b w:val="0"/>
                <w:bCs w:val="0"/>
                <w:color w:val="auto"/>
                <w:highlight w:val="none"/>
                <w:lang w:val="en-US" w:eastAsia="zh-CN"/>
              </w:rPr>
              <w:t>2NaOH+</w:t>
            </w:r>
            <w:r>
              <w:rPr>
                <w:rFonts w:hint="eastAsia"/>
                <w:b w:val="0"/>
                <w:bCs w:val="0"/>
                <w:color w:val="auto"/>
                <w:highlight w:val="none"/>
                <w:lang w:val="en-US" w:eastAsia="zh-CN"/>
              </w:rPr>
              <w:t>S0</w:t>
            </w:r>
            <w:r>
              <w:rPr>
                <w:rFonts w:hint="eastAsia"/>
                <w:b w:val="0"/>
                <w:bCs w:val="0"/>
                <w:color w:val="auto"/>
                <w:highlight w:val="none"/>
                <w:vertAlign w:val="subscript"/>
                <w:lang w:val="en-US" w:eastAsia="zh-CN"/>
              </w:rPr>
              <w:t>2</w:t>
            </w:r>
            <w:r>
              <w:rPr>
                <w:rFonts w:hint="eastAsia"/>
                <w:b w:val="0"/>
                <w:bCs w:val="0"/>
                <w:color w:val="auto"/>
                <w:highlight w:val="none"/>
                <w:lang w:val="en-US" w:eastAsia="zh-CN"/>
              </w:rPr>
              <w:t>→Na</w:t>
            </w:r>
            <w:r>
              <w:rPr>
                <w:rFonts w:hint="eastAsia"/>
                <w:b w:val="0"/>
                <w:bCs w:val="0"/>
                <w:color w:val="auto"/>
                <w:highlight w:val="none"/>
                <w:vertAlign w:val="subscript"/>
                <w:lang w:val="en-US" w:eastAsia="zh-CN"/>
              </w:rPr>
              <w:t>2</w:t>
            </w:r>
            <w:r>
              <w:rPr>
                <w:rFonts w:hint="eastAsia"/>
                <w:b w:val="0"/>
                <w:bCs w:val="0"/>
                <w:color w:val="auto"/>
                <w:highlight w:val="none"/>
                <w:lang w:val="en-US" w:eastAsia="zh-CN"/>
              </w:rPr>
              <w:t>SO</w:t>
            </w:r>
            <w:r>
              <w:rPr>
                <w:rFonts w:hint="eastAsia"/>
                <w:b w:val="0"/>
                <w:bCs w:val="0"/>
                <w:color w:val="auto"/>
                <w:highlight w:val="none"/>
                <w:vertAlign w:val="subscript"/>
                <w:lang w:val="en-US" w:eastAsia="zh-CN"/>
              </w:rPr>
              <w:t>3</w:t>
            </w:r>
            <w:r>
              <w:rPr>
                <w:rFonts w:hint="eastAsia"/>
                <w:b w:val="0"/>
                <w:bCs w:val="0"/>
                <w:color w:val="auto"/>
                <w:highlight w:val="none"/>
                <w:vertAlign w:val="baseline"/>
                <w:lang w:val="en-US" w:eastAsia="zh-CN"/>
              </w:rPr>
              <w:t>+H</w:t>
            </w:r>
            <w:r>
              <w:rPr>
                <w:rFonts w:hint="eastAsia"/>
                <w:b w:val="0"/>
                <w:bCs w:val="0"/>
                <w:color w:val="auto"/>
                <w:highlight w:val="none"/>
                <w:vertAlign w:val="subscript"/>
                <w:lang w:val="en-US" w:eastAsia="zh-CN"/>
              </w:rPr>
              <w:t>2</w:t>
            </w:r>
            <w:r>
              <w:rPr>
                <w:rFonts w:hint="eastAsia"/>
                <w:b w:val="0"/>
                <w:bCs w:val="0"/>
                <w:color w:val="auto"/>
                <w:highlight w:val="none"/>
                <w:vertAlign w:val="baseline"/>
                <w:lang w:val="en-US" w:eastAsia="zh-CN"/>
              </w:rPr>
              <w:t>O</w:t>
            </w:r>
          </w:p>
          <w:p w14:paraId="4162297F">
            <w:pPr>
              <w:bidi w:val="0"/>
              <w:rPr>
                <w:rFonts w:hint="default"/>
                <w:b w:val="0"/>
                <w:bCs w:val="0"/>
                <w:color w:val="auto"/>
                <w:highlight w:val="none"/>
                <w:vertAlign w:val="baseline"/>
                <w:lang w:val="en-US" w:eastAsia="zh-CN"/>
              </w:rPr>
            </w:pPr>
            <w:r>
              <w:rPr>
                <w:rFonts w:hint="eastAsia"/>
                <w:b w:val="0"/>
                <w:bCs w:val="0"/>
                <w:color w:val="auto"/>
                <w:highlight w:val="none"/>
                <w:lang w:val="en-US" w:eastAsia="zh-CN"/>
              </w:rPr>
              <w:t>2Na</w:t>
            </w:r>
            <w:r>
              <w:rPr>
                <w:rFonts w:hint="eastAsia"/>
                <w:b w:val="0"/>
                <w:bCs w:val="0"/>
                <w:color w:val="auto"/>
                <w:highlight w:val="none"/>
                <w:vertAlign w:val="subscript"/>
                <w:lang w:val="en-US" w:eastAsia="zh-CN"/>
              </w:rPr>
              <w:t>2</w:t>
            </w:r>
            <w:r>
              <w:rPr>
                <w:rFonts w:hint="eastAsia"/>
                <w:b w:val="0"/>
                <w:bCs w:val="0"/>
                <w:color w:val="auto"/>
                <w:highlight w:val="none"/>
                <w:lang w:val="en-US" w:eastAsia="zh-CN"/>
              </w:rPr>
              <w:t>SO</w:t>
            </w:r>
            <w:r>
              <w:rPr>
                <w:rFonts w:hint="eastAsia"/>
                <w:b w:val="0"/>
                <w:bCs w:val="0"/>
                <w:color w:val="auto"/>
                <w:highlight w:val="none"/>
                <w:vertAlign w:val="subscript"/>
                <w:lang w:val="en-US" w:eastAsia="zh-CN"/>
              </w:rPr>
              <w:t>3</w:t>
            </w:r>
            <w:r>
              <w:rPr>
                <w:rFonts w:hint="eastAsia"/>
                <w:b w:val="0"/>
                <w:bCs w:val="0"/>
                <w:color w:val="auto"/>
                <w:highlight w:val="none"/>
                <w:vertAlign w:val="baseline"/>
                <w:lang w:val="en-US" w:eastAsia="zh-CN"/>
              </w:rPr>
              <w:t>+</w:t>
            </w:r>
            <w:r>
              <w:rPr>
                <w:rFonts w:hint="eastAsia"/>
                <w:b w:val="0"/>
                <w:bCs w:val="0"/>
                <w:color w:val="auto"/>
                <w:highlight w:val="none"/>
                <w:lang w:val="en-US" w:eastAsia="zh-CN"/>
              </w:rPr>
              <w:t>S0</w:t>
            </w:r>
            <w:r>
              <w:rPr>
                <w:rFonts w:hint="eastAsia"/>
                <w:b w:val="0"/>
                <w:bCs w:val="0"/>
                <w:color w:val="auto"/>
                <w:highlight w:val="none"/>
                <w:vertAlign w:val="subscript"/>
                <w:lang w:val="en-US" w:eastAsia="zh-CN"/>
              </w:rPr>
              <w:t>2</w:t>
            </w:r>
            <w:r>
              <w:rPr>
                <w:rFonts w:hint="eastAsia"/>
                <w:b w:val="0"/>
                <w:bCs w:val="0"/>
                <w:color w:val="auto"/>
                <w:highlight w:val="none"/>
                <w:vertAlign w:val="baseline"/>
                <w:lang w:val="en-US" w:eastAsia="zh-CN"/>
              </w:rPr>
              <w:t>+H</w:t>
            </w:r>
            <w:r>
              <w:rPr>
                <w:rFonts w:hint="eastAsia"/>
                <w:b w:val="0"/>
                <w:bCs w:val="0"/>
                <w:color w:val="auto"/>
                <w:highlight w:val="none"/>
                <w:vertAlign w:val="subscript"/>
                <w:lang w:val="en-US" w:eastAsia="zh-CN"/>
              </w:rPr>
              <w:t>2</w:t>
            </w:r>
            <w:r>
              <w:rPr>
                <w:rFonts w:hint="eastAsia"/>
                <w:b w:val="0"/>
                <w:bCs w:val="0"/>
                <w:color w:val="auto"/>
                <w:highlight w:val="none"/>
                <w:vertAlign w:val="baseline"/>
                <w:lang w:val="en-US" w:eastAsia="zh-CN"/>
              </w:rPr>
              <w:t>O</w:t>
            </w:r>
            <w:r>
              <w:rPr>
                <w:rFonts w:hint="eastAsia"/>
                <w:b w:val="0"/>
                <w:bCs w:val="0"/>
                <w:color w:val="auto"/>
                <w:highlight w:val="none"/>
                <w:lang w:val="en-US" w:eastAsia="zh-CN"/>
              </w:rPr>
              <w:t>→2NaHCO</w:t>
            </w:r>
            <w:r>
              <w:rPr>
                <w:rFonts w:hint="eastAsia"/>
                <w:b w:val="0"/>
                <w:bCs w:val="0"/>
                <w:color w:val="auto"/>
                <w:highlight w:val="none"/>
                <w:vertAlign w:val="subscript"/>
                <w:lang w:val="en-US" w:eastAsia="zh-CN"/>
              </w:rPr>
              <w:t>3</w:t>
            </w:r>
          </w:p>
          <w:p w14:paraId="4EA7EFCC">
            <w:pPr>
              <w:bidi w:val="0"/>
              <w:rPr>
                <w:rFonts w:hint="default"/>
                <w:b w:val="0"/>
                <w:bCs w:val="0"/>
                <w:color w:val="auto"/>
                <w:highlight w:val="none"/>
                <w:lang w:val="en-US" w:eastAsia="zh-CN"/>
              </w:rPr>
            </w:pPr>
            <w:r>
              <w:rPr>
                <w:rFonts w:hint="eastAsia"/>
                <w:b w:val="0"/>
                <w:bCs w:val="0"/>
                <w:color w:val="auto"/>
                <w:highlight w:val="none"/>
                <w:lang w:val="en-US" w:eastAsia="zh-CN"/>
              </w:rPr>
              <w:t>再生过程</w:t>
            </w:r>
          </w:p>
          <w:p w14:paraId="6970E77E">
            <w:pPr>
              <w:bidi w:val="0"/>
              <w:rPr>
                <w:rFonts w:hint="default"/>
                <w:b w:val="0"/>
                <w:bCs w:val="0"/>
                <w:color w:val="auto"/>
                <w:highlight w:val="none"/>
                <w:vertAlign w:val="baseline"/>
                <w:lang w:val="en-US" w:eastAsia="zh-CN"/>
              </w:rPr>
            </w:pPr>
            <w:r>
              <w:rPr>
                <w:rFonts w:hint="eastAsia"/>
                <w:b w:val="0"/>
                <w:bCs w:val="0"/>
                <w:color w:val="auto"/>
                <w:highlight w:val="none"/>
                <w:lang w:val="en-US" w:eastAsia="zh-CN"/>
              </w:rPr>
              <w:t>2NaHCO</w:t>
            </w:r>
            <w:r>
              <w:rPr>
                <w:rFonts w:hint="eastAsia"/>
                <w:b w:val="0"/>
                <w:bCs w:val="0"/>
                <w:color w:val="auto"/>
                <w:highlight w:val="none"/>
                <w:vertAlign w:val="subscript"/>
                <w:lang w:val="en-US" w:eastAsia="zh-CN"/>
              </w:rPr>
              <w:t>3</w:t>
            </w:r>
            <w:r>
              <w:rPr>
                <w:rFonts w:hint="eastAsia"/>
                <w:b w:val="0"/>
                <w:bCs w:val="0"/>
                <w:color w:val="auto"/>
                <w:highlight w:val="none"/>
                <w:vertAlign w:val="baseline"/>
                <w:lang w:val="en-US" w:eastAsia="zh-CN"/>
              </w:rPr>
              <w:t>+Ca（OH）</w:t>
            </w:r>
            <w:r>
              <w:rPr>
                <w:rFonts w:hint="eastAsia"/>
                <w:b w:val="0"/>
                <w:bCs w:val="0"/>
                <w:color w:val="auto"/>
                <w:highlight w:val="none"/>
                <w:vertAlign w:val="subscript"/>
                <w:lang w:val="en-US" w:eastAsia="zh-CN"/>
              </w:rPr>
              <w:t>2</w:t>
            </w:r>
            <w:r>
              <w:rPr>
                <w:rFonts w:hint="eastAsia"/>
                <w:b w:val="0"/>
                <w:bCs w:val="0"/>
                <w:color w:val="auto"/>
                <w:highlight w:val="none"/>
                <w:vertAlign w:val="baseline"/>
                <w:lang w:val="en-US" w:eastAsia="zh-CN"/>
              </w:rPr>
              <w:t>→</w:t>
            </w:r>
            <w:r>
              <w:rPr>
                <w:rFonts w:hint="eastAsia"/>
                <w:b w:val="0"/>
                <w:bCs w:val="0"/>
                <w:color w:val="auto"/>
                <w:highlight w:val="none"/>
                <w:lang w:val="en-US" w:eastAsia="zh-CN"/>
              </w:rPr>
              <w:t>Na</w:t>
            </w:r>
            <w:r>
              <w:rPr>
                <w:rFonts w:hint="eastAsia"/>
                <w:b w:val="0"/>
                <w:bCs w:val="0"/>
                <w:color w:val="auto"/>
                <w:highlight w:val="none"/>
                <w:vertAlign w:val="subscript"/>
                <w:lang w:val="en-US" w:eastAsia="zh-CN"/>
              </w:rPr>
              <w:t>2</w:t>
            </w:r>
            <w:r>
              <w:rPr>
                <w:rFonts w:hint="eastAsia"/>
                <w:b w:val="0"/>
                <w:bCs w:val="0"/>
                <w:color w:val="auto"/>
                <w:highlight w:val="none"/>
                <w:lang w:val="en-US" w:eastAsia="zh-CN"/>
              </w:rPr>
              <w:t>SO</w:t>
            </w:r>
            <w:r>
              <w:rPr>
                <w:rFonts w:hint="eastAsia"/>
                <w:b w:val="0"/>
                <w:bCs w:val="0"/>
                <w:color w:val="auto"/>
                <w:highlight w:val="none"/>
                <w:vertAlign w:val="subscript"/>
                <w:lang w:val="en-US" w:eastAsia="zh-CN"/>
              </w:rPr>
              <w:t>3</w:t>
            </w:r>
            <w:r>
              <w:rPr>
                <w:rFonts w:hint="eastAsia"/>
                <w:b w:val="0"/>
                <w:bCs w:val="0"/>
                <w:color w:val="auto"/>
                <w:highlight w:val="none"/>
                <w:vertAlign w:val="baseline"/>
                <w:lang w:val="en-US" w:eastAsia="zh-CN"/>
              </w:rPr>
              <w:t>+Ca</w:t>
            </w:r>
            <w:r>
              <w:rPr>
                <w:rFonts w:hint="eastAsia"/>
                <w:b w:val="0"/>
                <w:bCs w:val="0"/>
                <w:color w:val="auto"/>
                <w:highlight w:val="none"/>
                <w:lang w:val="en-US" w:eastAsia="zh-CN"/>
              </w:rPr>
              <w:t>SO</w:t>
            </w:r>
            <w:r>
              <w:rPr>
                <w:rFonts w:hint="eastAsia"/>
                <w:b w:val="0"/>
                <w:bCs w:val="0"/>
                <w:color w:val="auto"/>
                <w:highlight w:val="none"/>
                <w:vertAlign w:val="subscript"/>
                <w:lang w:val="en-US" w:eastAsia="zh-CN"/>
              </w:rPr>
              <w:t>3</w:t>
            </w:r>
            <w:r>
              <w:rPr>
                <w:rFonts w:hint="eastAsia"/>
                <w:b w:val="0"/>
                <w:bCs w:val="0"/>
                <w:color w:val="auto"/>
                <w:highlight w:val="none"/>
                <w:vertAlign w:val="baseline"/>
                <w:lang w:val="en-US" w:eastAsia="zh-CN"/>
              </w:rPr>
              <w:t>+2H</w:t>
            </w:r>
            <w:r>
              <w:rPr>
                <w:rFonts w:hint="eastAsia"/>
                <w:b w:val="0"/>
                <w:bCs w:val="0"/>
                <w:color w:val="auto"/>
                <w:highlight w:val="none"/>
                <w:vertAlign w:val="subscript"/>
                <w:lang w:val="en-US" w:eastAsia="zh-CN"/>
              </w:rPr>
              <w:t>2</w:t>
            </w:r>
            <w:r>
              <w:rPr>
                <w:rFonts w:hint="eastAsia"/>
                <w:b w:val="0"/>
                <w:bCs w:val="0"/>
                <w:color w:val="auto"/>
                <w:highlight w:val="none"/>
                <w:vertAlign w:val="baseline"/>
                <w:lang w:val="en-US" w:eastAsia="zh-CN"/>
              </w:rPr>
              <w:t>O</w:t>
            </w:r>
          </w:p>
          <w:p w14:paraId="695EF0A8">
            <w:pPr>
              <w:bidi w:val="0"/>
              <w:rPr>
                <w:rFonts w:hint="default" w:cs="Times New Roman"/>
                <w:b w:val="0"/>
                <w:bCs w:val="0"/>
                <w:color w:val="auto"/>
                <w:highlight w:val="none"/>
                <w:lang w:val="en-US" w:eastAsia="zh-CN"/>
              </w:rPr>
            </w:pPr>
            <w:r>
              <w:rPr>
                <w:rFonts w:hint="eastAsia"/>
                <w:b w:val="0"/>
                <w:bCs w:val="0"/>
                <w:color w:val="auto"/>
                <w:highlight w:val="none"/>
                <w:lang w:val="en-US" w:eastAsia="zh-CN"/>
              </w:rPr>
              <w:t>Na</w:t>
            </w:r>
            <w:r>
              <w:rPr>
                <w:rFonts w:hint="eastAsia"/>
                <w:b w:val="0"/>
                <w:bCs w:val="0"/>
                <w:color w:val="auto"/>
                <w:highlight w:val="none"/>
                <w:vertAlign w:val="subscript"/>
                <w:lang w:val="en-US" w:eastAsia="zh-CN"/>
              </w:rPr>
              <w:t>2</w:t>
            </w:r>
            <w:r>
              <w:rPr>
                <w:rFonts w:hint="eastAsia"/>
                <w:b w:val="0"/>
                <w:bCs w:val="0"/>
                <w:color w:val="auto"/>
                <w:highlight w:val="none"/>
                <w:lang w:val="en-US" w:eastAsia="zh-CN"/>
              </w:rPr>
              <w:t>SO</w:t>
            </w:r>
            <w:r>
              <w:rPr>
                <w:rFonts w:hint="eastAsia"/>
                <w:b w:val="0"/>
                <w:bCs w:val="0"/>
                <w:color w:val="auto"/>
                <w:highlight w:val="none"/>
                <w:vertAlign w:val="subscript"/>
                <w:lang w:val="en-US" w:eastAsia="zh-CN"/>
              </w:rPr>
              <w:t>3</w:t>
            </w:r>
            <w:r>
              <w:rPr>
                <w:rFonts w:hint="eastAsia"/>
                <w:b w:val="0"/>
                <w:bCs w:val="0"/>
                <w:color w:val="auto"/>
                <w:highlight w:val="none"/>
                <w:vertAlign w:val="baseline"/>
                <w:lang w:val="en-US" w:eastAsia="zh-CN"/>
              </w:rPr>
              <w:t>+Ca（OH）</w:t>
            </w:r>
            <w:r>
              <w:rPr>
                <w:rFonts w:hint="eastAsia"/>
                <w:b w:val="0"/>
                <w:bCs w:val="0"/>
                <w:color w:val="auto"/>
                <w:highlight w:val="none"/>
                <w:vertAlign w:val="subscript"/>
                <w:lang w:val="en-US" w:eastAsia="zh-CN"/>
              </w:rPr>
              <w:t>2</w:t>
            </w:r>
            <w:r>
              <w:rPr>
                <w:rFonts w:hint="eastAsia"/>
                <w:b w:val="0"/>
                <w:bCs w:val="0"/>
                <w:color w:val="auto"/>
                <w:highlight w:val="none"/>
                <w:vertAlign w:val="baseline"/>
                <w:lang w:val="en-US" w:eastAsia="zh-CN"/>
              </w:rPr>
              <w:t>→2</w:t>
            </w:r>
            <w:r>
              <w:rPr>
                <w:rFonts w:hint="eastAsia"/>
                <w:b w:val="0"/>
                <w:bCs w:val="0"/>
                <w:color w:val="auto"/>
                <w:highlight w:val="none"/>
                <w:lang w:val="en-US" w:eastAsia="zh-CN"/>
              </w:rPr>
              <w:t>NaOH+</w:t>
            </w:r>
            <w:r>
              <w:rPr>
                <w:rFonts w:hint="eastAsia"/>
                <w:b w:val="0"/>
                <w:bCs w:val="0"/>
                <w:color w:val="auto"/>
                <w:highlight w:val="none"/>
                <w:vertAlign w:val="baseline"/>
                <w:lang w:val="en-US" w:eastAsia="zh-CN"/>
              </w:rPr>
              <w:t>Ca</w:t>
            </w:r>
            <w:r>
              <w:rPr>
                <w:rFonts w:hint="eastAsia"/>
                <w:b w:val="0"/>
                <w:bCs w:val="0"/>
                <w:color w:val="auto"/>
                <w:highlight w:val="none"/>
                <w:lang w:val="en-US" w:eastAsia="zh-CN"/>
              </w:rPr>
              <w:t>SO</w:t>
            </w:r>
            <w:r>
              <w:rPr>
                <w:rFonts w:hint="eastAsia"/>
                <w:b w:val="0"/>
                <w:bCs w:val="0"/>
                <w:color w:val="auto"/>
                <w:highlight w:val="none"/>
                <w:vertAlign w:val="subscript"/>
                <w:lang w:val="en-US" w:eastAsia="zh-CN"/>
              </w:rPr>
              <w:t>3</w:t>
            </w:r>
          </w:p>
          <w:p w14:paraId="3AC51C54">
            <w:pPr>
              <w:bidi w:val="0"/>
              <w:rPr>
                <w:rFonts w:hint="eastAsia"/>
                <w:b/>
                <w:bCs/>
                <w:color w:val="auto"/>
                <w:highlight w:val="none"/>
                <w:lang w:val="en-US" w:eastAsia="zh-CN"/>
              </w:rPr>
            </w:pPr>
            <w:r>
              <w:rPr>
                <w:rFonts w:hint="eastAsia" w:cs="Times New Roman"/>
                <w:b/>
                <w:bCs/>
                <w:color w:val="auto"/>
                <w:highlight w:val="none"/>
                <w:lang w:val="en-US" w:eastAsia="zh-CN"/>
              </w:rPr>
              <w:t>3.</w:t>
            </w:r>
            <w:r>
              <w:rPr>
                <w:rFonts w:hint="eastAsia"/>
                <w:b/>
                <w:bCs/>
                <w:color w:val="auto"/>
                <w:highlight w:val="none"/>
                <w:lang w:val="en-US" w:eastAsia="zh-CN"/>
              </w:rPr>
              <w:t>产排污节点</w:t>
            </w:r>
          </w:p>
          <w:p w14:paraId="709BBD66">
            <w:pPr>
              <w:bidi w:val="0"/>
              <w:rPr>
                <w:rFonts w:hint="eastAsia"/>
                <w:color w:val="auto"/>
                <w:highlight w:val="none"/>
                <w:lang w:val="en-US" w:eastAsia="zh-CN"/>
              </w:rPr>
            </w:pPr>
            <w:r>
              <w:rPr>
                <w:rFonts w:hint="eastAsia"/>
                <w:color w:val="auto"/>
                <w:highlight w:val="none"/>
                <w:lang w:val="en-US" w:eastAsia="zh-CN"/>
              </w:rPr>
              <w:t>本项目产污环节如下：</w:t>
            </w:r>
          </w:p>
          <w:p w14:paraId="01213E99">
            <w:pPr>
              <w:bidi w:val="0"/>
              <w:rPr>
                <w:rFonts w:hint="default"/>
                <w:color w:val="auto"/>
                <w:highlight w:val="none"/>
                <w:lang w:val="en-US" w:eastAsia="zh-CN"/>
              </w:rPr>
            </w:pPr>
            <w:r>
              <w:rPr>
                <w:rFonts w:hint="eastAsia"/>
                <w:color w:val="auto"/>
                <w:highlight w:val="none"/>
                <w:lang w:val="en-US" w:eastAsia="zh-CN"/>
              </w:rPr>
              <w:t>（1）废气</w:t>
            </w:r>
          </w:p>
          <w:p w14:paraId="082BDE7E">
            <w:pPr>
              <w:bidi w:val="0"/>
              <w:rPr>
                <w:rFonts w:hint="eastAsia"/>
                <w:color w:val="auto"/>
                <w:highlight w:val="none"/>
                <w:lang w:val="en-US" w:eastAsia="zh-CN"/>
              </w:rPr>
            </w:pPr>
            <w:r>
              <w:rPr>
                <w:rFonts w:hint="eastAsia"/>
                <w:color w:val="auto"/>
                <w:highlight w:val="none"/>
                <w:lang w:val="en-US" w:eastAsia="zh-CN"/>
              </w:rPr>
              <w:t>G1原料卸料过程中产生的废气；G2原料堆存过程中产生的废气；G3筛分机筛分过程中产生的废气；G4天然气燃烧废气及物料煅烧废气；G5成品装料过程中产生的粉尘；G6成品堆存过程中产生的废气。</w:t>
            </w:r>
          </w:p>
          <w:p w14:paraId="7D445694">
            <w:pPr>
              <w:bidi w:val="0"/>
              <w:rPr>
                <w:rFonts w:hint="eastAsia"/>
                <w:color w:val="auto"/>
                <w:highlight w:val="none"/>
                <w:lang w:val="en-US" w:eastAsia="zh-CN"/>
              </w:rPr>
            </w:pPr>
            <w:r>
              <w:rPr>
                <w:rFonts w:hint="eastAsia"/>
                <w:color w:val="auto"/>
                <w:highlight w:val="none"/>
                <w:lang w:val="en-US" w:eastAsia="zh-CN"/>
              </w:rPr>
              <w:t>（2）噪声</w:t>
            </w:r>
          </w:p>
          <w:p w14:paraId="2F00A6FF">
            <w:pPr>
              <w:bidi w:val="0"/>
              <w:rPr>
                <w:rFonts w:hint="default"/>
                <w:color w:val="auto"/>
                <w:highlight w:val="none"/>
                <w:lang w:val="en-US" w:eastAsia="zh-CN"/>
              </w:rPr>
            </w:pPr>
            <w:r>
              <w:rPr>
                <w:rFonts w:hint="eastAsia"/>
                <w:color w:val="auto"/>
                <w:highlight w:val="none"/>
                <w:lang w:val="en-US" w:eastAsia="zh-CN"/>
              </w:rPr>
              <w:t>N1机械噪声；N2筛分机机械噪声；N3运行设备噪声。</w:t>
            </w:r>
          </w:p>
          <w:p w14:paraId="7FF0AC54">
            <w:pPr>
              <w:bidi w:val="0"/>
              <w:rPr>
                <w:rFonts w:hint="eastAsia"/>
                <w:color w:val="auto"/>
                <w:highlight w:val="none"/>
                <w:lang w:val="en-US" w:eastAsia="zh-CN"/>
              </w:rPr>
            </w:pPr>
            <w:r>
              <w:rPr>
                <w:rFonts w:hint="eastAsia"/>
                <w:color w:val="auto"/>
                <w:highlight w:val="none"/>
                <w:lang w:val="en-US" w:eastAsia="zh-CN"/>
              </w:rPr>
              <w:t>（3）废水</w:t>
            </w:r>
          </w:p>
          <w:p w14:paraId="52110725">
            <w:pPr>
              <w:bidi w:val="0"/>
              <w:rPr>
                <w:rFonts w:hint="default"/>
                <w:color w:val="auto"/>
                <w:highlight w:val="none"/>
                <w:lang w:val="en-US" w:eastAsia="zh-CN"/>
              </w:rPr>
            </w:pPr>
            <w:r>
              <w:rPr>
                <w:rFonts w:hint="eastAsia"/>
                <w:color w:val="auto"/>
                <w:highlight w:val="none"/>
                <w:lang w:val="en-US" w:eastAsia="zh-CN"/>
              </w:rPr>
              <w:t>本项目无生产废水外排，生活污水处理厂区内化粪池收集后，最终排入园区污水处理厂处理。</w:t>
            </w:r>
          </w:p>
          <w:p w14:paraId="6D1F6FF7">
            <w:pPr>
              <w:bidi w:val="0"/>
              <w:rPr>
                <w:rFonts w:hint="eastAsia"/>
                <w:color w:val="auto"/>
                <w:highlight w:val="none"/>
                <w:lang w:val="en-US" w:eastAsia="zh-CN"/>
              </w:rPr>
            </w:pPr>
            <w:r>
              <w:rPr>
                <w:rFonts w:hint="eastAsia"/>
                <w:color w:val="auto"/>
                <w:highlight w:val="none"/>
                <w:lang w:val="en-US" w:eastAsia="zh-CN"/>
              </w:rPr>
              <w:t>（4）固废</w:t>
            </w:r>
          </w:p>
          <w:p w14:paraId="3BB27F54">
            <w:pPr>
              <w:bidi w:val="0"/>
              <w:rPr>
                <w:rFonts w:hint="default"/>
                <w:color w:val="auto"/>
                <w:highlight w:val="none"/>
                <w:lang w:val="en-US" w:eastAsia="zh-CN"/>
              </w:rPr>
            </w:pPr>
            <w:r>
              <w:rPr>
                <w:rFonts w:hint="eastAsia"/>
                <w:color w:val="auto"/>
                <w:highlight w:val="none"/>
                <w:lang w:val="en-US" w:eastAsia="zh-CN"/>
              </w:rPr>
              <w:t>S1</w:t>
            </w:r>
            <w:r>
              <w:rPr>
                <w:rFonts w:hint="eastAsia" w:cs="Times New Roman"/>
                <w:color w:val="auto"/>
                <w:kern w:val="2"/>
                <w:sz w:val="21"/>
                <w:szCs w:val="21"/>
                <w:highlight w:val="none"/>
                <w:vertAlign w:val="baseline"/>
                <w:lang w:val="en-US" w:eastAsia="zh-CN" w:bidi="ar-SA"/>
              </w:rPr>
              <w:t>不可利用煤系高岭土；S2除尘灰；S3废脱硫石膏；S4废催化剂。</w:t>
            </w:r>
          </w:p>
        </w:tc>
      </w:tr>
      <w:tr w14:paraId="702269B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163" w:type="dxa"/>
            <w:gridSpan w:val="2"/>
            <w:noWrap w:val="0"/>
            <w:vAlign w:val="center"/>
          </w:tcPr>
          <w:p w14:paraId="7F7D65C3">
            <w:pPr>
              <w:pStyle w:val="20"/>
              <w:keepNext w:val="0"/>
              <w:keepLines w:val="0"/>
              <w:pageBreakBefore w:val="0"/>
              <w:widowControl/>
              <w:kinsoku/>
              <w:wordWrap/>
              <w:overflowPunct/>
              <w:topLinePunct w:val="0"/>
              <w:autoSpaceDE w:val="0"/>
              <w:autoSpaceDN w:val="0"/>
              <w:bidi w:val="0"/>
              <w:adjustRightInd w:val="0"/>
              <w:snapToGrid w:val="0"/>
              <w:spacing w:before="0" w:beforeAutospacing="0" w:after="0" w:afterAutospacing="0"/>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bCs/>
                <w:color w:val="auto"/>
                <w:kern w:val="2"/>
                <w:sz w:val="21"/>
                <w:szCs w:val="21"/>
                <w:highlight w:val="none"/>
              </w:rPr>
              <w:t>与项目有关的原有环境污染问题</w:t>
            </w:r>
          </w:p>
        </w:tc>
        <w:tc>
          <w:tcPr>
            <w:tcW w:w="5821" w:type="dxa"/>
            <w:noWrap w:val="0"/>
            <w:vAlign w:val="center"/>
          </w:tcPr>
          <w:p w14:paraId="799F4D3E">
            <w:pPr>
              <w:adjustRightInd w:val="0"/>
              <w:snapToGrid w:val="0"/>
              <w:jc w:val="center"/>
              <w:rPr>
                <w:rFonts w:hint="eastAsia" w:ascii="Times New Roman" w:hAnsi="Times New Roman" w:eastAsia="宋体" w:cs="Times New Roman"/>
                <w:bCs/>
                <w:color w:val="auto"/>
                <w:szCs w:val="21"/>
                <w:highlight w:val="none"/>
                <w:lang w:val="en-US" w:eastAsia="zh-CN"/>
              </w:rPr>
            </w:pPr>
            <w:r>
              <w:rPr>
                <w:rFonts w:hint="eastAsia" w:ascii="Times New Roman" w:hAnsi="Times New Roman" w:cs="Times New Roman"/>
                <w:bCs/>
                <w:color w:val="auto"/>
                <w:szCs w:val="21"/>
                <w:highlight w:val="none"/>
                <w:lang w:val="en-US" w:eastAsia="zh-CN"/>
              </w:rPr>
              <w:t>无</w:t>
            </w:r>
          </w:p>
        </w:tc>
      </w:tr>
    </w:tbl>
    <w:p w14:paraId="36B94ABE">
      <w:pPr>
        <w:pStyle w:val="20"/>
        <w:jc w:val="center"/>
        <w:rPr>
          <w:rFonts w:hint="default" w:ascii="Times New Roman" w:hAnsi="Times New Roman" w:eastAsia="黑体" w:cs="Times New Roman"/>
          <w:snapToGrid w:val="0"/>
          <w:color w:val="auto"/>
          <w:sz w:val="36"/>
          <w:szCs w:val="36"/>
          <w:highlight w:val="none"/>
        </w:rPr>
        <w:sectPr>
          <w:footerReference r:id="rId10" w:type="default"/>
          <w:pgSz w:w="11906" w:h="16838"/>
          <w:pgMar w:top="1440" w:right="1800" w:bottom="1440" w:left="1800" w:header="851" w:footer="851" w:gutter="0"/>
          <w:pgBorders>
            <w:top w:val="none" w:sz="0" w:space="0"/>
            <w:left w:val="none" w:sz="0" w:space="0"/>
            <w:bottom w:val="none" w:sz="0" w:space="0"/>
            <w:right w:val="none" w:sz="0" w:space="0"/>
          </w:pgBorders>
          <w:pgNumType w:fmt="numberInDash"/>
          <w:cols w:space="720" w:num="1"/>
          <w:docGrid w:linePitch="312" w:charSpace="0"/>
        </w:sectPr>
      </w:pPr>
    </w:p>
    <w:p w14:paraId="1CC92478">
      <w:pPr>
        <w:pStyle w:val="20"/>
        <w:ind w:left="0" w:leftChars="0" w:firstLine="0" w:firstLineChars="0"/>
        <w:jc w:val="center"/>
        <w:outlineLvl w:val="0"/>
        <w:rPr>
          <w:rFonts w:hint="default" w:ascii="Times New Roman" w:hAnsi="Times New Roman" w:eastAsia="黑体" w:cs="Times New Roman"/>
          <w:snapToGrid w:val="0"/>
          <w:color w:val="auto"/>
          <w:sz w:val="30"/>
          <w:szCs w:val="30"/>
          <w:highlight w:val="none"/>
        </w:rPr>
      </w:pPr>
      <w:r>
        <w:rPr>
          <w:rFonts w:hint="default" w:ascii="Times New Roman" w:hAnsi="Times New Roman" w:eastAsia="黑体" w:cs="Times New Roman"/>
          <w:snapToGrid w:val="0"/>
          <w:color w:val="auto"/>
          <w:sz w:val="30"/>
          <w:szCs w:val="30"/>
          <w:highlight w:val="none"/>
        </w:rPr>
        <w:t>三、区域环境质量现状、环境保护目标及评价标准</w:t>
      </w:r>
    </w:p>
    <w:tbl>
      <w:tblPr>
        <w:tblStyle w:val="23"/>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00"/>
        <w:gridCol w:w="8190"/>
      </w:tblGrid>
      <w:tr w14:paraId="737171D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7402" w:hRule="atLeast"/>
          <w:jc w:val="center"/>
        </w:trPr>
        <w:tc>
          <w:tcPr>
            <w:tcW w:w="800" w:type="dxa"/>
            <w:noWrap w:val="0"/>
            <w:vAlign w:val="center"/>
          </w:tcPr>
          <w:p w14:paraId="39FE033F">
            <w:pPr>
              <w:keepNext w:val="0"/>
              <w:keepLines w:val="0"/>
              <w:pageBreakBefore w:val="0"/>
              <w:widowControl w:val="0"/>
              <w:kinsoku/>
              <w:wordWrap/>
              <w:overflowPunct/>
              <w:topLinePunct w:val="0"/>
              <w:autoSpaceDE w:val="0"/>
              <w:autoSpaceDN w:val="0"/>
              <w:bidi w:val="0"/>
              <w:adjustRightInd w:val="0"/>
              <w:snapToGrid w:val="0"/>
              <w:ind w:firstLine="0" w:firstLineChars="0"/>
              <w:jc w:val="center"/>
              <w:textAlignment w:val="auto"/>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区域</w:t>
            </w:r>
          </w:p>
          <w:p w14:paraId="6886ACB4">
            <w:pPr>
              <w:keepNext w:val="0"/>
              <w:keepLines w:val="0"/>
              <w:pageBreakBefore w:val="0"/>
              <w:widowControl w:val="0"/>
              <w:kinsoku/>
              <w:wordWrap/>
              <w:overflowPunct/>
              <w:topLinePunct w:val="0"/>
              <w:autoSpaceDE w:val="0"/>
              <w:autoSpaceDN w:val="0"/>
              <w:bidi w:val="0"/>
              <w:adjustRightInd w:val="0"/>
              <w:snapToGrid w:val="0"/>
              <w:ind w:firstLine="0" w:firstLineChars="0"/>
              <w:jc w:val="center"/>
              <w:textAlignment w:val="auto"/>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环境</w:t>
            </w:r>
          </w:p>
          <w:p w14:paraId="264FFFB5">
            <w:pPr>
              <w:keepNext w:val="0"/>
              <w:keepLines w:val="0"/>
              <w:pageBreakBefore w:val="0"/>
              <w:widowControl w:val="0"/>
              <w:kinsoku/>
              <w:wordWrap/>
              <w:overflowPunct/>
              <w:topLinePunct w:val="0"/>
              <w:autoSpaceDE w:val="0"/>
              <w:autoSpaceDN w:val="0"/>
              <w:bidi w:val="0"/>
              <w:adjustRightInd w:val="0"/>
              <w:snapToGrid w:val="0"/>
              <w:ind w:firstLine="0" w:firstLineChars="0"/>
              <w:jc w:val="center"/>
              <w:textAlignment w:val="auto"/>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质量</w:t>
            </w:r>
          </w:p>
          <w:p w14:paraId="319D57B7">
            <w:pPr>
              <w:keepNext w:val="0"/>
              <w:keepLines w:val="0"/>
              <w:pageBreakBefore w:val="0"/>
              <w:widowControl w:val="0"/>
              <w:kinsoku/>
              <w:wordWrap/>
              <w:overflowPunct/>
              <w:topLinePunct w:val="0"/>
              <w:autoSpaceDE w:val="0"/>
              <w:autoSpaceDN w:val="0"/>
              <w:bidi w:val="0"/>
              <w:adjustRightInd w:val="0"/>
              <w:snapToGrid w:val="0"/>
              <w:ind w:firstLine="0" w:firstLineChars="0"/>
              <w:jc w:val="center"/>
              <w:textAlignment w:val="auto"/>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现状</w:t>
            </w:r>
          </w:p>
        </w:tc>
        <w:tc>
          <w:tcPr>
            <w:tcW w:w="8190" w:type="dxa"/>
            <w:noWrap w:val="0"/>
            <w:vAlign w:val="center"/>
          </w:tcPr>
          <w:p w14:paraId="406BDEFE">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jc w:val="left"/>
              <w:textAlignment w:val="auto"/>
              <w:rPr>
                <w:rFonts w:hint="default" w:ascii="Times New Roman" w:hAnsi="Times New Roman" w:cs="Times New Roman"/>
                <w:b/>
                <w:bCs/>
                <w:color w:val="auto"/>
                <w:kern w:val="0"/>
                <w:sz w:val="24"/>
                <w:szCs w:val="24"/>
                <w:highlight w:val="none"/>
              </w:rPr>
            </w:pPr>
            <w:r>
              <w:rPr>
                <w:rFonts w:hint="default" w:ascii="Times New Roman" w:hAnsi="Times New Roman" w:cs="Times New Roman"/>
                <w:b/>
                <w:bCs/>
                <w:color w:val="auto"/>
                <w:kern w:val="0"/>
                <w:sz w:val="24"/>
                <w:szCs w:val="24"/>
                <w:highlight w:val="none"/>
              </w:rPr>
              <w:t>1</w:t>
            </w:r>
            <w:r>
              <w:rPr>
                <w:rFonts w:hint="eastAsia" w:cs="Times New Roman"/>
                <w:b/>
                <w:bCs/>
                <w:color w:val="auto"/>
                <w:kern w:val="0"/>
                <w:sz w:val="24"/>
                <w:szCs w:val="24"/>
                <w:highlight w:val="none"/>
                <w:lang w:val="en-US" w:eastAsia="zh-CN"/>
              </w:rPr>
              <w:t>.</w:t>
            </w:r>
            <w:r>
              <w:rPr>
                <w:rFonts w:hint="default" w:ascii="Times New Roman" w:hAnsi="Times New Roman" w:cs="Times New Roman"/>
                <w:b/>
                <w:bCs/>
                <w:color w:val="auto"/>
                <w:kern w:val="0"/>
                <w:sz w:val="24"/>
                <w:szCs w:val="24"/>
                <w:highlight w:val="none"/>
              </w:rPr>
              <w:t>环境空气质量现状</w:t>
            </w:r>
          </w:p>
          <w:p w14:paraId="77A7959A">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default" w:ascii="Times New Roman" w:hAnsi="Times New Roman" w:cs="Times New Roman"/>
                <w:b w:val="0"/>
                <w:bCs w:val="0"/>
                <w:color w:val="auto"/>
                <w:kern w:val="0"/>
                <w:sz w:val="21"/>
                <w:szCs w:val="21"/>
                <w:highlight w:val="none"/>
                <w:lang w:val="en-US" w:eastAsia="zh-CN"/>
              </w:rPr>
            </w:pPr>
            <w:r>
              <w:rPr>
                <w:rFonts w:hint="default" w:ascii="Times New Roman" w:hAnsi="Times New Roman" w:cs="Times New Roman"/>
                <w:b w:val="0"/>
                <w:bCs w:val="0"/>
                <w:color w:val="auto"/>
                <w:kern w:val="0"/>
                <w:sz w:val="21"/>
                <w:szCs w:val="21"/>
                <w:highlight w:val="none"/>
                <w:lang w:eastAsia="zh-CN"/>
              </w:rPr>
              <w:t>（</w:t>
            </w:r>
            <w:r>
              <w:rPr>
                <w:rFonts w:hint="default" w:ascii="Times New Roman" w:hAnsi="Times New Roman" w:cs="Times New Roman"/>
                <w:b w:val="0"/>
                <w:bCs w:val="0"/>
                <w:color w:val="auto"/>
                <w:kern w:val="0"/>
                <w:sz w:val="21"/>
                <w:szCs w:val="21"/>
                <w:highlight w:val="none"/>
                <w:lang w:val="en-US" w:eastAsia="zh-CN"/>
              </w:rPr>
              <w:t>1</w:t>
            </w:r>
            <w:r>
              <w:rPr>
                <w:rFonts w:hint="default" w:ascii="Times New Roman" w:hAnsi="Times New Roman" w:cs="Times New Roman"/>
                <w:b w:val="0"/>
                <w:bCs w:val="0"/>
                <w:color w:val="auto"/>
                <w:kern w:val="0"/>
                <w:sz w:val="21"/>
                <w:szCs w:val="21"/>
                <w:highlight w:val="none"/>
                <w:lang w:eastAsia="zh-CN"/>
              </w:rPr>
              <w:t>）</w:t>
            </w:r>
            <w:r>
              <w:rPr>
                <w:rFonts w:hint="default" w:ascii="Times New Roman" w:hAnsi="Times New Roman" w:cs="Times New Roman"/>
                <w:b w:val="0"/>
                <w:bCs w:val="0"/>
                <w:color w:val="auto"/>
                <w:kern w:val="0"/>
                <w:sz w:val="21"/>
                <w:szCs w:val="21"/>
                <w:highlight w:val="none"/>
                <w:lang w:val="en-US" w:eastAsia="zh-CN"/>
              </w:rPr>
              <w:t>区域环境质量达标分析</w:t>
            </w:r>
          </w:p>
          <w:p w14:paraId="39E8C346">
            <w:pPr>
              <w:pStyle w:val="7"/>
              <w:keepNext w:val="0"/>
              <w:keepLines w:val="0"/>
              <w:pageBreakBefore w:val="0"/>
              <w:widowControl w:val="0"/>
              <w:kinsoku/>
              <w:wordWrap/>
              <w:overflowPunct/>
              <w:topLinePunct w:val="0"/>
              <w:autoSpaceDE/>
              <w:autoSpaceDN/>
              <w:bidi w:val="0"/>
              <w:adjustRightInd w:val="0"/>
              <w:spacing w:line="360" w:lineRule="auto"/>
              <w:ind w:firstLine="420" w:firstLineChars="200"/>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color w:val="auto"/>
                <w:sz w:val="21"/>
                <w:szCs w:val="21"/>
                <w:highlight w:val="none"/>
              </w:rPr>
              <w:t>根据《环境影响评价技术导则大气环境》（HJ2.2-2018），项目所在区域达标判定，优先采用国家或地方生态环境主管部门公开发布的评价基准年环境质量公告或环境质量报告中的数据或结论。其中评价基准年为近3年中数据相对完整的1个日历年作为评价基准年。本次区域环境质量现状采用内蒙古自治区生态环境厅发布的《2023年内蒙古自治区生态环境状况公报》公报数据。监测统计结果见表</w:t>
            </w:r>
            <w:r>
              <w:rPr>
                <w:rFonts w:hint="default" w:ascii="Times New Roman" w:hAnsi="Times New Roman" w:eastAsia="宋体" w:cs="Times New Roman"/>
                <w:color w:val="auto"/>
                <w:sz w:val="21"/>
                <w:szCs w:val="21"/>
                <w:highlight w:val="none"/>
                <w:lang w:val="en-US" w:eastAsia="zh-CN"/>
              </w:rPr>
              <w:t>3-1</w:t>
            </w:r>
            <w:r>
              <w:rPr>
                <w:rFonts w:hint="default" w:ascii="Times New Roman" w:hAnsi="Times New Roman" w:eastAsia="宋体" w:cs="Times New Roman"/>
                <w:color w:val="auto"/>
                <w:sz w:val="21"/>
                <w:szCs w:val="21"/>
                <w:highlight w:val="none"/>
              </w:rPr>
              <w:t>。</w:t>
            </w:r>
          </w:p>
          <w:p w14:paraId="106A4FCE">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Times New Roman" w:hAnsi="Times New Roman" w:cs="Times New Roman"/>
                <w:b/>
                <w:bCs/>
                <w:color w:val="auto"/>
                <w:kern w:val="0"/>
                <w:sz w:val="21"/>
                <w:szCs w:val="21"/>
                <w:highlight w:val="none"/>
                <w:vertAlign w:val="baseline"/>
                <w:lang w:val="en-US" w:eastAsia="zh-CN"/>
              </w:rPr>
            </w:pPr>
            <w:r>
              <w:rPr>
                <w:rFonts w:hint="default" w:ascii="Times New Roman" w:hAnsi="Times New Roman" w:cs="Times New Roman"/>
                <w:b/>
                <w:bCs/>
                <w:color w:val="auto"/>
                <w:kern w:val="0"/>
                <w:sz w:val="21"/>
                <w:szCs w:val="21"/>
                <w:highlight w:val="none"/>
                <w:lang w:val="en-US" w:eastAsia="zh-CN"/>
              </w:rPr>
              <w:t>表3-1区域大气环境质量现状评价表</w:t>
            </w:r>
          </w:p>
          <w:tbl>
            <w:tblPr>
              <w:tblStyle w:val="24"/>
              <w:tblW w:w="78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3"/>
              <w:gridCol w:w="1778"/>
              <w:gridCol w:w="1387"/>
              <w:gridCol w:w="1316"/>
              <w:gridCol w:w="1316"/>
              <w:gridCol w:w="1316"/>
            </w:tblGrid>
            <w:tr w14:paraId="540BC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3" w:type="dxa"/>
                  <w:noWrap w:val="0"/>
                  <w:vAlign w:val="center"/>
                </w:tcPr>
                <w:p w14:paraId="785F02F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default" w:ascii="Times New Roman" w:hAnsi="Times New Roman" w:cs="Times New Roman"/>
                      <w:b w:val="0"/>
                      <w:bCs w:val="0"/>
                      <w:color w:val="auto"/>
                      <w:kern w:val="0"/>
                      <w:sz w:val="21"/>
                      <w:szCs w:val="21"/>
                      <w:highlight w:val="none"/>
                      <w:lang w:val="en-US" w:eastAsia="zh-CN"/>
                    </w:rPr>
                  </w:pPr>
                  <w:r>
                    <w:rPr>
                      <w:rFonts w:hint="default" w:ascii="Times New Roman" w:hAnsi="Times New Roman" w:cs="Times New Roman"/>
                      <w:b w:val="0"/>
                      <w:bCs w:val="0"/>
                      <w:color w:val="auto"/>
                      <w:kern w:val="0"/>
                      <w:sz w:val="21"/>
                      <w:szCs w:val="21"/>
                      <w:highlight w:val="none"/>
                      <w:lang w:val="en-US" w:eastAsia="zh-CN"/>
                    </w:rPr>
                    <w:t>污染物</w:t>
                  </w:r>
                </w:p>
              </w:tc>
              <w:tc>
                <w:tcPr>
                  <w:tcW w:w="1778" w:type="dxa"/>
                  <w:noWrap w:val="0"/>
                  <w:vAlign w:val="center"/>
                </w:tcPr>
                <w:p w14:paraId="6415B78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default" w:ascii="Times New Roman" w:hAnsi="Times New Roman" w:cs="Times New Roman"/>
                      <w:b w:val="0"/>
                      <w:bCs w:val="0"/>
                      <w:color w:val="auto"/>
                      <w:kern w:val="0"/>
                      <w:sz w:val="21"/>
                      <w:szCs w:val="21"/>
                      <w:highlight w:val="none"/>
                      <w:lang w:val="en-US" w:eastAsia="zh-CN"/>
                    </w:rPr>
                  </w:pPr>
                  <w:r>
                    <w:rPr>
                      <w:rFonts w:hint="default" w:ascii="Times New Roman" w:hAnsi="Times New Roman" w:cs="Times New Roman"/>
                      <w:b w:val="0"/>
                      <w:bCs w:val="0"/>
                      <w:color w:val="auto"/>
                      <w:kern w:val="0"/>
                      <w:sz w:val="21"/>
                      <w:szCs w:val="21"/>
                      <w:highlight w:val="none"/>
                      <w:lang w:val="en-US" w:eastAsia="zh-CN"/>
                    </w:rPr>
                    <w:t>年评价指标</w:t>
                  </w:r>
                </w:p>
              </w:tc>
              <w:tc>
                <w:tcPr>
                  <w:tcW w:w="1387" w:type="dxa"/>
                  <w:noWrap w:val="0"/>
                  <w:vAlign w:val="center"/>
                </w:tcPr>
                <w:p w14:paraId="0D1D090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default" w:ascii="Times New Roman" w:hAnsi="Times New Roman" w:cs="Times New Roman"/>
                      <w:b w:val="0"/>
                      <w:bCs w:val="0"/>
                      <w:color w:val="auto"/>
                      <w:kern w:val="0"/>
                      <w:sz w:val="21"/>
                      <w:szCs w:val="21"/>
                      <w:highlight w:val="none"/>
                      <w:lang w:val="en-US" w:eastAsia="zh-CN"/>
                    </w:rPr>
                  </w:pPr>
                  <w:r>
                    <w:rPr>
                      <w:rFonts w:hint="default" w:ascii="Times New Roman" w:hAnsi="Times New Roman" w:cs="Times New Roman"/>
                      <w:b w:val="0"/>
                      <w:bCs w:val="0"/>
                      <w:color w:val="auto"/>
                      <w:kern w:val="0"/>
                      <w:sz w:val="21"/>
                      <w:szCs w:val="21"/>
                      <w:highlight w:val="none"/>
                      <w:lang w:val="en-US" w:eastAsia="zh-CN"/>
                    </w:rPr>
                    <w:t>现状浓</w:t>
                  </w:r>
                  <w:r>
                    <w:rPr>
                      <w:rFonts w:hint="eastAsia" w:cs="Times New Roman"/>
                      <w:color w:val="auto"/>
                      <w:highlight w:val="none"/>
                      <w:lang w:val="en-US" w:eastAsia="zh-CN"/>
                    </w:rPr>
                    <w:t>度</w:t>
                  </w:r>
                  <w:r>
                    <w:rPr>
                      <w:rFonts w:hint="default" w:ascii="Times New Roman" w:hAnsi="Times New Roman" w:cs="Times New Roman"/>
                      <w:b w:val="0"/>
                      <w:bCs w:val="0"/>
                      <w:color w:val="auto"/>
                      <w:kern w:val="0"/>
                      <w:sz w:val="21"/>
                      <w:szCs w:val="21"/>
                      <w:highlight w:val="none"/>
                      <w:lang w:val="en-US" w:eastAsia="zh-CN"/>
                    </w:rPr>
                    <w:t>（μg/m³）</w:t>
                  </w:r>
                </w:p>
              </w:tc>
              <w:tc>
                <w:tcPr>
                  <w:tcW w:w="1316" w:type="dxa"/>
                  <w:noWrap w:val="0"/>
                  <w:vAlign w:val="center"/>
                </w:tcPr>
                <w:p w14:paraId="7B53531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default" w:ascii="Times New Roman" w:hAnsi="Times New Roman" w:cs="Times New Roman"/>
                      <w:b w:val="0"/>
                      <w:bCs w:val="0"/>
                      <w:color w:val="auto"/>
                      <w:kern w:val="0"/>
                      <w:sz w:val="21"/>
                      <w:szCs w:val="21"/>
                      <w:highlight w:val="none"/>
                      <w:lang w:val="en-US" w:eastAsia="zh-CN"/>
                    </w:rPr>
                  </w:pPr>
                  <w:r>
                    <w:rPr>
                      <w:rFonts w:hint="default" w:ascii="Times New Roman" w:hAnsi="Times New Roman" w:cs="Times New Roman"/>
                      <w:b w:val="0"/>
                      <w:bCs w:val="0"/>
                      <w:color w:val="auto"/>
                      <w:kern w:val="0"/>
                      <w:sz w:val="21"/>
                      <w:szCs w:val="21"/>
                      <w:highlight w:val="none"/>
                      <w:lang w:val="en-US" w:eastAsia="zh-CN"/>
                    </w:rPr>
                    <w:t>标准值</w:t>
                  </w:r>
                </w:p>
                <w:p w14:paraId="2CAA947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default" w:ascii="Times New Roman" w:hAnsi="Times New Roman" w:cs="Times New Roman"/>
                      <w:b w:val="0"/>
                      <w:bCs w:val="0"/>
                      <w:color w:val="auto"/>
                      <w:kern w:val="0"/>
                      <w:sz w:val="21"/>
                      <w:szCs w:val="21"/>
                      <w:highlight w:val="none"/>
                      <w:lang w:val="en-US" w:eastAsia="zh-CN"/>
                    </w:rPr>
                  </w:pPr>
                  <w:r>
                    <w:rPr>
                      <w:rFonts w:hint="default" w:ascii="Times New Roman" w:hAnsi="Times New Roman" w:cs="Times New Roman"/>
                      <w:b w:val="0"/>
                      <w:bCs w:val="0"/>
                      <w:color w:val="auto"/>
                      <w:kern w:val="0"/>
                      <w:sz w:val="21"/>
                      <w:szCs w:val="21"/>
                      <w:highlight w:val="none"/>
                      <w:lang w:val="en-US" w:eastAsia="zh-CN"/>
                    </w:rPr>
                    <w:t>（μg/m³）</w:t>
                  </w:r>
                </w:p>
              </w:tc>
              <w:tc>
                <w:tcPr>
                  <w:tcW w:w="1316" w:type="dxa"/>
                  <w:noWrap w:val="0"/>
                  <w:vAlign w:val="center"/>
                </w:tcPr>
                <w:p w14:paraId="58B6B56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default" w:ascii="Times New Roman" w:hAnsi="Times New Roman" w:cs="Times New Roman"/>
                      <w:b w:val="0"/>
                      <w:bCs w:val="0"/>
                      <w:color w:val="auto"/>
                      <w:kern w:val="0"/>
                      <w:sz w:val="21"/>
                      <w:szCs w:val="21"/>
                      <w:highlight w:val="none"/>
                      <w:lang w:val="en-US" w:eastAsia="zh-CN"/>
                    </w:rPr>
                  </w:pPr>
                  <w:r>
                    <w:rPr>
                      <w:rFonts w:hint="default" w:ascii="Times New Roman" w:hAnsi="Times New Roman" w:cs="Times New Roman"/>
                      <w:b w:val="0"/>
                      <w:bCs w:val="0"/>
                      <w:color w:val="auto"/>
                      <w:kern w:val="0"/>
                      <w:sz w:val="21"/>
                      <w:szCs w:val="21"/>
                      <w:highlight w:val="none"/>
                      <w:lang w:val="en-US" w:eastAsia="zh-CN"/>
                    </w:rPr>
                    <w:t>占标率（%）</w:t>
                  </w:r>
                </w:p>
              </w:tc>
              <w:tc>
                <w:tcPr>
                  <w:tcW w:w="1316" w:type="dxa"/>
                  <w:noWrap w:val="0"/>
                  <w:vAlign w:val="center"/>
                </w:tcPr>
                <w:p w14:paraId="3400488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default" w:ascii="Times New Roman" w:hAnsi="Times New Roman" w:cs="Times New Roman"/>
                      <w:b w:val="0"/>
                      <w:bCs w:val="0"/>
                      <w:color w:val="auto"/>
                      <w:kern w:val="0"/>
                      <w:sz w:val="21"/>
                      <w:szCs w:val="21"/>
                      <w:highlight w:val="none"/>
                      <w:lang w:val="en-US" w:eastAsia="zh-CN"/>
                    </w:rPr>
                  </w:pPr>
                  <w:r>
                    <w:rPr>
                      <w:rFonts w:hint="default" w:ascii="Times New Roman" w:hAnsi="Times New Roman" w:cs="Times New Roman"/>
                      <w:b w:val="0"/>
                      <w:bCs w:val="0"/>
                      <w:color w:val="auto"/>
                      <w:kern w:val="0"/>
                      <w:sz w:val="21"/>
                      <w:szCs w:val="21"/>
                      <w:highlight w:val="none"/>
                      <w:lang w:val="en-US" w:eastAsia="zh-CN"/>
                    </w:rPr>
                    <w:t>达标情况</w:t>
                  </w:r>
                </w:p>
              </w:tc>
            </w:tr>
            <w:tr w14:paraId="701EB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3" w:type="dxa"/>
                  <w:noWrap w:val="0"/>
                  <w:vAlign w:val="center"/>
                </w:tcPr>
                <w:p w14:paraId="7AFE9ED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default" w:ascii="Times New Roman" w:hAnsi="Times New Roman" w:cs="Times New Roman"/>
                      <w:b w:val="0"/>
                      <w:bCs w:val="0"/>
                      <w:color w:val="auto"/>
                      <w:kern w:val="0"/>
                      <w:sz w:val="21"/>
                      <w:szCs w:val="21"/>
                      <w:highlight w:val="none"/>
                    </w:rPr>
                  </w:pPr>
                  <w:r>
                    <w:rPr>
                      <w:rFonts w:hint="default" w:ascii="Times New Roman" w:hAnsi="Times New Roman" w:cs="Times New Roman"/>
                      <w:b w:val="0"/>
                      <w:bCs w:val="0"/>
                      <w:color w:val="auto"/>
                      <w:kern w:val="0"/>
                      <w:sz w:val="21"/>
                      <w:szCs w:val="21"/>
                      <w:highlight w:val="none"/>
                      <w:lang w:val="en-US" w:eastAsia="zh-CN"/>
                    </w:rPr>
                    <w:t>SO</w:t>
                  </w:r>
                  <w:r>
                    <w:rPr>
                      <w:rFonts w:hint="default" w:ascii="Times New Roman" w:hAnsi="Times New Roman" w:cs="Times New Roman"/>
                      <w:b w:val="0"/>
                      <w:bCs w:val="0"/>
                      <w:color w:val="auto"/>
                      <w:kern w:val="0"/>
                      <w:sz w:val="21"/>
                      <w:szCs w:val="21"/>
                      <w:highlight w:val="none"/>
                      <w:vertAlign w:val="subscript"/>
                      <w:lang w:val="en-US" w:eastAsia="zh-CN"/>
                    </w:rPr>
                    <w:t>2</w:t>
                  </w:r>
                </w:p>
              </w:tc>
              <w:tc>
                <w:tcPr>
                  <w:tcW w:w="1778" w:type="dxa"/>
                  <w:noWrap w:val="0"/>
                  <w:vAlign w:val="center"/>
                </w:tcPr>
                <w:p w14:paraId="577950F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default" w:ascii="Times New Roman" w:hAnsi="Times New Roman" w:cs="Times New Roman"/>
                      <w:b w:val="0"/>
                      <w:bCs w:val="0"/>
                      <w:color w:val="auto"/>
                      <w:kern w:val="0"/>
                      <w:sz w:val="21"/>
                      <w:szCs w:val="21"/>
                      <w:highlight w:val="none"/>
                    </w:rPr>
                  </w:pPr>
                  <w:r>
                    <w:rPr>
                      <w:rFonts w:hint="default" w:ascii="Times New Roman" w:hAnsi="Times New Roman" w:cs="Times New Roman"/>
                      <w:b w:val="0"/>
                      <w:bCs w:val="0"/>
                      <w:color w:val="auto"/>
                      <w:kern w:val="0"/>
                      <w:sz w:val="21"/>
                      <w:szCs w:val="21"/>
                      <w:highlight w:val="none"/>
                      <w:lang w:val="en-US" w:eastAsia="zh-CN"/>
                    </w:rPr>
                    <w:t>年平均质量浓</w:t>
                  </w:r>
                  <w:r>
                    <w:rPr>
                      <w:rFonts w:hint="eastAsia" w:cs="Times New Roman"/>
                      <w:color w:val="auto"/>
                      <w:highlight w:val="none"/>
                      <w:lang w:val="en-US" w:eastAsia="zh-CN"/>
                    </w:rPr>
                    <w:t>度</w:t>
                  </w:r>
                </w:p>
              </w:tc>
              <w:tc>
                <w:tcPr>
                  <w:tcW w:w="1387" w:type="dxa"/>
                  <w:noWrap w:val="0"/>
                  <w:vAlign w:val="center"/>
                </w:tcPr>
                <w:p w14:paraId="7C50251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default" w:ascii="Times New Roman" w:hAnsi="Times New Roman" w:cs="Times New Roman"/>
                      <w:b w:val="0"/>
                      <w:bCs w:val="0"/>
                      <w:color w:val="auto"/>
                      <w:kern w:val="0"/>
                      <w:sz w:val="21"/>
                      <w:szCs w:val="21"/>
                      <w:highlight w:val="none"/>
                      <w:lang w:val="en-US" w:eastAsia="zh-CN"/>
                    </w:rPr>
                  </w:pPr>
                  <w:r>
                    <w:rPr>
                      <w:rFonts w:hint="default" w:ascii="Times New Roman" w:hAnsi="Times New Roman" w:cs="Times New Roman"/>
                      <w:b w:val="0"/>
                      <w:bCs w:val="0"/>
                      <w:color w:val="auto"/>
                      <w:kern w:val="0"/>
                      <w:sz w:val="21"/>
                      <w:szCs w:val="21"/>
                      <w:highlight w:val="none"/>
                      <w:lang w:val="en-US" w:eastAsia="zh-CN"/>
                    </w:rPr>
                    <w:t>10</w:t>
                  </w:r>
                </w:p>
              </w:tc>
              <w:tc>
                <w:tcPr>
                  <w:tcW w:w="1316" w:type="dxa"/>
                  <w:noWrap w:val="0"/>
                  <w:vAlign w:val="center"/>
                </w:tcPr>
                <w:p w14:paraId="61E3618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default" w:ascii="Times New Roman" w:hAnsi="Times New Roman" w:cs="Times New Roman"/>
                      <w:b w:val="0"/>
                      <w:bCs w:val="0"/>
                      <w:color w:val="auto"/>
                      <w:kern w:val="0"/>
                      <w:sz w:val="21"/>
                      <w:szCs w:val="21"/>
                      <w:highlight w:val="none"/>
                      <w:lang w:val="en-US" w:eastAsia="zh-CN"/>
                    </w:rPr>
                  </w:pPr>
                  <w:r>
                    <w:rPr>
                      <w:rFonts w:hint="default" w:ascii="Times New Roman" w:hAnsi="Times New Roman" w:cs="Times New Roman"/>
                      <w:b w:val="0"/>
                      <w:bCs w:val="0"/>
                      <w:color w:val="auto"/>
                      <w:kern w:val="0"/>
                      <w:sz w:val="21"/>
                      <w:szCs w:val="21"/>
                      <w:highlight w:val="none"/>
                      <w:lang w:val="en-US" w:eastAsia="zh-CN"/>
                    </w:rPr>
                    <w:t>60</w:t>
                  </w:r>
                </w:p>
              </w:tc>
              <w:tc>
                <w:tcPr>
                  <w:tcW w:w="1316" w:type="dxa"/>
                  <w:noWrap w:val="0"/>
                  <w:vAlign w:val="center"/>
                </w:tcPr>
                <w:p w14:paraId="6E35747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default" w:ascii="Times New Roman" w:hAnsi="Times New Roman" w:cs="Times New Roman"/>
                      <w:b w:val="0"/>
                      <w:bCs w:val="0"/>
                      <w:color w:val="auto"/>
                      <w:kern w:val="0"/>
                      <w:sz w:val="21"/>
                      <w:szCs w:val="21"/>
                      <w:highlight w:val="none"/>
                      <w:lang w:val="en-US" w:eastAsia="zh-CN"/>
                    </w:rPr>
                  </w:pPr>
                  <w:r>
                    <w:rPr>
                      <w:rFonts w:hint="default" w:ascii="Times New Roman" w:hAnsi="Times New Roman" w:cs="Times New Roman"/>
                      <w:b w:val="0"/>
                      <w:bCs w:val="0"/>
                      <w:color w:val="auto"/>
                      <w:kern w:val="0"/>
                      <w:sz w:val="21"/>
                      <w:szCs w:val="21"/>
                      <w:highlight w:val="none"/>
                      <w:lang w:val="en-US" w:eastAsia="zh-CN"/>
                    </w:rPr>
                    <w:t>16.7</w:t>
                  </w:r>
                </w:p>
              </w:tc>
              <w:tc>
                <w:tcPr>
                  <w:tcW w:w="1316" w:type="dxa"/>
                  <w:noWrap w:val="0"/>
                  <w:vAlign w:val="center"/>
                </w:tcPr>
                <w:p w14:paraId="4344E2A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default" w:ascii="Times New Roman" w:hAnsi="Times New Roman" w:cs="Times New Roman"/>
                      <w:b w:val="0"/>
                      <w:bCs w:val="0"/>
                      <w:color w:val="auto"/>
                      <w:kern w:val="0"/>
                      <w:sz w:val="21"/>
                      <w:szCs w:val="21"/>
                      <w:highlight w:val="none"/>
                      <w:lang w:val="en-US" w:eastAsia="zh-CN"/>
                    </w:rPr>
                  </w:pPr>
                  <w:r>
                    <w:rPr>
                      <w:rFonts w:hint="default" w:ascii="Times New Roman" w:hAnsi="Times New Roman" w:cs="Times New Roman"/>
                      <w:b w:val="0"/>
                      <w:bCs w:val="0"/>
                      <w:color w:val="auto"/>
                      <w:kern w:val="0"/>
                      <w:sz w:val="21"/>
                      <w:szCs w:val="21"/>
                      <w:highlight w:val="none"/>
                      <w:lang w:val="en-US" w:eastAsia="zh-CN"/>
                    </w:rPr>
                    <w:t>达标</w:t>
                  </w:r>
                </w:p>
              </w:tc>
            </w:tr>
            <w:tr w14:paraId="3F00C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3" w:type="dxa"/>
                  <w:noWrap w:val="0"/>
                  <w:vAlign w:val="center"/>
                </w:tcPr>
                <w:p w14:paraId="05E8376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default" w:ascii="Times New Roman" w:hAnsi="Times New Roman" w:cs="Times New Roman"/>
                      <w:b w:val="0"/>
                      <w:bCs w:val="0"/>
                      <w:color w:val="auto"/>
                      <w:kern w:val="0"/>
                      <w:sz w:val="21"/>
                      <w:szCs w:val="21"/>
                      <w:highlight w:val="none"/>
                    </w:rPr>
                  </w:pPr>
                  <w:r>
                    <w:rPr>
                      <w:rFonts w:hint="default" w:ascii="Times New Roman" w:hAnsi="Times New Roman" w:cs="Times New Roman"/>
                      <w:b w:val="0"/>
                      <w:bCs w:val="0"/>
                      <w:color w:val="auto"/>
                      <w:kern w:val="0"/>
                      <w:sz w:val="21"/>
                      <w:szCs w:val="21"/>
                      <w:highlight w:val="none"/>
                      <w:lang w:val="en-US" w:eastAsia="zh-CN"/>
                    </w:rPr>
                    <w:t>NO</w:t>
                  </w:r>
                  <w:r>
                    <w:rPr>
                      <w:rFonts w:hint="default" w:ascii="Times New Roman" w:hAnsi="Times New Roman" w:cs="Times New Roman"/>
                      <w:b w:val="0"/>
                      <w:bCs w:val="0"/>
                      <w:color w:val="auto"/>
                      <w:kern w:val="0"/>
                      <w:sz w:val="21"/>
                      <w:szCs w:val="21"/>
                      <w:highlight w:val="none"/>
                      <w:vertAlign w:val="subscript"/>
                      <w:lang w:val="en-US" w:eastAsia="zh-CN"/>
                    </w:rPr>
                    <w:t>2</w:t>
                  </w:r>
                </w:p>
              </w:tc>
              <w:tc>
                <w:tcPr>
                  <w:tcW w:w="1778" w:type="dxa"/>
                  <w:noWrap w:val="0"/>
                  <w:vAlign w:val="center"/>
                </w:tcPr>
                <w:p w14:paraId="6300648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default" w:ascii="Times New Roman" w:hAnsi="Times New Roman" w:cs="Times New Roman"/>
                      <w:b w:val="0"/>
                      <w:bCs w:val="0"/>
                      <w:color w:val="auto"/>
                      <w:kern w:val="0"/>
                      <w:sz w:val="21"/>
                      <w:szCs w:val="21"/>
                      <w:highlight w:val="none"/>
                    </w:rPr>
                  </w:pPr>
                  <w:r>
                    <w:rPr>
                      <w:rFonts w:hint="default" w:ascii="Times New Roman" w:hAnsi="Times New Roman" w:cs="Times New Roman"/>
                      <w:b w:val="0"/>
                      <w:bCs w:val="0"/>
                      <w:color w:val="auto"/>
                      <w:kern w:val="0"/>
                      <w:sz w:val="21"/>
                      <w:szCs w:val="21"/>
                      <w:highlight w:val="none"/>
                      <w:lang w:val="en-US" w:eastAsia="zh-CN"/>
                    </w:rPr>
                    <w:t>年平均质量浓</w:t>
                  </w:r>
                  <w:r>
                    <w:rPr>
                      <w:rFonts w:hint="eastAsia" w:cs="Times New Roman"/>
                      <w:color w:val="auto"/>
                      <w:highlight w:val="none"/>
                      <w:lang w:val="en-US" w:eastAsia="zh-CN"/>
                    </w:rPr>
                    <w:t>度</w:t>
                  </w:r>
                </w:p>
              </w:tc>
              <w:tc>
                <w:tcPr>
                  <w:tcW w:w="1387" w:type="dxa"/>
                  <w:noWrap w:val="0"/>
                  <w:vAlign w:val="center"/>
                </w:tcPr>
                <w:p w14:paraId="027DC02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default" w:ascii="Times New Roman" w:hAnsi="Times New Roman" w:cs="Times New Roman"/>
                      <w:b w:val="0"/>
                      <w:bCs w:val="0"/>
                      <w:color w:val="auto"/>
                      <w:kern w:val="0"/>
                      <w:sz w:val="21"/>
                      <w:szCs w:val="21"/>
                      <w:highlight w:val="none"/>
                      <w:lang w:val="en-US" w:eastAsia="zh-CN"/>
                    </w:rPr>
                  </w:pPr>
                  <w:r>
                    <w:rPr>
                      <w:rFonts w:hint="default" w:ascii="Times New Roman" w:hAnsi="Times New Roman" w:cs="Times New Roman"/>
                      <w:b w:val="0"/>
                      <w:bCs w:val="0"/>
                      <w:color w:val="auto"/>
                      <w:kern w:val="0"/>
                      <w:sz w:val="21"/>
                      <w:szCs w:val="21"/>
                      <w:highlight w:val="none"/>
                      <w:lang w:val="en-US" w:eastAsia="zh-CN"/>
                    </w:rPr>
                    <w:t>23</w:t>
                  </w:r>
                </w:p>
              </w:tc>
              <w:tc>
                <w:tcPr>
                  <w:tcW w:w="1316" w:type="dxa"/>
                  <w:noWrap w:val="0"/>
                  <w:vAlign w:val="center"/>
                </w:tcPr>
                <w:p w14:paraId="6F7F1AC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default" w:ascii="Times New Roman" w:hAnsi="Times New Roman" w:cs="Times New Roman"/>
                      <w:b w:val="0"/>
                      <w:bCs w:val="0"/>
                      <w:color w:val="auto"/>
                      <w:kern w:val="0"/>
                      <w:sz w:val="21"/>
                      <w:szCs w:val="21"/>
                      <w:highlight w:val="none"/>
                      <w:lang w:val="en-US" w:eastAsia="zh-CN"/>
                    </w:rPr>
                  </w:pPr>
                  <w:r>
                    <w:rPr>
                      <w:rFonts w:hint="default" w:ascii="Times New Roman" w:hAnsi="Times New Roman" w:cs="Times New Roman"/>
                      <w:b w:val="0"/>
                      <w:bCs w:val="0"/>
                      <w:color w:val="auto"/>
                      <w:kern w:val="0"/>
                      <w:sz w:val="21"/>
                      <w:szCs w:val="21"/>
                      <w:highlight w:val="none"/>
                      <w:lang w:val="en-US" w:eastAsia="zh-CN"/>
                    </w:rPr>
                    <w:t>40</w:t>
                  </w:r>
                </w:p>
              </w:tc>
              <w:tc>
                <w:tcPr>
                  <w:tcW w:w="1316" w:type="dxa"/>
                  <w:noWrap w:val="0"/>
                  <w:vAlign w:val="center"/>
                </w:tcPr>
                <w:p w14:paraId="5E510D8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default" w:ascii="Times New Roman" w:hAnsi="Times New Roman" w:cs="Times New Roman"/>
                      <w:b w:val="0"/>
                      <w:bCs w:val="0"/>
                      <w:color w:val="auto"/>
                      <w:kern w:val="0"/>
                      <w:sz w:val="21"/>
                      <w:szCs w:val="21"/>
                      <w:highlight w:val="none"/>
                      <w:lang w:val="en-US" w:eastAsia="zh-CN"/>
                    </w:rPr>
                  </w:pPr>
                  <w:r>
                    <w:rPr>
                      <w:rFonts w:hint="default" w:ascii="Times New Roman" w:hAnsi="Times New Roman" w:cs="Times New Roman"/>
                      <w:b w:val="0"/>
                      <w:bCs w:val="0"/>
                      <w:color w:val="auto"/>
                      <w:kern w:val="0"/>
                      <w:sz w:val="21"/>
                      <w:szCs w:val="21"/>
                      <w:highlight w:val="none"/>
                      <w:lang w:val="en-US" w:eastAsia="zh-CN"/>
                    </w:rPr>
                    <w:t>57.5</w:t>
                  </w:r>
                </w:p>
              </w:tc>
              <w:tc>
                <w:tcPr>
                  <w:tcW w:w="1316" w:type="dxa"/>
                  <w:noWrap w:val="0"/>
                  <w:vAlign w:val="center"/>
                </w:tcPr>
                <w:p w14:paraId="2576CDD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default" w:ascii="Times New Roman" w:hAnsi="Times New Roman" w:cs="Times New Roman"/>
                      <w:b w:val="0"/>
                      <w:bCs w:val="0"/>
                      <w:color w:val="auto"/>
                      <w:kern w:val="0"/>
                      <w:sz w:val="21"/>
                      <w:szCs w:val="21"/>
                      <w:highlight w:val="none"/>
                      <w:lang w:val="en-US" w:eastAsia="zh-CN"/>
                    </w:rPr>
                  </w:pPr>
                  <w:r>
                    <w:rPr>
                      <w:rFonts w:hint="default" w:ascii="Times New Roman" w:hAnsi="Times New Roman" w:cs="Times New Roman"/>
                      <w:b w:val="0"/>
                      <w:bCs w:val="0"/>
                      <w:color w:val="auto"/>
                      <w:kern w:val="0"/>
                      <w:sz w:val="21"/>
                      <w:szCs w:val="21"/>
                      <w:highlight w:val="none"/>
                      <w:lang w:val="en-US" w:eastAsia="zh-CN"/>
                    </w:rPr>
                    <w:t>达标</w:t>
                  </w:r>
                </w:p>
              </w:tc>
            </w:tr>
            <w:tr w14:paraId="671BF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3" w:type="dxa"/>
                  <w:noWrap w:val="0"/>
                  <w:vAlign w:val="center"/>
                </w:tcPr>
                <w:p w14:paraId="65E889C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default" w:ascii="Times New Roman" w:hAnsi="Times New Roman" w:cs="Times New Roman"/>
                      <w:b w:val="0"/>
                      <w:bCs w:val="0"/>
                      <w:color w:val="auto"/>
                      <w:kern w:val="0"/>
                      <w:sz w:val="21"/>
                      <w:szCs w:val="21"/>
                      <w:highlight w:val="none"/>
                      <w:lang w:val="en-US" w:eastAsia="zh-CN"/>
                    </w:rPr>
                  </w:pPr>
                  <w:r>
                    <w:rPr>
                      <w:rFonts w:hint="default" w:ascii="Times New Roman" w:hAnsi="Times New Roman" w:cs="Times New Roman"/>
                      <w:b w:val="0"/>
                      <w:bCs w:val="0"/>
                      <w:color w:val="auto"/>
                      <w:kern w:val="0"/>
                      <w:sz w:val="21"/>
                      <w:szCs w:val="21"/>
                      <w:highlight w:val="none"/>
                      <w:lang w:val="en-US" w:eastAsia="zh-CN"/>
                    </w:rPr>
                    <w:t>PM</w:t>
                  </w:r>
                  <w:r>
                    <w:rPr>
                      <w:rFonts w:hint="default" w:ascii="Times New Roman" w:hAnsi="Times New Roman" w:cs="Times New Roman"/>
                      <w:b w:val="0"/>
                      <w:bCs w:val="0"/>
                      <w:color w:val="auto"/>
                      <w:kern w:val="0"/>
                      <w:sz w:val="21"/>
                      <w:szCs w:val="21"/>
                      <w:highlight w:val="none"/>
                      <w:vertAlign w:val="subscript"/>
                      <w:lang w:val="en-US" w:eastAsia="zh-CN"/>
                    </w:rPr>
                    <w:t>10</w:t>
                  </w:r>
                </w:p>
              </w:tc>
              <w:tc>
                <w:tcPr>
                  <w:tcW w:w="1778" w:type="dxa"/>
                  <w:noWrap w:val="0"/>
                  <w:vAlign w:val="center"/>
                </w:tcPr>
                <w:p w14:paraId="2CC3B01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default" w:ascii="Times New Roman" w:hAnsi="Times New Roman" w:cs="Times New Roman"/>
                      <w:b w:val="0"/>
                      <w:bCs w:val="0"/>
                      <w:color w:val="auto"/>
                      <w:kern w:val="0"/>
                      <w:sz w:val="21"/>
                      <w:szCs w:val="21"/>
                      <w:highlight w:val="none"/>
                    </w:rPr>
                  </w:pPr>
                  <w:r>
                    <w:rPr>
                      <w:rFonts w:hint="default" w:ascii="Times New Roman" w:hAnsi="Times New Roman" w:cs="Times New Roman"/>
                      <w:b w:val="0"/>
                      <w:bCs w:val="0"/>
                      <w:color w:val="auto"/>
                      <w:kern w:val="0"/>
                      <w:sz w:val="21"/>
                      <w:szCs w:val="21"/>
                      <w:highlight w:val="none"/>
                      <w:lang w:val="en-US" w:eastAsia="zh-CN"/>
                    </w:rPr>
                    <w:t>年平均质量浓</w:t>
                  </w:r>
                  <w:r>
                    <w:rPr>
                      <w:rFonts w:hint="eastAsia" w:cs="Times New Roman"/>
                      <w:color w:val="auto"/>
                      <w:highlight w:val="none"/>
                      <w:lang w:val="en-US" w:eastAsia="zh-CN"/>
                    </w:rPr>
                    <w:t>度</w:t>
                  </w:r>
                </w:p>
              </w:tc>
              <w:tc>
                <w:tcPr>
                  <w:tcW w:w="1387" w:type="dxa"/>
                  <w:noWrap w:val="0"/>
                  <w:vAlign w:val="center"/>
                </w:tcPr>
                <w:p w14:paraId="456ECCF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default" w:ascii="Times New Roman" w:hAnsi="Times New Roman" w:cs="Times New Roman"/>
                      <w:b w:val="0"/>
                      <w:bCs w:val="0"/>
                      <w:color w:val="auto"/>
                      <w:kern w:val="0"/>
                      <w:sz w:val="21"/>
                      <w:szCs w:val="21"/>
                      <w:highlight w:val="none"/>
                      <w:lang w:val="en-US" w:eastAsia="zh-CN"/>
                    </w:rPr>
                  </w:pPr>
                  <w:r>
                    <w:rPr>
                      <w:rFonts w:hint="default" w:ascii="Times New Roman" w:hAnsi="Times New Roman" w:cs="Times New Roman"/>
                      <w:b w:val="0"/>
                      <w:bCs w:val="0"/>
                      <w:color w:val="auto"/>
                      <w:kern w:val="0"/>
                      <w:sz w:val="21"/>
                      <w:szCs w:val="21"/>
                      <w:highlight w:val="none"/>
                      <w:lang w:val="en-US" w:eastAsia="zh-CN"/>
                    </w:rPr>
                    <w:t>51</w:t>
                  </w:r>
                </w:p>
              </w:tc>
              <w:tc>
                <w:tcPr>
                  <w:tcW w:w="1316" w:type="dxa"/>
                  <w:noWrap w:val="0"/>
                  <w:vAlign w:val="center"/>
                </w:tcPr>
                <w:p w14:paraId="12797E0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default" w:ascii="Times New Roman" w:hAnsi="Times New Roman" w:cs="Times New Roman"/>
                      <w:b w:val="0"/>
                      <w:bCs w:val="0"/>
                      <w:color w:val="auto"/>
                      <w:kern w:val="0"/>
                      <w:sz w:val="21"/>
                      <w:szCs w:val="21"/>
                      <w:highlight w:val="none"/>
                      <w:lang w:val="en-US" w:eastAsia="zh-CN"/>
                    </w:rPr>
                  </w:pPr>
                  <w:r>
                    <w:rPr>
                      <w:rFonts w:hint="default" w:ascii="Times New Roman" w:hAnsi="Times New Roman" w:cs="Times New Roman"/>
                      <w:b w:val="0"/>
                      <w:bCs w:val="0"/>
                      <w:color w:val="auto"/>
                      <w:kern w:val="0"/>
                      <w:sz w:val="21"/>
                      <w:szCs w:val="21"/>
                      <w:highlight w:val="none"/>
                      <w:lang w:val="en-US" w:eastAsia="zh-CN"/>
                    </w:rPr>
                    <w:t>70</w:t>
                  </w:r>
                </w:p>
              </w:tc>
              <w:tc>
                <w:tcPr>
                  <w:tcW w:w="1316" w:type="dxa"/>
                  <w:noWrap w:val="0"/>
                  <w:vAlign w:val="center"/>
                </w:tcPr>
                <w:p w14:paraId="24E52B9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default" w:ascii="Times New Roman" w:hAnsi="Times New Roman" w:cs="Times New Roman"/>
                      <w:b w:val="0"/>
                      <w:bCs w:val="0"/>
                      <w:color w:val="auto"/>
                      <w:kern w:val="0"/>
                      <w:sz w:val="21"/>
                      <w:szCs w:val="21"/>
                      <w:highlight w:val="none"/>
                      <w:lang w:val="en-US" w:eastAsia="zh-CN"/>
                    </w:rPr>
                  </w:pPr>
                  <w:r>
                    <w:rPr>
                      <w:rFonts w:hint="default" w:ascii="Times New Roman" w:hAnsi="Times New Roman" w:cs="Times New Roman"/>
                      <w:b w:val="0"/>
                      <w:bCs w:val="0"/>
                      <w:color w:val="auto"/>
                      <w:kern w:val="0"/>
                      <w:sz w:val="21"/>
                      <w:szCs w:val="21"/>
                      <w:highlight w:val="none"/>
                      <w:lang w:val="en-US" w:eastAsia="zh-CN"/>
                    </w:rPr>
                    <w:t>72.9</w:t>
                  </w:r>
                </w:p>
              </w:tc>
              <w:tc>
                <w:tcPr>
                  <w:tcW w:w="1316" w:type="dxa"/>
                  <w:noWrap w:val="0"/>
                  <w:vAlign w:val="center"/>
                </w:tcPr>
                <w:p w14:paraId="7C80C4C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default" w:ascii="Times New Roman" w:hAnsi="Times New Roman" w:cs="Times New Roman"/>
                      <w:b w:val="0"/>
                      <w:bCs w:val="0"/>
                      <w:color w:val="auto"/>
                      <w:kern w:val="0"/>
                      <w:sz w:val="21"/>
                      <w:szCs w:val="21"/>
                      <w:highlight w:val="none"/>
                      <w:lang w:val="en-US" w:eastAsia="zh-CN"/>
                    </w:rPr>
                  </w:pPr>
                  <w:r>
                    <w:rPr>
                      <w:rFonts w:hint="default" w:ascii="Times New Roman" w:hAnsi="Times New Roman" w:cs="Times New Roman"/>
                      <w:b w:val="0"/>
                      <w:bCs w:val="0"/>
                      <w:color w:val="auto"/>
                      <w:kern w:val="0"/>
                      <w:sz w:val="21"/>
                      <w:szCs w:val="21"/>
                      <w:highlight w:val="none"/>
                      <w:lang w:val="en-US" w:eastAsia="zh-CN"/>
                    </w:rPr>
                    <w:t>达标</w:t>
                  </w:r>
                </w:p>
              </w:tc>
            </w:tr>
            <w:tr w14:paraId="58266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3" w:type="dxa"/>
                  <w:noWrap w:val="0"/>
                  <w:vAlign w:val="center"/>
                </w:tcPr>
                <w:p w14:paraId="602C6E8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default" w:ascii="Times New Roman" w:hAnsi="Times New Roman" w:cs="Times New Roman"/>
                      <w:b w:val="0"/>
                      <w:bCs w:val="0"/>
                      <w:color w:val="auto"/>
                      <w:kern w:val="0"/>
                      <w:sz w:val="21"/>
                      <w:szCs w:val="21"/>
                      <w:highlight w:val="none"/>
                      <w:lang w:val="en-US" w:eastAsia="zh-CN"/>
                    </w:rPr>
                  </w:pPr>
                  <w:r>
                    <w:rPr>
                      <w:rFonts w:hint="default" w:ascii="Times New Roman" w:hAnsi="Times New Roman" w:cs="Times New Roman"/>
                      <w:b w:val="0"/>
                      <w:bCs w:val="0"/>
                      <w:color w:val="auto"/>
                      <w:kern w:val="0"/>
                      <w:sz w:val="21"/>
                      <w:szCs w:val="21"/>
                      <w:highlight w:val="none"/>
                      <w:lang w:val="en-US" w:eastAsia="zh-CN"/>
                    </w:rPr>
                    <w:t>PM</w:t>
                  </w:r>
                  <w:r>
                    <w:rPr>
                      <w:rFonts w:hint="default" w:ascii="Times New Roman" w:hAnsi="Times New Roman" w:cs="Times New Roman"/>
                      <w:b w:val="0"/>
                      <w:bCs w:val="0"/>
                      <w:color w:val="auto"/>
                      <w:kern w:val="0"/>
                      <w:sz w:val="21"/>
                      <w:szCs w:val="21"/>
                      <w:highlight w:val="none"/>
                      <w:vertAlign w:val="subscript"/>
                      <w:lang w:val="en-US" w:eastAsia="zh-CN"/>
                    </w:rPr>
                    <w:t>2.5</w:t>
                  </w:r>
                </w:p>
              </w:tc>
              <w:tc>
                <w:tcPr>
                  <w:tcW w:w="1778" w:type="dxa"/>
                  <w:noWrap w:val="0"/>
                  <w:vAlign w:val="center"/>
                </w:tcPr>
                <w:p w14:paraId="6380403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default" w:ascii="Times New Roman" w:hAnsi="Times New Roman" w:cs="Times New Roman"/>
                      <w:b w:val="0"/>
                      <w:bCs w:val="0"/>
                      <w:color w:val="auto"/>
                      <w:kern w:val="0"/>
                      <w:sz w:val="21"/>
                      <w:szCs w:val="21"/>
                      <w:highlight w:val="none"/>
                    </w:rPr>
                  </w:pPr>
                  <w:r>
                    <w:rPr>
                      <w:rFonts w:hint="default" w:ascii="Times New Roman" w:hAnsi="Times New Roman" w:cs="Times New Roman"/>
                      <w:b w:val="0"/>
                      <w:bCs w:val="0"/>
                      <w:color w:val="auto"/>
                      <w:kern w:val="0"/>
                      <w:sz w:val="21"/>
                      <w:szCs w:val="21"/>
                      <w:highlight w:val="none"/>
                      <w:lang w:val="en-US" w:eastAsia="zh-CN"/>
                    </w:rPr>
                    <w:t>年平均质量浓</w:t>
                  </w:r>
                  <w:r>
                    <w:rPr>
                      <w:rFonts w:hint="eastAsia" w:cs="Times New Roman"/>
                      <w:color w:val="auto"/>
                      <w:highlight w:val="none"/>
                      <w:lang w:val="en-US" w:eastAsia="zh-CN"/>
                    </w:rPr>
                    <w:t>度</w:t>
                  </w:r>
                </w:p>
              </w:tc>
              <w:tc>
                <w:tcPr>
                  <w:tcW w:w="1387" w:type="dxa"/>
                  <w:noWrap w:val="0"/>
                  <w:vAlign w:val="center"/>
                </w:tcPr>
                <w:p w14:paraId="67D02CB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default" w:ascii="Times New Roman" w:hAnsi="Times New Roman" w:cs="Times New Roman"/>
                      <w:b w:val="0"/>
                      <w:bCs w:val="0"/>
                      <w:color w:val="auto"/>
                      <w:kern w:val="0"/>
                      <w:sz w:val="21"/>
                      <w:szCs w:val="21"/>
                      <w:highlight w:val="none"/>
                      <w:lang w:val="en-US" w:eastAsia="zh-CN"/>
                    </w:rPr>
                  </w:pPr>
                  <w:r>
                    <w:rPr>
                      <w:rFonts w:hint="default" w:ascii="Times New Roman" w:hAnsi="Times New Roman" w:cs="Times New Roman"/>
                      <w:b w:val="0"/>
                      <w:bCs w:val="0"/>
                      <w:color w:val="auto"/>
                      <w:kern w:val="0"/>
                      <w:sz w:val="21"/>
                      <w:szCs w:val="21"/>
                      <w:highlight w:val="none"/>
                      <w:lang w:val="en-US" w:eastAsia="zh-CN"/>
                    </w:rPr>
                    <w:t>20</w:t>
                  </w:r>
                </w:p>
              </w:tc>
              <w:tc>
                <w:tcPr>
                  <w:tcW w:w="1316" w:type="dxa"/>
                  <w:noWrap w:val="0"/>
                  <w:vAlign w:val="center"/>
                </w:tcPr>
                <w:p w14:paraId="472B319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default" w:ascii="Times New Roman" w:hAnsi="Times New Roman" w:cs="Times New Roman"/>
                      <w:b w:val="0"/>
                      <w:bCs w:val="0"/>
                      <w:color w:val="auto"/>
                      <w:kern w:val="0"/>
                      <w:sz w:val="21"/>
                      <w:szCs w:val="21"/>
                      <w:highlight w:val="none"/>
                      <w:lang w:val="en-US" w:eastAsia="zh-CN"/>
                    </w:rPr>
                  </w:pPr>
                  <w:r>
                    <w:rPr>
                      <w:rFonts w:hint="default" w:ascii="Times New Roman" w:hAnsi="Times New Roman" w:cs="Times New Roman"/>
                      <w:b w:val="0"/>
                      <w:bCs w:val="0"/>
                      <w:color w:val="auto"/>
                      <w:kern w:val="0"/>
                      <w:sz w:val="21"/>
                      <w:szCs w:val="21"/>
                      <w:highlight w:val="none"/>
                      <w:lang w:val="en-US" w:eastAsia="zh-CN"/>
                    </w:rPr>
                    <w:t>35</w:t>
                  </w:r>
                </w:p>
              </w:tc>
              <w:tc>
                <w:tcPr>
                  <w:tcW w:w="1316" w:type="dxa"/>
                  <w:noWrap w:val="0"/>
                  <w:vAlign w:val="center"/>
                </w:tcPr>
                <w:p w14:paraId="6DC987E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default" w:ascii="Times New Roman" w:hAnsi="Times New Roman" w:cs="Times New Roman"/>
                      <w:b w:val="0"/>
                      <w:bCs w:val="0"/>
                      <w:color w:val="auto"/>
                      <w:kern w:val="0"/>
                      <w:sz w:val="21"/>
                      <w:szCs w:val="21"/>
                      <w:highlight w:val="none"/>
                      <w:lang w:val="en-US" w:eastAsia="zh-CN"/>
                    </w:rPr>
                  </w:pPr>
                  <w:r>
                    <w:rPr>
                      <w:rFonts w:hint="default" w:ascii="Times New Roman" w:hAnsi="Times New Roman" w:cs="Times New Roman"/>
                      <w:b w:val="0"/>
                      <w:bCs w:val="0"/>
                      <w:color w:val="auto"/>
                      <w:kern w:val="0"/>
                      <w:sz w:val="21"/>
                      <w:szCs w:val="21"/>
                      <w:highlight w:val="none"/>
                      <w:lang w:val="en-US" w:eastAsia="zh-CN"/>
                    </w:rPr>
                    <w:t>57.1</w:t>
                  </w:r>
                </w:p>
              </w:tc>
              <w:tc>
                <w:tcPr>
                  <w:tcW w:w="1316" w:type="dxa"/>
                  <w:noWrap w:val="0"/>
                  <w:vAlign w:val="center"/>
                </w:tcPr>
                <w:p w14:paraId="0D3B9D9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default" w:ascii="Times New Roman" w:hAnsi="Times New Roman" w:cs="Times New Roman"/>
                      <w:b w:val="0"/>
                      <w:bCs w:val="0"/>
                      <w:color w:val="auto"/>
                      <w:kern w:val="0"/>
                      <w:sz w:val="21"/>
                      <w:szCs w:val="21"/>
                      <w:highlight w:val="none"/>
                      <w:lang w:val="en-US" w:eastAsia="zh-CN"/>
                    </w:rPr>
                  </w:pPr>
                  <w:r>
                    <w:rPr>
                      <w:rFonts w:hint="default" w:ascii="Times New Roman" w:hAnsi="Times New Roman" w:cs="Times New Roman"/>
                      <w:b w:val="0"/>
                      <w:bCs w:val="0"/>
                      <w:color w:val="auto"/>
                      <w:kern w:val="0"/>
                      <w:sz w:val="21"/>
                      <w:szCs w:val="21"/>
                      <w:highlight w:val="none"/>
                      <w:lang w:val="en-US" w:eastAsia="zh-CN"/>
                    </w:rPr>
                    <w:t>达标</w:t>
                  </w:r>
                </w:p>
              </w:tc>
            </w:tr>
            <w:tr w14:paraId="184FB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783" w:type="dxa"/>
                  <w:noWrap w:val="0"/>
                  <w:vAlign w:val="center"/>
                </w:tcPr>
                <w:p w14:paraId="0D2F85A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default" w:ascii="Times New Roman" w:hAnsi="Times New Roman" w:cs="Times New Roman"/>
                      <w:b w:val="0"/>
                      <w:bCs w:val="0"/>
                      <w:color w:val="auto"/>
                      <w:kern w:val="0"/>
                      <w:sz w:val="21"/>
                      <w:szCs w:val="21"/>
                      <w:highlight w:val="none"/>
                      <w:lang w:val="en-US" w:eastAsia="zh-CN"/>
                    </w:rPr>
                  </w:pPr>
                  <w:r>
                    <w:rPr>
                      <w:rFonts w:hint="default" w:ascii="Times New Roman" w:hAnsi="Times New Roman" w:cs="Times New Roman"/>
                      <w:b w:val="0"/>
                      <w:bCs w:val="0"/>
                      <w:color w:val="auto"/>
                      <w:kern w:val="0"/>
                      <w:sz w:val="21"/>
                      <w:szCs w:val="21"/>
                      <w:highlight w:val="none"/>
                      <w:lang w:val="en-US" w:eastAsia="zh-CN"/>
                    </w:rPr>
                    <w:t>CO</w:t>
                  </w:r>
                </w:p>
              </w:tc>
              <w:tc>
                <w:tcPr>
                  <w:tcW w:w="1778" w:type="dxa"/>
                  <w:noWrap w:val="0"/>
                  <w:vAlign w:val="center"/>
                </w:tcPr>
                <w:p w14:paraId="6A72DBF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default" w:ascii="Times New Roman" w:hAnsi="Times New Roman" w:cs="Times New Roman"/>
                      <w:b w:val="0"/>
                      <w:bCs w:val="0"/>
                      <w:color w:val="auto"/>
                      <w:kern w:val="0"/>
                      <w:sz w:val="21"/>
                      <w:szCs w:val="21"/>
                      <w:highlight w:val="none"/>
                      <w:lang w:val="en-US" w:eastAsia="zh-CN"/>
                    </w:rPr>
                  </w:pPr>
                  <w:r>
                    <w:rPr>
                      <w:rFonts w:hint="default" w:ascii="Times New Roman" w:hAnsi="Times New Roman" w:cs="Times New Roman"/>
                      <w:b w:val="0"/>
                      <w:bCs w:val="0"/>
                      <w:color w:val="auto"/>
                      <w:kern w:val="0"/>
                      <w:sz w:val="21"/>
                      <w:szCs w:val="21"/>
                      <w:highlight w:val="none"/>
                      <w:lang w:val="en-US" w:eastAsia="zh-CN"/>
                    </w:rPr>
                    <w:t>日最大8小时滑动平均值第95百分位数浓</w:t>
                  </w:r>
                  <w:r>
                    <w:rPr>
                      <w:rFonts w:hint="eastAsia" w:cs="Times New Roman"/>
                      <w:color w:val="auto"/>
                      <w:highlight w:val="none"/>
                      <w:lang w:val="en-US" w:eastAsia="zh-CN"/>
                    </w:rPr>
                    <w:t>度</w:t>
                  </w:r>
                </w:p>
              </w:tc>
              <w:tc>
                <w:tcPr>
                  <w:tcW w:w="1387" w:type="dxa"/>
                  <w:noWrap w:val="0"/>
                  <w:vAlign w:val="center"/>
                </w:tcPr>
                <w:p w14:paraId="34762D8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default" w:ascii="Times New Roman" w:hAnsi="Times New Roman" w:cs="Times New Roman"/>
                      <w:b w:val="0"/>
                      <w:bCs w:val="0"/>
                      <w:color w:val="auto"/>
                      <w:kern w:val="0"/>
                      <w:sz w:val="21"/>
                      <w:szCs w:val="21"/>
                      <w:highlight w:val="none"/>
                      <w:lang w:val="en-US" w:eastAsia="zh-CN"/>
                    </w:rPr>
                  </w:pPr>
                  <w:r>
                    <w:rPr>
                      <w:rFonts w:hint="default" w:ascii="Times New Roman" w:hAnsi="Times New Roman" w:cs="Times New Roman"/>
                      <w:b w:val="0"/>
                      <w:bCs w:val="0"/>
                      <w:color w:val="auto"/>
                      <w:kern w:val="0"/>
                      <w:sz w:val="21"/>
                      <w:szCs w:val="21"/>
                      <w:highlight w:val="none"/>
                      <w:lang w:val="en-US" w:eastAsia="zh-CN"/>
                    </w:rPr>
                    <w:t>0.9mg/m³</w:t>
                  </w:r>
                </w:p>
              </w:tc>
              <w:tc>
                <w:tcPr>
                  <w:tcW w:w="1316" w:type="dxa"/>
                  <w:noWrap w:val="0"/>
                  <w:vAlign w:val="center"/>
                </w:tcPr>
                <w:p w14:paraId="56DF91B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default" w:ascii="Times New Roman" w:hAnsi="Times New Roman" w:cs="Times New Roman"/>
                      <w:b w:val="0"/>
                      <w:bCs w:val="0"/>
                      <w:color w:val="auto"/>
                      <w:kern w:val="0"/>
                      <w:sz w:val="21"/>
                      <w:szCs w:val="21"/>
                      <w:highlight w:val="none"/>
                      <w:lang w:val="en-US" w:eastAsia="zh-CN"/>
                    </w:rPr>
                  </w:pPr>
                  <w:r>
                    <w:rPr>
                      <w:rFonts w:hint="default" w:ascii="Times New Roman" w:hAnsi="Times New Roman" w:cs="Times New Roman"/>
                      <w:b w:val="0"/>
                      <w:bCs w:val="0"/>
                      <w:color w:val="auto"/>
                      <w:kern w:val="0"/>
                      <w:sz w:val="21"/>
                      <w:szCs w:val="21"/>
                      <w:highlight w:val="none"/>
                      <w:lang w:val="en-US" w:eastAsia="zh-CN"/>
                    </w:rPr>
                    <w:t>4mg/m³</w:t>
                  </w:r>
                </w:p>
              </w:tc>
              <w:tc>
                <w:tcPr>
                  <w:tcW w:w="1316" w:type="dxa"/>
                  <w:noWrap w:val="0"/>
                  <w:vAlign w:val="center"/>
                </w:tcPr>
                <w:p w14:paraId="3D12933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default" w:ascii="Times New Roman" w:hAnsi="Times New Roman" w:cs="Times New Roman"/>
                      <w:b w:val="0"/>
                      <w:bCs w:val="0"/>
                      <w:color w:val="auto"/>
                      <w:kern w:val="0"/>
                      <w:sz w:val="21"/>
                      <w:szCs w:val="21"/>
                      <w:highlight w:val="none"/>
                      <w:lang w:val="en-US" w:eastAsia="zh-CN"/>
                    </w:rPr>
                  </w:pPr>
                  <w:r>
                    <w:rPr>
                      <w:rFonts w:hint="default" w:ascii="Times New Roman" w:hAnsi="Times New Roman" w:cs="Times New Roman"/>
                      <w:b w:val="0"/>
                      <w:bCs w:val="0"/>
                      <w:color w:val="auto"/>
                      <w:kern w:val="0"/>
                      <w:sz w:val="21"/>
                      <w:szCs w:val="21"/>
                      <w:highlight w:val="none"/>
                      <w:lang w:val="en-US" w:eastAsia="zh-CN"/>
                    </w:rPr>
                    <w:t>22.5</w:t>
                  </w:r>
                </w:p>
              </w:tc>
              <w:tc>
                <w:tcPr>
                  <w:tcW w:w="1316" w:type="dxa"/>
                  <w:noWrap w:val="0"/>
                  <w:vAlign w:val="center"/>
                </w:tcPr>
                <w:p w14:paraId="73FA967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default" w:ascii="Times New Roman" w:hAnsi="Times New Roman" w:cs="Times New Roman"/>
                      <w:b w:val="0"/>
                      <w:bCs w:val="0"/>
                      <w:color w:val="auto"/>
                      <w:kern w:val="0"/>
                      <w:sz w:val="21"/>
                      <w:szCs w:val="21"/>
                      <w:highlight w:val="none"/>
                      <w:lang w:val="en-US" w:eastAsia="zh-CN"/>
                    </w:rPr>
                  </w:pPr>
                  <w:r>
                    <w:rPr>
                      <w:rFonts w:hint="default" w:ascii="Times New Roman" w:hAnsi="Times New Roman" w:cs="Times New Roman"/>
                      <w:b w:val="0"/>
                      <w:bCs w:val="0"/>
                      <w:color w:val="auto"/>
                      <w:kern w:val="0"/>
                      <w:sz w:val="21"/>
                      <w:szCs w:val="21"/>
                      <w:highlight w:val="none"/>
                      <w:lang w:val="en-US" w:eastAsia="zh-CN"/>
                    </w:rPr>
                    <w:t>达标</w:t>
                  </w:r>
                </w:p>
              </w:tc>
            </w:tr>
            <w:tr w14:paraId="68EB6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3" w:type="dxa"/>
                  <w:noWrap w:val="0"/>
                  <w:vAlign w:val="center"/>
                </w:tcPr>
                <w:p w14:paraId="2AD6F1E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default" w:ascii="Times New Roman" w:hAnsi="Times New Roman" w:cs="Times New Roman"/>
                      <w:b w:val="0"/>
                      <w:bCs w:val="0"/>
                      <w:color w:val="auto"/>
                      <w:kern w:val="0"/>
                      <w:sz w:val="21"/>
                      <w:szCs w:val="21"/>
                      <w:highlight w:val="none"/>
                      <w:lang w:val="en-US" w:eastAsia="zh-CN"/>
                    </w:rPr>
                  </w:pPr>
                  <w:r>
                    <w:rPr>
                      <w:rFonts w:hint="default" w:ascii="Times New Roman" w:hAnsi="Times New Roman" w:cs="Times New Roman"/>
                      <w:b w:val="0"/>
                      <w:bCs w:val="0"/>
                      <w:color w:val="auto"/>
                      <w:kern w:val="0"/>
                      <w:sz w:val="21"/>
                      <w:szCs w:val="21"/>
                      <w:highlight w:val="none"/>
                      <w:lang w:val="en-US" w:eastAsia="zh-CN"/>
                    </w:rPr>
                    <w:t>O</w:t>
                  </w:r>
                  <w:r>
                    <w:rPr>
                      <w:rFonts w:hint="default" w:ascii="Times New Roman" w:hAnsi="Times New Roman" w:cs="Times New Roman"/>
                      <w:b w:val="0"/>
                      <w:bCs w:val="0"/>
                      <w:color w:val="auto"/>
                      <w:kern w:val="0"/>
                      <w:sz w:val="21"/>
                      <w:szCs w:val="21"/>
                      <w:highlight w:val="none"/>
                      <w:vertAlign w:val="subscript"/>
                      <w:lang w:val="en-US" w:eastAsia="zh-CN"/>
                    </w:rPr>
                    <w:t>3</w:t>
                  </w:r>
                </w:p>
              </w:tc>
              <w:tc>
                <w:tcPr>
                  <w:tcW w:w="1778" w:type="dxa"/>
                  <w:noWrap w:val="0"/>
                  <w:vAlign w:val="center"/>
                </w:tcPr>
                <w:p w14:paraId="14B1FFB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default" w:ascii="Times New Roman" w:hAnsi="Times New Roman" w:cs="Times New Roman"/>
                      <w:b w:val="0"/>
                      <w:bCs w:val="0"/>
                      <w:color w:val="auto"/>
                      <w:kern w:val="0"/>
                      <w:sz w:val="21"/>
                      <w:szCs w:val="21"/>
                      <w:highlight w:val="none"/>
                      <w:lang w:val="en-US" w:eastAsia="zh-CN"/>
                    </w:rPr>
                  </w:pPr>
                  <w:r>
                    <w:rPr>
                      <w:rFonts w:hint="default" w:ascii="Times New Roman" w:hAnsi="Times New Roman" w:cs="Times New Roman"/>
                      <w:b w:val="0"/>
                      <w:bCs w:val="0"/>
                      <w:color w:val="auto"/>
                      <w:kern w:val="0"/>
                      <w:sz w:val="21"/>
                      <w:szCs w:val="21"/>
                      <w:highlight w:val="none"/>
                      <w:lang w:val="en-US" w:eastAsia="zh-CN"/>
                    </w:rPr>
                    <w:t>24小时平均第90百分位数浓</w:t>
                  </w:r>
                  <w:r>
                    <w:rPr>
                      <w:rFonts w:hint="eastAsia" w:cs="Times New Roman"/>
                      <w:color w:val="auto"/>
                      <w:highlight w:val="none"/>
                      <w:lang w:val="en-US" w:eastAsia="zh-CN"/>
                    </w:rPr>
                    <w:t>度</w:t>
                  </w:r>
                </w:p>
              </w:tc>
              <w:tc>
                <w:tcPr>
                  <w:tcW w:w="1387" w:type="dxa"/>
                  <w:noWrap w:val="0"/>
                  <w:vAlign w:val="center"/>
                </w:tcPr>
                <w:p w14:paraId="66B61F9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default" w:ascii="Times New Roman" w:hAnsi="Times New Roman" w:cs="Times New Roman"/>
                      <w:b w:val="0"/>
                      <w:bCs w:val="0"/>
                      <w:color w:val="auto"/>
                      <w:kern w:val="0"/>
                      <w:sz w:val="21"/>
                      <w:szCs w:val="21"/>
                      <w:highlight w:val="none"/>
                      <w:lang w:val="en-US" w:eastAsia="zh-CN"/>
                    </w:rPr>
                  </w:pPr>
                  <w:r>
                    <w:rPr>
                      <w:rFonts w:hint="default" w:ascii="Times New Roman" w:hAnsi="Times New Roman" w:cs="Times New Roman"/>
                      <w:b w:val="0"/>
                      <w:bCs w:val="0"/>
                      <w:color w:val="auto"/>
                      <w:kern w:val="0"/>
                      <w:sz w:val="21"/>
                      <w:szCs w:val="21"/>
                      <w:highlight w:val="none"/>
                      <w:lang w:val="en-US" w:eastAsia="zh-CN"/>
                    </w:rPr>
                    <w:t>148</w:t>
                  </w:r>
                </w:p>
              </w:tc>
              <w:tc>
                <w:tcPr>
                  <w:tcW w:w="1316" w:type="dxa"/>
                  <w:noWrap w:val="0"/>
                  <w:vAlign w:val="center"/>
                </w:tcPr>
                <w:p w14:paraId="5AB8B0B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default" w:ascii="Times New Roman" w:hAnsi="Times New Roman" w:cs="Times New Roman"/>
                      <w:b w:val="0"/>
                      <w:bCs w:val="0"/>
                      <w:color w:val="auto"/>
                      <w:kern w:val="0"/>
                      <w:sz w:val="21"/>
                      <w:szCs w:val="21"/>
                      <w:highlight w:val="none"/>
                      <w:lang w:val="en-US" w:eastAsia="zh-CN"/>
                    </w:rPr>
                  </w:pPr>
                  <w:r>
                    <w:rPr>
                      <w:rFonts w:hint="default" w:ascii="Times New Roman" w:hAnsi="Times New Roman" w:cs="Times New Roman"/>
                      <w:b w:val="0"/>
                      <w:bCs w:val="0"/>
                      <w:color w:val="auto"/>
                      <w:kern w:val="0"/>
                      <w:sz w:val="21"/>
                      <w:szCs w:val="21"/>
                      <w:highlight w:val="none"/>
                      <w:lang w:val="en-US" w:eastAsia="zh-CN"/>
                    </w:rPr>
                    <w:t>160</w:t>
                  </w:r>
                </w:p>
              </w:tc>
              <w:tc>
                <w:tcPr>
                  <w:tcW w:w="1316" w:type="dxa"/>
                  <w:noWrap w:val="0"/>
                  <w:vAlign w:val="center"/>
                </w:tcPr>
                <w:p w14:paraId="31BA278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default" w:ascii="Times New Roman" w:hAnsi="Times New Roman" w:cs="Times New Roman"/>
                      <w:b w:val="0"/>
                      <w:bCs w:val="0"/>
                      <w:color w:val="auto"/>
                      <w:kern w:val="0"/>
                      <w:sz w:val="21"/>
                      <w:szCs w:val="21"/>
                      <w:highlight w:val="none"/>
                      <w:lang w:val="en-US" w:eastAsia="zh-CN"/>
                    </w:rPr>
                  </w:pPr>
                  <w:r>
                    <w:rPr>
                      <w:rFonts w:hint="default" w:ascii="Times New Roman" w:hAnsi="Times New Roman" w:cs="Times New Roman"/>
                      <w:b w:val="0"/>
                      <w:bCs w:val="0"/>
                      <w:color w:val="auto"/>
                      <w:kern w:val="0"/>
                      <w:sz w:val="21"/>
                      <w:szCs w:val="21"/>
                      <w:highlight w:val="none"/>
                      <w:lang w:val="en-US" w:eastAsia="zh-CN"/>
                    </w:rPr>
                    <w:t>92.5</w:t>
                  </w:r>
                </w:p>
              </w:tc>
              <w:tc>
                <w:tcPr>
                  <w:tcW w:w="1316" w:type="dxa"/>
                  <w:noWrap w:val="0"/>
                  <w:vAlign w:val="center"/>
                </w:tcPr>
                <w:p w14:paraId="73C6C83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default" w:ascii="Times New Roman" w:hAnsi="Times New Roman" w:cs="Times New Roman"/>
                      <w:b w:val="0"/>
                      <w:bCs w:val="0"/>
                      <w:color w:val="auto"/>
                      <w:kern w:val="0"/>
                      <w:sz w:val="21"/>
                      <w:szCs w:val="21"/>
                      <w:highlight w:val="none"/>
                      <w:lang w:val="en-US" w:eastAsia="zh-CN"/>
                    </w:rPr>
                  </w:pPr>
                  <w:r>
                    <w:rPr>
                      <w:rFonts w:hint="default" w:ascii="Times New Roman" w:hAnsi="Times New Roman" w:cs="Times New Roman"/>
                      <w:b w:val="0"/>
                      <w:bCs w:val="0"/>
                      <w:color w:val="auto"/>
                      <w:kern w:val="0"/>
                      <w:sz w:val="21"/>
                      <w:szCs w:val="21"/>
                      <w:highlight w:val="none"/>
                      <w:lang w:val="en-US" w:eastAsia="zh-CN"/>
                    </w:rPr>
                    <w:t>达标</w:t>
                  </w:r>
                </w:p>
              </w:tc>
            </w:tr>
          </w:tbl>
          <w:p w14:paraId="3F7313FD">
            <w:pPr>
              <w:adjustRightInd w:val="0"/>
              <w:snapToGrid w:val="0"/>
              <w:jc w:val="left"/>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（2）补充监测</w:t>
            </w:r>
          </w:p>
          <w:p w14:paraId="10F3359E">
            <w:pPr>
              <w:pStyle w:val="31"/>
              <w:keepNext w:val="0"/>
              <w:keepLines w:val="0"/>
              <w:pageBreakBefore w:val="0"/>
              <w:widowControl w:val="0"/>
              <w:kinsoku/>
              <w:wordWrap/>
              <w:overflowPunct/>
              <w:topLinePunct w:val="0"/>
              <w:autoSpaceDE w:val="0"/>
              <w:autoSpaceDN w:val="0"/>
              <w:bidi w:val="0"/>
              <w:adjustRightInd/>
              <w:snapToGrid/>
              <w:ind w:left="0" w:leftChars="0" w:firstLine="420" w:firstLineChars="200"/>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cs="Times New Roman"/>
                <w:color w:val="auto"/>
                <w:kern w:val="0"/>
                <w:sz w:val="21"/>
                <w:szCs w:val="21"/>
                <w:highlight w:val="none"/>
              </w:rPr>
              <w:t>根据《建设项目环境影响报告表编制技术指南（污染影响类）》（试行）排放国家、地方环境空气质量标准中有标准限值要求的特征污染物时，引用建设项目周边5千米范围内近3年的现有监测数据，无相关数据的选择当季主导风向下风向1个点位补充不少于3天的监测数据。本项目运营期特征污染物是</w:t>
            </w:r>
            <w:r>
              <w:rPr>
                <w:rFonts w:hint="eastAsia" w:cs="Times New Roman"/>
                <w:color w:val="auto"/>
                <w:kern w:val="0"/>
                <w:sz w:val="21"/>
                <w:szCs w:val="21"/>
                <w:highlight w:val="none"/>
                <w:lang w:val="en-US" w:eastAsia="zh-CN"/>
              </w:rPr>
              <w:t>TSP</w:t>
            </w:r>
            <w:r>
              <w:rPr>
                <w:rFonts w:hint="default" w:ascii="Times New Roman" w:hAnsi="Times New Roman" w:cs="Times New Roman"/>
                <w:color w:val="auto"/>
                <w:kern w:val="0"/>
                <w:sz w:val="21"/>
                <w:szCs w:val="21"/>
                <w:highlight w:val="none"/>
              </w:rPr>
              <w:t>，</w:t>
            </w:r>
            <w:r>
              <w:rPr>
                <w:rFonts w:hint="eastAsia" w:cs="Times New Roman"/>
                <w:color w:val="auto"/>
                <w:kern w:val="0"/>
                <w:sz w:val="21"/>
                <w:szCs w:val="21"/>
                <w:highlight w:val="none"/>
                <w:lang w:val="en-US" w:eastAsia="zh-CN"/>
              </w:rPr>
              <w:t>本项目引用《鄂尔多斯市东进源拌合站环境空气现状检测报告》中的TS</w:t>
            </w:r>
            <w:r>
              <w:rPr>
                <w:rFonts w:hint="eastAsia" w:ascii="Times New Roman" w:hAnsi="Times New Roman" w:cs="Times New Roman"/>
                <w:color w:val="auto"/>
                <w:kern w:val="0"/>
                <w:sz w:val="21"/>
                <w:szCs w:val="21"/>
                <w:highlight w:val="none"/>
                <w:lang w:val="en-US" w:eastAsia="zh-CN"/>
              </w:rPr>
              <w:t>P数据</w:t>
            </w:r>
            <w:r>
              <w:rPr>
                <w:rFonts w:hint="default" w:ascii="Times New Roman" w:hAnsi="Times New Roman" w:cs="Times New Roman"/>
                <w:color w:val="auto"/>
                <w:kern w:val="0"/>
                <w:sz w:val="21"/>
                <w:szCs w:val="21"/>
                <w:highlight w:val="none"/>
              </w:rPr>
              <w:t>，</w:t>
            </w:r>
            <w:r>
              <w:rPr>
                <w:rFonts w:hint="eastAsia" w:ascii="Times New Roman" w:hAnsi="Times New Roman" w:cs="Times New Roman"/>
                <w:color w:val="auto"/>
                <w:kern w:val="0"/>
                <w:sz w:val="21"/>
                <w:szCs w:val="21"/>
                <w:highlight w:val="none"/>
                <w:lang w:val="en-US" w:eastAsia="zh-CN"/>
              </w:rPr>
              <w:t>引用监测点位于本项目东南侧下风向，距离本项目468m，检测单位内蒙古皓天环境检测有限责任公司，监测时间为2022年4月6日-2022年4月8日，连续监测</w:t>
            </w:r>
            <w:r>
              <w:rPr>
                <w:rFonts w:hint="default" w:ascii="Times New Roman" w:hAnsi="Times New Roman" w:cs="Times New Roman"/>
                <w:color w:val="auto"/>
                <w:kern w:val="0"/>
                <w:sz w:val="21"/>
                <w:szCs w:val="21"/>
                <w:highlight w:val="none"/>
              </w:rPr>
              <w:t>3天，引用数据</w:t>
            </w:r>
            <w:r>
              <w:rPr>
                <w:rFonts w:hint="default" w:ascii="Times New Roman" w:hAnsi="Times New Roman" w:eastAsia="宋体" w:cs="Times New Roman"/>
                <w:color w:val="auto"/>
                <w:kern w:val="0"/>
                <w:sz w:val="21"/>
                <w:szCs w:val="21"/>
                <w:highlight w:val="none"/>
              </w:rPr>
              <w:t>符合3年时效性要求，监测数据可行且有效</w:t>
            </w:r>
            <w:r>
              <w:rPr>
                <w:rFonts w:hint="default" w:ascii="Times New Roman" w:hAnsi="Times New Roman" w:eastAsia="宋体" w:cs="Times New Roman"/>
                <w:color w:val="auto"/>
                <w:kern w:val="0"/>
                <w:sz w:val="21"/>
                <w:szCs w:val="21"/>
                <w:highlight w:val="none"/>
                <w:lang w:eastAsia="zh-CN"/>
              </w:rPr>
              <w:t>，</w:t>
            </w:r>
            <w:r>
              <w:rPr>
                <w:rFonts w:hint="default" w:ascii="Times New Roman" w:hAnsi="Times New Roman" w:eastAsia="宋体" w:cs="Times New Roman"/>
                <w:color w:val="auto"/>
                <w:kern w:val="0"/>
                <w:sz w:val="21"/>
                <w:szCs w:val="21"/>
                <w:highlight w:val="none"/>
              </w:rPr>
              <w:t>满足《建设项目环境影响评价报告表编制技术指南》中可以引用建设项目周边5千米范围内近3年的现有监测数据。</w:t>
            </w:r>
            <w:r>
              <w:rPr>
                <w:rFonts w:hint="default" w:ascii="Times New Roman" w:hAnsi="Times New Roman" w:eastAsia="宋体" w:cs="Times New Roman"/>
                <w:color w:val="auto"/>
                <w:kern w:val="0"/>
                <w:sz w:val="21"/>
                <w:szCs w:val="21"/>
                <w:highlight w:val="none"/>
                <w:lang w:val="en-US" w:eastAsia="zh-CN"/>
              </w:rPr>
              <w:t>检测报告见附件</w:t>
            </w:r>
            <w:r>
              <w:rPr>
                <w:rFonts w:hint="eastAsia" w:cs="Times New Roman"/>
                <w:color w:val="auto"/>
                <w:kern w:val="0"/>
                <w:sz w:val="21"/>
                <w:szCs w:val="21"/>
                <w:highlight w:val="none"/>
                <w:lang w:val="en-US" w:eastAsia="zh-CN"/>
              </w:rPr>
              <w:t>4，</w:t>
            </w:r>
            <w:r>
              <w:rPr>
                <w:rFonts w:hint="eastAsia" w:cs="Times New Roman"/>
                <w:color w:val="auto"/>
                <w:highlight w:val="none"/>
                <w:lang w:val="en-US" w:eastAsia="zh-CN"/>
              </w:rPr>
              <w:t>引用数据监测点与本项目位置关系图见附图7。</w:t>
            </w:r>
            <w:r>
              <w:rPr>
                <w:rFonts w:hint="default" w:ascii="Times New Roman" w:hAnsi="Times New Roman" w:eastAsia="宋体" w:cs="Times New Roman"/>
                <w:color w:val="auto"/>
                <w:kern w:val="0"/>
                <w:sz w:val="21"/>
                <w:szCs w:val="21"/>
                <w:highlight w:val="none"/>
              </w:rPr>
              <w:t>监测情况如下：</w:t>
            </w:r>
          </w:p>
          <w:p w14:paraId="41A4B35A">
            <w:pPr>
              <w:adjustRightInd w:val="0"/>
              <w:snapToGrid w:val="0"/>
              <w:ind w:left="0" w:leftChars="0" w:firstLine="0" w:firstLineChars="0"/>
              <w:jc w:val="center"/>
              <w:rPr>
                <w:rFonts w:hint="default" w:ascii="Times New Roman" w:hAnsi="Times New Roman" w:eastAsia="宋体" w:cs="Times New Roman"/>
                <w:b/>
                <w:bCs/>
                <w:color w:val="auto"/>
                <w:kern w:val="0"/>
                <w:szCs w:val="21"/>
                <w:highlight w:val="none"/>
                <w:vertAlign w:val="baseline"/>
                <w:lang w:val="en-US" w:eastAsia="zh-CN"/>
              </w:rPr>
            </w:pPr>
            <w:r>
              <w:rPr>
                <w:rFonts w:hint="eastAsia" w:cs="Times New Roman"/>
                <w:b/>
                <w:bCs/>
                <w:color w:val="auto"/>
                <w:kern w:val="0"/>
                <w:szCs w:val="21"/>
                <w:highlight w:val="none"/>
                <w:lang w:val="en-US" w:eastAsia="zh-CN"/>
              </w:rPr>
              <w:t>表3-2检测结果一览表</w:t>
            </w:r>
          </w:p>
          <w:tbl>
            <w:tblPr>
              <w:tblStyle w:val="24"/>
              <w:tblW w:w="79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1"/>
              <w:gridCol w:w="1791"/>
              <w:gridCol w:w="4702"/>
            </w:tblGrid>
            <w:tr w14:paraId="6FF48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20" w:hRule="atLeast"/>
              </w:trPr>
              <w:tc>
                <w:tcPr>
                  <w:tcW w:w="3272" w:type="dxa"/>
                  <w:gridSpan w:val="2"/>
                  <mc:AlternateContent>
                    <mc:Choice Requires="wpsCustomData">
                      <wpsCustomData:diagonals>
                        <wpsCustomData:diagonal from="10000" to="30000">
                          <wpsCustomData:border w:val="single" w:color="auto" w:sz="4" w:space="0"/>
                        </wpsCustomData:diagonal>
                      </wpsCustomData:diagonals>
                    </mc:Choice>
                  </mc:AlternateContent>
                </w:tcPr>
                <w:p w14:paraId="2B239EF6">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Cs w:val="21"/>
                      <w:highlight w:val="none"/>
                      <w:vertAlign w:val="baseline"/>
                      <w:lang w:val="en-US" w:eastAsia="zh-CN"/>
                    </w:rPr>
                  </w:pPr>
                </w:p>
                <w:p w14:paraId="1EEC8027">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mc:AlternateContent>
                      <mc:Choice Requires="wpsCustomData">
                        <wpsCustomData:diagonalParaType/>
                      </mc:Choice>
                    </mc:AlternateContent>
                    <w:rPr>
                      <w:rFonts w:hint="default" w:ascii="Times New Roman" w:hAnsi="Times New Roman" w:eastAsia="宋体" w:cs="Times New Roman"/>
                      <w:color w:val="auto"/>
                      <w:kern w:val="0"/>
                      <w:szCs w:val="21"/>
                      <w:highlight w:val="none"/>
                      <w:vertAlign w:val="baseline"/>
                      <w:lang w:val="en-US" w:eastAsia="zh-CN"/>
                    </w:rPr>
                  </w:pPr>
                  <w:r>
                    <w:rPr>
                      <w:rFonts w:hint="eastAsia" w:cs="Times New Roman"/>
                      <w:color w:val="auto"/>
                      <w:kern w:val="0"/>
                      <w:szCs w:val="21"/>
                      <w:highlight w:val="none"/>
                      <w:vertAlign w:val="baseline"/>
                      <w:lang w:val="en-US" w:eastAsia="zh-CN"/>
                    </w:rPr>
                    <w:t>采样时间、样品编号</w:t>
                  </w:r>
                </w:p>
                <w:p w14:paraId="4AB441B2">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Cs w:val="21"/>
                      <w:highlight w:val="none"/>
                      <w:vertAlign w:val="baseline"/>
                      <w:lang w:val="en-US" w:eastAsia="zh-CN"/>
                    </w:rPr>
                  </w:pPr>
                  <w:r>
                    <w:rPr>
                      <w:rFonts w:hint="eastAsia" w:cs="Times New Roman"/>
                      <w:color w:val="auto"/>
                      <w:kern w:val="0"/>
                      <w:szCs w:val="21"/>
                      <w:highlight w:val="none"/>
                      <w:vertAlign w:val="baseline"/>
                      <w:lang w:val="en-US" w:eastAsia="zh-CN"/>
                    </w:rPr>
                    <w:t>结果记录</w:t>
                  </w:r>
                </w:p>
              </w:tc>
              <w:tc>
                <w:tcPr>
                  <w:tcW w:w="4702" w:type="dxa"/>
                </w:tcPr>
                <w:p w14:paraId="6E4A38A8">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Cs w:val="21"/>
                      <w:highlight w:val="none"/>
                      <w:vertAlign w:val="baseline"/>
                      <w:lang w:val="en-US" w:eastAsia="zh-CN"/>
                    </w:rPr>
                  </w:pPr>
                  <w:r>
                    <w:rPr>
                      <w:rFonts w:hint="eastAsia" w:cs="Times New Roman"/>
                      <w:color w:val="auto"/>
                      <w:kern w:val="0"/>
                      <w:szCs w:val="21"/>
                      <w:highlight w:val="none"/>
                      <w:vertAlign w:val="baseline"/>
                      <w:lang w:val="en-US" w:eastAsia="zh-CN"/>
                    </w:rPr>
                    <w:t>TSP检测结果（日均值）（μg/m³）</w:t>
                  </w:r>
                </w:p>
              </w:tc>
            </w:tr>
            <w:tr w14:paraId="35F19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81" w:type="dxa"/>
                </w:tcPr>
                <w:p w14:paraId="2E505C7E">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Cs w:val="21"/>
                      <w:highlight w:val="none"/>
                      <w:vertAlign w:val="baseline"/>
                      <w:lang w:val="en-US" w:eastAsia="zh-CN"/>
                    </w:rPr>
                  </w:pPr>
                  <w:r>
                    <w:rPr>
                      <w:rFonts w:hint="eastAsia" w:cs="Times New Roman"/>
                      <w:color w:val="auto"/>
                      <w:kern w:val="0"/>
                      <w:szCs w:val="21"/>
                      <w:highlight w:val="none"/>
                      <w:vertAlign w:val="baseline"/>
                      <w:lang w:val="en-US" w:eastAsia="zh-CN"/>
                    </w:rPr>
                    <w:t>2022.4.6</w:t>
                  </w:r>
                </w:p>
              </w:tc>
              <w:tc>
                <w:tcPr>
                  <w:tcW w:w="1791" w:type="dxa"/>
                </w:tcPr>
                <w:p w14:paraId="1108412C">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Cs w:val="21"/>
                      <w:highlight w:val="none"/>
                      <w:vertAlign w:val="baseline"/>
                      <w:lang w:val="en-US" w:eastAsia="zh-CN"/>
                    </w:rPr>
                  </w:pPr>
                  <w:r>
                    <w:rPr>
                      <w:rFonts w:hint="eastAsia" w:cs="Times New Roman"/>
                      <w:color w:val="auto"/>
                      <w:kern w:val="0"/>
                      <w:szCs w:val="21"/>
                      <w:highlight w:val="none"/>
                      <w:vertAlign w:val="baseline"/>
                      <w:lang w:val="en-US" w:eastAsia="zh-CN"/>
                    </w:rPr>
                    <w:t>22X023HQ-01-01</w:t>
                  </w:r>
                </w:p>
              </w:tc>
              <w:tc>
                <w:tcPr>
                  <w:tcW w:w="4702" w:type="dxa"/>
                </w:tcPr>
                <w:p w14:paraId="2B6A6C61">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Cs w:val="21"/>
                      <w:highlight w:val="none"/>
                      <w:vertAlign w:val="baseline"/>
                      <w:lang w:val="en-US" w:eastAsia="zh-CN"/>
                    </w:rPr>
                  </w:pPr>
                  <w:r>
                    <w:rPr>
                      <w:rFonts w:hint="eastAsia" w:cs="Times New Roman"/>
                      <w:color w:val="auto"/>
                      <w:kern w:val="0"/>
                      <w:szCs w:val="21"/>
                      <w:highlight w:val="none"/>
                      <w:vertAlign w:val="baseline"/>
                      <w:lang w:val="en-US" w:eastAsia="zh-CN"/>
                    </w:rPr>
                    <w:t>117</w:t>
                  </w:r>
                </w:p>
              </w:tc>
            </w:tr>
            <w:tr w14:paraId="4B48D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81" w:type="dxa"/>
                </w:tcPr>
                <w:p w14:paraId="079BA163">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Cs w:val="21"/>
                      <w:highlight w:val="none"/>
                      <w:vertAlign w:val="baseline"/>
                      <w:lang w:val="en-US" w:eastAsia="zh-CN"/>
                    </w:rPr>
                  </w:pPr>
                  <w:r>
                    <w:rPr>
                      <w:rFonts w:hint="eastAsia" w:cs="Times New Roman"/>
                      <w:color w:val="auto"/>
                      <w:kern w:val="0"/>
                      <w:szCs w:val="21"/>
                      <w:highlight w:val="none"/>
                      <w:vertAlign w:val="baseline"/>
                      <w:lang w:val="en-US" w:eastAsia="zh-CN"/>
                    </w:rPr>
                    <w:t>2022.4.7</w:t>
                  </w:r>
                </w:p>
              </w:tc>
              <w:tc>
                <w:tcPr>
                  <w:tcW w:w="1791" w:type="dxa"/>
                </w:tcPr>
                <w:p w14:paraId="1F58C8ED">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Cs w:val="21"/>
                      <w:highlight w:val="none"/>
                      <w:vertAlign w:val="baseline"/>
                      <w:lang w:val="en-US" w:eastAsia="zh-CN"/>
                    </w:rPr>
                  </w:pPr>
                  <w:r>
                    <w:rPr>
                      <w:rFonts w:hint="eastAsia" w:cs="Times New Roman"/>
                      <w:color w:val="auto"/>
                      <w:kern w:val="0"/>
                      <w:szCs w:val="21"/>
                      <w:highlight w:val="none"/>
                      <w:vertAlign w:val="baseline"/>
                      <w:lang w:val="en-US" w:eastAsia="zh-CN"/>
                    </w:rPr>
                    <w:t>22X023HQ-01-02</w:t>
                  </w:r>
                </w:p>
              </w:tc>
              <w:tc>
                <w:tcPr>
                  <w:tcW w:w="4702" w:type="dxa"/>
                </w:tcPr>
                <w:p w14:paraId="50EF9CA5">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Cs w:val="21"/>
                      <w:highlight w:val="none"/>
                      <w:vertAlign w:val="baseline"/>
                      <w:lang w:val="en-US" w:eastAsia="zh-CN"/>
                    </w:rPr>
                  </w:pPr>
                  <w:r>
                    <w:rPr>
                      <w:rFonts w:hint="eastAsia" w:cs="Times New Roman"/>
                      <w:color w:val="auto"/>
                      <w:kern w:val="0"/>
                      <w:szCs w:val="21"/>
                      <w:highlight w:val="none"/>
                      <w:vertAlign w:val="baseline"/>
                      <w:lang w:val="en-US" w:eastAsia="zh-CN"/>
                    </w:rPr>
                    <w:t>128</w:t>
                  </w:r>
                </w:p>
              </w:tc>
            </w:tr>
            <w:tr w14:paraId="72A47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81" w:type="dxa"/>
                </w:tcPr>
                <w:p w14:paraId="045038D4">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Cs w:val="21"/>
                      <w:highlight w:val="none"/>
                      <w:vertAlign w:val="baseline"/>
                      <w:lang w:val="en-US" w:eastAsia="zh-CN"/>
                    </w:rPr>
                  </w:pPr>
                  <w:r>
                    <w:rPr>
                      <w:rFonts w:hint="eastAsia" w:cs="Times New Roman"/>
                      <w:color w:val="auto"/>
                      <w:kern w:val="0"/>
                      <w:szCs w:val="21"/>
                      <w:highlight w:val="none"/>
                      <w:vertAlign w:val="baseline"/>
                      <w:lang w:val="en-US" w:eastAsia="zh-CN"/>
                    </w:rPr>
                    <w:t>2022.4.8</w:t>
                  </w:r>
                </w:p>
              </w:tc>
              <w:tc>
                <w:tcPr>
                  <w:tcW w:w="1791" w:type="dxa"/>
                </w:tcPr>
                <w:p w14:paraId="756D0EA5">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Cs w:val="21"/>
                      <w:highlight w:val="none"/>
                      <w:vertAlign w:val="baseline"/>
                      <w:lang w:val="en-US" w:eastAsia="zh-CN"/>
                    </w:rPr>
                  </w:pPr>
                  <w:r>
                    <w:rPr>
                      <w:rFonts w:hint="eastAsia" w:cs="Times New Roman"/>
                      <w:color w:val="auto"/>
                      <w:kern w:val="0"/>
                      <w:szCs w:val="21"/>
                      <w:highlight w:val="none"/>
                      <w:vertAlign w:val="baseline"/>
                      <w:lang w:val="en-US" w:eastAsia="zh-CN"/>
                    </w:rPr>
                    <w:t>22X023HQ-01-03</w:t>
                  </w:r>
                </w:p>
              </w:tc>
              <w:tc>
                <w:tcPr>
                  <w:tcW w:w="4702" w:type="dxa"/>
                </w:tcPr>
                <w:p w14:paraId="062A6A6D">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Cs w:val="21"/>
                      <w:highlight w:val="none"/>
                      <w:vertAlign w:val="baseline"/>
                      <w:lang w:val="en-US" w:eastAsia="zh-CN"/>
                    </w:rPr>
                  </w:pPr>
                  <w:r>
                    <w:rPr>
                      <w:rFonts w:hint="eastAsia" w:cs="Times New Roman"/>
                      <w:color w:val="auto"/>
                      <w:kern w:val="0"/>
                      <w:szCs w:val="21"/>
                      <w:highlight w:val="none"/>
                      <w:vertAlign w:val="baseline"/>
                      <w:lang w:val="en-US" w:eastAsia="zh-CN"/>
                    </w:rPr>
                    <w:t>119</w:t>
                  </w:r>
                </w:p>
              </w:tc>
            </w:tr>
            <w:tr w14:paraId="74BC4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72" w:type="dxa"/>
                  <w:gridSpan w:val="2"/>
                </w:tcPr>
                <w:p w14:paraId="745CC3AA">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cs="Times New Roman"/>
                      <w:color w:val="auto"/>
                      <w:kern w:val="0"/>
                      <w:szCs w:val="21"/>
                      <w:highlight w:val="none"/>
                      <w:vertAlign w:val="baseline"/>
                      <w:lang w:val="en-US" w:eastAsia="zh-CN"/>
                    </w:rPr>
                  </w:pPr>
                  <w:r>
                    <w:rPr>
                      <w:rFonts w:hint="eastAsia" w:cs="Times New Roman"/>
                      <w:color w:val="auto"/>
                      <w:kern w:val="0"/>
                      <w:szCs w:val="21"/>
                      <w:highlight w:val="none"/>
                      <w:vertAlign w:val="baseline"/>
                      <w:lang w:val="en-US" w:eastAsia="zh-CN"/>
                    </w:rPr>
                    <w:t>标准值（μg/m³）</w:t>
                  </w:r>
                </w:p>
              </w:tc>
              <w:tc>
                <w:tcPr>
                  <w:tcW w:w="4702" w:type="dxa"/>
                </w:tcPr>
                <w:p w14:paraId="7DFEE841">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cs="Times New Roman"/>
                      <w:color w:val="auto"/>
                      <w:kern w:val="0"/>
                      <w:szCs w:val="21"/>
                      <w:highlight w:val="none"/>
                      <w:vertAlign w:val="baseline"/>
                      <w:lang w:val="en-US" w:eastAsia="zh-CN"/>
                    </w:rPr>
                  </w:pPr>
                  <w:r>
                    <w:rPr>
                      <w:rFonts w:hint="eastAsia" w:cs="Times New Roman"/>
                      <w:color w:val="auto"/>
                      <w:kern w:val="0"/>
                      <w:szCs w:val="21"/>
                      <w:highlight w:val="none"/>
                      <w:vertAlign w:val="baseline"/>
                      <w:lang w:val="en-US" w:eastAsia="zh-CN"/>
                    </w:rPr>
                    <w:t>300</w:t>
                  </w:r>
                </w:p>
              </w:tc>
            </w:tr>
            <w:tr w14:paraId="4CA21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4" w:type="dxa"/>
                  <w:gridSpan w:val="3"/>
                </w:tcPr>
                <w:p w14:paraId="3408DC6F">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cs="Times New Roman"/>
                      <w:color w:val="auto"/>
                      <w:kern w:val="0"/>
                      <w:szCs w:val="21"/>
                      <w:highlight w:val="none"/>
                      <w:vertAlign w:val="baseline"/>
                      <w:lang w:val="en-US" w:eastAsia="zh-CN"/>
                    </w:rPr>
                  </w:pPr>
                  <w:r>
                    <w:rPr>
                      <w:rFonts w:hint="eastAsia" w:cs="Times New Roman"/>
                      <w:color w:val="auto"/>
                      <w:kern w:val="0"/>
                      <w:szCs w:val="21"/>
                      <w:highlight w:val="none"/>
                      <w:vertAlign w:val="baseline"/>
                      <w:lang w:val="en-US" w:eastAsia="zh-CN"/>
                    </w:rPr>
                    <w:t>标准参考《环境空气质量标准》（GB3095-2012）及修改单中二级标准要求。</w:t>
                  </w:r>
                </w:p>
              </w:tc>
            </w:tr>
          </w:tbl>
          <w:p w14:paraId="3EB8F428">
            <w:pPr>
              <w:bidi w:val="0"/>
              <w:rPr>
                <w:rFonts w:hint="default"/>
                <w:color w:val="auto"/>
                <w:highlight w:val="none"/>
                <w:lang w:val="en-US" w:eastAsia="zh-CN"/>
              </w:rPr>
            </w:pPr>
            <w:r>
              <w:rPr>
                <w:rFonts w:hint="default"/>
                <w:color w:val="auto"/>
                <w:highlight w:val="none"/>
                <w:lang w:val="en-US" w:eastAsia="zh-CN"/>
              </w:rPr>
              <w:t>监测结果表明，监测区域TSP日均浓度满足《环境空气质量标准》（GB3095-2012）中二级标准。</w:t>
            </w:r>
          </w:p>
          <w:p w14:paraId="4659607C">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jc w:val="left"/>
              <w:textAlignment w:val="auto"/>
              <w:rPr>
                <w:rFonts w:hint="default" w:ascii="Times New Roman" w:hAnsi="Times New Roman" w:cs="Times New Roman"/>
                <w:b/>
                <w:bCs/>
                <w:color w:val="auto"/>
                <w:kern w:val="0"/>
                <w:sz w:val="24"/>
                <w:szCs w:val="24"/>
                <w:highlight w:val="none"/>
                <w:lang w:val="en-US" w:eastAsia="zh-CN"/>
              </w:rPr>
            </w:pPr>
            <w:r>
              <w:rPr>
                <w:rFonts w:hint="eastAsia" w:ascii="Times New Roman" w:hAnsi="Times New Roman" w:cs="Times New Roman"/>
                <w:b/>
                <w:bCs/>
                <w:color w:val="auto"/>
                <w:kern w:val="0"/>
                <w:sz w:val="24"/>
                <w:szCs w:val="24"/>
                <w:highlight w:val="none"/>
                <w:lang w:val="en-US" w:eastAsia="zh-CN"/>
              </w:rPr>
              <w:t>2</w:t>
            </w:r>
            <w:r>
              <w:rPr>
                <w:rFonts w:hint="eastAsia" w:cs="Times New Roman"/>
                <w:b/>
                <w:bCs/>
                <w:color w:val="auto"/>
                <w:kern w:val="0"/>
                <w:sz w:val="24"/>
                <w:szCs w:val="24"/>
                <w:highlight w:val="none"/>
                <w:lang w:val="en-US" w:eastAsia="zh-CN"/>
              </w:rPr>
              <w:t>.</w:t>
            </w:r>
            <w:r>
              <w:rPr>
                <w:rFonts w:hint="default" w:ascii="Times New Roman" w:hAnsi="Times New Roman" w:cs="Times New Roman"/>
                <w:b/>
                <w:bCs/>
                <w:color w:val="auto"/>
                <w:kern w:val="0"/>
                <w:sz w:val="24"/>
                <w:szCs w:val="24"/>
                <w:highlight w:val="none"/>
                <w:lang w:val="en-US" w:eastAsia="zh-CN"/>
              </w:rPr>
              <w:t>声环境质量现状</w:t>
            </w:r>
          </w:p>
          <w:p w14:paraId="46AB47F0">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default" w:ascii="Times New Roman" w:hAnsi="Times New Roman" w:cs="Times New Roman"/>
                <w:b/>
                <w:bCs/>
                <w:color w:val="auto"/>
                <w:kern w:val="0"/>
                <w:sz w:val="24"/>
                <w:szCs w:val="24"/>
                <w:highlight w:val="none"/>
                <w:lang w:val="en-US" w:eastAsia="zh-CN"/>
              </w:rPr>
            </w:pPr>
            <w:r>
              <w:rPr>
                <w:rFonts w:hint="default"/>
                <w:color w:val="auto"/>
                <w:highlight w:val="none"/>
                <w:lang w:val="en-US" w:eastAsia="zh-CN"/>
              </w:rPr>
              <w:t>本项目位于鄂尔多斯市杭锦经济开发区新能源产业园，本项目周围50m范围内不存在声环境保护目标，故不开展现状监测</w:t>
            </w:r>
            <w:r>
              <w:rPr>
                <w:rFonts w:hint="default" w:ascii="Times New Roman" w:hAnsi="Times New Roman" w:cs="Times New Roman"/>
                <w:b/>
                <w:bCs/>
                <w:color w:val="auto"/>
                <w:kern w:val="0"/>
                <w:sz w:val="24"/>
                <w:szCs w:val="24"/>
                <w:highlight w:val="none"/>
                <w:lang w:val="en-US" w:eastAsia="zh-CN"/>
              </w:rPr>
              <w:t>。</w:t>
            </w:r>
          </w:p>
          <w:p w14:paraId="05DC080C">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jc w:val="left"/>
              <w:textAlignment w:val="auto"/>
              <w:rPr>
                <w:rFonts w:hint="default" w:ascii="Times New Roman" w:hAnsi="Times New Roman" w:cs="Times New Roman"/>
                <w:b/>
                <w:bCs/>
                <w:color w:val="auto"/>
                <w:kern w:val="0"/>
                <w:sz w:val="24"/>
                <w:szCs w:val="24"/>
                <w:highlight w:val="none"/>
                <w:lang w:val="en-US" w:eastAsia="zh-CN"/>
              </w:rPr>
            </w:pPr>
            <w:r>
              <w:rPr>
                <w:rFonts w:hint="eastAsia" w:ascii="Times New Roman" w:hAnsi="Times New Roman" w:cs="Times New Roman"/>
                <w:b/>
                <w:bCs/>
                <w:color w:val="auto"/>
                <w:kern w:val="0"/>
                <w:sz w:val="24"/>
                <w:szCs w:val="24"/>
                <w:highlight w:val="none"/>
                <w:lang w:val="en-US" w:eastAsia="zh-CN"/>
              </w:rPr>
              <w:t>3</w:t>
            </w:r>
            <w:r>
              <w:rPr>
                <w:rFonts w:hint="eastAsia" w:cs="Times New Roman"/>
                <w:b/>
                <w:bCs/>
                <w:color w:val="auto"/>
                <w:kern w:val="0"/>
                <w:sz w:val="24"/>
                <w:szCs w:val="24"/>
                <w:highlight w:val="none"/>
                <w:lang w:val="en-US" w:eastAsia="zh-CN"/>
              </w:rPr>
              <w:t>.</w:t>
            </w:r>
            <w:r>
              <w:rPr>
                <w:rFonts w:hint="default" w:ascii="Times New Roman" w:hAnsi="Times New Roman" w:cs="Times New Roman"/>
                <w:b/>
                <w:bCs/>
                <w:color w:val="auto"/>
                <w:kern w:val="0"/>
                <w:sz w:val="24"/>
                <w:szCs w:val="24"/>
                <w:highlight w:val="none"/>
                <w:lang w:val="en-US" w:eastAsia="zh-CN"/>
              </w:rPr>
              <w:t>地下水及土壤环境质量现状</w:t>
            </w:r>
          </w:p>
          <w:p w14:paraId="6A18BB91">
            <w:pPr>
              <w:bidi w:val="0"/>
              <w:rPr>
                <w:rFonts w:hint="default"/>
                <w:color w:val="auto"/>
                <w:highlight w:val="none"/>
                <w:lang w:val="en-US" w:eastAsia="zh-CN"/>
              </w:rPr>
            </w:pPr>
            <w:r>
              <w:rPr>
                <w:rFonts w:hint="default"/>
                <w:color w:val="auto"/>
                <w:highlight w:val="none"/>
                <w:lang w:val="en-US" w:eastAsia="zh-CN"/>
              </w:rPr>
              <w:t>项目运行过程中在做好防渗、严格管理的情况下对地下水、土壤环境污染可能性较小。依据《建设项目环境影响报告表编制技术指南（污染影响类）（试行）》，不开展地下水、土壤环境质量现状调查，本项目实行分区防渗，全封闭生产车间及运输道路进行简单防渗处理；对脱硫循环水池、事故池、初期雨水收集池进行一般防渗处理</w:t>
            </w:r>
            <w:r>
              <w:rPr>
                <w:rFonts w:hint="eastAsia"/>
                <w:color w:val="auto"/>
                <w:highlight w:val="none"/>
                <w:lang w:val="en-US" w:eastAsia="zh-CN"/>
              </w:rPr>
              <w:t>；危险废物暂存间进行重点防渗</w:t>
            </w:r>
            <w:r>
              <w:rPr>
                <w:rFonts w:hint="default"/>
                <w:color w:val="auto"/>
                <w:highlight w:val="none"/>
                <w:lang w:val="en-US" w:eastAsia="zh-CN"/>
              </w:rPr>
              <w:t>。简单防渗进行水泥地面硬化</w:t>
            </w:r>
            <w:r>
              <w:rPr>
                <w:rFonts w:hint="eastAsia"/>
                <w:color w:val="auto"/>
                <w:highlight w:val="none"/>
                <w:lang w:val="en-US" w:eastAsia="zh-CN"/>
              </w:rPr>
              <w:t>，</w:t>
            </w:r>
            <w:r>
              <w:rPr>
                <w:rFonts w:hint="default"/>
                <w:color w:val="auto"/>
                <w:highlight w:val="none"/>
                <w:lang w:val="en-US" w:eastAsia="zh-CN"/>
              </w:rPr>
              <w:t>一般防渗要求防渗性能等效粘土防渗层Mb≥1.5m，K≤1×10</w:t>
            </w:r>
            <w:r>
              <w:rPr>
                <w:rFonts w:hint="default"/>
                <w:color w:val="auto"/>
                <w:highlight w:val="none"/>
                <w:vertAlign w:val="superscript"/>
                <w:lang w:val="en-US" w:eastAsia="zh-CN"/>
              </w:rPr>
              <w:t>-7</w:t>
            </w:r>
            <w:r>
              <w:rPr>
                <w:rFonts w:hint="default"/>
                <w:color w:val="auto"/>
                <w:highlight w:val="none"/>
                <w:lang w:val="en-US" w:eastAsia="zh-CN"/>
              </w:rPr>
              <w:t>cm/s，</w:t>
            </w:r>
            <w:r>
              <w:rPr>
                <w:rFonts w:hint="eastAsia"/>
                <w:color w:val="auto"/>
                <w:highlight w:val="none"/>
                <w:lang w:val="en-US" w:eastAsia="zh-CN"/>
              </w:rPr>
              <w:t>重点防渗按照《危险废物贮存污染控制标准》（GB18597-2023）设计为封闭式、防雨、防风、防晒，危险废物暂存间地面及裙角、泄漏液体集液池均按照《危险废物贮存污染控制标准》（GB18597-2023）相关内容进行防渗，防渗层为至少1m厚黏土层（渗透系数≤1.0×10</w:t>
            </w:r>
            <w:r>
              <w:rPr>
                <w:rFonts w:hint="eastAsia"/>
                <w:color w:val="auto"/>
                <w:highlight w:val="none"/>
                <w:vertAlign w:val="superscript"/>
                <w:lang w:val="en-US" w:eastAsia="zh-CN"/>
              </w:rPr>
              <w:t>-7</w:t>
            </w:r>
            <w:r>
              <w:rPr>
                <w:rFonts w:hint="eastAsia"/>
                <w:color w:val="auto"/>
                <w:highlight w:val="none"/>
                <w:lang w:val="en-US" w:eastAsia="zh-CN"/>
              </w:rPr>
              <w:t>cm/s），或2mm厚高密度聚乙烯，或至少2mm厚的其它人工材料，总体渗透系数≤1.0×10</w:t>
            </w:r>
            <w:r>
              <w:rPr>
                <w:rFonts w:hint="eastAsia"/>
                <w:color w:val="auto"/>
                <w:highlight w:val="none"/>
                <w:vertAlign w:val="superscript"/>
                <w:lang w:val="en-US" w:eastAsia="zh-CN"/>
              </w:rPr>
              <w:t>-10</w:t>
            </w:r>
            <w:r>
              <w:rPr>
                <w:rFonts w:hint="eastAsia"/>
                <w:color w:val="auto"/>
                <w:highlight w:val="none"/>
                <w:lang w:val="en-US" w:eastAsia="zh-CN"/>
              </w:rPr>
              <w:t>cm/s。</w:t>
            </w:r>
            <w:r>
              <w:rPr>
                <w:rFonts w:hint="default"/>
                <w:color w:val="auto"/>
                <w:highlight w:val="none"/>
                <w:lang w:val="en-US" w:eastAsia="zh-CN"/>
              </w:rPr>
              <w:t>经过防渗处理后可防止系统内废水流向地下水环境。项目运行过程中做好防渗、严格管理的情况下对地下水、土壤环境污染可能性较小。因此，本项目未进行项目周边地下水、土壤环境监测。</w:t>
            </w:r>
          </w:p>
        </w:tc>
      </w:tr>
      <w:tr w14:paraId="513505D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27" w:hRule="atLeast"/>
          <w:jc w:val="center"/>
        </w:trPr>
        <w:tc>
          <w:tcPr>
            <w:tcW w:w="800" w:type="dxa"/>
            <w:noWrap w:val="0"/>
            <w:vAlign w:val="center"/>
          </w:tcPr>
          <w:p w14:paraId="6CB65280">
            <w:pPr>
              <w:keepNext w:val="0"/>
              <w:keepLines w:val="0"/>
              <w:pageBreakBefore w:val="0"/>
              <w:widowControl w:val="0"/>
              <w:kinsoku/>
              <w:wordWrap/>
              <w:overflowPunct/>
              <w:topLinePunct w:val="0"/>
              <w:autoSpaceDE w:val="0"/>
              <w:autoSpaceDN w:val="0"/>
              <w:bidi w:val="0"/>
              <w:adjustRightInd w:val="0"/>
              <w:snapToGrid w:val="0"/>
              <w:ind w:firstLine="0" w:firstLineChars="0"/>
              <w:jc w:val="center"/>
              <w:textAlignment w:val="auto"/>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环境</w:t>
            </w:r>
          </w:p>
          <w:p w14:paraId="350669F6">
            <w:pPr>
              <w:keepNext w:val="0"/>
              <w:keepLines w:val="0"/>
              <w:pageBreakBefore w:val="0"/>
              <w:widowControl w:val="0"/>
              <w:kinsoku/>
              <w:wordWrap/>
              <w:overflowPunct/>
              <w:topLinePunct w:val="0"/>
              <w:autoSpaceDE w:val="0"/>
              <w:autoSpaceDN w:val="0"/>
              <w:bidi w:val="0"/>
              <w:adjustRightInd w:val="0"/>
              <w:snapToGrid w:val="0"/>
              <w:ind w:firstLine="0" w:firstLineChars="0"/>
              <w:jc w:val="center"/>
              <w:textAlignment w:val="auto"/>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保护</w:t>
            </w:r>
          </w:p>
          <w:p w14:paraId="33CD2BF4">
            <w:pPr>
              <w:keepNext w:val="0"/>
              <w:keepLines w:val="0"/>
              <w:pageBreakBefore w:val="0"/>
              <w:widowControl w:val="0"/>
              <w:kinsoku/>
              <w:wordWrap/>
              <w:overflowPunct/>
              <w:topLinePunct w:val="0"/>
              <w:autoSpaceDE w:val="0"/>
              <w:autoSpaceDN w:val="0"/>
              <w:bidi w:val="0"/>
              <w:adjustRightInd w:val="0"/>
              <w:snapToGrid w:val="0"/>
              <w:ind w:firstLine="0" w:firstLineChars="0"/>
              <w:jc w:val="center"/>
              <w:textAlignment w:val="auto"/>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目标</w:t>
            </w:r>
          </w:p>
        </w:tc>
        <w:tc>
          <w:tcPr>
            <w:tcW w:w="8190" w:type="dxa"/>
            <w:noWrap w:val="0"/>
            <w:vAlign w:val="center"/>
          </w:tcPr>
          <w:p w14:paraId="3B7BAEB1">
            <w:pPr>
              <w:bidi w:val="0"/>
              <w:rPr>
                <w:rFonts w:hint="default"/>
                <w:color w:val="auto"/>
                <w:sz w:val="21"/>
                <w:szCs w:val="21"/>
                <w:highlight w:val="none"/>
                <w:lang w:eastAsia="zh-CN"/>
              </w:rPr>
            </w:pPr>
            <w:r>
              <w:rPr>
                <w:rFonts w:hint="eastAsia" w:cs="Times New Roman"/>
                <w:color w:val="auto"/>
                <w:kern w:val="0"/>
                <w:szCs w:val="21"/>
                <w:highlight w:val="none"/>
                <w:lang w:val="en-US" w:eastAsia="zh-CN"/>
              </w:rPr>
              <w:t>本项目</w:t>
            </w:r>
            <w:r>
              <w:rPr>
                <w:rFonts w:hint="default"/>
                <w:color w:val="auto"/>
                <w:highlight w:val="none"/>
              </w:rPr>
              <w:t>根据现场勘察，本项目所在区域及其附近没有自然保护区、水源地、重点文物、珍稀动植物资源等重点</w:t>
            </w:r>
            <w:r>
              <w:rPr>
                <w:rFonts w:hint="default"/>
                <w:color w:val="auto"/>
                <w:sz w:val="21"/>
                <w:szCs w:val="21"/>
                <w:highlight w:val="none"/>
              </w:rPr>
              <w:t>保护目标。根据项目性质及周围环境特征，本次调查重点保护对象为调查范围内的村庄散户（居民点），主要保护目标见表3-</w:t>
            </w:r>
            <w:r>
              <w:rPr>
                <w:rFonts w:hint="eastAsia"/>
                <w:color w:val="auto"/>
                <w:sz w:val="21"/>
                <w:szCs w:val="21"/>
                <w:highlight w:val="none"/>
                <w:lang w:val="en-US" w:eastAsia="zh-CN"/>
              </w:rPr>
              <w:t>3</w:t>
            </w:r>
            <w:r>
              <w:rPr>
                <w:rFonts w:hint="default"/>
                <w:color w:val="auto"/>
                <w:sz w:val="21"/>
                <w:szCs w:val="21"/>
                <w:highlight w:val="none"/>
              </w:rPr>
              <w:t>。</w:t>
            </w:r>
          </w:p>
          <w:p w14:paraId="0CEFEC6E">
            <w:pPr>
              <w:autoSpaceDE w:val="0"/>
              <w:autoSpaceDN w:val="0"/>
              <w:adjustRightInd w:val="0"/>
              <w:ind w:left="0" w:leftChars="0"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表3-</w:t>
            </w:r>
            <w:r>
              <w:rPr>
                <w:rFonts w:hint="eastAsia" w:cs="Times New Roman"/>
                <w:b/>
                <w:bCs/>
                <w:color w:val="auto"/>
                <w:sz w:val="21"/>
                <w:szCs w:val="21"/>
                <w:highlight w:val="none"/>
                <w:lang w:val="en-US" w:eastAsia="zh-CN"/>
              </w:rPr>
              <w:t>3</w:t>
            </w:r>
            <w:r>
              <w:rPr>
                <w:rFonts w:hint="default" w:ascii="Times New Roman" w:hAnsi="Times New Roman" w:cs="Times New Roman"/>
                <w:b/>
                <w:bCs/>
                <w:color w:val="auto"/>
                <w:sz w:val="21"/>
                <w:szCs w:val="21"/>
                <w:highlight w:val="none"/>
              </w:rPr>
              <w:t>环境保护目标一览表</w:t>
            </w:r>
          </w:p>
          <w:tbl>
            <w:tblPr>
              <w:tblStyle w:val="23"/>
              <w:tblW w:w="791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7"/>
              <w:gridCol w:w="1426"/>
              <w:gridCol w:w="887"/>
              <w:gridCol w:w="1122"/>
              <w:gridCol w:w="931"/>
              <w:gridCol w:w="2364"/>
            </w:tblGrid>
            <w:tr w14:paraId="4474C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4" w:hRule="atLeast"/>
              </w:trPr>
              <w:tc>
                <w:tcPr>
                  <w:tcW w:w="1187" w:type="dxa"/>
                  <w:noWrap w:val="0"/>
                  <w:vAlign w:val="center"/>
                </w:tcPr>
                <w:p w14:paraId="24C6FC56">
                  <w:pPr>
                    <w:keepNext w:val="0"/>
                    <w:keepLines w:val="0"/>
                    <w:pageBreakBefore w:val="0"/>
                    <w:kinsoku/>
                    <w:wordWrap/>
                    <w:overflowPunct/>
                    <w:topLinePunct w:val="0"/>
                    <w:autoSpaceDE/>
                    <w:autoSpaceDN/>
                    <w:bidi w:val="0"/>
                    <w:adjustRightInd w:val="0"/>
                    <w:snapToGrid w:val="0"/>
                    <w:spacing w:line="240" w:lineRule="auto"/>
                    <w:ind w:firstLine="0" w:firstLineChars="0"/>
                    <w:contextualSpacing/>
                    <w:jc w:val="center"/>
                    <w:textAlignment w:val="auto"/>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环境要素</w:t>
                  </w:r>
                </w:p>
              </w:tc>
              <w:tc>
                <w:tcPr>
                  <w:tcW w:w="1426" w:type="dxa"/>
                  <w:noWrap w:val="0"/>
                  <w:vAlign w:val="center"/>
                </w:tcPr>
                <w:p w14:paraId="05FD81CD">
                  <w:pPr>
                    <w:keepNext w:val="0"/>
                    <w:keepLines w:val="0"/>
                    <w:pageBreakBefore w:val="0"/>
                    <w:kinsoku/>
                    <w:wordWrap/>
                    <w:overflowPunct/>
                    <w:topLinePunct w:val="0"/>
                    <w:autoSpaceDE/>
                    <w:autoSpaceDN/>
                    <w:bidi w:val="0"/>
                    <w:adjustRightInd w:val="0"/>
                    <w:snapToGrid w:val="0"/>
                    <w:spacing w:line="240" w:lineRule="auto"/>
                    <w:ind w:firstLine="0" w:firstLineChars="0"/>
                    <w:contextualSpacing/>
                    <w:jc w:val="center"/>
                    <w:textAlignment w:val="auto"/>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环境保护</w:t>
                  </w:r>
                </w:p>
                <w:p w14:paraId="69823006">
                  <w:pPr>
                    <w:keepNext w:val="0"/>
                    <w:keepLines w:val="0"/>
                    <w:pageBreakBefore w:val="0"/>
                    <w:kinsoku/>
                    <w:wordWrap/>
                    <w:overflowPunct/>
                    <w:topLinePunct w:val="0"/>
                    <w:autoSpaceDE/>
                    <w:autoSpaceDN/>
                    <w:bidi w:val="0"/>
                    <w:adjustRightInd w:val="0"/>
                    <w:snapToGrid w:val="0"/>
                    <w:spacing w:line="240" w:lineRule="auto"/>
                    <w:ind w:firstLine="0" w:firstLineChars="0"/>
                    <w:contextualSpacing/>
                    <w:jc w:val="center"/>
                    <w:textAlignment w:val="auto"/>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对象名称</w:t>
                  </w:r>
                </w:p>
              </w:tc>
              <w:tc>
                <w:tcPr>
                  <w:tcW w:w="887" w:type="dxa"/>
                  <w:noWrap w:val="0"/>
                  <w:vAlign w:val="center"/>
                </w:tcPr>
                <w:p w14:paraId="4A2B9864">
                  <w:pPr>
                    <w:keepNext w:val="0"/>
                    <w:keepLines w:val="0"/>
                    <w:pageBreakBefore w:val="0"/>
                    <w:kinsoku/>
                    <w:wordWrap/>
                    <w:overflowPunct/>
                    <w:topLinePunct w:val="0"/>
                    <w:autoSpaceDE/>
                    <w:autoSpaceDN/>
                    <w:bidi w:val="0"/>
                    <w:adjustRightInd w:val="0"/>
                    <w:snapToGrid w:val="0"/>
                    <w:spacing w:line="240" w:lineRule="auto"/>
                    <w:ind w:firstLine="0" w:firstLineChars="0"/>
                    <w:contextualSpacing/>
                    <w:jc w:val="center"/>
                    <w:textAlignment w:val="auto"/>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方位</w:t>
                  </w:r>
                </w:p>
              </w:tc>
              <w:tc>
                <w:tcPr>
                  <w:tcW w:w="1122" w:type="dxa"/>
                  <w:noWrap w:val="0"/>
                  <w:vAlign w:val="center"/>
                </w:tcPr>
                <w:p w14:paraId="5928A987">
                  <w:pPr>
                    <w:keepNext w:val="0"/>
                    <w:keepLines w:val="0"/>
                    <w:pageBreakBefore w:val="0"/>
                    <w:kinsoku/>
                    <w:wordWrap/>
                    <w:overflowPunct/>
                    <w:topLinePunct w:val="0"/>
                    <w:autoSpaceDE/>
                    <w:autoSpaceDN/>
                    <w:bidi w:val="0"/>
                    <w:adjustRightInd w:val="0"/>
                    <w:snapToGrid w:val="0"/>
                    <w:spacing w:line="240" w:lineRule="auto"/>
                    <w:ind w:firstLine="0" w:firstLineChars="0"/>
                    <w:contextualSpacing/>
                    <w:jc w:val="center"/>
                    <w:textAlignment w:val="auto"/>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与本项目距离（m）</w:t>
                  </w:r>
                </w:p>
              </w:tc>
              <w:tc>
                <w:tcPr>
                  <w:tcW w:w="931" w:type="dxa"/>
                  <w:noWrap w:val="0"/>
                  <w:vAlign w:val="center"/>
                </w:tcPr>
                <w:p w14:paraId="71C53575">
                  <w:pPr>
                    <w:keepNext w:val="0"/>
                    <w:keepLines w:val="0"/>
                    <w:pageBreakBefore w:val="0"/>
                    <w:kinsoku/>
                    <w:wordWrap/>
                    <w:overflowPunct/>
                    <w:topLinePunct w:val="0"/>
                    <w:autoSpaceDE/>
                    <w:autoSpaceDN/>
                    <w:bidi w:val="0"/>
                    <w:adjustRightInd w:val="0"/>
                    <w:snapToGrid w:val="0"/>
                    <w:spacing w:line="240" w:lineRule="auto"/>
                    <w:ind w:firstLine="0" w:firstLineChars="0"/>
                    <w:contextualSpacing/>
                    <w:jc w:val="center"/>
                    <w:textAlignment w:val="auto"/>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规模</w:t>
                  </w:r>
                </w:p>
              </w:tc>
              <w:tc>
                <w:tcPr>
                  <w:tcW w:w="2364" w:type="dxa"/>
                  <w:noWrap w:val="0"/>
                  <w:vAlign w:val="center"/>
                </w:tcPr>
                <w:p w14:paraId="7615023D">
                  <w:pPr>
                    <w:keepNext w:val="0"/>
                    <w:keepLines w:val="0"/>
                    <w:pageBreakBefore w:val="0"/>
                    <w:kinsoku/>
                    <w:wordWrap/>
                    <w:overflowPunct/>
                    <w:topLinePunct w:val="0"/>
                    <w:autoSpaceDE/>
                    <w:autoSpaceDN/>
                    <w:bidi w:val="0"/>
                    <w:adjustRightInd w:val="0"/>
                    <w:snapToGrid w:val="0"/>
                    <w:spacing w:line="240" w:lineRule="auto"/>
                    <w:ind w:firstLine="0" w:firstLineChars="0"/>
                    <w:contextualSpacing/>
                    <w:jc w:val="center"/>
                    <w:textAlignment w:val="auto"/>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环境功能区划</w:t>
                  </w:r>
                </w:p>
              </w:tc>
            </w:tr>
            <w:tr w14:paraId="28EF1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 w:hRule="atLeast"/>
              </w:trPr>
              <w:tc>
                <w:tcPr>
                  <w:tcW w:w="1187" w:type="dxa"/>
                  <w:noWrap w:val="0"/>
                  <w:vAlign w:val="center"/>
                </w:tcPr>
                <w:p w14:paraId="09AAB961">
                  <w:pPr>
                    <w:keepNext w:val="0"/>
                    <w:keepLines w:val="0"/>
                    <w:pageBreakBefore w:val="0"/>
                    <w:kinsoku/>
                    <w:wordWrap/>
                    <w:overflowPunct/>
                    <w:topLinePunct w:val="0"/>
                    <w:autoSpaceDE/>
                    <w:autoSpaceDN/>
                    <w:bidi w:val="0"/>
                    <w:adjustRightInd w:val="0"/>
                    <w:snapToGrid w:val="0"/>
                    <w:spacing w:line="240" w:lineRule="auto"/>
                    <w:ind w:firstLine="0" w:firstLineChars="0"/>
                    <w:contextualSpacing/>
                    <w:jc w:val="center"/>
                    <w:textAlignment w:val="auto"/>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环境空气</w:t>
                  </w:r>
                </w:p>
              </w:tc>
              <w:tc>
                <w:tcPr>
                  <w:tcW w:w="4366" w:type="dxa"/>
                  <w:gridSpan w:val="4"/>
                  <w:noWrap w:val="0"/>
                  <w:vAlign w:val="center"/>
                </w:tcPr>
                <w:p w14:paraId="2BD4D2E7">
                  <w:pPr>
                    <w:keepNext w:val="0"/>
                    <w:keepLines w:val="0"/>
                    <w:pageBreakBefore w:val="0"/>
                    <w:kinsoku/>
                    <w:wordWrap/>
                    <w:overflowPunct/>
                    <w:topLinePunct w:val="0"/>
                    <w:autoSpaceDE/>
                    <w:autoSpaceDN/>
                    <w:bidi w:val="0"/>
                    <w:adjustRightInd w:val="0"/>
                    <w:snapToGrid w:val="0"/>
                    <w:spacing w:line="240" w:lineRule="auto"/>
                    <w:ind w:firstLine="0" w:firstLineChars="0"/>
                    <w:contextualSpacing/>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项目厂界外500m范围内无环境空气保护目标</w:t>
                  </w:r>
                </w:p>
              </w:tc>
              <w:tc>
                <w:tcPr>
                  <w:tcW w:w="2364" w:type="dxa"/>
                  <w:noWrap w:val="0"/>
                  <w:vAlign w:val="center"/>
                </w:tcPr>
                <w:p w14:paraId="3FBA962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highlight w:val="none"/>
                    </w:rPr>
                  </w:pPr>
                  <w:r>
                    <w:rPr>
                      <w:rFonts w:hint="default" w:ascii="Times New Roman" w:hAnsi="Times New Roman" w:cs="Times New Roman"/>
                      <w:b w:val="0"/>
                      <w:bCs w:val="0"/>
                      <w:color w:val="auto"/>
                      <w:kern w:val="0"/>
                      <w:sz w:val="21"/>
                      <w:szCs w:val="21"/>
                      <w:highlight w:val="none"/>
                    </w:rPr>
                    <w:t>《环境空气质量标准》</w:t>
                  </w:r>
                  <w:r>
                    <w:rPr>
                      <w:rFonts w:hint="eastAsia" w:cs="Times New Roman"/>
                      <w:b w:val="0"/>
                      <w:bCs w:val="0"/>
                      <w:color w:val="auto"/>
                      <w:kern w:val="0"/>
                      <w:sz w:val="21"/>
                      <w:szCs w:val="21"/>
                      <w:highlight w:val="none"/>
                      <w:lang w:eastAsia="zh-CN"/>
                    </w:rPr>
                    <w:t>（</w:t>
                  </w:r>
                  <w:r>
                    <w:rPr>
                      <w:rFonts w:hint="default" w:ascii="Times New Roman" w:hAnsi="Times New Roman" w:cs="Times New Roman"/>
                      <w:b w:val="0"/>
                      <w:bCs w:val="0"/>
                      <w:color w:val="auto"/>
                      <w:kern w:val="0"/>
                      <w:sz w:val="21"/>
                      <w:szCs w:val="21"/>
                      <w:highlight w:val="none"/>
                    </w:rPr>
                    <w:t>GB3095-2012</w:t>
                  </w:r>
                  <w:r>
                    <w:rPr>
                      <w:rFonts w:hint="eastAsia" w:cs="Times New Roman"/>
                      <w:b w:val="0"/>
                      <w:bCs w:val="0"/>
                      <w:color w:val="auto"/>
                      <w:kern w:val="0"/>
                      <w:sz w:val="21"/>
                      <w:szCs w:val="21"/>
                      <w:highlight w:val="none"/>
                      <w:lang w:eastAsia="zh-CN"/>
                    </w:rPr>
                    <w:t>）</w:t>
                  </w:r>
                  <w:r>
                    <w:rPr>
                      <w:rFonts w:hint="default" w:ascii="Times New Roman" w:hAnsi="Times New Roman" w:cs="Times New Roman"/>
                      <w:b w:val="0"/>
                      <w:bCs w:val="0"/>
                      <w:color w:val="auto"/>
                      <w:kern w:val="0"/>
                      <w:sz w:val="21"/>
                      <w:szCs w:val="21"/>
                      <w:highlight w:val="none"/>
                    </w:rPr>
                    <w:t>二类区</w:t>
                  </w:r>
                </w:p>
              </w:tc>
            </w:tr>
            <w:tr w14:paraId="79101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87" w:type="dxa"/>
                  <w:noWrap w:val="0"/>
                  <w:vAlign w:val="center"/>
                </w:tcPr>
                <w:p w14:paraId="0682C0B3">
                  <w:pPr>
                    <w:keepNext w:val="0"/>
                    <w:keepLines w:val="0"/>
                    <w:pageBreakBefore w:val="0"/>
                    <w:kinsoku/>
                    <w:wordWrap/>
                    <w:overflowPunct/>
                    <w:topLinePunct w:val="0"/>
                    <w:autoSpaceDE/>
                    <w:autoSpaceDN/>
                    <w:bidi w:val="0"/>
                    <w:adjustRightInd w:val="0"/>
                    <w:snapToGrid w:val="0"/>
                    <w:spacing w:line="240" w:lineRule="auto"/>
                    <w:ind w:firstLine="0" w:firstLineChars="0"/>
                    <w:contextualSpacing/>
                    <w:jc w:val="center"/>
                    <w:textAlignment w:val="auto"/>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声环境</w:t>
                  </w:r>
                </w:p>
              </w:tc>
              <w:tc>
                <w:tcPr>
                  <w:tcW w:w="4366" w:type="dxa"/>
                  <w:gridSpan w:val="4"/>
                  <w:noWrap w:val="0"/>
                  <w:vAlign w:val="center"/>
                </w:tcPr>
                <w:p w14:paraId="06453F90">
                  <w:pPr>
                    <w:keepNext w:val="0"/>
                    <w:keepLines w:val="0"/>
                    <w:pageBreakBefore w:val="0"/>
                    <w:kinsoku/>
                    <w:wordWrap/>
                    <w:overflowPunct/>
                    <w:topLinePunct w:val="0"/>
                    <w:autoSpaceDE/>
                    <w:autoSpaceDN/>
                    <w:bidi w:val="0"/>
                    <w:adjustRightInd w:val="0"/>
                    <w:snapToGrid w:val="0"/>
                    <w:spacing w:line="240" w:lineRule="auto"/>
                    <w:ind w:firstLine="0" w:firstLineChars="0"/>
                    <w:contextualSpacing/>
                    <w:jc w:val="center"/>
                    <w:textAlignment w:val="auto"/>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项目外50m范围内无声环境保护目标</w:t>
                  </w:r>
                </w:p>
              </w:tc>
              <w:tc>
                <w:tcPr>
                  <w:tcW w:w="2364" w:type="dxa"/>
                  <w:noWrap w:val="0"/>
                  <w:vAlign w:val="center"/>
                </w:tcPr>
                <w:p w14:paraId="7283C07A">
                  <w:pPr>
                    <w:keepNext w:val="0"/>
                    <w:keepLines w:val="0"/>
                    <w:pageBreakBefore w:val="0"/>
                    <w:kinsoku/>
                    <w:wordWrap/>
                    <w:overflowPunct/>
                    <w:topLinePunct w:val="0"/>
                    <w:autoSpaceDE/>
                    <w:autoSpaceDN/>
                    <w:bidi w:val="0"/>
                    <w:adjustRightInd w:val="0"/>
                    <w:snapToGrid w:val="0"/>
                    <w:spacing w:line="240" w:lineRule="auto"/>
                    <w:ind w:firstLine="0" w:firstLineChars="0"/>
                    <w:contextualSpacing/>
                    <w:jc w:val="center"/>
                    <w:textAlignment w:val="auto"/>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《声环境质量标准》</w:t>
                  </w:r>
                  <w:r>
                    <w:rPr>
                      <w:rFonts w:hint="eastAsia" w:cs="Times New Roman"/>
                      <w:b w:val="0"/>
                      <w:bCs w:val="0"/>
                      <w:color w:val="auto"/>
                      <w:sz w:val="21"/>
                      <w:szCs w:val="21"/>
                      <w:highlight w:val="none"/>
                      <w:lang w:eastAsia="zh-CN"/>
                    </w:rPr>
                    <w:t>（</w:t>
                  </w:r>
                  <w:r>
                    <w:rPr>
                      <w:rFonts w:hint="default" w:ascii="Times New Roman" w:hAnsi="Times New Roman" w:cs="Times New Roman"/>
                      <w:b w:val="0"/>
                      <w:bCs w:val="0"/>
                      <w:color w:val="auto"/>
                      <w:sz w:val="21"/>
                      <w:szCs w:val="21"/>
                      <w:highlight w:val="none"/>
                    </w:rPr>
                    <w:t>GB3096-2008</w:t>
                  </w:r>
                  <w:r>
                    <w:rPr>
                      <w:rFonts w:hint="eastAsia" w:cs="Times New Roman"/>
                      <w:b w:val="0"/>
                      <w:bCs w:val="0"/>
                      <w:color w:val="auto"/>
                      <w:sz w:val="21"/>
                      <w:szCs w:val="21"/>
                      <w:highlight w:val="none"/>
                      <w:lang w:eastAsia="zh-CN"/>
                    </w:rPr>
                    <w:t>）</w:t>
                  </w:r>
                  <w:r>
                    <w:rPr>
                      <w:rFonts w:hint="eastAsia" w:cs="Times New Roman"/>
                      <w:b w:val="0"/>
                      <w:bCs w:val="0"/>
                      <w:color w:val="auto"/>
                      <w:sz w:val="21"/>
                      <w:szCs w:val="21"/>
                      <w:highlight w:val="none"/>
                      <w:lang w:val="en-US" w:eastAsia="zh-CN"/>
                    </w:rPr>
                    <w:t>3</w:t>
                  </w:r>
                  <w:r>
                    <w:rPr>
                      <w:rFonts w:hint="default" w:ascii="Times New Roman" w:hAnsi="Times New Roman" w:cs="Times New Roman"/>
                      <w:b w:val="0"/>
                      <w:bCs w:val="0"/>
                      <w:color w:val="auto"/>
                      <w:sz w:val="21"/>
                      <w:szCs w:val="21"/>
                      <w:highlight w:val="none"/>
                    </w:rPr>
                    <w:t>类标准</w:t>
                  </w:r>
                </w:p>
              </w:tc>
            </w:tr>
            <w:tr w14:paraId="78A40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87" w:type="dxa"/>
                  <w:noWrap w:val="0"/>
                  <w:vAlign w:val="center"/>
                </w:tcPr>
                <w:p w14:paraId="0AC7A889">
                  <w:pPr>
                    <w:keepNext w:val="0"/>
                    <w:keepLines w:val="0"/>
                    <w:pageBreakBefore w:val="0"/>
                    <w:kinsoku/>
                    <w:wordWrap/>
                    <w:overflowPunct/>
                    <w:topLinePunct w:val="0"/>
                    <w:autoSpaceDE/>
                    <w:autoSpaceDN/>
                    <w:bidi w:val="0"/>
                    <w:adjustRightInd w:val="0"/>
                    <w:snapToGrid w:val="0"/>
                    <w:spacing w:line="240" w:lineRule="auto"/>
                    <w:ind w:firstLine="0" w:firstLineChars="0"/>
                    <w:contextualSpacing/>
                    <w:jc w:val="center"/>
                    <w:textAlignment w:val="auto"/>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水环境</w:t>
                  </w:r>
                </w:p>
              </w:tc>
              <w:tc>
                <w:tcPr>
                  <w:tcW w:w="4366" w:type="dxa"/>
                  <w:gridSpan w:val="4"/>
                  <w:noWrap w:val="0"/>
                  <w:vAlign w:val="center"/>
                </w:tcPr>
                <w:p w14:paraId="0C8D2EC7">
                  <w:pPr>
                    <w:keepNext w:val="0"/>
                    <w:keepLines w:val="0"/>
                    <w:pageBreakBefore w:val="0"/>
                    <w:kinsoku/>
                    <w:wordWrap/>
                    <w:overflowPunct/>
                    <w:topLinePunct w:val="0"/>
                    <w:autoSpaceDE/>
                    <w:autoSpaceDN/>
                    <w:bidi w:val="0"/>
                    <w:adjustRightInd w:val="0"/>
                    <w:snapToGrid w:val="0"/>
                    <w:spacing w:line="240" w:lineRule="auto"/>
                    <w:ind w:firstLine="0" w:firstLineChars="0"/>
                    <w:contextualSpacing/>
                    <w:textAlignment w:val="auto"/>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项目外500m范围内无地下水集中式饮用水水源和热水、矿泉水、温水等特殊地下水资源</w:t>
                  </w:r>
                </w:p>
              </w:tc>
              <w:tc>
                <w:tcPr>
                  <w:tcW w:w="2364" w:type="dxa"/>
                  <w:noWrap w:val="0"/>
                  <w:vAlign w:val="center"/>
                </w:tcPr>
                <w:p w14:paraId="32DC2D18">
                  <w:pPr>
                    <w:keepNext w:val="0"/>
                    <w:keepLines w:val="0"/>
                    <w:pageBreakBefore w:val="0"/>
                    <w:kinsoku/>
                    <w:wordWrap/>
                    <w:overflowPunct/>
                    <w:topLinePunct w:val="0"/>
                    <w:autoSpaceDE/>
                    <w:autoSpaceDN/>
                    <w:bidi w:val="0"/>
                    <w:adjustRightInd w:val="0"/>
                    <w:snapToGrid w:val="0"/>
                    <w:spacing w:line="240" w:lineRule="auto"/>
                    <w:ind w:firstLine="0" w:firstLineChars="0"/>
                    <w:contextualSpacing/>
                    <w:jc w:val="center"/>
                    <w:textAlignment w:val="auto"/>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《地下水质量标准》（GB/T14848-2017）中Ⅲ类标准</w:t>
                  </w:r>
                </w:p>
              </w:tc>
            </w:tr>
          </w:tbl>
          <w:p w14:paraId="68409A1F">
            <w:pPr>
              <w:keepNext w:val="0"/>
              <w:keepLines w:val="0"/>
              <w:pageBreakBefore w:val="0"/>
              <w:widowControl w:val="0"/>
              <w:kinsoku/>
              <w:wordWrap/>
              <w:overflowPunct/>
              <w:topLinePunct w:val="0"/>
              <w:autoSpaceDE w:val="0"/>
              <w:autoSpaceDN w:val="0"/>
              <w:bidi w:val="0"/>
              <w:adjustRightInd w:val="0"/>
              <w:snapToGrid w:val="0"/>
              <w:jc w:val="both"/>
              <w:textAlignment w:val="auto"/>
              <w:rPr>
                <w:rFonts w:hint="eastAsia" w:ascii="Times New Roman" w:hAnsi="Times New Roman" w:eastAsia="宋体" w:cs="Times New Roman"/>
                <w:color w:val="auto"/>
                <w:kern w:val="0"/>
                <w:szCs w:val="21"/>
                <w:highlight w:val="none"/>
                <w:lang w:val="en-US" w:eastAsia="zh-CN"/>
              </w:rPr>
            </w:pPr>
          </w:p>
        </w:tc>
      </w:tr>
      <w:tr w14:paraId="0561C49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800" w:type="dxa"/>
            <w:noWrap w:val="0"/>
            <w:tcMar>
              <w:left w:w="28" w:type="dxa"/>
              <w:right w:w="28" w:type="dxa"/>
            </w:tcMar>
            <w:vAlign w:val="center"/>
          </w:tcPr>
          <w:p w14:paraId="1B0CB4DF">
            <w:pPr>
              <w:keepNext w:val="0"/>
              <w:keepLines w:val="0"/>
              <w:pageBreakBefore w:val="0"/>
              <w:widowControl w:val="0"/>
              <w:kinsoku/>
              <w:wordWrap/>
              <w:overflowPunct/>
              <w:topLinePunct w:val="0"/>
              <w:autoSpaceDE w:val="0"/>
              <w:autoSpaceDN w:val="0"/>
              <w:bidi w:val="0"/>
              <w:adjustRightInd w:val="0"/>
              <w:snapToGrid w:val="0"/>
              <w:ind w:firstLine="0" w:firstLineChars="0"/>
              <w:jc w:val="center"/>
              <w:textAlignment w:val="auto"/>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污染</w:t>
            </w:r>
          </w:p>
          <w:p w14:paraId="45984125">
            <w:pPr>
              <w:keepNext w:val="0"/>
              <w:keepLines w:val="0"/>
              <w:pageBreakBefore w:val="0"/>
              <w:widowControl w:val="0"/>
              <w:kinsoku/>
              <w:wordWrap/>
              <w:overflowPunct/>
              <w:topLinePunct w:val="0"/>
              <w:autoSpaceDE w:val="0"/>
              <w:autoSpaceDN w:val="0"/>
              <w:bidi w:val="0"/>
              <w:adjustRightInd w:val="0"/>
              <w:snapToGrid w:val="0"/>
              <w:ind w:firstLine="0" w:firstLineChars="0"/>
              <w:jc w:val="center"/>
              <w:textAlignment w:val="auto"/>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物排</w:t>
            </w:r>
          </w:p>
          <w:p w14:paraId="3F10627C">
            <w:pPr>
              <w:keepNext w:val="0"/>
              <w:keepLines w:val="0"/>
              <w:pageBreakBefore w:val="0"/>
              <w:widowControl w:val="0"/>
              <w:kinsoku/>
              <w:wordWrap/>
              <w:overflowPunct/>
              <w:topLinePunct w:val="0"/>
              <w:autoSpaceDE w:val="0"/>
              <w:autoSpaceDN w:val="0"/>
              <w:bidi w:val="0"/>
              <w:adjustRightInd w:val="0"/>
              <w:snapToGrid w:val="0"/>
              <w:ind w:firstLine="0" w:firstLineChars="0"/>
              <w:jc w:val="center"/>
              <w:textAlignment w:val="auto"/>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放控</w:t>
            </w:r>
          </w:p>
          <w:p w14:paraId="7BA47EAE">
            <w:pPr>
              <w:keepNext w:val="0"/>
              <w:keepLines w:val="0"/>
              <w:pageBreakBefore w:val="0"/>
              <w:widowControl w:val="0"/>
              <w:kinsoku/>
              <w:wordWrap/>
              <w:overflowPunct/>
              <w:topLinePunct w:val="0"/>
              <w:autoSpaceDE w:val="0"/>
              <w:autoSpaceDN w:val="0"/>
              <w:bidi w:val="0"/>
              <w:adjustRightInd w:val="0"/>
              <w:snapToGrid w:val="0"/>
              <w:ind w:firstLine="0" w:firstLineChars="0"/>
              <w:jc w:val="center"/>
              <w:textAlignment w:val="auto"/>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制标</w:t>
            </w:r>
          </w:p>
          <w:p w14:paraId="104905A4">
            <w:pPr>
              <w:keepNext w:val="0"/>
              <w:keepLines w:val="0"/>
              <w:pageBreakBefore w:val="0"/>
              <w:widowControl w:val="0"/>
              <w:kinsoku/>
              <w:wordWrap/>
              <w:overflowPunct/>
              <w:topLinePunct w:val="0"/>
              <w:autoSpaceDE w:val="0"/>
              <w:autoSpaceDN w:val="0"/>
              <w:bidi w:val="0"/>
              <w:adjustRightInd w:val="0"/>
              <w:snapToGrid w:val="0"/>
              <w:ind w:firstLine="0" w:firstLineChars="0"/>
              <w:jc w:val="center"/>
              <w:textAlignment w:val="auto"/>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准</w:t>
            </w:r>
          </w:p>
        </w:tc>
        <w:tc>
          <w:tcPr>
            <w:tcW w:w="8190" w:type="dxa"/>
            <w:noWrap w:val="0"/>
            <w:vAlign w:val="center"/>
          </w:tcPr>
          <w:p w14:paraId="3ACF3B8E">
            <w:pPr>
              <w:adjustRightInd w:val="0"/>
              <w:snapToGrid w:val="0"/>
              <w:jc w:val="both"/>
              <w:rPr>
                <w:rFonts w:hint="eastAsia" w:cs="Times New Roman"/>
                <w:b/>
                <w:bCs/>
                <w:color w:val="auto"/>
                <w:kern w:val="0"/>
                <w:szCs w:val="21"/>
                <w:highlight w:val="none"/>
                <w:lang w:val="en-US" w:eastAsia="zh-CN"/>
              </w:rPr>
            </w:pPr>
            <w:r>
              <w:rPr>
                <w:rFonts w:hint="eastAsia" w:cs="Times New Roman"/>
                <w:b/>
                <w:bCs/>
                <w:color w:val="auto"/>
                <w:kern w:val="0"/>
                <w:szCs w:val="21"/>
                <w:highlight w:val="none"/>
                <w:lang w:val="en-US" w:eastAsia="zh-CN"/>
              </w:rPr>
              <w:t>1.废气</w:t>
            </w:r>
          </w:p>
          <w:p w14:paraId="5DF6F03E">
            <w:pPr>
              <w:bidi w:val="0"/>
              <w:rPr>
                <w:rFonts w:hint="eastAsia"/>
                <w:b/>
                <w:bCs/>
                <w:color w:val="auto"/>
                <w:sz w:val="24"/>
                <w:highlight w:val="none"/>
                <w:lang w:val="en-US"/>
              </w:rPr>
            </w:pPr>
            <w:r>
              <w:rPr>
                <w:rFonts w:hint="eastAsia"/>
                <w:color w:val="auto"/>
                <w:highlight w:val="none"/>
              </w:rPr>
              <w:t>运营期</w:t>
            </w:r>
            <w:r>
              <w:rPr>
                <w:rFonts w:hint="eastAsia"/>
                <w:color w:val="auto"/>
                <w:highlight w:val="none"/>
                <w:lang w:val="en-US" w:eastAsia="zh-CN"/>
              </w:rPr>
              <w:t>竖窑煅烧</w:t>
            </w:r>
            <w:r>
              <w:rPr>
                <w:rFonts w:hint="eastAsia"/>
                <w:color w:val="auto"/>
                <w:highlight w:val="none"/>
                <w:lang w:val="en-US"/>
              </w:rPr>
              <w:t>产生的有组织</w:t>
            </w:r>
            <w:r>
              <w:rPr>
                <w:rFonts w:hint="eastAsia"/>
                <w:color w:val="auto"/>
                <w:highlight w:val="none"/>
              </w:rPr>
              <w:t>烟尘《工业炉窑大气污染物排放标准》（GB9078-1996）</w:t>
            </w:r>
            <w:r>
              <w:rPr>
                <w:rFonts w:hint="eastAsia"/>
                <w:color w:val="auto"/>
                <w:highlight w:val="none"/>
                <w:lang w:val="en-US" w:eastAsia="zh-CN"/>
              </w:rPr>
              <w:t>表2</w:t>
            </w:r>
            <w:r>
              <w:rPr>
                <w:rFonts w:hint="eastAsia"/>
                <w:color w:val="auto"/>
                <w:highlight w:val="none"/>
              </w:rPr>
              <w:t>二级标准，SO</w:t>
            </w:r>
            <w:r>
              <w:rPr>
                <w:rFonts w:hint="eastAsia"/>
                <w:color w:val="auto"/>
                <w:highlight w:val="none"/>
                <w:vertAlign w:val="subscript"/>
              </w:rPr>
              <w:t>2</w:t>
            </w:r>
            <w:r>
              <w:rPr>
                <w:rFonts w:hint="eastAsia"/>
                <w:color w:val="auto"/>
                <w:highlight w:val="none"/>
                <w:lang w:eastAsia="zh-CN"/>
              </w:rPr>
              <w:t>、</w:t>
            </w:r>
            <w:r>
              <w:rPr>
                <w:rFonts w:hint="eastAsia"/>
                <w:color w:val="auto"/>
                <w:highlight w:val="none"/>
              </w:rPr>
              <w:t>NO</w:t>
            </w:r>
            <w:r>
              <w:rPr>
                <w:rFonts w:hint="eastAsia"/>
                <w:color w:val="auto"/>
                <w:highlight w:val="none"/>
                <w:vertAlign w:val="subscript"/>
              </w:rPr>
              <w:t>X</w:t>
            </w:r>
            <w:r>
              <w:rPr>
                <w:rFonts w:hint="eastAsia"/>
                <w:color w:val="auto"/>
                <w:highlight w:val="none"/>
              </w:rPr>
              <w:t>参照执行《大气污染物综合排放标准》（GB16297-1996）表2</w:t>
            </w:r>
            <w:r>
              <w:rPr>
                <w:rFonts w:hint="eastAsia"/>
                <w:color w:val="auto"/>
                <w:highlight w:val="none"/>
                <w:lang w:val="en-US"/>
              </w:rPr>
              <w:t>中二级</w:t>
            </w:r>
            <w:r>
              <w:rPr>
                <w:rFonts w:hint="eastAsia"/>
                <w:color w:val="auto"/>
                <w:highlight w:val="none"/>
              </w:rPr>
              <w:t>标准；</w:t>
            </w:r>
            <w:r>
              <w:rPr>
                <w:rFonts w:hint="eastAsia"/>
                <w:color w:val="auto"/>
                <w:highlight w:val="none"/>
                <w:lang w:val="en-US" w:eastAsia="zh-CN"/>
              </w:rPr>
              <w:t>无组织废气</w:t>
            </w:r>
            <w:r>
              <w:rPr>
                <w:rFonts w:hint="eastAsia"/>
                <w:color w:val="auto"/>
                <w:highlight w:val="none"/>
              </w:rPr>
              <w:t>执行《大气污染物综合排放标准》（GB16297-1996）表2</w:t>
            </w:r>
            <w:r>
              <w:rPr>
                <w:rFonts w:hint="eastAsia"/>
                <w:color w:val="auto"/>
                <w:highlight w:val="none"/>
                <w:lang w:val="en-US" w:eastAsia="zh-CN"/>
              </w:rPr>
              <w:t>无组织排放监控浓度限值要求</w:t>
            </w:r>
            <w:r>
              <w:rPr>
                <w:rFonts w:hint="eastAsia"/>
                <w:color w:val="auto"/>
                <w:highlight w:val="none"/>
              </w:rPr>
              <w:t>。</w:t>
            </w:r>
          </w:p>
          <w:p w14:paraId="49DEAE59">
            <w:pPr>
              <w:pStyle w:val="55"/>
              <w:spacing w:line="360" w:lineRule="auto"/>
              <w:jc w:val="center"/>
              <w:rPr>
                <w:rFonts w:hint="eastAsia"/>
                <w:b/>
                <w:bCs/>
                <w:color w:val="auto"/>
                <w:sz w:val="24"/>
                <w:highlight w:val="none"/>
                <w:lang w:val="en-US"/>
              </w:rPr>
            </w:pPr>
            <w:r>
              <w:rPr>
                <w:rFonts w:hint="eastAsia"/>
                <w:b/>
                <w:bCs/>
                <w:color w:val="auto"/>
                <w:sz w:val="24"/>
                <w:highlight w:val="none"/>
                <w:lang w:val="en-US"/>
              </w:rPr>
              <w:t>表3-</w:t>
            </w:r>
            <w:r>
              <w:rPr>
                <w:rFonts w:hint="eastAsia" w:eastAsia="宋体"/>
                <w:b/>
                <w:bCs/>
                <w:color w:val="auto"/>
                <w:sz w:val="24"/>
                <w:highlight w:val="none"/>
                <w:lang w:val="en-US" w:eastAsia="zh-CN"/>
              </w:rPr>
              <w:t>4</w:t>
            </w:r>
            <w:r>
              <w:rPr>
                <w:rFonts w:hint="eastAsia"/>
                <w:b/>
                <w:bCs/>
                <w:color w:val="auto"/>
                <w:sz w:val="24"/>
                <w:highlight w:val="none"/>
                <w:lang w:val="en-US"/>
              </w:rPr>
              <w:t>运营期</w:t>
            </w:r>
            <w:r>
              <w:rPr>
                <w:rFonts w:hint="eastAsia"/>
                <w:b/>
                <w:bCs/>
                <w:color w:val="auto"/>
                <w:sz w:val="24"/>
                <w:highlight w:val="none"/>
                <w:lang w:val="en-US" w:eastAsia="zh-CN"/>
              </w:rPr>
              <w:t>废气</w:t>
            </w:r>
            <w:r>
              <w:rPr>
                <w:rFonts w:hint="eastAsia"/>
                <w:b/>
                <w:bCs/>
                <w:color w:val="auto"/>
                <w:sz w:val="24"/>
                <w:highlight w:val="none"/>
                <w:lang w:val="en-US"/>
              </w:rPr>
              <w:t>污染物排放执行标准</w:t>
            </w:r>
          </w:p>
          <w:tbl>
            <w:tblPr>
              <w:tblStyle w:val="23"/>
              <w:tblW w:w="77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6"/>
              <w:gridCol w:w="700"/>
              <w:gridCol w:w="750"/>
              <w:gridCol w:w="880"/>
              <w:gridCol w:w="950"/>
              <w:gridCol w:w="690"/>
              <w:gridCol w:w="1150"/>
              <w:gridCol w:w="2141"/>
            </w:tblGrid>
            <w:tr w14:paraId="1CEB5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trPr>
              <w:tc>
                <w:tcPr>
                  <w:tcW w:w="1236" w:type="dxa"/>
                  <w:gridSpan w:val="2"/>
                  <w:vMerge w:val="restart"/>
                  <w:noWrap w:val="0"/>
                  <w:vAlign w:val="center"/>
                </w:tcPr>
                <w:p w14:paraId="7994B0D9">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eastAsia"/>
                      <w:color w:val="auto"/>
                      <w:highlight w:val="none"/>
                      <w:lang w:val="en-US"/>
                    </w:rPr>
                  </w:pPr>
                  <w:r>
                    <w:rPr>
                      <w:rFonts w:hint="eastAsia"/>
                      <w:color w:val="auto"/>
                      <w:highlight w:val="none"/>
                      <w:lang w:val="en-US"/>
                    </w:rPr>
                    <w:t>污染物</w:t>
                  </w:r>
                </w:p>
              </w:tc>
              <w:tc>
                <w:tcPr>
                  <w:tcW w:w="750" w:type="dxa"/>
                  <w:vMerge w:val="restart"/>
                  <w:noWrap w:val="0"/>
                  <w:vAlign w:val="center"/>
                </w:tcPr>
                <w:p w14:paraId="6FB9DFAB">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eastAsia"/>
                      <w:color w:val="auto"/>
                      <w:highlight w:val="none"/>
                      <w:lang w:val="en-US"/>
                    </w:rPr>
                  </w:pPr>
                  <w:r>
                    <w:rPr>
                      <w:rFonts w:hint="eastAsia"/>
                      <w:color w:val="auto"/>
                      <w:highlight w:val="none"/>
                      <w:lang w:val="en-US"/>
                    </w:rPr>
                    <w:t>排放限值（mg/m³）</w:t>
                  </w:r>
                </w:p>
              </w:tc>
              <w:tc>
                <w:tcPr>
                  <w:tcW w:w="880" w:type="dxa"/>
                  <w:vMerge w:val="restart"/>
                  <w:noWrap w:val="0"/>
                  <w:vAlign w:val="center"/>
                </w:tcPr>
                <w:p w14:paraId="2F56F30E">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eastAsia"/>
                      <w:color w:val="auto"/>
                      <w:highlight w:val="none"/>
                      <w:lang w:val="en-US"/>
                    </w:rPr>
                  </w:pPr>
                  <w:r>
                    <w:rPr>
                      <w:rFonts w:hint="eastAsia"/>
                      <w:color w:val="auto"/>
                      <w:highlight w:val="none"/>
                      <w:lang w:val="en-US"/>
                    </w:rPr>
                    <w:t>排气筒高度（m）</w:t>
                  </w:r>
                </w:p>
              </w:tc>
              <w:tc>
                <w:tcPr>
                  <w:tcW w:w="950" w:type="dxa"/>
                  <w:vMerge w:val="restart"/>
                  <w:noWrap w:val="0"/>
                  <w:vAlign w:val="center"/>
                </w:tcPr>
                <w:p w14:paraId="6F5F1069">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eastAsia"/>
                      <w:color w:val="auto"/>
                      <w:highlight w:val="none"/>
                      <w:lang w:val="en-US"/>
                    </w:rPr>
                  </w:pPr>
                  <w:r>
                    <w:rPr>
                      <w:rFonts w:hint="eastAsia"/>
                      <w:color w:val="auto"/>
                      <w:highlight w:val="none"/>
                      <w:lang w:val="en-US"/>
                    </w:rPr>
                    <w:t>最高允许排放速率（kg/h）</w:t>
                  </w:r>
                </w:p>
              </w:tc>
              <w:tc>
                <w:tcPr>
                  <w:tcW w:w="1840" w:type="dxa"/>
                  <w:gridSpan w:val="2"/>
                  <w:noWrap w:val="0"/>
                  <w:vAlign w:val="center"/>
                </w:tcPr>
                <w:p w14:paraId="1379C8A5">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eastAsia"/>
                      <w:color w:val="auto"/>
                      <w:highlight w:val="none"/>
                      <w:lang w:val="en-US"/>
                    </w:rPr>
                  </w:pPr>
                  <w:r>
                    <w:rPr>
                      <w:rFonts w:hint="eastAsia"/>
                      <w:color w:val="auto"/>
                      <w:highlight w:val="none"/>
                      <w:lang w:val="en-US"/>
                    </w:rPr>
                    <w:t>无组织排放监控点</w:t>
                  </w:r>
                </w:p>
              </w:tc>
              <w:tc>
                <w:tcPr>
                  <w:tcW w:w="2141" w:type="dxa"/>
                  <w:vMerge w:val="restart"/>
                  <w:noWrap w:val="0"/>
                  <w:vAlign w:val="center"/>
                </w:tcPr>
                <w:p w14:paraId="0317D2FC">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eastAsia"/>
                      <w:color w:val="auto"/>
                      <w:highlight w:val="none"/>
                      <w:lang w:val="en-US"/>
                    </w:rPr>
                  </w:pPr>
                  <w:r>
                    <w:rPr>
                      <w:rFonts w:hint="eastAsia"/>
                      <w:color w:val="auto"/>
                      <w:highlight w:val="none"/>
                      <w:lang w:val="en-US"/>
                    </w:rPr>
                    <w:t>备注</w:t>
                  </w:r>
                </w:p>
              </w:tc>
            </w:tr>
            <w:tr w14:paraId="2A39E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trPr>
              <w:tc>
                <w:tcPr>
                  <w:tcW w:w="1236" w:type="dxa"/>
                  <w:gridSpan w:val="2"/>
                  <w:vMerge w:val="continue"/>
                  <w:noWrap w:val="0"/>
                  <w:vAlign w:val="center"/>
                </w:tcPr>
                <w:p w14:paraId="073B2395">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eastAsia"/>
                      <w:color w:val="auto"/>
                      <w:highlight w:val="none"/>
                      <w:lang w:val="en-US"/>
                    </w:rPr>
                  </w:pPr>
                </w:p>
              </w:tc>
              <w:tc>
                <w:tcPr>
                  <w:tcW w:w="750" w:type="dxa"/>
                  <w:vMerge w:val="continue"/>
                  <w:noWrap w:val="0"/>
                  <w:vAlign w:val="center"/>
                </w:tcPr>
                <w:p w14:paraId="607BCEDB">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eastAsia"/>
                      <w:color w:val="auto"/>
                      <w:highlight w:val="none"/>
                      <w:lang w:val="en-US"/>
                    </w:rPr>
                  </w:pPr>
                </w:p>
              </w:tc>
              <w:tc>
                <w:tcPr>
                  <w:tcW w:w="880" w:type="dxa"/>
                  <w:vMerge w:val="continue"/>
                  <w:noWrap w:val="0"/>
                  <w:vAlign w:val="center"/>
                </w:tcPr>
                <w:p w14:paraId="397547A4">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eastAsia"/>
                      <w:color w:val="auto"/>
                      <w:highlight w:val="none"/>
                      <w:lang w:val="en-US"/>
                    </w:rPr>
                  </w:pPr>
                </w:p>
              </w:tc>
              <w:tc>
                <w:tcPr>
                  <w:tcW w:w="950" w:type="dxa"/>
                  <w:vMerge w:val="continue"/>
                  <w:noWrap w:val="0"/>
                  <w:vAlign w:val="center"/>
                </w:tcPr>
                <w:p w14:paraId="530E7236">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eastAsia"/>
                      <w:color w:val="auto"/>
                      <w:highlight w:val="none"/>
                      <w:lang w:val="en-US"/>
                    </w:rPr>
                  </w:pPr>
                </w:p>
              </w:tc>
              <w:tc>
                <w:tcPr>
                  <w:tcW w:w="690" w:type="dxa"/>
                  <w:noWrap w:val="0"/>
                  <w:vAlign w:val="center"/>
                </w:tcPr>
                <w:p w14:paraId="7FABB790">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eastAsia"/>
                      <w:color w:val="auto"/>
                      <w:highlight w:val="none"/>
                      <w:lang w:val="en-US"/>
                    </w:rPr>
                  </w:pPr>
                  <w:r>
                    <w:rPr>
                      <w:rFonts w:hint="eastAsia"/>
                      <w:color w:val="auto"/>
                      <w:highlight w:val="none"/>
                      <w:lang w:val="en-US"/>
                    </w:rPr>
                    <w:t>监控点</w:t>
                  </w:r>
                </w:p>
              </w:tc>
              <w:tc>
                <w:tcPr>
                  <w:tcW w:w="1150" w:type="dxa"/>
                  <w:noWrap w:val="0"/>
                  <w:vAlign w:val="center"/>
                </w:tcPr>
                <w:p w14:paraId="1EE18C6E">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eastAsia"/>
                      <w:color w:val="auto"/>
                      <w:highlight w:val="none"/>
                      <w:lang w:val="en-US"/>
                    </w:rPr>
                  </w:pPr>
                  <w:r>
                    <w:rPr>
                      <w:rFonts w:hint="eastAsia"/>
                      <w:color w:val="auto"/>
                      <w:highlight w:val="none"/>
                      <w:lang w:val="en-US"/>
                    </w:rPr>
                    <w:t>浓度值</w:t>
                  </w:r>
                </w:p>
                <w:p w14:paraId="7DEDCB14">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eastAsia"/>
                      <w:color w:val="auto"/>
                      <w:highlight w:val="none"/>
                      <w:lang w:val="en-US"/>
                    </w:rPr>
                  </w:pPr>
                  <w:r>
                    <w:rPr>
                      <w:rFonts w:hint="eastAsia"/>
                      <w:color w:val="auto"/>
                      <w:highlight w:val="none"/>
                      <w:lang w:val="en-US"/>
                    </w:rPr>
                    <w:t>（mg/m³）</w:t>
                  </w:r>
                </w:p>
              </w:tc>
              <w:tc>
                <w:tcPr>
                  <w:tcW w:w="2141" w:type="dxa"/>
                  <w:vMerge w:val="continue"/>
                  <w:noWrap w:val="0"/>
                  <w:vAlign w:val="center"/>
                </w:tcPr>
                <w:p w14:paraId="71F61B51">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eastAsia"/>
                      <w:color w:val="auto"/>
                      <w:highlight w:val="none"/>
                      <w:lang w:val="en-US"/>
                    </w:rPr>
                  </w:pPr>
                </w:p>
              </w:tc>
            </w:tr>
            <w:tr w14:paraId="4C4BC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 w:hRule="atLeast"/>
              </w:trPr>
              <w:tc>
                <w:tcPr>
                  <w:tcW w:w="536" w:type="dxa"/>
                  <w:vMerge w:val="restart"/>
                  <w:noWrap w:val="0"/>
                  <w:vAlign w:val="center"/>
                </w:tcPr>
                <w:p w14:paraId="29E6ED9F">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eastAsia="宋体"/>
                      <w:color w:val="auto"/>
                      <w:highlight w:val="none"/>
                      <w:lang w:val="en-US" w:eastAsia="zh-CN"/>
                    </w:rPr>
                  </w:pPr>
                  <w:r>
                    <w:rPr>
                      <w:rFonts w:hint="default" w:eastAsia="宋体"/>
                      <w:color w:val="auto"/>
                      <w:highlight w:val="none"/>
                      <w:lang w:val="en-US" w:eastAsia="zh-CN"/>
                    </w:rPr>
                    <w:t>DA002</w:t>
                  </w:r>
                </w:p>
              </w:tc>
              <w:tc>
                <w:tcPr>
                  <w:tcW w:w="700" w:type="dxa"/>
                  <w:noWrap w:val="0"/>
                  <w:vAlign w:val="center"/>
                </w:tcPr>
                <w:p w14:paraId="5015E24C">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eastAsia" w:eastAsia="宋体"/>
                      <w:color w:val="auto"/>
                      <w:highlight w:val="none"/>
                      <w:lang w:val="en-US" w:eastAsia="zh-CN"/>
                    </w:rPr>
                  </w:pPr>
                  <w:r>
                    <w:rPr>
                      <w:rFonts w:hint="eastAsia"/>
                      <w:color w:val="auto"/>
                      <w:highlight w:val="none"/>
                      <w:lang w:val="en-US" w:eastAsia="zh-CN"/>
                    </w:rPr>
                    <w:t>粉尘</w:t>
                  </w:r>
                </w:p>
              </w:tc>
              <w:tc>
                <w:tcPr>
                  <w:tcW w:w="750" w:type="dxa"/>
                  <w:noWrap w:val="0"/>
                  <w:vAlign w:val="center"/>
                </w:tcPr>
                <w:p w14:paraId="43B5E03A">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eastAsia="宋体"/>
                      <w:color w:val="auto"/>
                      <w:highlight w:val="none"/>
                      <w:lang w:val="en-US" w:eastAsia="zh-CN"/>
                    </w:rPr>
                  </w:pPr>
                  <w:r>
                    <w:rPr>
                      <w:rFonts w:hint="eastAsia"/>
                      <w:color w:val="auto"/>
                      <w:highlight w:val="none"/>
                      <w:lang w:val="en-US" w:eastAsia="zh-CN"/>
                    </w:rPr>
                    <w:t>200</w:t>
                  </w:r>
                </w:p>
              </w:tc>
              <w:tc>
                <w:tcPr>
                  <w:tcW w:w="880" w:type="dxa"/>
                  <w:vMerge w:val="restart"/>
                  <w:noWrap w:val="0"/>
                  <w:vAlign w:val="center"/>
                </w:tcPr>
                <w:p w14:paraId="4263401D">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eastAsia="宋体"/>
                      <w:color w:val="auto"/>
                      <w:highlight w:val="none"/>
                      <w:lang w:val="en-US" w:eastAsia="zh-CN"/>
                    </w:rPr>
                  </w:pPr>
                  <w:r>
                    <w:rPr>
                      <w:rFonts w:hint="eastAsia"/>
                      <w:color w:val="auto"/>
                      <w:highlight w:val="none"/>
                      <w:lang w:val="en-US" w:eastAsia="zh-CN"/>
                    </w:rPr>
                    <w:t>37</w:t>
                  </w:r>
                </w:p>
              </w:tc>
              <w:tc>
                <w:tcPr>
                  <w:tcW w:w="950" w:type="dxa"/>
                  <w:noWrap w:val="0"/>
                  <w:vAlign w:val="center"/>
                </w:tcPr>
                <w:p w14:paraId="74E6242C">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eastAsia"/>
                      <w:color w:val="auto"/>
                      <w:highlight w:val="none"/>
                      <w:lang w:val="en-US"/>
                    </w:rPr>
                  </w:pPr>
                  <w:r>
                    <w:rPr>
                      <w:rFonts w:hint="eastAsia"/>
                      <w:color w:val="auto"/>
                      <w:highlight w:val="none"/>
                      <w:lang w:val="en-US"/>
                    </w:rPr>
                    <w:t>/</w:t>
                  </w:r>
                </w:p>
              </w:tc>
              <w:tc>
                <w:tcPr>
                  <w:tcW w:w="690" w:type="dxa"/>
                  <w:noWrap w:val="0"/>
                  <w:vAlign w:val="center"/>
                </w:tcPr>
                <w:p w14:paraId="0A85BD80">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eastAsia" w:eastAsia="宋体"/>
                      <w:color w:val="auto"/>
                      <w:highlight w:val="none"/>
                      <w:lang w:val="en-US" w:eastAsia="zh-CN"/>
                    </w:rPr>
                  </w:pPr>
                  <w:r>
                    <w:rPr>
                      <w:rFonts w:hint="eastAsia"/>
                      <w:color w:val="auto"/>
                      <w:highlight w:val="none"/>
                      <w:lang w:val="en-US" w:eastAsia="zh-CN"/>
                    </w:rPr>
                    <w:t>/</w:t>
                  </w:r>
                </w:p>
              </w:tc>
              <w:tc>
                <w:tcPr>
                  <w:tcW w:w="1150" w:type="dxa"/>
                  <w:noWrap w:val="0"/>
                  <w:vAlign w:val="center"/>
                </w:tcPr>
                <w:p w14:paraId="452AD156">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eastAsia"/>
                      <w:color w:val="auto"/>
                      <w:highlight w:val="none"/>
                      <w:lang w:val="en-US"/>
                    </w:rPr>
                  </w:pPr>
                  <w:r>
                    <w:rPr>
                      <w:rFonts w:hint="eastAsia"/>
                      <w:color w:val="auto"/>
                      <w:highlight w:val="none"/>
                      <w:lang w:val="en-US"/>
                    </w:rPr>
                    <w:t>/</w:t>
                  </w:r>
                </w:p>
              </w:tc>
              <w:tc>
                <w:tcPr>
                  <w:tcW w:w="2141" w:type="dxa"/>
                  <w:noWrap w:val="0"/>
                  <w:vAlign w:val="center"/>
                </w:tcPr>
                <w:p w14:paraId="2DFF35FF">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eastAsia"/>
                      <w:color w:val="auto"/>
                      <w:highlight w:val="none"/>
                      <w:lang w:val="en-US"/>
                    </w:rPr>
                  </w:pPr>
                  <w:r>
                    <w:rPr>
                      <w:rFonts w:hint="eastAsia"/>
                      <w:color w:val="auto"/>
                      <w:highlight w:val="none"/>
                    </w:rPr>
                    <w:t>《工业炉窑大气污染物排放标准》（GB9078-1996）</w:t>
                  </w:r>
                  <w:r>
                    <w:rPr>
                      <w:rFonts w:hint="eastAsia"/>
                      <w:color w:val="auto"/>
                      <w:highlight w:val="none"/>
                      <w:lang w:val="en-US" w:eastAsia="zh-CN"/>
                    </w:rPr>
                    <w:t>表2</w:t>
                  </w:r>
                  <w:r>
                    <w:rPr>
                      <w:rFonts w:hint="eastAsia"/>
                      <w:color w:val="auto"/>
                      <w:highlight w:val="none"/>
                    </w:rPr>
                    <w:t>二级标准</w:t>
                  </w:r>
                </w:p>
              </w:tc>
            </w:tr>
            <w:tr w14:paraId="7F05A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6" w:hRule="atLeast"/>
              </w:trPr>
              <w:tc>
                <w:tcPr>
                  <w:tcW w:w="536" w:type="dxa"/>
                  <w:vMerge w:val="continue"/>
                  <w:noWrap w:val="0"/>
                  <w:vAlign w:val="center"/>
                </w:tcPr>
                <w:p w14:paraId="5E33F14A">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eastAsia"/>
                      <w:color w:val="auto"/>
                      <w:highlight w:val="none"/>
                      <w:lang w:val="en-US"/>
                    </w:rPr>
                  </w:pPr>
                </w:p>
              </w:tc>
              <w:tc>
                <w:tcPr>
                  <w:tcW w:w="700" w:type="dxa"/>
                  <w:noWrap w:val="0"/>
                  <w:vAlign w:val="center"/>
                </w:tcPr>
                <w:p w14:paraId="72F0DFDD">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color w:val="auto"/>
                      <w:highlight w:val="none"/>
                      <w:lang w:val="en-US"/>
                    </w:rPr>
                  </w:pPr>
                  <w:r>
                    <w:rPr>
                      <w:rFonts w:hint="eastAsia"/>
                      <w:color w:val="auto"/>
                      <w:highlight w:val="none"/>
                      <w:lang w:val="en-US"/>
                    </w:rPr>
                    <w:t>SO</w:t>
                  </w:r>
                  <w:r>
                    <w:rPr>
                      <w:rFonts w:hint="eastAsia"/>
                      <w:color w:val="auto"/>
                      <w:highlight w:val="none"/>
                      <w:vertAlign w:val="subscript"/>
                      <w:lang w:val="en-US"/>
                    </w:rPr>
                    <w:t>2</w:t>
                  </w:r>
                </w:p>
              </w:tc>
              <w:tc>
                <w:tcPr>
                  <w:tcW w:w="750" w:type="dxa"/>
                  <w:noWrap w:val="0"/>
                  <w:vAlign w:val="center"/>
                </w:tcPr>
                <w:p w14:paraId="44F06475">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eastAsia="宋体"/>
                      <w:color w:val="auto"/>
                      <w:highlight w:val="none"/>
                      <w:lang w:val="en-US" w:eastAsia="zh-CN"/>
                    </w:rPr>
                  </w:pPr>
                  <w:r>
                    <w:rPr>
                      <w:rFonts w:hint="eastAsia"/>
                      <w:color w:val="auto"/>
                      <w:highlight w:val="none"/>
                      <w:lang w:val="en-US" w:eastAsia="zh-CN"/>
                    </w:rPr>
                    <w:t>550</w:t>
                  </w:r>
                </w:p>
              </w:tc>
              <w:tc>
                <w:tcPr>
                  <w:tcW w:w="880" w:type="dxa"/>
                  <w:vMerge w:val="continue"/>
                  <w:noWrap w:val="0"/>
                  <w:vAlign w:val="center"/>
                </w:tcPr>
                <w:p w14:paraId="65B5077D">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eastAsia"/>
                      <w:color w:val="auto"/>
                      <w:highlight w:val="none"/>
                      <w:lang w:val="en-US"/>
                    </w:rPr>
                  </w:pPr>
                </w:p>
              </w:tc>
              <w:tc>
                <w:tcPr>
                  <w:tcW w:w="950" w:type="dxa"/>
                  <w:noWrap w:val="0"/>
                  <w:vAlign w:val="center"/>
                </w:tcPr>
                <w:p w14:paraId="0331E2DF">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eastAsia="宋体"/>
                      <w:color w:val="auto"/>
                      <w:highlight w:val="none"/>
                      <w:lang w:val="en-US" w:eastAsia="zh-CN"/>
                    </w:rPr>
                  </w:pPr>
                  <w:r>
                    <w:rPr>
                      <w:rFonts w:hint="eastAsia"/>
                      <w:color w:val="auto"/>
                      <w:highlight w:val="none"/>
                      <w:lang w:val="en-US" w:eastAsia="zh-CN"/>
                    </w:rPr>
                    <w:t>22</w:t>
                  </w:r>
                </w:p>
              </w:tc>
              <w:tc>
                <w:tcPr>
                  <w:tcW w:w="690" w:type="dxa"/>
                  <w:vMerge w:val="restart"/>
                  <w:noWrap w:val="0"/>
                  <w:vAlign w:val="center"/>
                </w:tcPr>
                <w:p w14:paraId="7D5993EE">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eastAsia"/>
                      <w:color w:val="auto"/>
                      <w:highlight w:val="none"/>
                      <w:lang w:val="en-US"/>
                    </w:rPr>
                  </w:pPr>
                  <w:r>
                    <w:rPr>
                      <w:rFonts w:hint="eastAsia"/>
                      <w:color w:val="auto"/>
                      <w:highlight w:val="none"/>
                      <w:lang w:val="en-US"/>
                    </w:rPr>
                    <w:t>周界外浓度最高点</w:t>
                  </w:r>
                </w:p>
              </w:tc>
              <w:tc>
                <w:tcPr>
                  <w:tcW w:w="1150" w:type="dxa"/>
                  <w:noWrap w:val="0"/>
                  <w:vAlign w:val="center"/>
                </w:tcPr>
                <w:p w14:paraId="76231666">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eastAsia="宋体"/>
                      <w:color w:val="auto"/>
                      <w:highlight w:val="none"/>
                      <w:lang w:val="en-US" w:eastAsia="zh-CN"/>
                    </w:rPr>
                  </w:pPr>
                  <w:r>
                    <w:rPr>
                      <w:rFonts w:hint="eastAsia"/>
                      <w:color w:val="auto"/>
                      <w:highlight w:val="none"/>
                      <w:lang w:val="en-US" w:eastAsia="zh-CN"/>
                    </w:rPr>
                    <w:t>0.40</w:t>
                  </w:r>
                </w:p>
              </w:tc>
              <w:tc>
                <w:tcPr>
                  <w:tcW w:w="2141" w:type="dxa"/>
                  <w:vMerge w:val="restart"/>
                  <w:noWrap w:val="0"/>
                  <w:vAlign w:val="center"/>
                </w:tcPr>
                <w:p w14:paraId="52F62228">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eastAsia"/>
                      <w:color w:val="auto"/>
                      <w:highlight w:val="none"/>
                      <w:lang w:val="en-US"/>
                    </w:rPr>
                  </w:pPr>
                  <w:r>
                    <w:rPr>
                      <w:rFonts w:hint="eastAsia"/>
                      <w:color w:val="auto"/>
                      <w:highlight w:val="none"/>
                      <w:lang w:val="en-US" w:eastAsia="zh-CN"/>
                    </w:rPr>
                    <w:t>《</w:t>
                  </w:r>
                  <w:r>
                    <w:rPr>
                      <w:rFonts w:hint="eastAsia"/>
                      <w:color w:val="auto"/>
                      <w:highlight w:val="none"/>
                      <w:lang w:val="en-US"/>
                    </w:rPr>
                    <w:t>大气污染物综合排放标准》（GB16297-1996）表2中二级标准</w:t>
                  </w:r>
                </w:p>
              </w:tc>
            </w:tr>
            <w:tr w14:paraId="23AF3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536" w:type="dxa"/>
                  <w:vMerge w:val="continue"/>
                  <w:noWrap w:val="0"/>
                  <w:vAlign w:val="center"/>
                </w:tcPr>
                <w:p w14:paraId="42117D1D">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eastAsia"/>
                      <w:color w:val="auto"/>
                      <w:highlight w:val="none"/>
                      <w:lang w:val="en-US"/>
                    </w:rPr>
                  </w:pPr>
                </w:p>
              </w:tc>
              <w:tc>
                <w:tcPr>
                  <w:tcW w:w="700" w:type="dxa"/>
                  <w:noWrap w:val="0"/>
                  <w:vAlign w:val="center"/>
                </w:tcPr>
                <w:p w14:paraId="107F6CC4">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color w:val="auto"/>
                      <w:highlight w:val="none"/>
                      <w:lang w:val="en-US"/>
                    </w:rPr>
                  </w:pPr>
                  <w:r>
                    <w:rPr>
                      <w:rFonts w:hint="eastAsia"/>
                      <w:color w:val="auto"/>
                      <w:highlight w:val="none"/>
                      <w:lang w:val="en-US"/>
                    </w:rPr>
                    <w:t>NO</w:t>
                  </w:r>
                  <w:r>
                    <w:rPr>
                      <w:rFonts w:hint="eastAsia"/>
                      <w:color w:val="auto"/>
                      <w:highlight w:val="none"/>
                      <w:vertAlign w:val="subscript"/>
                      <w:lang w:val="en-US"/>
                    </w:rPr>
                    <w:t>X</w:t>
                  </w:r>
                </w:p>
              </w:tc>
              <w:tc>
                <w:tcPr>
                  <w:tcW w:w="750" w:type="dxa"/>
                  <w:noWrap w:val="0"/>
                  <w:vAlign w:val="center"/>
                </w:tcPr>
                <w:p w14:paraId="64F5058E">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eastAsia="宋体"/>
                      <w:color w:val="auto"/>
                      <w:highlight w:val="none"/>
                      <w:lang w:val="en-US" w:eastAsia="zh-CN"/>
                    </w:rPr>
                  </w:pPr>
                  <w:r>
                    <w:rPr>
                      <w:rFonts w:hint="eastAsia"/>
                      <w:color w:val="auto"/>
                      <w:highlight w:val="none"/>
                      <w:lang w:val="en-US" w:eastAsia="zh-CN"/>
                    </w:rPr>
                    <w:t>240</w:t>
                  </w:r>
                </w:p>
              </w:tc>
              <w:tc>
                <w:tcPr>
                  <w:tcW w:w="880" w:type="dxa"/>
                  <w:vMerge w:val="continue"/>
                  <w:noWrap w:val="0"/>
                  <w:vAlign w:val="center"/>
                </w:tcPr>
                <w:p w14:paraId="13C79F43">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eastAsia" w:eastAsia="宋体"/>
                      <w:color w:val="auto"/>
                      <w:highlight w:val="none"/>
                      <w:lang w:val="en-US" w:eastAsia="zh-CN"/>
                    </w:rPr>
                  </w:pPr>
                </w:p>
              </w:tc>
              <w:tc>
                <w:tcPr>
                  <w:tcW w:w="950" w:type="dxa"/>
                  <w:noWrap w:val="0"/>
                  <w:vAlign w:val="center"/>
                </w:tcPr>
                <w:p w14:paraId="7C4A32B8">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eastAsia="宋体"/>
                      <w:color w:val="auto"/>
                      <w:highlight w:val="none"/>
                      <w:lang w:val="en-US" w:eastAsia="zh-CN"/>
                    </w:rPr>
                  </w:pPr>
                  <w:r>
                    <w:rPr>
                      <w:rFonts w:hint="eastAsia"/>
                      <w:color w:val="auto"/>
                      <w:highlight w:val="none"/>
                      <w:lang w:val="en-US" w:eastAsia="zh-CN"/>
                    </w:rPr>
                    <w:t>6.57</w:t>
                  </w:r>
                </w:p>
              </w:tc>
              <w:tc>
                <w:tcPr>
                  <w:tcW w:w="690" w:type="dxa"/>
                  <w:vMerge w:val="continue"/>
                  <w:noWrap w:val="0"/>
                  <w:vAlign w:val="center"/>
                </w:tcPr>
                <w:p w14:paraId="0AD95CCB">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eastAsia"/>
                      <w:color w:val="auto"/>
                      <w:highlight w:val="none"/>
                      <w:lang w:val="en-US"/>
                    </w:rPr>
                  </w:pPr>
                </w:p>
              </w:tc>
              <w:tc>
                <w:tcPr>
                  <w:tcW w:w="1150" w:type="dxa"/>
                  <w:noWrap w:val="0"/>
                  <w:vAlign w:val="center"/>
                </w:tcPr>
                <w:p w14:paraId="3E562083">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eastAsia="宋体"/>
                      <w:color w:val="auto"/>
                      <w:highlight w:val="none"/>
                      <w:lang w:val="en-US" w:eastAsia="zh-CN"/>
                    </w:rPr>
                  </w:pPr>
                  <w:r>
                    <w:rPr>
                      <w:rFonts w:hint="eastAsia"/>
                      <w:color w:val="auto"/>
                      <w:highlight w:val="none"/>
                      <w:lang w:val="en-US" w:eastAsia="zh-CN"/>
                    </w:rPr>
                    <w:t>0.12</w:t>
                  </w:r>
                </w:p>
              </w:tc>
              <w:tc>
                <w:tcPr>
                  <w:tcW w:w="2141" w:type="dxa"/>
                  <w:vMerge w:val="continue"/>
                  <w:noWrap w:val="0"/>
                  <w:vAlign w:val="center"/>
                </w:tcPr>
                <w:p w14:paraId="25CCC9D5">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eastAsia"/>
                      <w:color w:val="auto"/>
                      <w:highlight w:val="none"/>
                      <w:lang w:val="en-US"/>
                    </w:rPr>
                  </w:pPr>
                </w:p>
              </w:tc>
            </w:tr>
            <w:tr w14:paraId="153E5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536" w:type="dxa"/>
                  <w:noWrap w:val="0"/>
                  <w:vAlign w:val="center"/>
                </w:tcPr>
                <w:p w14:paraId="59AAA542">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eastAsia="宋体"/>
                      <w:color w:val="auto"/>
                      <w:highlight w:val="none"/>
                      <w:lang w:val="en-US" w:eastAsia="zh-CN"/>
                    </w:rPr>
                  </w:pPr>
                  <w:r>
                    <w:rPr>
                      <w:rFonts w:hint="eastAsia"/>
                      <w:color w:val="auto"/>
                      <w:highlight w:val="none"/>
                      <w:lang w:val="en-US" w:eastAsia="zh-CN"/>
                    </w:rPr>
                    <w:t>DA001</w:t>
                  </w:r>
                </w:p>
              </w:tc>
              <w:tc>
                <w:tcPr>
                  <w:tcW w:w="700" w:type="dxa"/>
                  <w:noWrap w:val="0"/>
                  <w:vAlign w:val="center"/>
                </w:tcPr>
                <w:p w14:paraId="69BF0969">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eastAsia="宋体"/>
                      <w:color w:val="auto"/>
                      <w:highlight w:val="none"/>
                      <w:lang w:val="en-US" w:eastAsia="zh-CN"/>
                    </w:rPr>
                  </w:pPr>
                  <w:r>
                    <w:rPr>
                      <w:rFonts w:hint="eastAsia"/>
                      <w:color w:val="auto"/>
                      <w:highlight w:val="none"/>
                      <w:lang w:val="en-US" w:eastAsia="zh-CN"/>
                    </w:rPr>
                    <w:t>颗粒物</w:t>
                  </w:r>
                </w:p>
              </w:tc>
              <w:tc>
                <w:tcPr>
                  <w:tcW w:w="750" w:type="dxa"/>
                  <w:noWrap w:val="0"/>
                  <w:vAlign w:val="center"/>
                </w:tcPr>
                <w:p w14:paraId="0AB33D42">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120</w:t>
                  </w:r>
                </w:p>
              </w:tc>
              <w:tc>
                <w:tcPr>
                  <w:tcW w:w="880" w:type="dxa"/>
                  <w:noWrap w:val="0"/>
                  <w:vAlign w:val="center"/>
                </w:tcPr>
                <w:p w14:paraId="6EBDFBF0">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eastAsia="宋体"/>
                      <w:color w:val="auto"/>
                      <w:highlight w:val="none"/>
                      <w:lang w:val="en-US" w:eastAsia="zh-CN"/>
                    </w:rPr>
                  </w:pPr>
                  <w:r>
                    <w:rPr>
                      <w:rFonts w:hint="eastAsia"/>
                      <w:color w:val="auto"/>
                      <w:highlight w:val="none"/>
                      <w:lang w:val="en-US" w:eastAsia="zh-CN"/>
                    </w:rPr>
                    <w:t>15m</w:t>
                  </w:r>
                </w:p>
              </w:tc>
              <w:tc>
                <w:tcPr>
                  <w:tcW w:w="950" w:type="dxa"/>
                  <w:noWrap w:val="0"/>
                  <w:vAlign w:val="center"/>
                </w:tcPr>
                <w:p w14:paraId="475734F6">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3.5</w:t>
                  </w:r>
                </w:p>
              </w:tc>
              <w:tc>
                <w:tcPr>
                  <w:tcW w:w="690" w:type="dxa"/>
                  <w:noWrap w:val="0"/>
                  <w:vAlign w:val="center"/>
                </w:tcPr>
                <w:p w14:paraId="11B63CD8">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eastAsia"/>
                      <w:color w:val="auto"/>
                      <w:highlight w:val="none"/>
                      <w:lang w:val="en-US"/>
                    </w:rPr>
                  </w:pPr>
                  <w:r>
                    <w:rPr>
                      <w:rFonts w:hint="eastAsia"/>
                      <w:color w:val="auto"/>
                      <w:highlight w:val="none"/>
                      <w:lang w:val="en-US"/>
                    </w:rPr>
                    <w:t>周界外浓度最高点</w:t>
                  </w:r>
                </w:p>
              </w:tc>
              <w:tc>
                <w:tcPr>
                  <w:tcW w:w="1150" w:type="dxa"/>
                  <w:noWrap w:val="0"/>
                  <w:vAlign w:val="center"/>
                </w:tcPr>
                <w:p w14:paraId="41F77F5A">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1.0</w:t>
                  </w:r>
                </w:p>
              </w:tc>
              <w:tc>
                <w:tcPr>
                  <w:tcW w:w="2141" w:type="dxa"/>
                  <w:noWrap w:val="0"/>
                  <w:vAlign w:val="center"/>
                </w:tcPr>
                <w:p w14:paraId="073D2425">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eastAsia"/>
                      <w:color w:val="auto"/>
                      <w:highlight w:val="none"/>
                      <w:lang w:val="en-US"/>
                    </w:rPr>
                  </w:pPr>
                  <w:r>
                    <w:rPr>
                      <w:rFonts w:hint="eastAsia"/>
                      <w:color w:val="auto"/>
                      <w:highlight w:val="none"/>
                      <w:lang w:val="en-US" w:eastAsia="zh-CN"/>
                    </w:rPr>
                    <w:t>《</w:t>
                  </w:r>
                  <w:r>
                    <w:rPr>
                      <w:rFonts w:hint="eastAsia"/>
                      <w:color w:val="auto"/>
                      <w:highlight w:val="none"/>
                      <w:lang w:val="en-US"/>
                    </w:rPr>
                    <w:t>大气污染物综合排放标准》（GB16297-1996）表2中二级标准</w:t>
                  </w:r>
                </w:p>
              </w:tc>
            </w:tr>
            <w:tr w14:paraId="7DFEA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8" w:hRule="atLeast"/>
              </w:trPr>
              <w:tc>
                <w:tcPr>
                  <w:tcW w:w="1236" w:type="dxa"/>
                  <w:gridSpan w:val="2"/>
                  <w:noWrap w:val="0"/>
                  <w:vAlign w:val="center"/>
                </w:tcPr>
                <w:p w14:paraId="3AE515BE">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eastAsia"/>
                      <w:color w:val="auto"/>
                      <w:highlight w:val="none"/>
                      <w:lang w:val="en-US"/>
                    </w:rPr>
                  </w:pPr>
                  <w:r>
                    <w:rPr>
                      <w:rFonts w:hint="eastAsia"/>
                      <w:color w:val="auto"/>
                      <w:highlight w:val="none"/>
                      <w:lang w:val="en-US"/>
                    </w:rPr>
                    <w:t>无组织颗粒物</w:t>
                  </w:r>
                </w:p>
              </w:tc>
              <w:tc>
                <w:tcPr>
                  <w:tcW w:w="750" w:type="dxa"/>
                  <w:noWrap w:val="0"/>
                  <w:vAlign w:val="center"/>
                </w:tcPr>
                <w:p w14:paraId="1EE39B86">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eastAsia"/>
                      <w:color w:val="auto"/>
                      <w:highlight w:val="none"/>
                      <w:lang w:val="en-US"/>
                    </w:rPr>
                  </w:pPr>
                  <w:r>
                    <w:rPr>
                      <w:rFonts w:hint="eastAsia"/>
                      <w:color w:val="auto"/>
                      <w:highlight w:val="none"/>
                      <w:lang w:val="en-US"/>
                    </w:rPr>
                    <w:t>/</w:t>
                  </w:r>
                </w:p>
              </w:tc>
              <w:tc>
                <w:tcPr>
                  <w:tcW w:w="880" w:type="dxa"/>
                  <w:noWrap w:val="0"/>
                  <w:vAlign w:val="center"/>
                </w:tcPr>
                <w:p w14:paraId="49644758">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eastAsia"/>
                      <w:color w:val="auto"/>
                      <w:highlight w:val="none"/>
                      <w:lang w:val="en-US"/>
                    </w:rPr>
                  </w:pPr>
                  <w:r>
                    <w:rPr>
                      <w:rFonts w:hint="eastAsia"/>
                      <w:color w:val="auto"/>
                      <w:highlight w:val="none"/>
                      <w:lang w:val="en-US"/>
                    </w:rPr>
                    <w:t>/</w:t>
                  </w:r>
                </w:p>
              </w:tc>
              <w:tc>
                <w:tcPr>
                  <w:tcW w:w="950" w:type="dxa"/>
                  <w:noWrap w:val="0"/>
                  <w:vAlign w:val="center"/>
                </w:tcPr>
                <w:p w14:paraId="03EB48CB">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eastAsia"/>
                      <w:color w:val="auto"/>
                      <w:highlight w:val="none"/>
                      <w:lang w:val="en-US"/>
                    </w:rPr>
                  </w:pPr>
                  <w:r>
                    <w:rPr>
                      <w:rFonts w:hint="eastAsia"/>
                      <w:color w:val="auto"/>
                      <w:highlight w:val="none"/>
                      <w:lang w:val="en-US"/>
                    </w:rPr>
                    <w:t>/</w:t>
                  </w:r>
                </w:p>
              </w:tc>
              <w:tc>
                <w:tcPr>
                  <w:tcW w:w="690" w:type="dxa"/>
                  <w:noWrap w:val="0"/>
                  <w:vAlign w:val="center"/>
                </w:tcPr>
                <w:p w14:paraId="50B4B489">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eastAsia"/>
                      <w:color w:val="auto"/>
                      <w:highlight w:val="none"/>
                      <w:lang w:val="en-US"/>
                    </w:rPr>
                  </w:pPr>
                  <w:r>
                    <w:rPr>
                      <w:rFonts w:hint="eastAsia"/>
                      <w:color w:val="auto"/>
                      <w:highlight w:val="none"/>
                      <w:lang w:val="en-US"/>
                    </w:rPr>
                    <w:t>周界外浓度最高点</w:t>
                  </w:r>
                </w:p>
              </w:tc>
              <w:tc>
                <w:tcPr>
                  <w:tcW w:w="1150" w:type="dxa"/>
                  <w:noWrap w:val="0"/>
                  <w:vAlign w:val="center"/>
                </w:tcPr>
                <w:p w14:paraId="3EA6DBE6">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eastAsia"/>
                      <w:color w:val="auto"/>
                      <w:highlight w:val="none"/>
                      <w:lang w:val="en-US"/>
                    </w:rPr>
                  </w:pPr>
                  <w:r>
                    <w:rPr>
                      <w:rFonts w:hint="eastAsia"/>
                      <w:color w:val="auto"/>
                      <w:highlight w:val="none"/>
                      <w:lang w:val="en-US"/>
                    </w:rPr>
                    <w:t>1.0</w:t>
                  </w:r>
                </w:p>
              </w:tc>
              <w:tc>
                <w:tcPr>
                  <w:tcW w:w="2141" w:type="dxa"/>
                  <w:noWrap w:val="0"/>
                  <w:vAlign w:val="center"/>
                </w:tcPr>
                <w:p w14:paraId="03A992C2">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rPr>
                    <w:t>《大气污染物综合排放标准》（GB16297-1996）表2</w:t>
                  </w:r>
                  <w:r>
                    <w:rPr>
                      <w:rFonts w:hint="eastAsia"/>
                      <w:color w:val="auto"/>
                      <w:highlight w:val="none"/>
                      <w:lang w:val="en-US" w:eastAsia="zh-CN"/>
                    </w:rPr>
                    <w:t>无组织排放监控浓度限值要求</w:t>
                  </w:r>
                </w:p>
              </w:tc>
            </w:tr>
          </w:tbl>
          <w:p w14:paraId="02462F6D">
            <w:pPr>
              <w:bidi w:val="0"/>
              <w:rPr>
                <w:rFonts w:hint="eastAsia"/>
                <w:b/>
                <w:bCs/>
                <w:color w:val="auto"/>
                <w:highlight w:val="none"/>
                <w:lang w:val="en-US" w:eastAsia="zh-CN"/>
              </w:rPr>
            </w:pPr>
            <w:r>
              <w:rPr>
                <w:rFonts w:hint="eastAsia"/>
                <w:b/>
                <w:bCs/>
                <w:color w:val="auto"/>
                <w:highlight w:val="none"/>
                <w:lang w:val="en-US" w:eastAsia="zh-CN"/>
              </w:rPr>
              <w:t>2.噪声</w:t>
            </w:r>
          </w:p>
          <w:p w14:paraId="6872A451">
            <w:pPr>
              <w:bidi w:val="0"/>
              <w:rPr>
                <w:rFonts w:hint="eastAsia"/>
                <w:color w:val="auto"/>
                <w:highlight w:val="none"/>
                <w:lang w:val="en-US" w:eastAsia="zh-CN"/>
              </w:rPr>
            </w:pPr>
            <w:r>
              <w:rPr>
                <w:rFonts w:hint="eastAsia"/>
                <w:color w:val="auto"/>
                <w:highlight w:val="none"/>
                <w:lang w:val="en-US" w:eastAsia="zh-CN"/>
              </w:rPr>
              <w:t>本项目运营期噪声排放执行《工业企业厂界环境噪声排放标准》（GB12348-2008）3类标准。</w:t>
            </w:r>
          </w:p>
          <w:p w14:paraId="3C64DE4A">
            <w:pPr>
              <w:bidi w:val="0"/>
              <w:ind w:left="0" w:leftChars="0" w:firstLine="0" w:firstLineChars="0"/>
              <w:jc w:val="center"/>
              <w:rPr>
                <w:rFonts w:hint="default"/>
                <w:b/>
                <w:bCs/>
                <w:color w:val="auto"/>
                <w:highlight w:val="none"/>
                <w:vertAlign w:val="baseline"/>
                <w:lang w:val="en-US" w:eastAsia="zh-CN"/>
              </w:rPr>
            </w:pPr>
            <w:r>
              <w:rPr>
                <w:rFonts w:hint="eastAsia"/>
                <w:b/>
                <w:bCs/>
                <w:color w:val="auto"/>
                <w:highlight w:val="none"/>
                <w:lang w:val="en-US" w:eastAsia="zh-CN"/>
              </w:rPr>
              <w:t>表3-5噪声排放标准</w:t>
            </w: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58"/>
              <w:gridCol w:w="2658"/>
              <w:gridCol w:w="2658"/>
            </w:tblGrid>
            <w:tr w14:paraId="4C561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58" w:type="dxa"/>
                </w:tcPr>
                <w:p w14:paraId="6825245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类别</w:t>
                  </w:r>
                </w:p>
              </w:tc>
              <w:tc>
                <w:tcPr>
                  <w:tcW w:w="2658" w:type="dxa"/>
                </w:tcPr>
                <w:p w14:paraId="1741BEE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昼间</w:t>
                  </w:r>
                </w:p>
              </w:tc>
              <w:tc>
                <w:tcPr>
                  <w:tcW w:w="2658" w:type="dxa"/>
                </w:tcPr>
                <w:p w14:paraId="5C36E9A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夜间</w:t>
                  </w:r>
                </w:p>
              </w:tc>
            </w:tr>
            <w:tr w14:paraId="0D1BE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58" w:type="dxa"/>
                </w:tcPr>
                <w:p w14:paraId="5B72FA2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3类标准</w:t>
                  </w:r>
                </w:p>
              </w:tc>
              <w:tc>
                <w:tcPr>
                  <w:tcW w:w="2658" w:type="dxa"/>
                </w:tcPr>
                <w:p w14:paraId="6E52E9F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65</w:t>
                  </w:r>
                </w:p>
              </w:tc>
              <w:tc>
                <w:tcPr>
                  <w:tcW w:w="2658" w:type="dxa"/>
                </w:tcPr>
                <w:p w14:paraId="044B78A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55</w:t>
                  </w:r>
                </w:p>
              </w:tc>
            </w:tr>
          </w:tbl>
          <w:p w14:paraId="7E17CCB1">
            <w:pPr>
              <w:bidi w:val="0"/>
              <w:rPr>
                <w:rFonts w:hint="eastAsia"/>
                <w:b/>
                <w:bCs/>
                <w:color w:val="auto"/>
                <w:highlight w:val="none"/>
                <w:lang w:val="en-US" w:eastAsia="zh-CN"/>
              </w:rPr>
            </w:pPr>
            <w:r>
              <w:rPr>
                <w:rFonts w:hint="eastAsia"/>
                <w:b/>
                <w:bCs/>
                <w:color w:val="auto"/>
                <w:highlight w:val="none"/>
                <w:lang w:val="en-US" w:eastAsia="zh-CN"/>
              </w:rPr>
              <w:t>3.固废</w:t>
            </w:r>
          </w:p>
          <w:p w14:paraId="1B0451D8">
            <w:pPr>
              <w:bidi w:val="0"/>
              <w:rPr>
                <w:rFonts w:hint="default"/>
                <w:color w:val="auto"/>
                <w:highlight w:val="none"/>
                <w:lang w:val="en-US" w:eastAsia="zh-CN"/>
              </w:rPr>
            </w:pPr>
            <w:r>
              <w:rPr>
                <w:rFonts w:hint="eastAsia"/>
                <w:color w:val="auto"/>
                <w:highlight w:val="none"/>
                <w:lang w:val="en-US" w:eastAsia="zh-CN"/>
              </w:rPr>
              <w:t>一般工业固体废物的贮存和处置方法执行《一般工业固体废物贮存和填埋污染控制标准》（GB18599-2020）。</w:t>
            </w:r>
          </w:p>
        </w:tc>
      </w:tr>
      <w:tr w14:paraId="3B40352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25" w:hRule="atLeast"/>
          <w:jc w:val="center"/>
        </w:trPr>
        <w:tc>
          <w:tcPr>
            <w:tcW w:w="800" w:type="dxa"/>
            <w:noWrap w:val="0"/>
            <w:vAlign w:val="center"/>
          </w:tcPr>
          <w:p w14:paraId="1BC230A4">
            <w:pPr>
              <w:keepNext w:val="0"/>
              <w:keepLines w:val="0"/>
              <w:pageBreakBefore w:val="0"/>
              <w:widowControl w:val="0"/>
              <w:kinsoku/>
              <w:wordWrap/>
              <w:overflowPunct/>
              <w:topLinePunct w:val="0"/>
              <w:autoSpaceDE w:val="0"/>
              <w:autoSpaceDN w:val="0"/>
              <w:bidi w:val="0"/>
              <w:adjustRightInd w:val="0"/>
              <w:snapToGrid w:val="0"/>
              <w:ind w:firstLine="0" w:firstLineChars="0"/>
              <w:jc w:val="center"/>
              <w:textAlignment w:val="auto"/>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总量</w:t>
            </w:r>
          </w:p>
          <w:p w14:paraId="6A812489">
            <w:pPr>
              <w:keepNext w:val="0"/>
              <w:keepLines w:val="0"/>
              <w:pageBreakBefore w:val="0"/>
              <w:widowControl w:val="0"/>
              <w:kinsoku/>
              <w:wordWrap/>
              <w:overflowPunct/>
              <w:topLinePunct w:val="0"/>
              <w:autoSpaceDE w:val="0"/>
              <w:autoSpaceDN w:val="0"/>
              <w:bidi w:val="0"/>
              <w:adjustRightInd w:val="0"/>
              <w:snapToGrid w:val="0"/>
              <w:ind w:firstLine="0" w:firstLineChars="0"/>
              <w:jc w:val="center"/>
              <w:textAlignment w:val="auto"/>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控制</w:t>
            </w:r>
          </w:p>
          <w:p w14:paraId="2E42525A">
            <w:pPr>
              <w:keepNext w:val="0"/>
              <w:keepLines w:val="0"/>
              <w:pageBreakBefore w:val="0"/>
              <w:widowControl w:val="0"/>
              <w:kinsoku/>
              <w:wordWrap/>
              <w:overflowPunct/>
              <w:topLinePunct w:val="0"/>
              <w:autoSpaceDE w:val="0"/>
              <w:autoSpaceDN w:val="0"/>
              <w:bidi w:val="0"/>
              <w:adjustRightInd w:val="0"/>
              <w:snapToGrid w:val="0"/>
              <w:ind w:firstLine="0" w:firstLineChars="0"/>
              <w:jc w:val="center"/>
              <w:textAlignment w:val="auto"/>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指标</w:t>
            </w:r>
          </w:p>
        </w:tc>
        <w:tc>
          <w:tcPr>
            <w:tcW w:w="8190" w:type="dxa"/>
            <w:noWrap w:val="0"/>
            <w:vAlign w:val="center"/>
          </w:tcPr>
          <w:p w14:paraId="4A9BB933">
            <w:pPr>
              <w:bidi w:val="0"/>
              <w:rPr>
                <w:rFonts w:hint="default" w:ascii="Times New Roman" w:hAnsi="Times New Roman" w:cs="Times New Roman"/>
                <w:color w:val="auto"/>
                <w:kern w:val="0"/>
                <w:szCs w:val="21"/>
                <w:highlight w:val="none"/>
              </w:rPr>
            </w:pPr>
            <w:r>
              <w:rPr>
                <w:rFonts w:hint="default"/>
                <w:color w:val="auto"/>
                <w:highlight w:val="none"/>
                <w:lang w:val="en-US" w:eastAsia="zh-CN"/>
              </w:rPr>
              <w:t>本项目运营期内大气污染物总量控制指标为SO</w:t>
            </w:r>
            <w:r>
              <w:rPr>
                <w:rFonts w:hint="default"/>
                <w:color w:val="auto"/>
                <w:highlight w:val="none"/>
                <w:vertAlign w:val="subscript"/>
                <w:lang w:val="en-US" w:eastAsia="zh-CN"/>
              </w:rPr>
              <w:t>2</w:t>
            </w:r>
            <w:r>
              <w:rPr>
                <w:rFonts w:hint="eastAsia"/>
                <w:color w:val="auto"/>
                <w:highlight w:val="none"/>
                <w:vertAlign w:val="baseline"/>
                <w:lang w:val="en-US" w:eastAsia="zh-CN"/>
              </w:rPr>
              <w:t>38.90</w:t>
            </w:r>
            <w:r>
              <w:rPr>
                <w:rFonts w:hint="default"/>
                <w:color w:val="auto"/>
                <w:highlight w:val="none"/>
                <w:lang w:val="en-US" w:eastAsia="zh-CN"/>
              </w:rPr>
              <w:t>t/a，NO</w:t>
            </w:r>
            <w:r>
              <w:rPr>
                <w:rFonts w:hint="eastAsia"/>
                <w:color w:val="auto"/>
                <w:highlight w:val="none"/>
                <w:vertAlign w:val="subscript"/>
                <w:lang w:val="en-US" w:eastAsia="zh-CN"/>
              </w:rPr>
              <w:t>X</w:t>
            </w:r>
            <w:r>
              <w:rPr>
                <w:rFonts w:hint="eastAsia"/>
                <w:color w:val="auto"/>
                <w:highlight w:val="none"/>
                <w:lang w:val="en-US" w:eastAsia="zh-CN"/>
              </w:rPr>
              <w:t>41.36</w:t>
            </w:r>
            <w:r>
              <w:rPr>
                <w:rFonts w:hint="default"/>
                <w:color w:val="auto"/>
                <w:highlight w:val="none"/>
                <w:lang w:val="en-US" w:eastAsia="zh-CN"/>
              </w:rPr>
              <w:t>t/a。</w:t>
            </w:r>
          </w:p>
        </w:tc>
      </w:tr>
    </w:tbl>
    <w:p w14:paraId="0834313E">
      <w:pPr>
        <w:pStyle w:val="20"/>
        <w:ind w:left="0" w:leftChars="0" w:firstLine="0" w:firstLineChars="0"/>
        <w:jc w:val="center"/>
        <w:outlineLvl w:val="0"/>
        <w:rPr>
          <w:rFonts w:hint="default" w:ascii="Times New Roman" w:hAnsi="Times New Roman" w:eastAsia="黑体" w:cs="Times New Roman"/>
          <w:snapToGrid w:val="0"/>
          <w:color w:val="auto"/>
          <w:sz w:val="30"/>
          <w:szCs w:val="30"/>
          <w:highlight w:val="none"/>
        </w:rPr>
      </w:pPr>
      <w:r>
        <w:rPr>
          <w:rFonts w:hint="default" w:ascii="Times New Roman" w:hAnsi="Times New Roman" w:eastAsia="黑体" w:cs="Times New Roman"/>
          <w:snapToGrid w:val="0"/>
          <w:color w:val="auto"/>
          <w:sz w:val="36"/>
          <w:szCs w:val="36"/>
          <w:highlight w:val="none"/>
        </w:rPr>
        <w:br w:type="page"/>
      </w:r>
      <w:r>
        <w:rPr>
          <w:rFonts w:hint="default" w:ascii="Times New Roman" w:hAnsi="Times New Roman" w:eastAsia="黑体" w:cs="Times New Roman"/>
          <w:snapToGrid w:val="0"/>
          <w:color w:val="auto"/>
          <w:sz w:val="30"/>
          <w:szCs w:val="30"/>
          <w:highlight w:val="none"/>
        </w:rPr>
        <w:t>四、主要环境影响和保护措施</w:t>
      </w:r>
    </w:p>
    <w:tbl>
      <w:tblPr>
        <w:tblStyle w:val="23"/>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46"/>
        <w:gridCol w:w="8162"/>
      </w:tblGrid>
      <w:tr w14:paraId="2D0E931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46" w:type="dxa"/>
            <w:noWrap w:val="0"/>
            <w:tcMar>
              <w:left w:w="28" w:type="dxa"/>
              <w:right w:w="28" w:type="dxa"/>
            </w:tcMar>
            <w:vAlign w:val="center"/>
          </w:tcPr>
          <w:p w14:paraId="0FFF331D">
            <w:pPr>
              <w:pStyle w:val="20"/>
              <w:keepNext w:val="0"/>
              <w:keepLines w:val="0"/>
              <w:pageBreakBefore w:val="0"/>
              <w:kinsoku/>
              <w:wordWrap/>
              <w:overflowPunct/>
              <w:topLinePunct w:val="0"/>
              <w:autoSpaceDE w:val="0"/>
              <w:autoSpaceDN w:val="0"/>
              <w:bidi w:val="0"/>
              <w:adjustRightInd w:val="0"/>
              <w:snapToGrid w:val="0"/>
              <w:spacing w:before="0" w:beforeAutospacing="0" w:after="0" w:afterAutospacing="0"/>
              <w:ind w:firstLine="0" w:firstLineChars="0"/>
              <w:jc w:val="center"/>
              <w:textAlignment w:val="auto"/>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施工</w:t>
            </w:r>
          </w:p>
          <w:p w14:paraId="18A12BF4">
            <w:pPr>
              <w:pStyle w:val="20"/>
              <w:keepNext w:val="0"/>
              <w:keepLines w:val="0"/>
              <w:pageBreakBefore w:val="0"/>
              <w:kinsoku/>
              <w:wordWrap/>
              <w:overflowPunct/>
              <w:topLinePunct w:val="0"/>
              <w:autoSpaceDE w:val="0"/>
              <w:autoSpaceDN w:val="0"/>
              <w:bidi w:val="0"/>
              <w:adjustRightInd w:val="0"/>
              <w:snapToGrid w:val="0"/>
              <w:spacing w:before="0" w:beforeAutospacing="0" w:after="0" w:afterAutospacing="0"/>
              <w:ind w:firstLine="0" w:firstLineChars="0"/>
              <w:jc w:val="center"/>
              <w:textAlignment w:val="auto"/>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期环</w:t>
            </w:r>
          </w:p>
          <w:p w14:paraId="18EE0390">
            <w:pPr>
              <w:pStyle w:val="20"/>
              <w:keepNext w:val="0"/>
              <w:keepLines w:val="0"/>
              <w:pageBreakBefore w:val="0"/>
              <w:kinsoku/>
              <w:wordWrap/>
              <w:overflowPunct/>
              <w:topLinePunct w:val="0"/>
              <w:autoSpaceDE w:val="0"/>
              <w:autoSpaceDN w:val="0"/>
              <w:bidi w:val="0"/>
              <w:adjustRightInd w:val="0"/>
              <w:snapToGrid w:val="0"/>
              <w:spacing w:before="0" w:beforeAutospacing="0" w:after="0" w:afterAutospacing="0"/>
              <w:ind w:firstLine="0" w:firstLineChars="0"/>
              <w:jc w:val="center"/>
              <w:textAlignment w:val="auto"/>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境保</w:t>
            </w:r>
          </w:p>
          <w:p w14:paraId="3172425E">
            <w:pPr>
              <w:pStyle w:val="20"/>
              <w:keepNext w:val="0"/>
              <w:keepLines w:val="0"/>
              <w:pageBreakBefore w:val="0"/>
              <w:kinsoku/>
              <w:wordWrap/>
              <w:overflowPunct/>
              <w:topLinePunct w:val="0"/>
              <w:autoSpaceDE w:val="0"/>
              <w:autoSpaceDN w:val="0"/>
              <w:bidi w:val="0"/>
              <w:adjustRightInd w:val="0"/>
              <w:snapToGrid w:val="0"/>
              <w:spacing w:before="0" w:beforeAutospacing="0" w:after="0" w:afterAutospacing="0"/>
              <w:ind w:firstLine="0" w:firstLineChars="0"/>
              <w:jc w:val="center"/>
              <w:textAlignment w:val="auto"/>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护措</w:t>
            </w:r>
          </w:p>
          <w:p w14:paraId="791D4A95">
            <w:pPr>
              <w:pStyle w:val="20"/>
              <w:keepNext w:val="0"/>
              <w:keepLines w:val="0"/>
              <w:pageBreakBefore w:val="0"/>
              <w:kinsoku/>
              <w:wordWrap/>
              <w:overflowPunct/>
              <w:topLinePunct w:val="0"/>
              <w:autoSpaceDE w:val="0"/>
              <w:autoSpaceDN w:val="0"/>
              <w:bidi w:val="0"/>
              <w:adjustRightInd w:val="0"/>
              <w:snapToGrid w:val="0"/>
              <w:spacing w:before="0" w:beforeAutospacing="0" w:after="0" w:afterAutospacing="0"/>
              <w:ind w:firstLine="0" w:firstLineChars="0"/>
              <w:jc w:val="center"/>
              <w:textAlignment w:val="auto"/>
              <w:rPr>
                <w:rFonts w:hint="default" w:ascii="Times New Roman" w:hAnsi="Times New Roman" w:cs="Times New Roman"/>
                <w:bCs/>
                <w:color w:val="auto"/>
                <w:kern w:val="2"/>
                <w:sz w:val="21"/>
                <w:szCs w:val="21"/>
                <w:highlight w:val="none"/>
              </w:rPr>
            </w:pPr>
            <w:r>
              <w:rPr>
                <w:rFonts w:hint="default" w:ascii="Times New Roman" w:hAnsi="Times New Roman" w:cs="Times New Roman"/>
                <w:color w:val="auto"/>
                <w:kern w:val="2"/>
                <w:sz w:val="21"/>
                <w:szCs w:val="21"/>
                <w:highlight w:val="none"/>
              </w:rPr>
              <w:t>施</w:t>
            </w:r>
          </w:p>
        </w:tc>
        <w:tc>
          <w:tcPr>
            <w:tcW w:w="8162" w:type="dxa"/>
            <w:noWrap w:val="0"/>
            <w:vAlign w:val="center"/>
          </w:tcPr>
          <w:p w14:paraId="7725BD62">
            <w:pPr>
              <w:bidi w:val="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lang w:val="en-US" w:eastAsia="zh-CN"/>
              </w:rPr>
              <w:t>1</w:t>
            </w:r>
            <w:r>
              <w:rPr>
                <w:rFonts w:hint="eastAsia" w:cs="Times New Roman"/>
                <w:b/>
                <w:bCs/>
                <w:color w:val="auto"/>
                <w:highlight w:val="none"/>
                <w:lang w:val="en-US" w:eastAsia="zh-CN"/>
              </w:rPr>
              <w:t>.</w:t>
            </w:r>
            <w:r>
              <w:rPr>
                <w:rFonts w:hint="default" w:ascii="Times New Roman" w:hAnsi="Times New Roman" w:cs="Times New Roman"/>
                <w:b/>
                <w:bCs/>
                <w:color w:val="auto"/>
                <w:highlight w:val="none"/>
                <w:lang w:val="en-US" w:eastAsia="zh-CN"/>
              </w:rPr>
              <w:t>施工期</w:t>
            </w:r>
            <w:r>
              <w:rPr>
                <w:rFonts w:hint="default" w:ascii="Times New Roman" w:hAnsi="Times New Roman" w:cs="Times New Roman"/>
                <w:b/>
                <w:bCs/>
                <w:color w:val="auto"/>
                <w:highlight w:val="none"/>
              </w:rPr>
              <w:t>大气环境影响分析</w:t>
            </w:r>
          </w:p>
          <w:p w14:paraId="6E099204">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施工期大气污染物主要来源于施工过程产生的扬尘，其次为施工机械设备和施工车辆等运行时排放的SO</w:t>
            </w:r>
            <w:r>
              <w:rPr>
                <w:rFonts w:hint="default" w:ascii="Times New Roman" w:hAnsi="Times New Roman" w:cs="Times New Roman"/>
                <w:color w:val="auto"/>
                <w:highlight w:val="none"/>
                <w:vertAlign w:val="subscript"/>
              </w:rPr>
              <w:t>2</w:t>
            </w:r>
            <w:r>
              <w:rPr>
                <w:rFonts w:hint="default" w:ascii="Times New Roman" w:hAnsi="Times New Roman" w:cs="Times New Roman"/>
                <w:color w:val="auto"/>
                <w:highlight w:val="none"/>
              </w:rPr>
              <w:t>、NO</w:t>
            </w:r>
            <w:r>
              <w:rPr>
                <w:rFonts w:hint="default" w:ascii="Times New Roman" w:hAnsi="Times New Roman" w:cs="Times New Roman"/>
                <w:color w:val="auto"/>
                <w:highlight w:val="none"/>
                <w:vertAlign w:val="subscript"/>
              </w:rPr>
              <w:t>2</w:t>
            </w:r>
            <w:r>
              <w:rPr>
                <w:rFonts w:hint="default" w:ascii="Times New Roman" w:hAnsi="Times New Roman" w:cs="Times New Roman"/>
                <w:color w:val="auto"/>
                <w:highlight w:val="none"/>
              </w:rPr>
              <w:t>、烃类等污染物，但最为突出的是施工扬尘。根据《内蒙古自治区建筑施工扬尘治理实施方案》的要求，结合本项目的具体情况，提出如下扬尘防治建议：</w:t>
            </w:r>
          </w:p>
          <w:p w14:paraId="187B63ED">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（1）施工现场进行土方施工时要求施工机械操作人员严格按照正规操作规程进行操作，严禁乱抛、乱卸，减少扬尘污染。</w:t>
            </w:r>
          </w:p>
          <w:p w14:paraId="3602B912">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（2）施工现场必须沿施工区域四周连续设置稳固、整齐、美观的围挡，围挡高度2m。</w:t>
            </w:r>
          </w:p>
          <w:p w14:paraId="27AD55F4">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（3）施工过程中易产生扬尘的建筑材料，应使用防尘布对原料进行覆盖，并经常检查覆盖情况，如发现有破损或未覆盖处立即进行修补、覆盖。</w:t>
            </w:r>
          </w:p>
          <w:p w14:paraId="0E10C716">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（4）在施工过程中，选择效率较高的机械设备进行作业，在短时间内完成土方挖掘、堆放、土方回填和场地平整等工序。</w:t>
            </w:r>
          </w:p>
          <w:p w14:paraId="68D70A11">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（5）遇到干燥易起尘的土方工程作业时，应辅以洒水压尘，尽量缩短起尘操作时间。遇到四级及四级以上大风天气，应停止土方作业，同时作业处覆以防尘网。</w:t>
            </w:r>
          </w:p>
          <w:p w14:paraId="57EDF5D4">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（6）施工现场及时进行洒水降尘，配备的水车由专人负责。一般情况下每天上午、下午各</w:t>
            </w:r>
            <w:r>
              <w:rPr>
                <w:rFonts w:hint="default" w:ascii="Times New Roman" w:hAnsi="Times New Roman" w:cs="Times New Roman"/>
                <w:color w:val="auto"/>
                <w:highlight w:val="none"/>
                <w:lang w:val="en-US" w:eastAsia="zh-CN"/>
              </w:rPr>
              <w:t>一</w:t>
            </w:r>
            <w:r>
              <w:rPr>
                <w:rFonts w:hint="default" w:ascii="Times New Roman" w:hAnsi="Times New Roman" w:cs="Times New Roman"/>
                <w:color w:val="auto"/>
                <w:highlight w:val="none"/>
              </w:rPr>
              <w:t>遍，遇到风沙天气，相应增加洒水遍数。</w:t>
            </w:r>
          </w:p>
          <w:p w14:paraId="65EBB70B">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（7）在施工区域出口处设立洗车池，施工车辆驶出现场前经过洗车池，防止车辆带泥上路。</w:t>
            </w:r>
          </w:p>
          <w:p w14:paraId="3ADFA3C3">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8）管线开挖的土石方全部回填，建筑垃圾、施工垃圾及施工物料应密闭运输，严禁凌空抛撒、野蛮装卸，并保证物料不遗撒外漏，以减少沿路抛洒和减少运输的二次扬尘产生，并且运输车辆进入施工场地应低速行驶，以减少产尘量。采取以上措施后，施工期对环境空气的影响将降至最低，并且其影响会随施工的结束而消失。</w:t>
            </w:r>
          </w:p>
          <w:p w14:paraId="32FCAC61">
            <w:pPr>
              <w:bidi w:val="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lang w:val="en-US" w:eastAsia="zh-CN"/>
              </w:rPr>
              <w:t>2</w:t>
            </w:r>
            <w:r>
              <w:rPr>
                <w:rFonts w:hint="eastAsia" w:cs="Times New Roman"/>
                <w:b/>
                <w:bCs/>
                <w:color w:val="auto"/>
                <w:highlight w:val="none"/>
                <w:lang w:val="en-US" w:eastAsia="zh-CN"/>
              </w:rPr>
              <w:t>.</w:t>
            </w:r>
            <w:r>
              <w:rPr>
                <w:rFonts w:hint="default" w:ascii="Times New Roman" w:hAnsi="Times New Roman" w:cs="Times New Roman"/>
                <w:b/>
                <w:bCs/>
                <w:color w:val="auto"/>
                <w:highlight w:val="none"/>
              </w:rPr>
              <w:t>水环境影响分析</w:t>
            </w:r>
          </w:p>
          <w:p w14:paraId="27FCD6BB">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施工期废水包括施工生产废水和施工人员生活污水。</w:t>
            </w:r>
          </w:p>
          <w:p w14:paraId="6A071C81">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1）施工生产废水本项目施工机械冲洗废水和施工阶段产生的泥浆废水。施工机械冲洗废水和施工阶段产生的泥浆废水主要含水泥碎粒、沙土等悬浮物污染；泥浆废水是一种含有微细颗粒的悬浮混浊液体，外观呈土灰色，比重1.20~1.46，含泥量</w:t>
            </w:r>
            <w:r>
              <w:rPr>
                <w:rFonts w:hint="eastAsia" w:cs="Times New Roman"/>
                <w:color w:val="auto"/>
                <w:highlight w:val="none"/>
                <w:lang w:eastAsia="zh-CN"/>
              </w:rPr>
              <w:t>30%~50%</w:t>
            </w:r>
            <w:r>
              <w:rPr>
                <w:rFonts w:hint="default" w:ascii="Times New Roman" w:hAnsi="Times New Roman" w:cs="Times New Roman"/>
                <w:color w:val="auto"/>
                <w:highlight w:val="none"/>
              </w:rPr>
              <w:t>，pH值约6~7，经临时沉淀池沉淀后全部回用于场地洒水降尘。</w:t>
            </w:r>
          </w:p>
          <w:p w14:paraId="5B7C2C59">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2）生活污水本项目施工人员雇用工程当地居民，不设置施工营地。生活污水由于施工队伍的生活活动造成的，包括盥洗废水。盥洗废水中主要污染物为COD、NH3-N及SS。本项目位于鄂尔多斯市杭锦旗杭锦经济开发区，本项目施工期不设置施工营地、临时食堂等，施工人员生活污水依托当地居民现有卫生设施解决。</w:t>
            </w:r>
          </w:p>
          <w:p w14:paraId="7413AC03">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综上所述，本项目废水均处理后回用，不会对周围环境产生明显影响。</w:t>
            </w:r>
          </w:p>
          <w:p w14:paraId="39B64A3F">
            <w:pPr>
              <w:bidi w:val="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lang w:val="en-US" w:eastAsia="zh-CN"/>
              </w:rPr>
              <w:t>3</w:t>
            </w:r>
            <w:r>
              <w:rPr>
                <w:rFonts w:hint="eastAsia" w:cs="Times New Roman"/>
                <w:b/>
                <w:bCs/>
                <w:color w:val="auto"/>
                <w:highlight w:val="none"/>
                <w:lang w:val="en-US" w:eastAsia="zh-CN"/>
              </w:rPr>
              <w:t>.</w:t>
            </w:r>
            <w:r>
              <w:rPr>
                <w:rFonts w:hint="default" w:ascii="Times New Roman" w:hAnsi="Times New Roman" w:cs="Times New Roman"/>
                <w:b/>
                <w:bCs/>
                <w:color w:val="auto"/>
                <w:highlight w:val="none"/>
              </w:rPr>
              <w:t>噪声环境影响分析</w:t>
            </w:r>
          </w:p>
          <w:p w14:paraId="5FFFCDB0">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施工期产生噪声的施工机械主要为挖土机、推土机、钻井机械、卡车、振动机等，多为间歇性非稳态声源；施工作业噪声主要为一些零星的敲打声、装卸车辆的撞击声、吆喝声等，多为瞬间噪声；运输车辆噪声一般在95dB（A）左右。为降低施工噪声对周围环境的影响，采取以下防治措施：</w:t>
            </w:r>
          </w:p>
          <w:p w14:paraId="33A4F4AB">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（1）合理布局施工场地，避免在同一地点同时使用大量动力机械设备，从而避免局部声级过高。</w:t>
            </w:r>
          </w:p>
          <w:p w14:paraId="76507C3B">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（2）合理安排施工时间，制订施工计划时，应尽可能避免大量高噪声设备同时施工。</w:t>
            </w:r>
          </w:p>
          <w:p w14:paraId="72A9AA37">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（3）建设单位不应在施工现场使用混凝土搅拌机，应向有资质单位购买商品预制混凝土。</w:t>
            </w:r>
          </w:p>
          <w:p w14:paraId="6587ECAA">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4）设备选型上尽量采用低噪声设备，如以液压机械代替燃油机械，振捣器采用高频振捣器等；固定机械设备与挖土、运土机械，如挖掘机、推土机等，可通过排气管消音器和隔离发动机振动部件的方法降低噪声；对动力机械设备和运输车辆进行定期维修和养护。</w:t>
            </w:r>
          </w:p>
          <w:p w14:paraId="0D766845">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5）项目建设所需水泥、沙石等物料运入、弃土弃渣等施工垃圾的运出均采用汽车运输，施工期间应合理安排运输时间和运输路线，经过敏感区时应减速慢行，禁止鸣笛，尽量减少交通噪声影响。通过采取有效措施，加强施工过程管理，限制车辆出入速度，合理布置高噪声设备，可将噪声降至最低，使施工期噪声的排放满足《建筑施工场界环境噪声排放标准》（GB12523-2011）的相关要求，因此，施工期噪声对周围声环境的影响较小。</w:t>
            </w:r>
          </w:p>
          <w:p w14:paraId="0E3791E6">
            <w:pPr>
              <w:bidi w:val="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lang w:val="en-US" w:eastAsia="zh-CN"/>
              </w:rPr>
              <w:t>4</w:t>
            </w:r>
            <w:r>
              <w:rPr>
                <w:rFonts w:hint="eastAsia" w:cs="Times New Roman"/>
                <w:b/>
                <w:bCs/>
                <w:color w:val="auto"/>
                <w:highlight w:val="none"/>
                <w:lang w:val="en-US" w:eastAsia="zh-CN"/>
              </w:rPr>
              <w:t>.</w:t>
            </w:r>
            <w:r>
              <w:rPr>
                <w:rFonts w:hint="default" w:ascii="Times New Roman" w:hAnsi="Times New Roman" w:cs="Times New Roman"/>
                <w:b/>
                <w:bCs/>
                <w:color w:val="auto"/>
                <w:highlight w:val="none"/>
              </w:rPr>
              <w:t>固体废物环境影响分析</w:t>
            </w:r>
          </w:p>
          <w:p w14:paraId="17034362">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施工期固体废物主要为施工产生的建筑垃圾和少量施工人员生活垃圾。</w:t>
            </w:r>
          </w:p>
          <w:p w14:paraId="05173BE0">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（1）建筑垃圾主要包括构筑物施工过程中地基处理和建（构）筑物建设、装饰过程中产生的主要固体废物，其主要组分有土、水泥块、碎砖块等。建筑废渣和施工垃圾应及时清运，按照当地</w:t>
            </w:r>
            <w:r>
              <w:rPr>
                <w:rFonts w:hint="eastAsia" w:cs="Times New Roman"/>
                <w:color w:val="auto"/>
                <w:highlight w:val="none"/>
                <w:lang w:eastAsia="zh-CN"/>
              </w:rPr>
              <w:t>生态环境部门</w:t>
            </w:r>
            <w:r>
              <w:rPr>
                <w:rFonts w:hint="default" w:ascii="Times New Roman" w:hAnsi="Times New Roman" w:cs="Times New Roman"/>
                <w:color w:val="auto"/>
                <w:highlight w:val="none"/>
              </w:rPr>
              <w:t>的要求运至指定的地点处理。外运过程中应合理安排运输时间和运输路线，运输车辆应以苫布遮盖，严禁凌空抛撒、野蛮装卸，保证物料不遗撒外漏，同时不得擅自倾倒、堆放、丢弃。</w:t>
            </w:r>
          </w:p>
          <w:p w14:paraId="3A208449">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2</w:t>
            </w:r>
            <w:r>
              <w:rPr>
                <w:rFonts w:hint="default" w:ascii="Times New Roman" w:hAnsi="Times New Roman" w:cs="Times New Roman"/>
                <w:color w:val="auto"/>
                <w:highlight w:val="none"/>
              </w:rPr>
              <w:t>）本项目施工雇佣当地村民，不设置施工营地，施工人员生活垃圾产生量较小，收集后交环卫部门统一处理。综上所述，本项目固体废物组成成分相对简单，施工产生的固体废物均能得到妥善处置。在施工过程中要注意对施工固体废物妥善堆存，暂存点要采取必要的防渗、防水土流失措施，避免对土壤、地下水造成影响。因此在暂存、堆置及相应处理处置方式合理的条件下，本项目施工中产生的固体废物对当地环境影响较小。</w:t>
            </w:r>
          </w:p>
          <w:p w14:paraId="1D4178ED">
            <w:pPr>
              <w:bidi w:val="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lang w:val="en-US" w:eastAsia="zh-CN"/>
              </w:rPr>
              <w:t>5</w:t>
            </w:r>
            <w:r>
              <w:rPr>
                <w:rFonts w:hint="eastAsia" w:cs="Times New Roman"/>
                <w:b/>
                <w:bCs/>
                <w:color w:val="auto"/>
                <w:highlight w:val="none"/>
                <w:lang w:val="en-US" w:eastAsia="zh-CN"/>
              </w:rPr>
              <w:t>.</w:t>
            </w:r>
            <w:r>
              <w:rPr>
                <w:rFonts w:hint="default" w:ascii="Times New Roman" w:hAnsi="Times New Roman" w:cs="Times New Roman"/>
                <w:b/>
                <w:bCs/>
                <w:color w:val="auto"/>
                <w:highlight w:val="none"/>
              </w:rPr>
              <w:t>生态环境影响分析</w:t>
            </w:r>
          </w:p>
          <w:p w14:paraId="18465AAC">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经现场调查，本项目评价范围内无风景名胜区、自然保护区、饮用水水源地以及国家保护野生动物、珍稀动植物等特殊保护对象。本工程施工期间会破坏地表植被，改变原有土地利用方式；基础工程中挖、填土方作业及物料堆放将带来水土流失等影响；场地平整、土建施工和设备安装等工程产生的噪声会惊扰野生动物，影响野生动物正常的栖息、觅食等生活习性。为减小施工占地影响、水土流失影响以及施工噪声对动物的影响，采取如下生态环境防护措施：</w:t>
            </w:r>
          </w:p>
          <w:p w14:paraId="6648DE2C">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（1）施工时严格划定施工作业范围，在施工带内施工。园区现有道路可作为施工道路，尽可能缩小施工作业带宽度，在保证施工顺利进行前提下，减少占地。</w:t>
            </w:r>
          </w:p>
          <w:p w14:paraId="3B5560D1">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（2）对施工场地进行了合理的规划，对建筑材料设有专门的堆棚或设置围挡。</w:t>
            </w:r>
          </w:p>
          <w:p w14:paraId="0C61E09B">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（3）将剥离的表土单独堆放，采取临时密目网苫盖措施防止表土水土流失，保存的表土用于后期的生态恢复，生态恢复采用乡土物种，经地基回填，项目弃方量较少，可就地平整，对周围环境影响较小。</w:t>
            </w:r>
          </w:p>
          <w:p w14:paraId="233706AA">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（4）基础施工时避开雨季实施地表开挖，且采取随挖随运、随铺随压等措施，同时注意对挖填区及时进行植被恢复、覆盖、闭合，做好水土保持工作，施工结束后做好土地的硬化工作。</w:t>
            </w:r>
          </w:p>
          <w:p w14:paraId="44186103">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5</w:t>
            </w:r>
            <w:r>
              <w:rPr>
                <w:rFonts w:hint="default" w:ascii="Times New Roman" w:hAnsi="Times New Roman" w:cs="Times New Roman"/>
                <w:color w:val="auto"/>
                <w:highlight w:val="none"/>
              </w:rPr>
              <w:t>）项目所在区域野生动物较少，主要以鸟类、啮齿类、昆虫类为主。工程施工期，施工人员的活动和机械噪声等将会对施工区及周围一定范围内野生动物的活动和栖息产生一定影响，但这种影响只是引起野生动物暂时的、局部的迁移，待施工结束这种影响将消失。施工期施工区域内自然植被的破坏，会使野生动物失去部分觅食地、栖息场所和活动区域，将对野生动物的生存环境产生不利影响，不过这种影响也是短期的，因为施工结束后，随着生态环境的恢复，会使区域内的环境条件得到一定改善，有利于动物的生存。此外，施工过程中，人为干扰如施工人员滥捕乱猎等现象，将直接影响到这一地区的某些野生动物种群数量，这种影响通过加强对施工人员的宣传教育和管理得到控制。总之，项目施工期不会使评价区野生动物</w:t>
            </w:r>
            <w:r>
              <w:rPr>
                <w:rFonts w:hint="eastAsia" w:cs="Times New Roman"/>
                <w:color w:val="auto"/>
                <w:highlight w:val="none"/>
                <w:lang w:eastAsia="zh-CN"/>
              </w:rPr>
              <w:t>的</w:t>
            </w:r>
            <w:r>
              <w:rPr>
                <w:rFonts w:hint="default" w:ascii="Times New Roman" w:hAnsi="Times New Roman" w:cs="Times New Roman"/>
                <w:color w:val="auto"/>
                <w:highlight w:val="none"/>
              </w:rPr>
              <w:t>种类及数量产生显著影响。</w:t>
            </w:r>
          </w:p>
          <w:p w14:paraId="359404A0">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6</w:t>
            </w:r>
            <w:r>
              <w:rPr>
                <w:rFonts w:hint="default" w:ascii="Times New Roman" w:hAnsi="Times New Roman" w:cs="Times New Roman"/>
                <w:color w:val="auto"/>
                <w:highlight w:val="none"/>
              </w:rPr>
              <w:t>）尽量避免大风和下雨天施工，最大程度地减轻水土流失。在项目规划设计、施工、运营、管理等各个环节都要把治理水土流失作为一项重要的工作来完成，水土保持工程必须与主体工程同时设计、同时施工、同时投产。</w:t>
            </w:r>
          </w:p>
          <w:p w14:paraId="4BCFDA17">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7</w:t>
            </w:r>
            <w:r>
              <w:rPr>
                <w:rFonts w:hint="default" w:ascii="Times New Roman" w:hAnsi="Times New Roman" w:cs="Times New Roman"/>
                <w:color w:val="auto"/>
                <w:highlight w:val="none"/>
              </w:rPr>
              <w:t>）施工结束后在工作业区域内种植当地常见草本植物，生态恢复植被类型尽量选择当地优良乡土品种，如油蒿、柠条锦鸡儿灌木类等。施工期间严格控制施工作业带范围，将其控制在绿化树木间，施工结束后选择当地现有绿化树种（主要为樟子松和杨树等）及时生态恢复，保证恢复后与现有环境相协调</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改善项目区域生态环境。</w:t>
            </w:r>
          </w:p>
        </w:tc>
      </w:tr>
      <w:tr w14:paraId="4FEDAAE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10" w:hRule="atLeast"/>
          <w:jc w:val="center"/>
        </w:trPr>
        <w:tc>
          <w:tcPr>
            <w:tcW w:w="746" w:type="dxa"/>
            <w:noWrap w:val="0"/>
            <w:tcMar>
              <w:left w:w="28" w:type="dxa"/>
              <w:right w:w="28" w:type="dxa"/>
            </w:tcMar>
            <w:vAlign w:val="center"/>
          </w:tcPr>
          <w:p w14:paraId="1B36367B">
            <w:pPr>
              <w:keepNext w:val="0"/>
              <w:keepLines w:val="0"/>
              <w:pageBreakBefore w:val="0"/>
              <w:kinsoku/>
              <w:wordWrap/>
              <w:overflowPunct/>
              <w:topLinePunct w:val="0"/>
              <w:autoSpaceDE w:val="0"/>
              <w:autoSpaceDN w:val="0"/>
              <w:bidi w:val="0"/>
              <w:adjustRightInd w:val="0"/>
              <w:snapToGrid w:val="0"/>
              <w:ind w:firstLine="0" w:firstLineChars="0"/>
              <w:jc w:val="center"/>
              <w:textAlignment w:val="auto"/>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运营</w:t>
            </w:r>
          </w:p>
          <w:p w14:paraId="122E6E0F">
            <w:pPr>
              <w:keepNext w:val="0"/>
              <w:keepLines w:val="0"/>
              <w:pageBreakBefore w:val="0"/>
              <w:kinsoku/>
              <w:wordWrap/>
              <w:overflowPunct/>
              <w:topLinePunct w:val="0"/>
              <w:autoSpaceDE w:val="0"/>
              <w:autoSpaceDN w:val="0"/>
              <w:bidi w:val="0"/>
              <w:adjustRightInd w:val="0"/>
              <w:snapToGrid w:val="0"/>
              <w:ind w:firstLine="0" w:firstLineChars="0"/>
              <w:jc w:val="center"/>
              <w:textAlignment w:val="auto"/>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期环</w:t>
            </w:r>
          </w:p>
          <w:p w14:paraId="3E9D1B14">
            <w:pPr>
              <w:keepNext w:val="0"/>
              <w:keepLines w:val="0"/>
              <w:pageBreakBefore w:val="0"/>
              <w:kinsoku/>
              <w:wordWrap/>
              <w:overflowPunct/>
              <w:topLinePunct w:val="0"/>
              <w:autoSpaceDE w:val="0"/>
              <w:autoSpaceDN w:val="0"/>
              <w:bidi w:val="0"/>
              <w:adjustRightInd w:val="0"/>
              <w:snapToGrid w:val="0"/>
              <w:ind w:firstLine="0" w:firstLineChars="0"/>
              <w:jc w:val="center"/>
              <w:textAlignment w:val="auto"/>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境影</w:t>
            </w:r>
          </w:p>
          <w:p w14:paraId="21FCC97E">
            <w:pPr>
              <w:keepNext w:val="0"/>
              <w:keepLines w:val="0"/>
              <w:pageBreakBefore w:val="0"/>
              <w:kinsoku/>
              <w:wordWrap/>
              <w:overflowPunct/>
              <w:topLinePunct w:val="0"/>
              <w:autoSpaceDE w:val="0"/>
              <w:autoSpaceDN w:val="0"/>
              <w:bidi w:val="0"/>
              <w:adjustRightInd w:val="0"/>
              <w:snapToGrid w:val="0"/>
              <w:ind w:firstLine="0" w:firstLineChars="0"/>
              <w:jc w:val="center"/>
              <w:textAlignment w:val="auto"/>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响和</w:t>
            </w:r>
          </w:p>
          <w:p w14:paraId="4C1CA752">
            <w:pPr>
              <w:keepNext w:val="0"/>
              <w:keepLines w:val="0"/>
              <w:pageBreakBefore w:val="0"/>
              <w:kinsoku/>
              <w:wordWrap/>
              <w:overflowPunct/>
              <w:topLinePunct w:val="0"/>
              <w:autoSpaceDE w:val="0"/>
              <w:autoSpaceDN w:val="0"/>
              <w:bidi w:val="0"/>
              <w:adjustRightInd w:val="0"/>
              <w:snapToGrid w:val="0"/>
              <w:ind w:firstLine="0" w:firstLineChars="0"/>
              <w:jc w:val="center"/>
              <w:textAlignment w:val="auto"/>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保护</w:t>
            </w:r>
          </w:p>
          <w:p w14:paraId="2B50539C">
            <w:pPr>
              <w:keepNext w:val="0"/>
              <w:keepLines w:val="0"/>
              <w:pageBreakBefore w:val="0"/>
              <w:kinsoku/>
              <w:wordWrap/>
              <w:overflowPunct/>
              <w:topLinePunct w:val="0"/>
              <w:autoSpaceDE w:val="0"/>
              <w:autoSpaceDN w:val="0"/>
              <w:bidi w:val="0"/>
              <w:adjustRightInd w:val="0"/>
              <w:snapToGrid w:val="0"/>
              <w:ind w:firstLine="0" w:firstLineChars="0"/>
              <w:jc w:val="center"/>
              <w:textAlignment w:val="auto"/>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措施</w:t>
            </w:r>
          </w:p>
        </w:tc>
        <w:tc>
          <w:tcPr>
            <w:tcW w:w="8162" w:type="dxa"/>
            <w:noWrap w:val="0"/>
            <w:vAlign w:val="center"/>
          </w:tcPr>
          <w:p w14:paraId="301004B7">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1</w:t>
            </w:r>
            <w:r>
              <w:rPr>
                <w:rFonts w:hint="eastAsia" w:cs="Times New Roman"/>
                <w:b/>
                <w:bCs/>
                <w:color w:val="auto"/>
                <w:highlight w:val="none"/>
                <w:lang w:val="en-US" w:eastAsia="zh-CN"/>
              </w:rPr>
              <w:t>.</w:t>
            </w:r>
            <w:r>
              <w:rPr>
                <w:rFonts w:hint="default" w:ascii="Times New Roman" w:hAnsi="Times New Roman" w:cs="Times New Roman"/>
                <w:b/>
                <w:bCs/>
                <w:color w:val="auto"/>
                <w:highlight w:val="none"/>
                <w:lang w:val="en-US" w:eastAsia="zh-CN"/>
              </w:rPr>
              <w:t>运营期废气环境影响及保护措施</w:t>
            </w:r>
          </w:p>
          <w:p w14:paraId="0D55CD2D">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1.1废气产排污分析</w:t>
            </w:r>
          </w:p>
          <w:p w14:paraId="18EAFBC9">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本项目运营期废气主要为物料装卸废气、物料堆存废气、竖窑煅烧废气及道路运输扬尘。</w:t>
            </w:r>
          </w:p>
          <w:p w14:paraId="29243B7F">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①物料装卸废气、物料堆存废气（G1、G5、G2、G6）</w:t>
            </w:r>
          </w:p>
          <w:p w14:paraId="7DF292C3">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原料、成品煤系高岭土堆放粉尘产生量参考《排放源统计调查产排污核算方法和系数手册》附表2《固体物料堆存颗粒物产排污核算系数手册》的颗粒物核算方法，工业企业固体物料堆存颗粒物包括装卸场尘和风蚀扬尘，颗粒物产生量核算公式如下：</w:t>
            </w:r>
          </w:p>
          <w:p w14:paraId="74065CA6">
            <w:pPr>
              <w:bidi w:val="0"/>
              <w:ind w:left="0" w:leftChars="0" w:firstLine="0" w:firstLineChars="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object>
                <v:shape id="_x0000_i1026" o:spt="75" type="#_x0000_t75" style="height:20.85pt;width:267.7pt;" o:ole="t" filled="f" o:preferrelative="t" stroked="f" coordsize="21600,21600">
                  <v:path/>
                  <v:fill on="f" focussize="0,0"/>
                  <v:stroke on="f"/>
                  <v:imagedata r:id="rId18" o:title=""/>
                  <o:lock v:ext="edit" aspectratio="t"/>
                  <w10:wrap type="none"/>
                  <w10:anchorlock/>
                </v:shape>
                <o:OLEObject Type="Embed" ProgID="Equation.KSEE3" ShapeID="_x0000_i1026" DrawAspect="Content" ObjectID="_1468075726" r:id="rId17">
                  <o:LockedField>false</o:LockedField>
                </o:OLEObject>
              </w:object>
            </w:r>
          </w:p>
          <w:p w14:paraId="5C586AF5">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式中：P——指颗粒物产生量（单位：吨）；</w:t>
            </w:r>
          </w:p>
          <w:p w14:paraId="2F994269">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ZCy——指装卸扬尘产生量（单位：吨）；</w:t>
            </w:r>
          </w:p>
          <w:p w14:paraId="1D50B018">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FCy——指风蚀扬尘产生量（单位：吨）；</w:t>
            </w:r>
          </w:p>
          <w:p w14:paraId="2574B5BF">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NC——指年物料运载车次（单位：车）；项目年拉运原料25万吨，成品共计拉运22万吨，原料卸料机成</w:t>
            </w:r>
            <w:r>
              <w:rPr>
                <w:rFonts w:hint="eastAsia" w:cs="Times New Roman"/>
                <w:color w:val="auto"/>
                <w:highlight w:val="none"/>
                <w:lang w:val="en-US" w:eastAsia="zh-CN"/>
              </w:rPr>
              <w:t>品</w:t>
            </w:r>
            <w:r>
              <w:rPr>
                <w:rFonts w:hint="default" w:ascii="Times New Roman" w:hAnsi="Times New Roman" w:cs="Times New Roman"/>
                <w:color w:val="auto"/>
                <w:highlight w:val="none"/>
                <w:lang w:val="en-US" w:eastAsia="zh-CN"/>
              </w:rPr>
              <w:t>装车需拉运9400车次；</w:t>
            </w:r>
          </w:p>
          <w:p w14:paraId="3803F1E6">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D——指单车平均运载量（单位：吨/车）；本次取50t/车次；</w:t>
            </w:r>
          </w:p>
          <w:p w14:paraId="2D1DFF08">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a/b——指装卸扬尘概化系数（单位：千克/吨），a指各省风速概化系数，见附录1，b指物料含水率概化系数，见附录2，本项目位于内蒙古自治区，平均风速2.91m/s，概化系数a=0.0017。b指物料含水率概化系数，见附录2，本项目堆存煤系高岭土，物料含水率低于15%，本项目参考表土的概化系数b=0.0151；</w:t>
            </w:r>
          </w:p>
          <w:p w14:paraId="723AC011">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Ef——指堆场风蚀扬尘概化系数，见附录3（单位：千克/平方米）；本项目取41.5808千克/平方米；</w:t>
            </w:r>
          </w:p>
          <w:p w14:paraId="0E8B116F">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S——指堆场占地面积（单位：平方米）；本项目为原料库建筑面积11500㎡、熟料库建筑面积为13796.73㎡，堆场占地面积共计25296.73㎡。</w:t>
            </w:r>
          </w:p>
          <w:p w14:paraId="1542DC82">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object>
                <v:shape id="_x0000_i1027" o:spt="75" type="#_x0000_t75" style="height:20.85pt;width:267.7pt;" o:ole="t" filled="f" o:preferrelative="t" stroked="f" coordsize="21600,21600">
                  <v:path/>
                  <v:fill on="f" focussize="0,0"/>
                  <v:stroke on="f"/>
                  <v:imagedata r:id="rId18" o:title=""/>
                  <o:lock v:ext="edit" aspectratio="t"/>
                  <w10:wrap type="none"/>
                  <w10:anchorlock/>
                </v:shape>
                <o:OLEObject Type="Embed" ProgID="Equation.KSEE3" ShapeID="_x0000_i1027" DrawAspect="Content" ObjectID="_1468075727" r:id="rId19">
                  <o:LockedField>false</o:LockedField>
                </o:OLEObject>
              </w:object>
            </w:r>
          </w:p>
          <w:p w14:paraId="5888004E">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=｛9400×50×（0.0017/0.0151）+2×41.5808×25296.73｝×10-3</w:t>
            </w:r>
          </w:p>
          <w:p w14:paraId="34D45809">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=2156.63t/a</w:t>
            </w:r>
          </w:p>
          <w:p w14:paraId="5BEB403C">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工业企业固体物料堆场颗粒物排放量核算公式如下：</w:t>
            </w:r>
          </w:p>
          <w:p w14:paraId="3A316D5B">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drawing>
                <wp:inline distT="0" distB="0" distL="114300" distR="114300">
                  <wp:extent cx="2192020" cy="265430"/>
                  <wp:effectExtent l="0" t="0" r="17780" b="1270"/>
                  <wp:docPr id="2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8"/>
                          <pic:cNvPicPr>
                            <a:picLocks noChangeAspect="1"/>
                          </pic:cNvPicPr>
                        </pic:nvPicPr>
                        <pic:blipFill>
                          <a:blip r:embed="rId20"/>
                          <a:stretch>
                            <a:fillRect/>
                          </a:stretch>
                        </pic:blipFill>
                        <pic:spPr>
                          <a:xfrm>
                            <a:off x="0" y="0"/>
                            <a:ext cx="2192020" cy="265430"/>
                          </a:xfrm>
                          <a:prstGeom prst="rect">
                            <a:avLst/>
                          </a:prstGeom>
                          <a:noFill/>
                          <a:ln>
                            <a:noFill/>
                          </a:ln>
                        </pic:spPr>
                      </pic:pic>
                    </a:graphicData>
                  </a:graphic>
                </wp:inline>
              </w:drawing>
            </w:r>
          </w:p>
          <w:p w14:paraId="68CE5A7A">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式中：P——指颗粒物产生量（单位：吨）；</w:t>
            </w:r>
          </w:p>
          <w:p w14:paraId="5DB8288B">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Uc——指颗粒物排放量（单位：吨）；</w:t>
            </w:r>
          </w:p>
          <w:p w14:paraId="64C5945A">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Cm——指颗粒物控制措施控制效率（单位：%），见附录4；本项目使用水雾喷头降尘，属于洒水降尘，控制效率为74%；</w:t>
            </w:r>
          </w:p>
          <w:p w14:paraId="78732AE1">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Tm——指堆场类型控制效率（单位：%），见附录5；本项目设置密闭式厂房，控制效率99%。本项目生产车间为全封闭，抑尘效率取值为85%。</w:t>
            </w:r>
          </w:p>
          <w:p w14:paraId="3769515B">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drawing>
                <wp:inline distT="0" distB="0" distL="114300" distR="114300">
                  <wp:extent cx="2296160" cy="277495"/>
                  <wp:effectExtent l="0" t="0" r="8890" b="8255"/>
                  <wp:docPr id="2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9"/>
                          <pic:cNvPicPr>
                            <a:picLocks noChangeAspect="1"/>
                          </pic:cNvPicPr>
                        </pic:nvPicPr>
                        <pic:blipFill>
                          <a:blip r:embed="rId20"/>
                          <a:stretch>
                            <a:fillRect/>
                          </a:stretch>
                        </pic:blipFill>
                        <pic:spPr>
                          <a:xfrm>
                            <a:off x="0" y="0"/>
                            <a:ext cx="2296160" cy="277495"/>
                          </a:xfrm>
                          <a:prstGeom prst="rect">
                            <a:avLst/>
                          </a:prstGeom>
                          <a:noFill/>
                          <a:ln>
                            <a:noFill/>
                          </a:ln>
                        </pic:spPr>
                      </pic:pic>
                    </a:graphicData>
                  </a:graphic>
                </wp:inline>
              </w:drawing>
            </w:r>
          </w:p>
          <w:p w14:paraId="2225F44C">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=2156.63×（1-74%）×（1-85%）</w:t>
            </w:r>
          </w:p>
          <w:p w14:paraId="576E6E9E">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=84.11t/a</w:t>
            </w:r>
          </w:p>
          <w:p w14:paraId="352A020F">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经计算，本项目产品煤粉堆存引起的扬尘产生量为2156.63t/a，经全封闭车间阻隔，洒水喷淋降尘后，最终逸散84.11t/a。</w:t>
            </w:r>
          </w:p>
          <w:p w14:paraId="63E05FFA">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③筛分废气（G3）</w:t>
            </w:r>
          </w:p>
          <w:p w14:paraId="1FFE4E76">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依据工程分析，项目约有煤矿来的煤矸石约22万t/a进行干选高岭土，干选时，依据工程分选机设施方案，将干选机设在全封闭操作间内，分别在入料口、分选区及出口设集气罩进行收集</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收集效率为90%</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，收集后采用负压风机引至配套的1台布袋除尘器处理</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去除效率为99%</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，处理后尾气经1根15m高（DA001）排气筒排放。</w:t>
            </w:r>
          </w:p>
          <w:p w14:paraId="1B25E5F3">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参考生态环境部发布的《排放源统计调查产排污核算方法和系数手册》</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2021年6月11日发布</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中《3099其他非金属矿物制品制造行业系数手册》筛分，废气量为245Nm³/t-产品，筛分工序颗粒物产生量为1.13kg/t-产品。则干选筛分工序产生的废气量为：245Nm³/t×22万t/a=5.39×107Nm³/a，筛分过程产生的粉尘量为：1.13kg/t-产品×22万t/a=248.6t/a，核算粉尘的产生浓度为4612.24mg/m³，经除尘系统处理后，</w:t>
            </w:r>
            <w:r>
              <w:rPr>
                <w:rFonts w:hint="eastAsia" w:cs="Times New Roman"/>
                <w:color w:val="auto"/>
                <w:highlight w:val="none"/>
                <w:lang w:val="en-US" w:eastAsia="zh-CN"/>
              </w:rPr>
              <w:t>除尘灰产生量为221.5t/a，</w:t>
            </w:r>
            <w:r>
              <w:rPr>
                <w:rFonts w:hint="default" w:ascii="Times New Roman" w:hAnsi="Times New Roman" w:cs="Times New Roman"/>
                <w:color w:val="auto"/>
                <w:highlight w:val="none"/>
                <w:lang w:val="en-US" w:eastAsia="zh-CN"/>
              </w:rPr>
              <w:t>粉尘的排放量为：248.6t/a×90%×</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1-99%</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=2.24t/a，粉尘的排放浓度为41.56mg/m³，排放速率为0.28kg/h，处理后的颗粒物排放满足《大气污染物综合排放标准》</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GB16297-1996</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表2中15m排放筒排放限值要求，即颗粒物排放浓度120mg/m³，排放速率3.5kg/h的要求。</w:t>
            </w:r>
          </w:p>
          <w:p w14:paraId="77EA3C87">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未收集的粉尘无组织逸散，无组织粉尘排放量为24.86t/a，排放速率为9.33kg/h。</w:t>
            </w:r>
          </w:p>
          <w:p w14:paraId="51E645C4">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④天然气燃烧废气及物料煅烧废气（G4）</w:t>
            </w:r>
          </w:p>
          <w:p w14:paraId="171F0466">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大气污染主要来自竖窑煅烧的烟气排放，竖窑采用天然气为燃料，根据建设单位提供资料本项目原料天然气用量为1000万Nm³/a，年生产18万吨的块料煅烧料（粒径60-100mm）、2万吨的大块煤系高岭土煅烧料（粒径30-60mm）、2万吨的小块煤系高岭土煅烧料（粒径1-30mm）竖窑煅烧烟气及物料煅烧产生废气颗粒物、NOx、SO</w:t>
            </w:r>
            <w:r>
              <w:rPr>
                <w:rFonts w:hint="default" w:ascii="Times New Roman" w:hAnsi="Times New Roman" w:cs="Times New Roman"/>
                <w:color w:val="auto"/>
                <w:highlight w:val="none"/>
                <w:vertAlign w:val="subscript"/>
                <w:lang w:val="en-US" w:eastAsia="zh-CN"/>
              </w:rPr>
              <w:t>2</w:t>
            </w:r>
            <w:r>
              <w:rPr>
                <w:rFonts w:hint="default" w:ascii="Times New Roman" w:hAnsi="Times New Roman" w:cs="Times New Roman"/>
                <w:color w:val="auto"/>
                <w:highlight w:val="none"/>
                <w:lang w:val="en-US" w:eastAsia="zh-CN"/>
              </w:rPr>
              <w:t>，采用SNCR脱硝+SCR脱硝+袋式除尘+石灰石-石膏法脱硫+双碱法脱硫，最终经过15m高（DA002）排气筒排放，本项目年运行333天，日运行24h。</w:t>
            </w:r>
          </w:p>
          <w:p w14:paraId="0F3BEC8C">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val="0"/>
                <w:bCs w:val="0"/>
                <w:color w:val="auto"/>
                <w:highlight w:val="none"/>
                <w:lang w:val="en-US" w:eastAsia="zh-CN"/>
              </w:rPr>
              <w:t>1）烟气量</w:t>
            </w:r>
          </w:p>
          <w:p w14:paraId="403EA9B8">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参照《排放源统计调查产排污核算方法和系数手册》中“3089耐火陶瓷制品及其他耐火材料制造行业系数手册”产污系数进行计算，工业废气量为5134Nm³/t-原料。</w:t>
            </w:r>
          </w:p>
          <w:p w14:paraId="693CADE4">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工业废气量=5134Nm³/t×22万t/a=112948万Nm³/a。</w:t>
            </w:r>
          </w:p>
          <w:p w14:paraId="047328A9">
            <w:pPr>
              <w:bidi w:val="0"/>
              <w:rPr>
                <w:rFonts w:hint="eastAsia" w:cs="Times New Roman"/>
                <w:color w:val="auto"/>
                <w:highlight w:val="none"/>
                <w:lang w:val="en-US" w:eastAsia="zh-CN"/>
              </w:rPr>
            </w:pPr>
            <w:r>
              <w:rPr>
                <w:rFonts w:hint="default" w:ascii="Times New Roman" w:hAnsi="Times New Roman" w:cs="Times New Roman"/>
                <w:color w:val="auto"/>
                <w:highlight w:val="none"/>
                <w:lang w:val="en-US" w:eastAsia="zh-CN"/>
              </w:rPr>
              <w:t>2）</w:t>
            </w:r>
            <w:r>
              <w:rPr>
                <w:rFonts w:hint="eastAsia" w:cs="Times New Roman"/>
                <w:color w:val="auto"/>
                <w:highlight w:val="none"/>
                <w:lang w:val="en-US" w:eastAsia="zh-CN"/>
              </w:rPr>
              <w:t>粉尘</w:t>
            </w:r>
          </w:p>
          <w:p w14:paraId="050FB1DE">
            <w:pPr>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rPr>
              <w:t>本项目</w:t>
            </w:r>
            <w:r>
              <w:rPr>
                <w:rFonts w:hint="eastAsia" w:cs="Times New Roman"/>
                <w:color w:val="auto"/>
                <w:highlight w:val="none"/>
                <w:lang w:val="en-US" w:eastAsia="zh-CN"/>
              </w:rPr>
              <w:t>烟尘</w:t>
            </w:r>
            <w:r>
              <w:rPr>
                <w:rFonts w:hint="default" w:ascii="Times New Roman" w:hAnsi="Times New Roman" w:cs="Times New Roman"/>
                <w:color w:val="auto"/>
                <w:highlight w:val="none"/>
              </w:rPr>
              <w:t>由</w:t>
            </w:r>
            <w:r>
              <w:rPr>
                <w:rFonts w:hint="default" w:ascii="Times New Roman" w:hAnsi="Times New Roman" w:cs="Times New Roman"/>
                <w:color w:val="auto"/>
                <w:highlight w:val="none"/>
                <w:lang w:val="en-US" w:eastAsia="zh-CN"/>
              </w:rPr>
              <w:t>天然气燃烧产生的烟尘及物料煅烧起尘</w:t>
            </w:r>
            <w:r>
              <w:rPr>
                <w:rFonts w:hint="default" w:ascii="Times New Roman" w:hAnsi="Times New Roman" w:cs="Times New Roman"/>
                <w:color w:val="auto"/>
                <w:highlight w:val="none"/>
              </w:rPr>
              <w:t>组成</w:t>
            </w:r>
            <w:r>
              <w:rPr>
                <w:rFonts w:hint="default" w:ascii="Times New Roman" w:hAnsi="Times New Roman" w:cs="Times New Roman"/>
                <w:color w:val="auto"/>
                <w:highlight w:val="none"/>
                <w:lang w:eastAsia="zh-CN"/>
              </w:rPr>
              <w:t>。</w:t>
            </w:r>
          </w:p>
          <w:p w14:paraId="5644B85D">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依据《排放源统计调查产排污核算方法和系数手册》（公告2021年第24号）中3089耐火陶瓷制品及其他耐火材料制造行业系数手册中-原料烧制-其他煅烧耐火材料，颗粒物产污系数为0.36kg/t-产品，颗粒物产生量为0.36kg/t×22万t/a=79.2t/a，本项目采用袋式除尘器进行处理，除尘效率为99%，</w:t>
            </w:r>
            <w:r>
              <w:rPr>
                <w:rFonts w:hint="eastAsia" w:cs="Times New Roman"/>
                <w:color w:val="auto"/>
                <w:highlight w:val="none"/>
                <w:lang w:val="en-US" w:eastAsia="zh-CN"/>
              </w:rPr>
              <w:t>除尘灰产生量为78.4t/a，</w:t>
            </w:r>
            <w:r>
              <w:rPr>
                <w:rFonts w:hint="default" w:ascii="Times New Roman" w:hAnsi="Times New Roman" w:cs="Times New Roman"/>
                <w:color w:val="auto"/>
                <w:highlight w:val="none"/>
                <w:lang w:val="en-US" w:eastAsia="zh-CN"/>
              </w:rPr>
              <w:t>颗粒物排放量为0.79t/a</w:t>
            </w:r>
            <w:r>
              <w:rPr>
                <w:rFonts w:hint="eastAsia" w:cs="Times New Roman"/>
                <w:color w:val="auto"/>
                <w:highlight w:val="none"/>
                <w:lang w:val="en-US" w:eastAsia="zh-CN"/>
              </w:rPr>
              <w:t>，排放速率为0.10kg/h，排放浓度为0.70mg/m³，粉尘排放满足《工业炉窑大气污染物排放标准》（GB9078-1996）表2二级标准</w:t>
            </w:r>
            <w:r>
              <w:rPr>
                <w:rFonts w:hint="default" w:ascii="Times New Roman" w:hAnsi="Times New Roman" w:cs="Times New Roman"/>
                <w:color w:val="auto"/>
                <w:highlight w:val="none"/>
                <w:lang w:val="en-US" w:eastAsia="zh-CN"/>
              </w:rPr>
              <w:t>。</w:t>
            </w:r>
          </w:p>
          <w:p w14:paraId="672BA318">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3）二氧化硫、氮氧化物。</w:t>
            </w:r>
          </w:p>
          <w:p w14:paraId="2BBAC709">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依据《排放源统计调查产排污核算方法和系数手册》（公告2021年第24号）中3089耐火陶瓷制品及其他耐火材料制造行业系数手册中-原料烧制-其他煅烧耐火材料，二氧化硫产污系数为2.21kg/t-产品，二氧化硫产生量为2.21×22万t/a=486.2t/a，本项目采用石灰石-石膏法脱硫+双碱法脱硫，石灰石-石膏法脱硫效率60%，双碱法脱硫效率80%，则本项目二氧化硫排放量为38.90t/a，排放速率为4.87kg/h，排放浓度为34.44mg/m³。</w:t>
            </w:r>
          </w:p>
          <w:p w14:paraId="0B2A1AB5">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氮氧化物产物系数为1.88kg/t-产品，氮氧化物产生量为1.88×22万t/a=413.6t/a，本项目采用SNCR脱硝+SCR脱硝，SNCR脱硝效率为50%，SCR脱硝脱硝效率为80%，本项目氮氧化物排放量为41.36t/a，排放速率为5.18kg/h，排放浓度为31.62mg/m³。</w:t>
            </w:r>
          </w:p>
          <w:p w14:paraId="0EED81D2">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color w:val="auto"/>
                <w:highlight w:val="none"/>
                <w:lang w:val="en-US" w:eastAsia="zh-CN"/>
              </w:rPr>
              <w:t>综上所述，二氧化硫及氮氧化物排放满足《大气污染物综合排放标准》（GB16297-1996）表2中二级标准限值要求（二氧化硫排放浓度550mg/m³，排放速率22kg/h，h=37m；</w:t>
            </w:r>
            <w:r>
              <w:rPr>
                <w:rFonts w:hint="eastAsia" w:cs="Times New Roman"/>
                <w:color w:val="auto"/>
                <w:highlight w:val="none"/>
                <w:lang w:val="en-US" w:eastAsia="zh-CN"/>
              </w:rPr>
              <w:t>氮氧化物排放浓度240mg/</w:t>
            </w:r>
            <w:r>
              <w:rPr>
                <w:rFonts w:hint="default" w:ascii="Times New Roman" w:hAnsi="Times New Roman" w:cs="Times New Roman"/>
                <w:color w:val="auto"/>
                <w:highlight w:val="none"/>
                <w:lang w:val="en-US" w:eastAsia="zh-CN"/>
              </w:rPr>
              <w:t>m³，排放速率6.57kg/h，h=37m）。</w:t>
            </w:r>
          </w:p>
          <w:p w14:paraId="7523372E">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⑤道路运输扬尘</w:t>
            </w:r>
          </w:p>
          <w:p w14:paraId="1FA5354D">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汽车运输时由于碾压卷带产生的扬尘对道路两侧一定范围内会造成污染。扬尘量的大小与车流量、道路状况、气候条件、汽车行驶速度等均有关系。根据汽车道路扬尘扩散规律，在大气干燥和地面风速低于4m/s条件下，汽车行驶时引起的路面扬尘量与汽车速度成正比，与汽车质量成正比，与道路表面扬尘量成正比，其汽车扬尘量预测经验公式为：</w:t>
            </w:r>
          </w:p>
          <w:p w14:paraId="667D1111">
            <w:pPr>
              <w:bidi w:val="0"/>
              <w:jc w:val="center"/>
              <w:rPr>
                <w:rFonts w:hint="default" w:ascii="Times New Roman" w:hAnsi="Times New Roman" w:cs="Times New Roman"/>
                <w:color w:val="auto"/>
                <w:highlight w:val="none"/>
                <w:lang w:val="en-US" w:eastAsia="zh-CN"/>
              </w:rPr>
            </w:pPr>
          </w:p>
          <w:p w14:paraId="13CD7953">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Q=0.123（V/5）（W/6.8）0.85（P/0.5）0.72</w:t>
            </w:r>
          </w:p>
          <w:p w14:paraId="113A5955">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式中：Q——汽车行驶扬尘量（kg/km，辆）；</w:t>
            </w:r>
          </w:p>
          <w:p w14:paraId="13487DD0">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V——汽车速度（km/h）；</w:t>
            </w:r>
          </w:p>
          <w:p w14:paraId="1F671B4B">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W——汽车质量（t），按满载的平均质量50t计算；</w:t>
            </w:r>
          </w:p>
          <w:p w14:paraId="05250753">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P——道路表面粉尘量（kg/㎡），取0.20。</w:t>
            </w:r>
          </w:p>
          <w:p w14:paraId="0DA321D9">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由上述计算公式计算，汽车行驶过程中扬尘量的预测结果见表4-1。</w:t>
            </w:r>
          </w:p>
          <w:p w14:paraId="3F36C412">
            <w:pPr>
              <w:bidi w:val="0"/>
              <w:ind w:left="0" w:leftChars="0" w:firstLine="0" w:firstLineChars="0"/>
              <w:jc w:val="center"/>
              <w:rPr>
                <w:rFonts w:hint="default" w:ascii="Times New Roman" w:hAnsi="Times New Roman" w:cs="Times New Roman"/>
                <w:b/>
                <w:bCs/>
                <w:color w:val="auto"/>
                <w:highlight w:val="none"/>
                <w:lang w:val="en-US" w:eastAsia="zh-CN"/>
              </w:rPr>
            </w:pPr>
          </w:p>
          <w:p w14:paraId="3DF50CC1">
            <w:pPr>
              <w:bidi w:val="0"/>
              <w:ind w:left="0" w:leftChars="0" w:firstLine="0" w:firstLineChars="0"/>
              <w:jc w:val="center"/>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表4-1汽车运输道路扬尘量预测结果</w:t>
            </w:r>
          </w:p>
          <w:tbl>
            <w:tblPr>
              <w:tblStyle w:val="23"/>
              <w:tblW w:w="7939" w:type="dxa"/>
              <w:tblInd w:w="11" w:type="dxa"/>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Layout w:type="fixed"/>
              <w:tblCellMar>
                <w:top w:w="0" w:type="dxa"/>
                <w:left w:w="0" w:type="dxa"/>
                <w:bottom w:w="0" w:type="dxa"/>
                <w:right w:w="0" w:type="dxa"/>
              </w:tblCellMar>
            </w:tblPr>
            <w:tblGrid>
              <w:gridCol w:w="1344"/>
              <w:gridCol w:w="1696"/>
              <w:gridCol w:w="2475"/>
              <w:gridCol w:w="2424"/>
            </w:tblGrid>
            <w:tr w14:paraId="66B226F8">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0" w:type="dxa"/>
                  <w:bottom w:w="0" w:type="dxa"/>
                  <w:right w:w="0" w:type="dxa"/>
                </w:tblCellMar>
              </w:tblPrEx>
              <w:trPr>
                <w:trHeight w:val="579" w:hRule="atLeast"/>
              </w:trPr>
              <w:tc>
                <w:tcPr>
                  <w:tcW w:w="1344" w:type="dxa"/>
                  <w:shd w:val="clear" w:color="auto" w:fill="FFFFFF"/>
                  <w:noWrap w:val="0"/>
                  <w:vAlign w:val="center"/>
                </w:tcPr>
                <w:p w14:paraId="128033CE">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汽车平均速度（km/h）</w:t>
                  </w:r>
                </w:p>
              </w:tc>
              <w:tc>
                <w:tcPr>
                  <w:tcW w:w="1696" w:type="dxa"/>
                  <w:shd w:val="clear" w:color="auto" w:fill="FFFFFF"/>
                  <w:noWrap w:val="0"/>
                  <w:vAlign w:val="center"/>
                </w:tcPr>
                <w:p w14:paraId="3A36F3A2">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汽车平均质量（t）</w:t>
                  </w:r>
                </w:p>
              </w:tc>
              <w:tc>
                <w:tcPr>
                  <w:tcW w:w="2475" w:type="dxa"/>
                  <w:shd w:val="clear" w:color="auto" w:fill="FFFFFF"/>
                  <w:noWrap w:val="0"/>
                  <w:vAlign w:val="center"/>
                </w:tcPr>
                <w:p w14:paraId="088AB8DC">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道路表面粉尘量（kg/㎡）</w:t>
                  </w:r>
                </w:p>
              </w:tc>
              <w:tc>
                <w:tcPr>
                  <w:tcW w:w="2424" w:type="dxa"/>
                  <w:shd w:val="clear" w:color="auto" w:fill="FFFFFF"/>
                  <w:noWrap w:val="0"/>
                  <w:vAlign w:val="center"/>
                </w:tcPr>
                <w:p w14:paraId="0EB02D70">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汽车扬尘量预测值（kg/km·辆）</w:t>
                  </w:r>
                </w:p>
              </w:tc>
            </w:tr>
            <w:tr w14:paraId="307956B2">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0" w:type="dxa"/>
                  <w:bottom w:w="0" w:type="dxa"/>
                  <w:right w:w="0" w:type="dxa"/>
                </w:tblCellMar>
              </w:tblPrEx>
              <w:trPr>
                <w:trHeight w:val="90" w:hRule="atLeast"/>
              </w:trPr>
              <w:tc>
                <w:tcPr>
                  <w:tcW w:w="1344" w:type="dxa"/>
                  <w:shd w:val="clear" w:color="auto" w:fill="FFFFFF"/>
                  <w:noWrap w:val="0"/>
                  <w:vAlign w:val="center"/>
                </w:tcPr>
                <w:p w14:paraId="1259E99A">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20</w:t>
                  </w:r>
                </w:p>
              </w:tc>
              <w:tc>
                <w:tcPr>
                  <w:tcW w:w="1696" w:type="dxa"/>
                  <w:shd w:val="clear" w:color="auto" w:fill="FFFFFF"/>
                  <w:noWrap w:val="0"/>
                  <w:vAlign w:val="center"/>
                </w:tcPr>
                <w:p w14:paraId="5244D607">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50</w:t>
                  </w:r>
                </w:p>
              </w:tc>
              <w:tc>
                <w:tcPr>
                  <w:tcW w:w="2475" w:type="dxa"/>
                  <w:shd w:val="clear" w:color="auto" w:fill="FFFFFF"/>
                  <w:noWrap w:val="0"/>
                  <w:vAlign w:val="center"/>
                </w:tcPr>
                <w:p w14:paraId="7E174356">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0.20</w:t>
                  </w:r>
                </w:p>
              </w:tc>
              <w:tc>
                <w:tcPr>
                  <w:tcW w:w="2424" w:type="dxa"/>
                  <w:shd w:val="clear" w:color="auto" w:fill="FFFFFF"/>
                  <w:noWrap w:val="0"/>
                  <w:vAlign w:val="center"/>
                </w:tcPr>
                <w:p w14:paraId="374B74D6">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0.90</w:t>
                  </w:r>
                </w:p>
              </w:tc>
            </w:tr>
          </w:tbl>
          <w:p w14:paraId="490C44BB">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的车流量：本项目物料运输原料卸料及成品运出总和共计47万t/a，每天运输量约1412t/d，单车每次运输量按50t计算，每天运输车辆29车次，汽车在厂区内平均车速按20km/h计算，则汽车扬尘量为0.90kg/km·辆计，经计算汽车在厂区内行驶过程的扬尘量为0.20t/a。</w:t>
            </w:r>
          </w:p>
          <w:p w14:paraId="70662999">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针对物料装卸粉尘、物料堆场扬尘和道路扬尘，建设单位采取如下控制措施：</w:t>
            </w:r>
          </w:p>
          <w:p w14:paraId="0DF1526A">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建设钢结构厂房对原料实行全封闭，保留运输、装卸车辆通道，货物进出口安装自动感应门，采取此措施后，风力作用起尘影响将降至最低，机械装载或卸载过程中的起尘亦可有效隔离，再辅以喷淋措施可使粉尘最大限度得以沉降。</w:t>
            </w:r>
          </w:p>
          <w:p w14:paraId="37973A5D">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2）装卸车辆在作业时，尽量降低物料落差，辅以喷淋系统，以确保有效降尘，同时可保障工人作业环境洁净。</w:t>
            </w:r>
          </w:p>
          <w:p w14:paraId="4F039C6C">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3）除尘器卸灰采用专用容器封闭接卸。</w:t>
            </w:r>
          </w:p>
          <w:p w14:paraId="137C8894">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4）合理安排生产计划，避免物料长时间大量堆存。</w:t>
            </w:r>
          </w:p>
          <w:p w14:paraId="66AE12D6">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5）厂区主要作业区域、道路全部硬化，建立厂区洒水制度，保持厂区主要道路、主要作业区域常态湿润。</w:t>
            </w:r>
          </w:p>
          <w:p w14:paraId="4991A6AA">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6）厂区入口安装视频监控，车辆在出厂前经过冲洗干净，严禁带尘上路，视频监控记录必须保存至少3个月。</w:t>
            </w:r>
          </w:p>
          <w:p w14:paraId="1E94084D">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7）运输车辆要封闭遮盖，以减少物料的散落。</w:t>
            </w:r>
          </w:p>
          <w:p w14:paraId="458B3D88">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8）制定重污染天气机动车应急管控制度和考核办法，明确管理责任人，门岗必须设立预警管控公示牌，出入重型载货车辆必须张贴尾气排放等次标识，进出入重型载货车辆必须逐一登记，门岗车辆进出视频监控记录必须至少保存3个月，同时建立健全机动车预警管控制度体系，确保各项管控措施落到实处。</w:t>
            </w:r>
          </w:p>
          <w:p w14:paraId="0D3228BB">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1.2监测要求</w:t>
            </w:r>
          </w:p>
          <w:p w14:paraId="16F856D4">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依据《排污单位自行监测技术指南总则》（HJ819-2017）开展自行监测，监测要求见下表。</w:t>
            </w:r>
          </w:p>
          <w:p w14:paraId="755C3DB4">
            <w:pPr>
              <w:bidi w:val="0"/>
              <w:ind w:left="0" w:leftChars="0" w:firstLine="0" w:firstLineChars="0"/>
              <w:jc w:val="center"/>
              <w:rPr>
                <w:rFonts w:hint="default" w:ascii="Times New Roman" w:hAnsi="Times New Roman" w:cs="Times New Roman"/>
                <w:b/>
                <w:bCs/>
                <w:color w:val="auto"/>
                <w:highlight w:val="none"/>
                <w:vertAlign w:val="baseline"/>
                <w:lang w:val="en-US" w:eastAsia="zh-CN"/>
              </w:rPr>
            </w:pPr>
            <w:r>
              <w:rPr>
                <w:rFonts w:hint="default" w:ascii="Times New Roman" w:hAnsi="Times New Roman" w:cs="Times New Roman"/>
                <w:b/>
                <w:bCs/>
                <w:color w:val="auto"/>
                <w:highlight w:val="none"/>
                <w:lang w:val="en-US" w:eastAsia="zh-CN"/>
              </w:rPr>
              <w:t>表4-2大气监测要求一览表</w:t>
            </w:r>
          </w:p>
          <w:tbl>
            <w:tblPr>
              <w:tblStyle w:val="24"/>
              <w:tblW w:w="793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3"/>
              <w:gridCol w:w="1523"/>
              <w:gridCol w:w="794"/>
              <w:gridCol w:w="750"/>
              <w:gridCol w:w="4158"/>
            </w:tblGrid>
            <w:tr w14:paraId="37A06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5" w:hRule="atLeast"/>
              </w:trPr>
              <w:tc>
                <w:tcPr>
                  <w:tcW w:w="713" w:type="dxa"/>
                </w:tcPr>
                <w:p w14:paraId="3BEAD21A">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类别</w:t>
                  </w:r>
                </w:p>
              </w:tc>
              <w:tc>
                <w:tcPr>
                  <w:tcW w:w="1523" w:type="dxa"/>
                </w:tcPr>
                <w:p w14:paraId="0CDA4704">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监测点位</w:t>
                  </w:r>
                </w:p>
              </w:tc>
              <w:tc>
                <w:tcPr>
                  <w:tcW w:w="794" w:type="dxa"/>
                </w:tcPr>
                <w:p w14:paraId="4CF1D80C">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监测项目</w:t>
                  </w:r>
                </w:p>
              </w:tc>
              <w:tc>
                <w:tcPr>
                  <w:tcW w:w="750" w:type="dxa"/>
                </w:tcPr>
                <w:p w14:paraId="0D8AC343">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监测频次</w:t>
                  </w:r>
                </w:p>
              </w:tc>
              <w:tc>
                <w:tcPr>
                  <w:tcW w:w="4158" w:type="dxa"/>
                </w:tcPr>
                <w:p w14:paraId="06D18EEA">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执行标准</w:t>
                  </w:r>
                </w:p>
              </w:tc>
            </w:tr>
            <w:tr w14:paraId="4ACC0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713" w:type="dxa"/>
                  <w:vMerge w:val="restart"/>
                </w:tcPr>
                <w:p w14:paraId="4EA6C05E">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废气</w:t>
                  </w:r>
                </w:p>
              </w:tc>
              <w:tc>
                <w:tcPr>
                  <w:tcW w:w="1523" w:type="dxa"/>
                </w:tcPr>
                <w:p w14:paraId="619AB82B">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DA001（筛分废气排放口）</w:t>
                  </w:r>
                </w:p>
              </w:tc>
              <w:tc>
                <w:tcPr>
                  <w:tcW w:w="794" w:type="dxa"/>
                </w:tcPr>
                <w:p w14:paraId="0F4D4B4C">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颗粒物</w:t>
                  </w:r>
                </w:p>
              </w:tc>
              <w:tc>
                <w:tcPr>
                  <w:tcW w:w="750" w:type="dxa"/>
                </w:tcPr>
                <w:p w14:paraId="67835ADC">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1次/半年</w:t>
                  </w:r>
                </w:p>
              </w:tc>
              <w:tc>
                <w:tcPr>
                  <w:tcW w:w="4158" w:type="dxa"/>
                </w:tcPr>
                <w:p w14:paraId="5EAB2468">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both"/>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《大气污染物综合排放标准》（GB16297-1996）表2二级排放限制要求</w:t>
                  </w:r>
                </w:p>
              </w:tc>
            </w:tr>
            <w:tr w14:paraId="4ED88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713" w:type="dxa"/>
                  <w:vMerge w:val="continue"/>
                </w:tcPr>
                <w:p w14:paraId="2E9B6AFD">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p>
              </w:tc>
              <w:tc>
                <w:tcPr>
                  <w:tcW w:w="1523" w:type="dxa"/>
                </w:tcPr>
                <w:p w14:paraId="2ADA11CA">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DA002（煅烧干燥废气排气筒）</w:t>
                  </w:r>
                </w:p>
              </w:tc>
              <w:tc>
                <w:tcPr>
                  <w:tcW w:w="794" w:type="dxa"/>
                </w:tcPr>
                <w:p w14:paraId="7DCD00CC">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eastAsia" w:cs="Times New Roman"/>
                      <w:color w:val="auto"/>
                      <w:highlight w:val="none"/>
                      <w:vertAlign w:val="baseline"/>
                      <w:lang w:val="en-US" w:eastAsia="zh-CN"/>
                    </w:rPr>
                    <w:t>粉尘</w:t>
                  </w:r>
                  <w:r>
                    <w:rPr>
                      <w:rFonts w:hint="default" w:ascii="Times New Roman" w:hAnsi="Times New Roman" w:cs="Times New Roman"/>
                      <w:color w:val="auto"/>
                      <w:highlight w:val="none"/>
                      <w:vertAlign w:val="baseline"/>
                      <w:lang w:val="en-US" w:eastAsia="zh-CN"/>
                    </w:rPr>
                    <w:t>、SO</w:t>
                  </w:r>
                  <w:r>
                    <w:rPr>
                      <w:rFonts w:hint="default" w:ascii="Times New Roman" w:hAnsi="Times New Roman" w:cs="Times New Roman"/>
                      <w:color w:val="auto"/>
                      <w:highlight w:val="none"/>
                      <w:vertAlign w:val="subscript"/>
                      <w:lang w:val="en-US" w:eastAsia="zh-CN"/>
                    </w:rPr>
                    <w:t>2</w:t>
                  </w:r>
                  <w:r>
                    <w:rPr>
                      <w:rFonts w:hint="default" w:ascii="Times New Roman" w:hAnsi="Times New Roman" w:cs="Times New Roman"/>
                      <w:color w:val="auto"/>
                      <w:highlight w:val="none"/>
                      <w:vertAlign w:val="baseline"/>
                      <w:lang w:val="en-US" w:eastAsia="zh-CN"/>
                    </w:rPr>
                    <w:t>、NO</w:t>
                  </w:r>
                  <w:r>
                    <w:rPr>
                      <w:rFonts w:hint="default" w:ascii="Times New Roman" w:hAnsi="Times New Roman" w:cs="Times New Roman"/>
                      <w:color w:val="auto"/>
                      <w:highlight w:val="none"/>
                      <w:vertAlign w:val="subscript"/>
                      <w:lang w:val="en-US" w:eastAsia="zh-CN"/>
                    </w:rPr>
                    <w:t>X</w:t>
                  </w:r>
                </w:p>
              </w:tc>
              <w:tc>
                <w:tcPr>
                  <w:tcW w:w="750" w:type="dxa"/>
                </w:tcPr>
                <w:p w14:paraId="70138F96">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1次/半年</w:t>
                  </w:r>
                </w:p>
              </w:tc>
              <w:tc>
                <w:tcPr>
                  <w:tcW w:w="4158" w:type="dxa"/>
                </w:tcPr>
                <w:p w14:paraId="2178D022">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both"/>
                    <w:textAlignment w:val="auto"/>
                    <w:rPr>
                      <w:rFonts w:hint="default" w:ascii="Times New Roman" w:hAnsi="Times New Roman" w:cs="Times New Roman"/>
                      <w:color w:val="auto"/>
                      <w:highlight w:val="none"/>
                      <w:vertAlign w:val="baseline"/>
                      <w:lang w:val="en-US" w:eastAsia="zh-CN"/>
                    </w:rPr>
                  </w:pPr>
                  <w:r>
                    <w:rPr>
                      <w:rFonts w:hint="eastAsia" w:cs="Times New Roman"/>
                      <w:color w:val="auto"/>
                      <w:highlight w:val="none"/>
                      <w:vertAlign w:val="baseline"/>
                      <w:lang w:val="en-US" w:eastAsia="zh-CN"/>
                    </w:rPr>
                    <w:t>粉尘</w:t>
                  </w:r>
                  <w:r>
                    <w:rPr>
                      <w:rFonts w:hint="default" w:ascii="Times New Roman" w:hAnsi="Times New Roman" w:cs="Times New Roman"/>
                      <w:color w:val="auto"/>
                      <w:highlight w:val="none"/>
                      <w:vertAlign w:val="baseline"/>
                      <w:lang w:val="en-US" w:eastAsia="zh-CN"/>
                    </w:rPr>
                    <w:t>排放浓度满足《工业炉窑大气污染物排放标准》</w:t>
                  </w:r>
                  <w:r>
                    <w:rPr>
                      <w:rFonts w:hint="eastAsia" w:cs="Times New Roman"/>
                      <w:color w:val="auto"/>
                      <w:highlight w:val="none"/>
                      <w:vertAlign w:val="baseline"/>
                      <w:lang w:val="en-US" w:eastAsia="zh-CN"/>
                    </w:rPr>
                    <w:t>（</w:t>
                  </w:r>
                  <w:r>
                    <w:rPr>
                      <w:rFonts w:hint="default" w:ascii="Times New Roman" w:hAnsi="Times New Roman" w:cs="Times New Roman"/>
                      <w:color w:val="auto"/>
                      <w:highlight w:val="none"/>
                      <w:vertAlign w:val="baseline"/>
                      <w:lang w:val="en-US" w:eastAsia="zh-CN"/>
                    </w:rPr>
                    <w:t>GB9078-1996</w:t>
                  </w:r>
                  <w:r>
                    <w:rPr>
                      <w:rFonts w:hint="eastAsia" w:cs="Times New Roman"/>
                      <w:color w:val="auto"/>
                      <w:highlight w:val="none"/>
                      <w:vertAlign w:val="baseline"/>
                      <w:lang w:val="en-US" w:eastAsia="zh-CN"/>
                    </w:rPr>
                    <w:t>）</w:t>
                  </w:r>
                  <w:r>
                    <w:rPr>
                      <w:rFonts w:hint="default" w:ascii="Times New Roman" w:hAnsi="Times New Roman" w:cs="Times New Roman"/>
                      <w:color w:val="auto"/>
                      <w:highlight w:val="none"/>
                      <w:vertAlign w:val="baseline"/>
                      <w:lang w:val="en-US" w:eastAsia="zh-CN"/>
                    </w:rPr>
                    <w:t>标准，二氧化硫、氮氧化物执行《大气污染物综合排放标准》（GB16297-1996）表2二级标准</w:t>
                  </w:r>
                </w:p>
              </w:tc>
            </w:tr>
            <w:tr w14:paraId="5206F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713" w:type="dxa"/>
                  <w:vMerge w:val="continue"/>
                </w:tcPr>
                <w:p w14:paraId="3D20DFD4">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p>
              </w:tc>
              <w:tc>
                <w:tcPr>
                  <w:tcW w:w="1523" w:type="dxa"/>
                </w:tcPr>
                <w:p w14:paraId="4C02B05E">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厂界无组织监控点（上风向设1个参照点，下风向设3个参照点位）</w:t>
                  </w:r>
                </w:p>
              </w:tc>
              <w:tc>
                <w:tcPr>
                  <w:tcW w:w="794" w:type="dxa"/>
                </w:tcPr>
                <w:p w14:paraId="7DE911ED">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颗粒物</w:t>
                  </w:r>
                </w:p>
              </w:tc>
              <w:tc>
                <w:tcPr>
                  <w:tcW w:w="750" w:type="dxa"/>
                </w:tcPr>
                <w:p w14:paraId="1D48C14A">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1次/季度</w:t>
                  </w:r>
                </w:p>
              </w:tc>
              <w:tc>
                <w:tcPr>
                  <w:tcW w:w="4158" w:type="dxa"/>
                </w:tcPr>
                <w:p w14:paraId="272D9233">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《大气污染物综合排放标准》（GB16297-1996）表2无组织排放限值要求</w:t>
                  </w:r>
                </w:p>
              </w:tc>
            </w:tr>
          </w:tbl>
          <w:p w14:paraId="4E032B41">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2</w:t>
            </w:r>
            <w:r>
              <w:rPr>
                <w:rFonts w:hint="eastAsia" w:cs="Times New Roman"/>
                <w:b/>
                <w:bCs/>
                <w:color w:val="auto"/>
                <w:highlight w:val="none"/>
                <w:lang w:val="en-US" w:eastAsia="zh-CN"/>
              </w:rPr>
              <w:t>.</w:t>
            </w:r>
            <w:r>
              <w:rPr>
                <w:rFonts w:hint="default" w:ascii="Times New Roman" w:hAnsi="Times New Roman" w:cs="Times New Roman"/>
                <w:b/>
                <w:bCs/>
                <w:color w:val="auto"/>
                <w:highlight w:val="none"/>
                <w:lang w:val="en-US" w:eastAsia="zh-CN"/>
              </w:rPr>
              <w:t>地表水环境影响及保护措施</w:t>
            </w:r>
          </w:p>
          <w:p w14:paraId="1479C26D">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（1）生产废水</w:t>
            </w:r>
          </w:p>
          <w:p w14:paraId="1F0C5D4D">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项目生产废水主要为脱硫废水，建设1座混凝土结构脱硫循环水池（分为2个池体，沉淀池3m×3m×2m，调节池3m×3m×2m），生产过程中除尘脱硫废水经循环水池后用于脱硫塔循环补水，不外排。废水通过pH调整+沉淀+絮凝+澄清措施可达到pH6-9、悬浮物30-70mg/L、化学需氧量80-150mg/L、硫化物≤1.0mg/L、总汞≤0.05mg/L，可满足回用要求。该防控措施为《工业锅炉污染防治可行技术指南》中湿法脱硫废水处理的可行技术。</w:t>
            </w:r>
          </w:p>
          <w:p w14:paraId="6E699D70">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（2）生活污水</w:t>
            </w:r>
          </w:p>
          <w:p w14:paraId="02932F2D">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本项目生活污水产生量为9.648m³/d，3212.784m³/a，生活污水中的主要污染物为SS、COD、BOD</w:t>
            </w:r>
            <w:r>
              <w:rPr>
                <w:rFonts w:hint="default" w:ascii="Times New Roman" w:hAnsi="Times New Roman" w:cs="Times New Roman"/>
                <w:color w:val="auto"/>
                <w:highlight w:val="none"/>
                <w:vertAlign w:val="subscript"/>
                <w:lang w:val="en-US" w:eastAsia="zh-CN"/>
              </w:rPr>
              <w:t>5</w:t>
            </w:r>
            <w:r>
              <w:rPr>
                <w:rFonts w:hint="default" w:ascii="Times New Roman" w:hAnsi="Times New Roman" w:cs="Times New Roman"/>
                <w:color w:val="auto"/>
                <w:highlight w:val="none"/>
                <w:lang w:val="en-US" w:eastAsia="zh-CN"/>
              </w:rPr>
              <w:t>、NH</w:t>
            </w:r>
            <w:r>
              <w:rPr>
                <w:rFonts w:hint="default" w:ascii="Times New Roman" w:hAnsi="Times New Roman" w:cs="Times New Roman"/>
                <w:color w:val="auto"/>
                <w:highlight w:val="none"/>
                <w:vertAlign w:val="subscript"/>
                <w:lang w:val="en-US" w:eastAsia="zh-CN"/>
              </w:rPr>
              <w:t>3</w:t>
            </w:r>
            <w:r>
              <w:rPr>
                <w:rFonts w:hint="default" w:ascii="Times New Roman" w:hAnsi="Times New Roman" w:cs="Times New Roman"/>
                <w:color w:val="auto"/>
                <w:highlight w:val="none"/>
                <w:lang w:val="en-US" w:eastAsia="zh-CN"/>
              </w:rPr>
              <w:t>-N，生活污水最终排入园区污水处理厂进行处理。</w:t>
            </w:r>
          </w:p>
          <w:p w14:paraId="55C8F307">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（3）初期雨水</w:t>
            </w:r>
          </w:p>
          <w:p w14:paraId="66F5B9A0">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本项目雨水池用于收集初期雨水，雨水量按照以下公式计算：</w:t>
            </w:r>
          </w:p>
          <w:p w14:paraId="66B1ADC3">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根据包头市建筑设计院采用数理统计法编制的暴雨强度公式如下：</w:t>
            </w:r>
          </w:p>
          <w:p w14:paraId="7EB6C62E">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降雨强度公式：</w:t>
            </w:r>
          </w:p>
          <w:p w14:paraId="00FA687B">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q=9.96</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1+0.985lgP</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t+5.40</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0.85</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L/S·hm2</w:t>
            </w:r>
            <w:r>
              <w:rPr>
                <w:rFonts w:hint="eastAsia" w:cs="Times New Roman"/>
                <w:color w:val="auto"/>
                <w:highlight w:val="none"/>
                <w:lang w:val="en-US" w:eastAsia="zh-CN"/>
              </w:rPr>
              <w:t>）</w:t>
            </w:r>
          </w:p>
          <w:p w14:paraId="50ECE617">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雨水量计算公式：</w:t>
            </w:r>
          </w:p>
          <w:p w14:paraId="5EB66083">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Q=¢·q·F式中：</w:t>
            </w:r>
          </w:p>
          <w:p w14:paraId="0277EC42">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P——重现期，取1年；</w:t>
            </w:r>
          </w:p>
          <w:p w14:paraId="2340006F">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¢——径流系数，取0.90；</w:t>
            </w:r>
          </w:p>
          <w:p w14:paraId="0A15C5FA">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F——汇水面积，</w:t>
            </w:r>
          </w:p>
          <w:p w14:paraId="3418E52A">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F=6.0734hm</w:t>
            </w:r>
            <w:r>
              <w:rPr>
                <w:rFonts w:hint="default" w:ascii="Times New Roman" w:hAnsi="Times New Roman" w:cs="Times New Roman"/>
                <w:color w:val="auto"/>
                <w:highlight w:val="none"/>
                <w:vertAlign w:val="superscript"/>
                <w:lang w:val="en-US" w:eastAsia="zh-CN"/>
              </w:rPr>
              <w:t>2</w:t>
            </w:r>
            <w:r>
              <w:rPr>
                <w:rFonts w:hint="default" w:ascii="Times New Roman" w:hAnsi="Times New Roman" w:cs="Times New Roman"/>
                <w:color w:val="auto"/>
                <w:highlight w:val="none"/>
                <w:lang w:val="en-US" w:eastAsia="zh-CN"/>
              </w:rPr>
              <w:t>；</w:t>
            </w:r>
          </w:p>
          <w:p w14:paraId="668C27D1">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t——降雨历时，t=t1+mt2，</w:t>
            </w:r>
          </w:p>
          <w:p w14:paraId="649CF8E5">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地面集水时间t1取10min，折减系数m取2，管道内雨水流过时间t2约为10.7min。经计算，q=79.8L/s·hm</w:t>
            </w:r>
            <w:r>
              <w:rPr>
                <w:rFonts w:hint="default" w:ascii="Times New Roman" w:hAnsi="Times New Roman" w:cs="Times New Roman"/>
                <w:color w:val="auto"/>
                <w:highlight w:val="none"/>
                <w:vertAlign w:val="superscript"/>
                <w:lang w:val="en-US" w:eastAsia="zh-CN"/>
              </w:rPr>
              <w:t>2</w:t>
            </w:r>
            <w:r>
              <w:rPr>
                <w:rFonts w:hint="default" w:ascii="Times New Roman" w:hAnsi="Times New Roman" w:cs="Times New Roman"/>
                <w:color w:val="auto"/>
                <w:highlight w:val="none"/>
                <w:lang w:val="en-US" w:eastAsia="zh-CN"/>
              </w:rPr>
              <w:t>，Q=1279.79m³/h，一次强降水占地范围内15min雨水收集量为319.95m³。</w:t>
            </w:r>
          </w:p>
          <w:p w14:paraId="35F57953">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拟在厂区建设初期雨水收集池1个，考虑1.2的安全系数，则需要建设1座容积不小于为384m³的初期雨水收集池，因此建设单位拟建1座390m³的初期雨水收集池用于收集本项目的初期雨水。初期雨水中的主要污染物为</w:t>
            </w:r>
            <w:bookmarkStart w:id="4" w:name="_GoBack"/>
            <w:bookmarkEnd w:id="4"/>
            <w:r>
              <w:rPr>
                <w:rFonts w:hint="default" w:ascii="Times New Roman" w:hAnsi="Times New Roman" w:cs="Times New Roman"/>
                <w:color w:val="auto"/>
                <w:highlight w:val="none"/>
                <w:lang w:val="en-US" w:eastAsia="zh-CN"/>
              </w:rPr>
              <w:t>COD、SS等，主要污染物种类简单收集后的雨水经过沉淀澄清后，可用于堆场洒水降尘利用。</w:t>
            </w:r>
          </w:p>
          <w:p w14:paraId="6CAE3773">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本项目无外排废水，对周围环境影响较小。</w:t>
            </w:r>
          </w:p>
          <w:p w14:paraId="70898113">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（4）地下水环境影响分析</w:t>
            </w:r>
          </w:p>
          <w:p w14:paraId="30914860">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本项目实行分区防渗，全封闭生产车间及运输道路进行简单防渗处理；对脱硫循环水池、事故池、初期雨水收集池进行一般防渗处理；危险废物暂存间采用重点防渗，具体防渗措施如下：</w:t>
            </w:r>
          </w:p>
          <w:p w14:paraId="0C10B663">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简单防渗：进行水泥地面硬化。</w:t>
            </w:r>
          </w:p>
          <w:p w14:paraId="0740B712">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一般防渗：要求防渗性能等效粘土防渗层Mb≥1.5m，K≤1×10-7cm/s，经过防渗处理后可防止系统内废水流向地下水环境。</w:t>
            </w:r>
          </w:p>
          <w:p w14:paraId="7F3BCCA1">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kern w:val="2"/>
                <w:sz w:val="21"/>
                <w:szCs w:val="21"/>
                <w:highlight w:val="none"/>
                <w:vertAlign w:val="baseline"/>
                <w:lang w:val="en-US" w:eastAsia="zh-CN" w:bidi="ar-SA"/>
              </w:rPr>
              <w:t>重点防渗措施：危险废物暂存间按照《危险废物贮存污染控制标准》（GB18597-2023）设计为封闭式、防雨、防风、防晒，危险废物危险废物暂存间地面及裙角、泄漏液体集液池均按照《危险废物贮存污染控制标准》（GB18597-2023）相关内容进行防渗，防渗层为至少1m厚黏土层（渗透系数≤1.0×10</w:t>
            </w:r>
            <w:r>
              <w:rPr>
                <w:rFonts w:hint="default" w:ascii="Times New Roman" w:hAnsi="Times New Roman" w:cs="Times New Roman"/>
                <w:color w:val="auto"/>
                <w:kern w:val="2"/>
                <w:sz w:val="21"/>
                <w:szCs w:val="21"/>
                <w:highlight w:val="none"/>
                <w:vertAlign w:val="superscript"/>
                <w:lang w:val="en-US" w:eastAsia="zh-CN" w:bidi="ar-SA"/>
              </w:rPr>
              <w:t>-7</w:t>
            </w:r>
            <w:r>
              <w:rPr>
                <w:rFonts w:hint="default" w:ascii="Times New Roman" w:hAnsi="Times New Roman" w:cs="Times New Roman"/>
                <w:color w:val="auto"/>
                <w:kern w:val="2"/>
                <w:sz w:val="21"/>
                <w:szCs w:val="21"/>
                <w:highlight w:val="none"/>
                <w:vertAlign w:val="baseline"/>
                <w:lang w:val="en-US" w:eastAsia="zh-CN" w:bidi="ar-SA"/>
              </w:rPr>
              <w:t>cm/s），或2mm厚高密度聚乙烯，或至少2mm厚的其它人工材料，总体渗透系数≤1.0×10</w:t>
            </w:r>
            <w:r>
              <w:rPr>
                <w:rFonts w:hint="default" w:ascii="Times New Roman" w:hAnsi="Times New Roman" w:cs="Times New Roman"/>
                <w:color w:val="auto"/>
                <w:kern w:val="2"/>
                <w:sz w:val="21"/>
                <w:szCs w:val="21"/>
                <w:highlight w:val="none"/>
                <w:vertAlign w:val="superscript"/>
                <w:lang w:val="en-US" w:eastAsia="zh-CN" w:bidi="ar-SA"/>
              </w:rPr>
              <w:t>-10</w:t>
            </w:r>
            <w:r>
              <w:rPr>
                <w:rFonts w:hint="default" w:ascii="Times New Roman" w:hAnsi="Times New Roman" w:cs="Times New Roman"/>
                <w:color w:val="auto"/>
                <w:kern w:val="2"/>
                <w:sz w:val="21"/>
                <w:szCs w:val="21"/>
                <w:highlight w:val="none"/>
                <w:vertAlign w:val="baseline"/>
                <w:lang w:val="en-US" w:eastAsia="zh-CN" w:bidi="ar-SA"/>
              </w:rPr>
              <w:t>cm/s。</w:t>
            </w:r>
          </w:p>
          <w:p w14:paraId="5DDBB539">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通过采取以上防渗措施后，本项目运营期对地下水环境影响较小。</w:t>
            </w:r>
          </w:p>
          <w:p w14:paraId="7C5DBD2B">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（5）地表水环境影响分析</w:t>
            </w:r>
          </w:p>
          <w:p w14:paraId="687E65E7">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本项目运营过程无生产废水外排，生活污水经化粪池收集后排入园区污水处理厂进行处理，且500m范围内无河流等，因此不会对地表水环境造成影响。</w:t>
            </w:r>
          </w:p>
          <w:p w14:paraId="470885DA">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3</w:t>
            </w:r>
            <w:r>
              <w:rPr>
                <w:rFonts w:hint="eastAsia" w:cs="Times New Roman"/>
                <w:b/>
                <w:bCs/>
                <w:color w:val="auto"/>
                <w:highlight w:val="none"/>
                <w:lang w:val="en-US" w:eastAsia="zh-CN"/>
              </w:rPr>
              <w:t>.</w:t>
            </w:r>
            <w:r>
              <w:rPr>
                <w:rFonts w:hint="default" w:ascii="Times New Roman" w:hAnsi="Times New Roman" w:cs="Times New Roman"/>
                <w:b/>
                <w:bCs/>
                <w:color w:val="auto"/>
                <w:highlight w:val="none"/>
                <w:lang w:val="en-US" w:eastAsia="zh-CN"/>
              </w:rPr>
              <w:t>声环境影响分析及保护措施</w:t>
            </w:r>
          </w:p>
          <w:p w14:paraId="578A1A68">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3.1噪声产生及排放分析</w:t>
            </w:r>
          </w:p>
          <w:p w14:paraId="1F267CBB">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主要产噪设备为漏斗给料机、炉窑提升绞车、窑顶给料机、拉板车、窑炉排烟风机、窑炉助燃风机、窑炉冷却风机、检料给料机、熟料振动筛、环保水泵、压滤机、压风机、引风机等设备运行过程中产生的噪声，声压级在80-115dB（A）之间。汽车等机动车辆进出厂区的交通噪声，噪声源强范围在60-80dB（A）左右。</w:t>
            </w:r>
          </w:p>
          <w:p w14:paraId="667E8758">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3.2噪声防治措施：</w:t>
            </w:r>
          </w:p>
          <w:p w14:paraId="4E238084">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为了保护好车间工人的身体健康，同时减少对厂区环境的污染，对拟建工程噪声防治应从声源的控制，噪声传播途径的控制及受声者个人防护三方面进行，具体防护措施如下：</w:t>
            </w:r>
          </w:p>
          <w:p w14:paraId="67C967D5">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①主要产噪设备均合理布置于厂房内，通过厂房隔音和距离衰减降低噪声；</w:t>
            </w:r>
          </w:p>
          <w:p w14:paraId="3C6F1EEA">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②使用减振垫对部分设备进行基础减振，风机安装消音器；</w:t>
            </w:r>
          </w:p>
          <w:p w14:paraId="58473B73">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③定期维护生产设备、使设备运行良好；</w:t>
            </w:r>
          </w:p>
          <w:p w14:paraId="2F6C31E9">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④选用低噪声型号设备；</w:t>
            </w:r>
          </w:p>
          <w:p w14:paraId="2DC199A5">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⑤合理安排设备和厂区平面布局。</w:t>
            </w:r>
          </w:p>
          <w:p w14:paraId="7FBB2493">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⑥本项目各类产噪设备均设置于厂房内；</w:t>
            </w:r>
          </w:p>
          <w:p w14:paraId="330D332B">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⑦除采取以上防治措施外，工程还应充分重视操作人员的劳动保护，为其发放耳塞、耳罩，并设置操作人员值班室，避免操作人员长期处于高噪声环境中，从噪声受体保护方面减轻噪声对操作人员的直接影响；</w:t>
            </w:r>
          </w:p>
          <w:p w14:paraId="08F2C109">
            <w:pPr>
              <w:pStyle w:val="31"/>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3.3监测要求</w:t>
            </w:r>
          </w:p>
          <w:p w14:paraId="32FA925D">
            <w:pPr>
              <w:pStyle w:val="31"/>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依据《排污单位自行监测技术指南总则》（HJ819-2017）开展自行监测，监测要求见下表。</w:t>
            </w:r>
          </w:p>
          <w:p w14:paraId="7A10AF11">
            <w:pPr>
              <w:pStyle w:val="31"/>
              <w:ind w:left="0" w:leftChars="0" w:firstLine="0" w:firstLineChars="0"/>
              <w:jc w:val="center"/>
              <w:rPr>
                <w:rFonts w:hint="default" w:ascii="Times New Roman" w:hAnsi="Times New Roman" w:cs="Times New Roman"/>
                <w:b/>
                <w:bCs/>
                <w:color w:val="auto"/>
                <w:highlight w:val="none"/>
                <w:vertAlign w:val="baseline"/>
                <w:lang w:val="en-US" w:eastAsia="zh-CN"/>
              </w:rPr>
            </w:pPr>
            <w:r>
              <w:rPr>
                <w:rFonts w:hint="default" w:ascii="Times New Roman" w:hAnsi="Times New Roman" w:cs="Times New Roman"/>
                <w:b/>
                <w:bCs/>
                <w:color w:val="auto"/>
                <w:highlight w:val="none"/>
                <w:lang w:val="en-US" w:eastAsia="zh-CN"/>
              </w:rPr>
              <w:t>表4-3运营期噪声监测计划一览表</w:t>
            </w:r>
          </w:p>
          <w:tbl>
            <w:tblPr>
              <w:tblStyle w:val="24"/>
              <w:tblW w:w="79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3"/>
              <w:gridCol w:w="1131"/>
              <w:gridCol w:w="1650"/>
              <w:gridCol w:w="1338"/>
              <w:gridCol w:w="3164"/>
            </w:tblGrid>
            <w:tr w14:paraId="2B53E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3" w:type="dxa"/>
                </w:tcPr>
                <w:p w14:paraId="4C0A11BE">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类别</w:t>
                  </w:r>
                </w:p>
              </w:tc>
              <w:tc>
                <w:tcPr>
                  <w:tcW w:w="1131" w:type="dxa"/>
                </w:tcPr>
                <w:p w14:paraId="2A9B890F">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监测位置</w:t>
                  </w:r>
                </w:p>
              </w:tc>
              <w:tc>
                <w:tcPr>
                  <w:tcW w:w="1650" w:type="dxa"/>
                </w:tcPr>
                <w:p w14:paraId="697261B5">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监测因子</w:t>
                  </w:r>
                </w:p>
              </w:tc>
              <w:tc>
                <w:tcPr>
                  <w:tcW w:w="1338" w:type="dxa"/>
                </w:tcPr>
                <w:p w14:paraId="5A1793CB">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监测频次</w:t>
                  </w:r>
                </w:p>
              </w:tc>
              <w:tc>
                <w:tcPr>
                  <w:tcW w:w="3164" w:type="dxa"/>
                </w:tcPr>
                <w:p w14:paraId="0691C449">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执行标准</w:t>
                  </w:r>
                </w:p>
              </w:tc>
            </w:tr>
            <w:tr w14:paraId="2FF0E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3" w:type="dxa"/>
                </w:tcPr>
                <w:p w14:paraId="18BA3DD0">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噪声</w:t>
                  </w:r>
                </w:p>
              </w:tc>
              <w:tc>
                <w:tcPr>
                  <w:tcW w:w="1131" w:type="dxa"/>
                </w:tcPr>
                <w:p w14:paraId="40B29AAC">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厂界四周</w:t>
                  </w:r>
                </w:p>
              </w:tc>
              <w:tc>
                <w:tcPr>
                  <w:tcW w:w="1650" w:type="dxa"/>
                  <w:vAlign w:val="center"/>
                </w:tcPr>
                <w:p w14:paraId="729D2480">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连续等效A声级</w:t>
                  </w:r>
                </w:p>
              </w:tc>
              <w:tc>
                <w:tcPr>
                  <w:tcW w:w="1338" w:type="dxa"/>
                  <w:vAlign w:val="center"/>
                </w:tcPr>
                <w:p w14:paraId="7CE35434">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每季度一次</w:t>
                  </w:r>
                </w:p>
              </w:tc>
              <w:tc>
                <w:tcPr>
                  <w:tcW w:w="3164" w:type="dxa"/>
                  <w:vAlign w:val="center"/>
                </w:tcPr>
                <w:p w14:paraId="79FE856D">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《工业企业厂界环境噪声排放标准》</w:t>
                  </w:r>
                  <w:r>
                    <w:rPr>
                      <w:rFonts w:hint="default" w:ascii="Times New Roman" w:hAnsi="Times New Roman" w:cs="Times New Roman"/>
                      <w:color w:val="auto"/>
                      <w:highlight w:val="none"/>
                      <w:lang w:val="en-US" w:eastAsia="zh-CN"/>
                    </w:rPr>
                    <w:t>3</w:t>
                  </w:r>
                  <w:r>
                    <w:rPr>
                      <w:rFonts w:hint="default" w:ascii="Times New Roman" w:hAnsi="Times New Roman" w:cs="Times New Roman"/>
                      <w:color w:val="auto"/>
                      <w:highlight w:val="none"/>
                    </w:rPr>
                    <w:t>类标准</w:t>
                  </w:r>
                </w:p>
              </w:tc>
            </w:tr>
          </w:tbl>
          <w:p w14:paraId="04C32A44">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4</w:t>
            </w:r>
            <w:r>
              <w:rPr>
                <w:rFonts w:hint="eastAsia" w:cs="Times New Roman"/>
                <w:b/>
                <w:bCs/>
                <w:color w:val="auto"/>
                <w:highlight w:val="none"/>
                <w:lang w:val="en-US" w:eastAsia="zh-CN"/>
              </w:rPr>
              <w:t>.</w:t>
            </w:r>
            <w:r>
              <w:rPr>
                <w:rFonts w:hint="default" w:ascii="Times New Roman" w:hAnsi="Times New Roman" w:cs="Times New Roman"/>
                <w:b/>
                <w:bCs/>
                <w:color w:val="auto"/>
                <w:highlight w:val="none"/>
                <w:lang w:val="en-US" w:eastAsia="zh-CN"/>
              </w:rPr>
              <w:t>固体废弃物环境影响和保护措施</w:t>
            </w:r>
          </w:p>
          <w:p w14:paraId="0C1CC30F">
            <w:pPr>
              <w:bidi w:val="0"/>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本项目产生的固体废弃物主要为不可利用煤系高岭土、废脱硫石膏、除尘灰及生活垃圾及废催化剂</w:t>
            </w:r>
          </w:p>
          <w:p w14:paraId="054896A1">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①不可利用煤系高岭土</w:t>
            </w:r>
          </w:p>
          <w:p w14:paraId="251EA568">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拉运至厂区内的煤系高岭土有部分不可利用，根据建设单位提供资料，该部分不可利用煤系高岭土为2.9万t/a，直接外售至周边建材市场进行综合利用。</w:t>
            </w:r>
          </w:p>
          <w:p w14:paraId="3C7ED21A">
            <w:pPr>
              <w:bidi w:val="0"/>
              <w:rPr>
                <w:rFonts w:hint="default" w:ascii="Times New Roman" w:hAnsi="Times New Roman" w:cs="Times New Roman"/>
                <w:b w:val="0"/>
                <w:bCs w:val="0"/>
                <w:color w:val="auto"/>
                <w:highlight w:val="none"/>
                <w:lang w:val="en-US" w:eastAsia="zh-CN"/>
              </w:rPr>
            </w:pPr>
            <w:bookmarkStart w:id="2" w:name="_Toc371414834"/>
            <w:r>
              <w:rPr>
                <w:rFonts w:hint="default" w:ascii="Times New Roman" w:hAnsi="Times New Roman" w:cs="Times New Roman"/>
                <w:b w:val="0"/>
                <w:bCs w:val="0"/>
                <w:color w:val="auto"/>
                <w:highlight w:val="none"/>
                <w:lang w:val="en-US" w:eastAsia="zh-CN"/>
              </w:rPr>
              <w:t>②废脱硫石膏</w:t>
            </w:r>
          </w:p>
          <w:p w14:paraId="226C0493">
            <w:pPr>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根据“石灰石-石膏法”脱硫原理可知，去除1摩尔的SO</w:t>
            </w:r>
            <w:r>
              <w:rPr>
                <w:rFonts w:hint="default" w:ascii="Times New Roman" w:hAnsi="Times New Roman" w:cs="Times New Roman"/>
                <w:b w:val="0"/>
                <w:bCs w:val="0"/>
                <w:color w:val="auto"/>
                <w:highlight w:val="none"/>
                <w:vertAlign w:val="subscript"/>
                <w:lang w:val="en-US" w:eastAsia="zh-CN"/>
              </w:rPr>
              <w:t>2</w:t>
            </w:r>
            <w:r>
              <w:rPr>
                <w:rFonts w:hint="default" w:ascii="Times New Roman" w:hAnsi="Times New Roman" w:cs="Times New Roman"/>
                <w:b w:val="0"/>
                <w:bCs w:val="0"/>
                <w:color w:val="auto"/>
                <w:highlight w:val="none"/>
                <w:lang w:val="en-US" w:eastAsia="zh-CN"/>
              </w:rPr>
              <w:t>后会产生1摩尔的废石膏（CaSO</w:t>
            </w:r>
            <w:r>
              <w:rPr>
                <w:rFonts w:hint="default" w:ascii="Times New Roman" w:hAnsi="Times New Roman" w:cs="Times New Roman"/>
                <w:b w:val="0"/>
                <w:bCs w:val="0"/>
                <w:color w:val="auto"/>
                <w:highlight w:val="none"/>
                <w:vertAlign w:val="subscript"/>
                <w:lang w:val="en-US" w:eastAsia="zh-CN"/>
              </w:rPr>
              <w:t>4</w:t>
            </w:r>
            <w:r>
              <w:rPr>
                <w:rFonts w:hint="default" w:ascii="Times New Roman" w:hAnsi="Times New Roman" w:cs="Times New Roman"/>
                <w:b w:val="0"/>
                <w:bCs w:val="0"/>
                <w:color w:val="auto"/>
                <w:highlight w:val="none"/>
                <w:lang w:val="en-US" w:eastAsia="zh-CN"/>
              </w:rPr>
              <w:t>·2H</w:t>
            </w:r>
            <w:r>
              <w:rPr>
                <w:rFonts w:hint="default" w:ascii="Times New Roman" w:hAnsi="Times New Roman" w:cs="Times New Roman"/>
                <w:b w:val="0"/>
                <w:bCs w:val="0"/>
                <w:color w:val="auto"/>
                <w:highlight w:val="none"/>
                <w:vertAlign w:val="subscript"/>
                <w:lang w:val="en-US" w:eastAsia="zh-CN"/>
              </w:rPr>
              <w:t>2</w:t>
            </w:r>
            <w:r>
              <w:rPr>
                <w:rFonts w:hint="default" w:ascii="Times New Roman" w:hAnsi="Times New Roman" w:cs="Times New Roman"/>
                <w:b w:val="0"/>
                <w:bCs w:val="0"/>
                <w:color w:val="auto"/>
                <w:highlight w:val="none"/>
                <w:lang w:val="en-US" w:eastAsia="zh-CN"/>
              </w:rPr>
              <w:t>O），脱除的SO</w:t>
            </w:r>
            <w:r>
              <w:rPr>
                <w:rFonts w:hint="default" w:ascii="Times New Roman" w:hAnsi="Times New Roman" w:cs="Times New Roman"/>
                <w:b w:val="0"/>
                <w:bCs w:val="0"/>
                <w:color w:val="auto"/>
                <w:highlight w:val="none"/>
                <w:vertAlign w:val="subscript"/>
                <w:lang w:val="en-US" w:eastAsia="zh-CN"/>
              </w:rPr>
              <w:t>2</w:t>
            </w:r>
            <w:r>
              <w:rPr>
                <w:rFonts w:hint="default" w:ascii="Times New Roman" w:hAnsi="Times New Roman" w:cs="Times New Roman"/>
                <w:b w:val="0"/>
                <w:bCs w:val="0"/>
                <w:color w:val="auto"/>
                <w:highlight w:val="none"/>
                <w:lang w:val="en-US" w:eastAsia="zh-CN"/>
              </w:rPr>
              <w:t>的量为291.72t/a，因此产生的干废石膏量为（291.72÷64）×172=784.0t/a。根据经验值，脱硫石膏的含水量为30%，故本项目产生废石膏的量为1019.2t/a；</w:t>
            </w:r>
          </w:p>
          <w:p w14:paraId="3783FFCF">
            <w:pPr>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双碱法脱硫原理可知，去除1摩尔的SO</w:t>
            </w:r>
            <w:r>
              <w:rPr>
                <w:rFonts w:hint="default" w:ascii="Times New Roman" w:hAnsi="Times New Roman" w:cs="Times New Roman"/>
                <w:b w:val="0"/>
                <w:bCs w:val="0"/>
                <w:color w:val="auto"/>
                <w:highlight w:val="none"/>
                <w:vertAlign w:val="subscript"/>
                <w:lang w:val="en-US" w:eastAsia="zh-CN"/>
              </w:rPr>
              <w:t>2</w:t>
            </w:r>
            <w:r>
              <w:rPr>
                <w:rFonts w:hint="default" w:ascii="Times New Roman" w:hAnsi="Times New Roman" w:cs="Times New Roman"/>
                <w:b w:val="0"/>
                <w:bCs w:val="0"/>
                <w:color w:val="auto"/>
                <w:highlight w:val="none"/>
                <w:lang w:val="en-US" w:eastAsia="zh-CN"/>
              </w:rPr>
              <w:t>后会产生1摩尔的CaSO</w:t>
            </w:r>
            <w:r>
              <w:rPr>
                <w:rFonts w:hint="default" w:ascii="Times New Roman" w:hAnsi="Times New Roman" w:cs="Times New Roman"/>
                <w:b w:val="0"/>
                <w:bCs w:val="0"/>
                <w:color w:val="auto"/>
                <w:highlight w:val="none"/>
                <w:vertAlign w:val="subscript"/>
                <w:lang w:val="en-US" w:eastAsia="zh-CN"/>
              </w:rPr>
              <w:t>3</w:t>
            </w:r>
            <w:r>
              <w:rPr>
                <w:rFonts w:hint="default" w:ascii="Times New Roman" w:hAnsi="Times New Roman" w:cs="Times New Roman"/>
                <w:b w:val="0"/>
                <w:bCs w:val="0"/>
                <w:color w:val="auto"/>
                <w:highlight w:val="none"/>
                <w:lang w:val="en-US" w:eastAsia="zh-CN"/>
              </w:rPr>
              <w:t>，脱除的SO2的量为155.58t/a，因此产生的干废石膏量为（155.58÷64）×120=291.71t/a。根据经验值，脱硫石膏的含水量为30%，故本项目产生废石膏的量为379.22t/a；</w:t>
            </w:r>
          </w:p>
          <w:p w14:paraId="4731DEC5">
            <w:pPr>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则本项目废脱硫石膏量共计为1398.42t/a，暂存于一般固废暂存间内，定期</w:t>
            </w:r>
            <w:r>
              <w:rPr>
                <w:rFonts w:hint="default" w:ascii="Times New Roman" w:hAnsi="Times New Roman" w:cs="Times New Roman"/>
                <w:color w:val="auto"/>
                <w:highlight w:val="none"/>
                <w:lang w:val="en-US" w:eastAsia="zh-CN"/>
              </w:rPr>
              <w:t>拉运至园区一般固废填埋场进行填埋处理</w:t>
            </w:r>
            <w:r>
              <w:rPr>
                <w:rFonts w:hint="default" w:ascii="Times New Roman" w:hAnsi="Times New Roman" w:cs="Times New Roman"/>
                <w:b w:val="0"/>
                <w:bCs w:val="0"/>
                <w:color w:val="auto"/>
                <w:highlight w:val="none"/>
                <w:lang w:val="en-US" w:eastAsia="zh-CN"/>
              </w:rPr>
              <w:t>。</w:t>
            </w:r>
          </w:p>
          <w:p w14:paraId="3E7C9B16">
            <w:pPr>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③除尘灰</w:t>
            </w:r>
          </w:p>
          <w:p w14:paraId="7C5962D2">
            <w:pPr>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筛分过程中产生的除尘灰总量为</w:t>
            </w:r>
            <w:r>
              <w:rPr>
                <w:rFonts w:hint="eastAsia" w:cs="Times New Roman"/>
                <w:b w:val="0"/>
                <w:bCs w:val="0"/>
                <w:color w:val="auto"/>
                <w:highlight w:val="none"/>
                <w:lang w:val="en-US" w:eastAsia="zh-CN"/>
              </w:rPr>
              <w:t>221.5</w:t>
            </w:r>
            <w:r>
              <w:rPr>
                <w:rFonts w:hint="default" w:ascii="Times New Roman" w:hAnsi="Times New Roman" w:cs="Times New Roman"/>
                <w:b w:val="0"/>
                <w:bCs w:val="0"/>
                <w:color w:val="auto"/>
                <w:highlight w:val="none"/>
                <w:lang w:val="en-US" w:eastAsia="zh-CN"/>
              </w:rPr>
              <w:t>t/a，天然气燃烧废气及物料煅烧废气处理过程中收集除尘灰总量为</w:t>
            </w:r>
            <w:r>
              <w:rPr>
                <w:rFonts w:hint="eastAsia" w:cs="Times New Roman"/>
                <w:b w:val="0"/>
                <w:bCs w:val="0"/>
                <w:color w:val="auto"/>
                <w:highlight w:val="none"/>
                <w:lang w:val="en-US" w:eastAsia="zh-CN"/>
              </w:rPr>
              <w:t>78.4</w:t>
            </w:r>
            <w:r>
              <w:rPr>
                <w:rFonts w:hint="default" w:ascii="Times New Roman" w:hAnsi="Times New Roman" w:cs="Times New Roman"/>
                <w:b w:val="0"/>
                <w:bCs w:val="0"/>
                <w:color w:val="auto"/>
                <w:highlight w:val="none"/>
                <w:lang w:val="en-US" w:eastAsia="zh-CN"/>
              </w:rPr>
              <w:t>t/a，除尘灰总量共计</w:t>
            </w:r>
            <w:r>
              <w:rPr>
                <w:rFonts w:hint="eastAsia" w:cs="Times New Roman"/>
                <w:b w:val="0"/>
                <w:bCs w:val="0"/>
                <w:color w:val="auto"/>
                <w:highlight w:val="none"/>
                <w:lang w:val="en-US" w:eastAsia="zh-CN"/>
              </w:rPr>
              <w:t>299.9</w:t>
            </w:r>
            <w:r>
              <w:rPr>
                <w:rFonts w:hint="default" w:ascii="Times New Roman" w:hAnsi="Times New Roman" w:cs="Times New Roman"/>
                <w:b w:val="0"/>
                <w:bCs w:val="0"/>
                <w:color w:val="auto"/>
                <w:highlight w:val="none"/>
                <w:lang w:val="en-US" w:eastAsia="zh-CN"/>
              </w:rPr>
              <w:t>t/a，暂存于一般固废暂存间内，定期拉运至园区一般固废填埋场进行填埋处理。</w:t>
            </w:r>
          </w:p>
          <w:p w14:paraId="3B2521FA">
            <w:pPr>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④</w:t>
            </w:r>
            <w:r>
              <w:rPr>
                <w:rFonts w:hint="default" w:ascii="Times New Roman" w:hAnsi="Times New Roman" w:cs="Times New Roman"/>
                <w:color w:val="auto"/>
                <w:highlight w:val="none"/>
                <w:lang w:val="en-US" w:eastAsia="zh-CN"/>
              </w:rPr>
              <w:t>废催化剂</w:t>
            </w:r>
          </w:p>
          <w:p w14:paraId="225D64D7">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SCR脱硝过程中产生废催化剂，在SCR反应中促使还原剂选择性地与烟气中的氮氧化物在一定温度下发生化学反应的物质。属于危险废物，危废代码（HW50，772-007-50，T），每3年更换一次，更换量为</w:t>
            </w:r>
            <w:r>
              <w:rPr>
                <w:rFonts w:hint="eastAsia" w:cs="Times New Roman"/>
                <w:color w:val="auto"/>
                <w:highlight w:val="none"/>
                <w:lang w:val="en-US" w:eastAsia="zh-CN"/>
              </w:rPr>
              <w:t>1.0</w:t>
            </w:r>
            <w:r>
              <w:rPr>
                <w:rFonts w:hint="default" w:ascii="Times New Roman" w:hAnsi="Times New Roman" w:cs="Times New Roman"/>
                <w:color w:val="auto"/>
                <w:highlight w:val="none"/>
                <w:lang w:val="en-US" w:eastAsia="zh-CN"/>
              </w:rPr>
              <w:t>t/次，更换下的废催化剂暂存于危险废物暂存间内，暂存周期为1a，产生的危险废物定期交由有资质单位进行处置。</w:t>
            </w:r>
          </w:p>
          <w:p w14:paraId="6E1F974E">
            <w:pPr>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⑤</w:t>
            </w:r>
            <w:r>
              <w:rPr>
                <w:rFonts w:hint="default" w:ascii="Times New Roman" w:hAnsi="Times New Roman" w:cs="Times New Roman"/>
                <w:color w:val="auto"/>
                <w:highlight w:val="none"/>
                <w:lang w:val="en-US" w:eastAsia="zh-CN"/>
              </w:rPr>
              <w:t>生活垃圾</w:t>
            </w:r>
          </w:p>
          <w:p w14:paraId="30A72FBA">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本项目生活垃圾产生量为33.47t/a，产生的生活垃圾由厂区内的垃圾桶统一收集后，定期交由当地环卫部门进行统一处理。</w:t>
            </w:r>
          </w:p>
          <w:p w14:paraId="063436C1">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一般工业固废暂存库建设需符合《一般工业固体废物贮存和填埋污染控制标准》（GB18599-2020）要求，一般工业固废贮存设施及包装物应按照《环境保护图形标志—固体废物贮存（处置）场》（GB15562.2-1995）及其修改单。妥善处置固体废物，不应非法转移、倾倒、利用和处置。</w:t>
            </w:r>
          </w:p>
          <w:p w14:paraId="28B32818">
            <w:pPr>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本项目产生的危险废物定期交由有资质单位进行处置，根据《</w:t>
            </w:r>
            <w:r>
              <w:rPr>
                <w:rFonts w:hint="eastAsia" w:cs="Times New Roman"/>
                <w:b w:val="0"/>
                <w:bCs w:val="0"/>
                <w:color w:val="auto"/>
                <w:highlight w:val="none"/>
                <w:lang w:val="en-US" w:eastAsia="zh-CN"/>
              </w:rPr>
              <w:t>中华人民共和国固体废物污染环境防治法</w:t>
            </w:r>
            <w:r>
              <w:rPr>
                <w:rFonts w:hint="default" w:ascii="Times New Roman" w:hAnsi="Times New Roman" w:cs="Times New Roman"/>
                <w:b w:val="0"/>
                <w:bCs w:val="0"/>
                <w:color w:val="auto"/>
                <w:highlight w:val="none"/>
                <w:lang w:val="en-US" w:eastAsia="zh-CN"/>
              </w:rPr>
              <w:t>》《危险废物贮存污染控制标准》</w:t>
            </w:r>
            <w:r>
              <w:rPr>
                <w:rFonts w:hint="eastAsia" w:cs="Times New Roman"/>
                <w:b w:val="0"/>
                <w:bCs w:val="0"/>
                <w:color w:val="auto"/>
                <w:highlight w:val="none"/>
                <w:lang w:val="en-US" w:eastAsia="zh-CN"/>
              </w:rPr>
              <w:t>（</w:t>
            </w:r>
            <w:r>
              <w:rPr>
                <w:rFonts w:hint="default" w:ascii="Times New Roman" w:hAnsi="Times New Roman" w:cs="Times New Roman"/>
                <w:b w:val="0"/>
                <w:bCs w:val="0"/>
                <w:color w:val="auto"/>
                <w:highlight w:val="none"/>
                <w:lang w:val="en-US" w:eastAsia="zh-CN"/>
              </w:rPr>
              <w:t>GB18597-2023</w:t>
            </w:r>
            <w:r>
              <w:rPr>
                <w:rFonts w:hint="eastAsia" w:cs="Times New Roman"/>
                <w:b w:val="0"/>
                <w:bCs w:val="0"/>
                <w:color w:val="auto"/>
                <w:highlight w:val="none"/>
                <w:lang w:val="en-US" w:eastAsia="zh-CN"/>
              </w:rPr>
              <w:t>）</w:t>
            </w:r>
            <w:r>
              <w:rPr>
                <w:rFonts w:hint="default" w:ascii="Times New Roman" w:hAnsi="Times New Roman" w:cs="Times New Roman"/>
                <w:b w:val="0"/>
                <w:bCs w:val="0"/>
                <w:color w:val="auto"/>
                <w:highlight w:val="none"/>
                <w:lang w:val="en-US" w:eastAsia="zh-CN"/>
              </w:rPr>
              <w:t>、《危险废物收集贮存运输技术规范》（HJ2025-2012）等有关文件的规定执行，要求做到以下几点：</w:t>
            </w:r>
          </w:p>
          <w:p w14:paraId="5AAA59BF">
            <w:pPr>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①基本要求</w:t>
            </w:r>
          </w:p>
          <w:p w14:paraId="7C29F39B">
            <w:pPr>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本项目的危险废物收集后在危险废物暂存间暂存，不得将一般固体废物与危险废物混合储存。根据《</w:t>
            </w:r>
            <w:r>
              <w:rPr>
                <w:rFonts w:hint="eastAsia" w:cs="Times New Roman"/>
                <w:b w:val="0"/>
                <w:bCs w:val="0"/>
                <w:color w:val="auto"/>
                <w:highlight w:val="none"/>
                <w:lang w:val="en-US" w:eastAsia="zh-CN"/>
              </w:rPr>
              <w:t>中华人民共和国固体废物污染环境防治法</w:t>
            </w:r>
            <w:r>
              <w:rPr>
                <w:rFonts w:hint="default" w:ascii="Times New Roman" w:hAnsi="Times New Roman" w:cs="Times New Roman"/>
                <w:b w:val="0"/>
                <w:bCs w:val="0"/>
                <w:color w:val="auto"/>
                <w:highlight w:val="none"/>
                <w:lang w:val="en-US" w:eastAsia="zh-CN"/>
              </w:rPr>
              <w:t>》规定：对于危险废物，企业应按照国家有关规定进行申报登记，执行联单制度；对危险废物的容器和包装物以及收集、储存、运输、处置危险废物的设施、场所必须设置危险废物识别标志，并且危险废物的储存地应远离生产区，注意通风、防火，以免引起火灾，运输过程中必须采取密闭运输等，防止污染环境的措施，遵守国家有关危险货物运输管理的规定。严禁在雨天进行危废的运输和转运工作。危险废仓库应设置防风、防雨、防晒装置；危险废物贮存单位应建立危险废物贮存的台账制度。</w:t>
            </w:r>
          </w:p>
          <w:p w14:paraId="56EB5270">
            <w:pPr>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②危险废物贮存设施（仓库式）的建设</w:t>
            </w:r>
          </w:p>
          <w:p w14:paraId="702F1002">
            <w:pPr>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地面与裙脚要用坚固、防渗的材料建造，建筑材料必须与危险废物相容；必须有泄漏液体收集装置、气体导出口及气体净化装置；设施内要求安全照明设施和观察窗口；危险废物暂存间地面必须进行硬化且耐腐蚀，表面无裂隙。须设计堵截泄漏的裙脚，地面与裙脚所围建的容积不低于堵截最大容器的最大储量或总储量的五分之一。</w:t>
            </w:r>
          </w:p>
          <w:p w14:paraId="0A51F84F">
            <w:pPr>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③危险废物的堆放</w:t>
            </w:r>
          </w:p>
          <w:p w14:paraId="7E40D11C">
            <w:pPr>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危险废物的高度应根据地面承载能力确定；衬里放在一个基础或底座上；衬里要能够覆盖危险废物或其溶出物可能涉及到的范围；衬里材料与堆放废物相容；在衬里上设计、建造浸出液收集清理系统；应设计建造径流疏导系统，保证能防止25年一遇的暴雨不会流到危险废物堆里；危险废物堆要防风、防雨、防晒；产生量大的危险废物可以散装方式堆放贮存在按上述要求设计的废物堆里。</w:t>
            </w:r>
          </w:p>
          <w:p w14:paraId="4B8F232A">
            <w:pPr>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④危险废物贮存设施的运行与管理</w:t>
            </w:r>
          </w:p>
          <w:p w14:paraId="58A40909">
            <w:pPr>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危险废物贮存前应进行检验，确保同预定接收的危险废物一致，并登记注册；不得接收未粘贴标签或标签没按规定填写的危险废物；盛装在容器内的同类危险废物可以堆叠存放；每个堆间应留有搬运通道；不得将不相容的废物混合或合并存放；须做好危险废物情况的记录，记录上须注明危险废物的名称、来源、数量、特性和包装容器的类别、入库日期、存放库位、废物出库日期及接收单位名称；危险废物的记录和货单在危险废物回取后应继续保留五年；必须定期对所贮存的危险废物包装容器及贮存设施进行检查，发现破损，应及时采取措施清理更换。</w:t>
            </w:r>
          </w:p>
          <w:p w14:paraId="1B141F8D">
            <w:pPr>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⑤危险废物贮存设施的安全防护与监测</w:t>
            </w:r>
          </w:p>
          <w:p w14:paraId="20339386">
            <w:pPr>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贮存设施或场所、容器和包装物应按《危险废物识别标志设置技术规范》（HJ1276-2022）要求设置危险废物贮存设施或场所标志、危险废物贮存分区标志和危险废物标签等危险废物识别标志。危险废物贮存设施周围应设置围墙或其它防护栅栏；危险废物贮存设施应配备通讯设备、照明设施、消防设施、安全防护服及工具，并设有应急防护设施；危险废物贮存设施内清理出来的泄漏物，一律按危险废物处理；按国家污染源管理要求对危险废物贮存设施进行监测。</w:t>
            </w:r>
          </w:p>
          <w:p w14:paraId="0EF37496">
            <w:pPr>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通过上述措施后，本项目产生的固废均得到妥善处置，对周围环境影响较小，不会造成二次污染。</w:t>
            </w:r>
          </w:p>
          <w:p w14:paraId="03198425">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5</w:t>
            </w:r>
            <w:r>
              <w:rPr>
                <w:rFonts w:hint="eastAsia" w:cs="Times New Roman"/>
                <w:b/>
                <w:bCs/>
                <w:color w:val="auto"/>
                <w:highlight w:val="none"/>
                <w:lang w:val="en-US" w:eastAsia="zh-CN"/>
              </w:rPr>
              <w:t>.</w:t>
            </w:r>
            <w:r>
              <w:rPr>
                <w:rFonts w:hint="default" w:ascii="Times New Roman" w:hAnsi="Times New Roman" w:cs="Times New Roman"/>
                <w:b/>
                <w:bCs/>
                <w:color w:val="auto"/>
                <w:highlight w:val="none"/>
                <w:lang w:val="en-US" w:eastAsia="zh-CN"/>
              </w:rPr>
              <w:t>土壤环境影响和保护措施</w:t>
            </w:r>
          </w:p>
          <w:p w14:paraId="758055F8">
            <w:pPr>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正常生产状况下，危险废物暂存间内部出现设备故障、容器破损、管道破损、防渗层破损等导致物料泄漏或密封件损坏发生跑冒滴漏现象，其泄漏量一般都很小，且危险废物暂存间地面均采取了防渗、防腐、硬化措施，因此以上事故，工作人员可在第一时间发现并处理，不会产生大的泄漏情况，泄漏物料可得到有效控制，不会接触土壤，不会对土壤造成影响。一旦发生大的泄漏事故，在收集设施防渗层完好的情况下，泄漏物料可被全部截留收集，不发生外溢或渗漏，不与土壤接触，不会造成土壤污染。在物料收集设施防渗结构发生损坏情况下发生物料泄漏，泄漏物料将通过防渗层破裂处下渗污染土壤。发生这种情况通常是在风险事故状态下，事故结束后，物料及时被清理转移，防渗结构破损设施内停留时间较短，下渗物料量较少，入渗深度有限，水平扩散距离很小，不会对周围土壤产生影响。</w:t>
            </w:r>
          </w:p>
          <w:p w14:paraId="7349C6F0">
            <w:pPr>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项目建设运营过程中，对土壤污染的主要途径为废矿物油、废液压油垂直入渗进入土壤环境。故本项目尽可能从源头上减少可能污染物产生，严格按照国家相关规范要求，对该厂区危险废物暂存间采取相应的措施，以防止和降低废矿物油的跑、冒、滴、漏，将废液泄漏的环境风险事故降低到最低程度。</w:t>
            </w:r>
          </w:p>
          <w:p w14:paraId="5E6B382C">
            <w:pPr>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若对土壤影响为危险废物发生渗漏，若处置不当将对区域土壤产生一定影响。企业采取以下措施，以减轻对土壤的污染。</w:t>
            </w:r>
          </w:p>
          <w:p w14:paraId="06423770">
            <w:pPr>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①项目危险废物暂存间地面进行硬化、防渗处理，按照防渗标准要求进行合理设计，建立防渗设施的检漏系统。</w:t>
            </w:r>
          </w:p>
          <w:p w14:paraId="6AF2F5DD">
            <w:pPr>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②项目危险废物暂存间设危险废物导流渠、集液池，用于收集环境事故时的库区泄漏危险废物。</w:t>
            </w:r>
          </w:p>
          <w:p w14:paraId="18453691">
            <w:pPr>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采取上述措施后，项目的建设对周围土壤环境影响不大。类比同类型项目，本项目在厂区各项预防措施得以落实并得到良好维护的前提下，项目生产在短期内不会对土壤造成明显的影响；考虑长期影响，要求企业在必要时对可能产生土壤污染影响的区域开展跟踪监测工作。</w:t>
            </w:r>
          </w:p>
          <w:p w14:paraId="35954572">
            <w:pPr>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综合以上分析，本评价认为，本项目实施后，工程对周边土壤的累积影响是可接受的。</w:t>
            </w:r>
          </w:p>
          <w:p w14:paraId="65A48652">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6</w:t>
            </w:r>
            <w:r>
              <w:rPr>
                <w:rFonts w:hint="eastAsia" w:cs="Times New Roman"/>
                <w:b/>
                <w:bCs/>
                <w:color w:val="auto"/>
                <w:highlight w:val="none"/>
                <w:lang w:val="en-US" w:eastAsia="zh-CN"/>
              </w:rPr>
              <w:t>.</w:t>
            </w:r>
            <w:r>
              <w:rPr>
                <w:rFonts w:hint="default" w:ascii="Times New Roman" w:hAnsi="Times New Roman" w:cs="Times New Roman"/>
                <w:b/>
                <w:bCs/>
                <w:color w:val="auto"/>
                <w:highlight w:val="none"/>
                <w:lang w:val="en-US" w:eastAsia="zh-CN"/>
              </w:rPr>
              <w:t>环境风险</w:t>
            </w:r>
          </w:p>
          <w:p w14:paraId="550FF51D">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根据《建设项目环境风险评价技术导则》（HJ169-2018）要求，对于涉及有毒有害和易燃易爆物质的生产、使用、贮存等新建、改建和技术改造项目进行环境风险影响评价。</w:t>
            </w:r>
          </w:p>
          <w:p w14:paraId="47BB6B6C">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项目环境风险评价的目的是分析和预测项目存在的潜在危险，有害因素，项目运行期间可能发生的突发性事件（一般不包括人为破坏及自然灾害），引起有毒有害和易燃易爆等物质泄漏，所造成的人身安全与环境影响和损害程度，提出合理可行的防范、应急与减缓措施。以使建设项目事故率达到可接受水平、损失和环境影响达到最小。</w:t>
            </w:r>
          </w:p>
          <w:p w14:paraId="2EBFD465">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环境风险评价基本内容包括风险调查、环境风险潜势初判、风险识别、风险事故情形分析、风险预测与评价、环境风险管理等，为建设项目的风险管理决策提供科学依据，以期达到降危险、减少公害的目的。</w:t>
            </w:r>
          </w:p>
          <w:p w14:paraId="4C68BA8E">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（1）评价依据</w:t>
            </w:r>
          </w:p>
          <w:p w14:paraId="44870FE3">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①风险调查</w:t>
            </w:r>
          </w:p>
          <w:p w14:paraId="5642B225">
            <w:pPr>
              <w:bidi w:val="0"/>
              <w:rPr>
                <w:rFonts w:hint="default" w:ascii="Times New Roman" w:hAnsi="Times New Roman" w:cs="Times New Roman"/>
                <w:color w:val="auto"/>
                <w:highlight w:val="none"/>
                <w:lang w:val="en-US" w:eastAsia="zh-CN"/>
              </w:rPr>
            </w:pPr>
            <w:r>
              <w:rPr>
                <w:rFonts w:hint="default" w:ascii="Times New Roman" w:hAnsi="Times New Roman" w:eastAsia="宋体" w:cs="Times New Roman"/>
                <w:color w:val="auto"/>
                <w:highlight w:val="none"/>
                <w:lang w:val="en-US" w:eastAsia="zh-CN"/>
              </w:rPr>
              <w:t>本项目风险源主要为天然气输送管道内的暂存的天然气、氨水储罐内的氨水</w:t>
            </w:r>
            <w:r>
              <w:rPr>
                <w:rFonts w:hint="eastAsia" w:ascii="Times New Roman" w:hAnsi="Times New Roman" w:eastAsia="宋体" w:cs="Times New Roman"/>
                <w:color w:val="auto"/>
                <w:highlight w:val="none"/>
                <w:lang w:val="en-US" w:eastAsia="zh-CN"/>
              </w:rPr>
              <w:t>及危险废物暂存间内的废催化剂泄露</w:t>
            </w:r>
            <w:r>
              <w:rPr>
                <w:rFonts w:hint="default" w:ascii="Times New Roman" w:hAnsi="Times New Roman" w:eastAsia="宋体" w:cs="Times New Roman"/>
                <w:color w:val="auto"/>
                <w:highlight w:val="none"/>
                <w:lang w:val="en-US" w:eastAsia="zh-CN"/>
              </w:rPr>
              <w:t>。</w:t>
            </w:r>
          </w:p>
          <w:p w14:paraId="35177317">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②环境风险潜势初判</w:t>
            </w:r>
          </w:p>
          <w:p w14:paraId="7561E062">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涉及的主要危险物质为废矿物油。根据《建设项目环境风险价技术导则》（H169-2018）表B.1、表B.2和《危险化学品重大危险源辨识》（GB18218-2018）中规定的临界量P的分级确定，按下式计算物质总量与其临界量比值（Q）。</w:t>
            </w:r>
          </w:p>
          <w:p w14:paraId="1810CB97">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Q=q1/Q1+q2/Q2+······+qn/Qn</w:t>
            </w:r>
          </w:p>
          <w:p w14:paraId="4ABC0F94">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式中：q1、q2···qn—每种危险物质的最大存在量，t；</w:t>
            </w:r>
          </w:p>
          <w:p w14:paraId="1393BA6A">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Q1、Q2···Qn—与各种危险物质想对应的临界量，t。</w:t>
            </w:r>
          </w:p>
          <w:p w14:paraId="78B1C339">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当Q＜1时，该项目环境风险潜势为</w:t>
            </w:r>
            <w:r>
              <w:rPr>
                <w:rFonts w:hint="default" w:ascii="Times New Roman" w:hAnsi="Times New Roman" w:cs="Times New Roman"/>
                <w:color w:val="auto"/>
                <w:highlight w:val="none"/>
                <w:lang w:val="en-US" w:eastAsia="zh-CN"/>
              </w:rPr>
              <w:fldChar w:fldCharType="begin"/>
            </w:r>
            <w:r>
              <w:rPr>
                <w:rFonts w:hint="default" w:ascii="Times New Roman" w:hAnsi="Times New Roman" w:cs="Times New Roman"/>
                <w:color w:val="auto"/>
                <w:highlight w:val="none"/>
                <w:lang w:val="en-US" w:eastAsia="zh-CN"/>
              </w:rPr>
              <w:instrText xml:space="preserve"> = 1 \* ROMAN </w:instrText>
            </w:r>
            <w:r>
              <w:rPr>
                <w:rFonts w:hint="default" w:ascii="Times New Roman" w:hAnsi="Times New Roman" w:cs="Times New Roman"/>
                <w:color w:val="auto"/>
                <w:highlight w:val="none"/>
                <w:lang w:val="en-US" w:eastAsia="zh-CN"/>
              </w:rPr>
              <w:fldChar w:fldCharType="separate"/>
            </w:r>
            <w:r>
              <w:rPr>
                <w:rFonts w:hint="default" w:ascii="Times New Roman" w:hAnsi="Times New Roman" w:cs="Times New Roman"/>
                <w:color w:val="auto"/>
                <w:highlight w:val="none"/>
                <w:lang w:val="en-US" w:eastAsia="zh-CN"/>
              </w:rPr>
              <w:t>I</w:t>
            </w:r>
            <w:r>
              <w:rPr>
                <w:rFonts w:hint="default" w:ascii="Times New Roman" w:hAnsi="Times New Roman" w:cs="Times New Roman"/>
                <w:color w:val="auto"/>
                <w:highlight w:val="none"/>
                <w:lang w:val="en-US" w:eastAsia="zh-CN"/>
              </w:rPr>
              <w:fldChar w:fldCharType="end"/>
            </w:r>
            <w:r>
              <w:rPr>
                <w:rFonts w:hint="default" w:ascii="Times New Roman" w:hAnsi="Times New Roman" w:cs="Times New Roman"/>
                <w:color w:val="auto"/>
                <w:highlight w:val="none"/>
                <w:lang w:val="en-US" w:eastAsia="zh-CN"/>
              </w:rPr>
              <w:t>。</w:t>
            </w:r>
          </w:p>
          <w:p w14:paraId="2C5F829D">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当Q≥1时，将值划分为：（1）1≤Q＜10；（2）10≤Q＜100；（3）Q≥100。</w:t>
            </w:r>
          </w:p>
          <w:p w14:paraId="33F0590E">
            <w:pPr>
              <w:bidi w:val="0"/>
              <w:ind w:left="0" w:leftChars="0" w:firstLine="0" w:firstLineChars="0"/>
              <w:jc w:val="center"/>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表4-4危险废物数量与临界量比值</w:t>
            </w:r>
          </w:p>
          <w:tbl>
            <w:tblPr>
              <w:tblStyle w:val="23"/>
              <w:tblW w:w="79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1"/>
              <w:gridCol w:w="2297"/>
              <w:gridCol w:w="1840"/>
              <w:gridCol w:w="1334"/>
              <w:gridCol w:w="1866"/>
            </w:tblGrid>
            <w:tr w14:paraId="60F95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85" w:hRule="atLeast"/>
                <w:jc w:val="center"/>
              </w:trPr>
              <w:tc>
                <w:tcPr>
                  <w:tcW w:w="661" w:type="dxa"/>
                  <w:noWrap w:val="0"/>
                  <w:vAlign w:val="center"/>
                </w:tcPr>
                <w:p w14:paraId="5F4BA5A4">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序号</w:t>
                  </w:r>
                </w:p>
              </w:tc>
              <w:tc>
                <w:tcPr>
                  <w:tcW w:w="2297" w:type="dxa"/>
                  <w:noWrap w:val="0"/>
                  <w:vAlign w:val="center"/>
                </w:tcPr>
                <w:p w14:paraId="65A403AA">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危险物质</w:t>
                  </w:r>
                </w:p>
              </w:tc>
              <w:tc>
                <w:tcPr>
                  <w:tcW w:w="1840" w:type="dxa"/>
                  <w:noWrap w:val="0"/>
                  <w:vAlign w:val="center"/>
                </w:tcPr>
                <w:p w14:paraId="464149FA">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最大储存量（t）</w:t>
                  </w:r>
                </w:p>
              </w:tc>
              <w:tc>
                <w:tcPr>
                  <w:tcW w:w="1334" w:type="dxa"/>
                  <w:noWrap w:val="0"/>
                  <w:vAlign w:val="center"/>
                </w:tcPr>
                <w:p w14:paraId="40DFFDC9">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临界量（t）</w:t>
                  </w:r>
                </w:p>
              </w:tc>
              <w:tc>
                <w:tcPr>
                  <w:tcW w:w="1866" w:type="dxa"/>
                  <w:noWrap w:val="0"/>
                  <w:vAlign w:val="center"/>
                </w:tcPr>
                <w:p w14:paraId="222D5B9E">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Q</w:t>
                  </w:r>
                </w:p>
              </w:tc>
            </w:tr>
            <w:tr w14:paraId="4D203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661" w:type="dxa"/>
                  <w:shd w:val="clear" w:color="auto" w:fill="auto"/>
                  <w:noWrap w:val="0"/>
                  <w:vAlign w:val="center"/>
                </w:tcPr>
                <w:p w14:paraId="0A446D81">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w:t>
                  </w:r>
                </w:p>
              </w:tc>
              <w:tc>
                <w:tcPr>
                  <w:tcW w:w="2297" w:type="dxa"/>
                  <w:shd w:val="clear" w:color="auto" w:fill="auto"/>
                  <w:noWrap w:val="0"/>
                  <w:vAlign w:val="center"/>
                </w:tcPr>
                <w:p w14:paraId="41AC2452">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天然气</w:t>
                  </w:r>
                </w:p>
              </w:tc>
              <w:tc>
                <w:tcPr>
                  <w:tcW w:w="1840" w:type="dxa"/>
                  <w:shd w:val="clear" w:color="auto" w:fill="auto"/>
                  <w:noWrap w:val="0"/>
                  <w:vAlign w:val="center"/>
                </w:tcPr>
                <w:p w14:paraId="6CB23EE5">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0.2</w:t>
                  </w:r>
                </w:p>
              </w:tc>
              <w:tc>
                <w:tcPr>
                  <w:tcW w:w="1334" w:type="dxa"/>
                  <w:shd w:val="clear" w:color="auto" w:fill="auto"/>
                  <w:noWrap w:val="0"/>
                  <w:vAlign w:val="center"/>
                </w:tcPr>
                <w:p w14:paraId="0AAE9146">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10</w:t>
                  </w:r>
                </w:p>
              </w:tc>
              <w:tc>
                <w:tcPr>
                  <w:tcW w:w="1866" w:type="dxa"/>
                  <w:shd w:val="clear" w:color="auto" w:fill="auto"/>
                  <w:noWrap w:val="0"/>
                  <w:vAlign w:val="center"/>
                </w:tcPr>
                <w:p w14:paraId="52D30798">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0.02</w:t>
                  </w:r>
                </w:p>
              </w:tc>
            </w:tr>
            <w:tr w14:paraId="032E9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661" w:type="dxa"/>
                  <w:shd w:val="clear" w:color="auto" w:fill="auto"/>
                  <w:noWrap w:val="0"/>
                  <w:vAlign w:val="center"/>
                </w:tcPr>
                <w:p w14:paraId="2A2B52CD">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w:t>
                  </w:r>
                </w:p>
              </w:tc>
              <w:tc>
                <w:tcPr>
                  <w:tcW w:w="2297" w:type="dxa"/>
                  <w:shd w:val="clear" w:color="auto" w:fill="auto"/>
                  <w:noWrap w:val="0"/>
                  <w:vAlign w:val="center"/>
                </w:tcPr>
                <w:p w14:paraId="2183AA05">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氨水（25%）</w:t>
                  </w:r>
                </w:p>
              </w:tc>
              <w:tc>
                <w:tcPr>
                  <w:tcW w:w="1840" w:type="dxa"/>
                  <w:shd w:val="clear" w:color="auto" w:fill="auto"/>
                  <w:noWrap w:val="0"/>
                  <w:vAlign w:val="center"/>
                </w:tcPr>
                <w:p w14:paraId="7BABA9E1">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1.0</w:t>
                  </w:r>
                </w:p>
              </w:tc>
              <w:tc>
                <w:tcPr>
                  <w:tcW w:w="1334" w:type="dxa"/>
                  <w:shd w:val="clear" w:color="auto" w:fill="auto"/>
                  <w:noWrap w:val="0"/>
                  <w:vAlign w:val="center"/>
                </w:tcPr>
                <w:p w14:paraId="437DAB85">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10</w:t>
                  </w:r>
                </w:p>
              </w:tc>
              <w:tc>
                <w:tcPr>
                  <w:tcW w:w="1866" w:type="dxa"/>
                  <w:shd w:val="clear" w:color="auto" w:fill="auto"/>
                  <w:noWrap w:val="0"/>
                  <w:vAlign w:val="center"/>
                </w:tcPr>
                <w:p w14:paraId="08CEF368">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0.1</w:t>
                  </w:r>
                </w:p>
              </w:tc>
            </w:tr>
            <w:tr w14:paraId="05196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661" w:type="dxa"/>
                  <w:shd w:val="clear" w:color="auto" w:fill="auto"/>
                  <w:noWrap w:val="0"/>
                  <w:vAlign w:val="center"/>
                </w:tcPr>
                <w:p w14:paraId="10786619">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w:t>
                  </w:r>
                </w:p>
              </w:tc>
              <w:tc>
                <w:tcPr>
                  <w:tcW w:w="2297" w:type="dxa"/>
                  <w:shd w:val="clear" w:color="auto" w:fill="auto"/>
                  <w:noWrap w:val="0"/>
                  <w:vAlign w:val="center"/>
                </w:tcPr>
                <w:p w14:paraId="0B8E9F14">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废SCR催化剂（参照健康危险急性毒性物质）</w:t>
                  </w:r>
                </w:p>
              </w:tc>
              <w:tc>
                <w:tcPr>
                  <w:tcW w:w="1840" w:type="dxa"/>
                  <w:shd w:val="clear" w:color="auto" w:fill="auto"/>
                  <w:noWrap w:val="0"/>
                  <w:vAlign w:val="center"/>
                </w:tcPr>
                <w:p w14:paraId="1B2B0C1C">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1.0</w:t>
                  </w:r>
                </w:p>
              </w:tc>
              <w:tc>
                <w:tcPr>
                  <w:tcW w:w="1334" w:type="dxa"/>
                  <w:shd w:val="clear" w:color="auto" w:fill="auto"/>
                  <w:noWrap w:val="0"/>
                  <w:vAlign w:val="center"/>
                </w:tcPr>
                <w:p w14:paraId="767DA088">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5</w:t>
                  </w:r>
                </w:p>
              </w:tc>
              <w:tc>
                <w:tcPr>
                  <w:tcW w:w="1866" w:type="dxa"/>
                  <w:shd w:val="clear" w:color="auto" w:fill="auto"/>
                  <w:noWrap w:val="0"/>
                  <w:vAlign w:val="center"/>
                </w:tcPr>
                <w:p w14:paraId="62D79937">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0.2</w:t>
                  </w:r>
                </w:p>
              </w:tc>
            </w:tr>
            <w:tr w14:paraId="53BB2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132" w:type="dxa"/>
                  <w:gridSpan w:val="4"/>
                  <w:shd w:val="clear" w:color="auto" w:fill="auto"/>
                  <w:noWrap w:val="0"/>
                  <w:vAlign w:val="center"/>
                </w:tcPr>
                <w:p w14:paraId="4F049C80">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∑Q</w:t>
                  </w:r>
                </w:p>
              </w:tc>
              <w:tc>
                <w:tcPr>
                  <w:tcW w:w="1866" w:type="dxa"/>
                  <w:shd w:val="clear" w:color="auto" w:fill="auto"/>
                  <w:noWrap w:val="0"/>
                  <w:vAlign w:val="center"/>
                </w:tcPr>
                <w:p w14:paraId="4995DF1D">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fldChar w:fldCharType="begin"/>
                  </w:r>
                  <w:r>
                    <w:rPr>
                      <w:rFonts w:hint="default" w:ascii="Times New Roman" w:hAnsi="Times New Roman" w:cs="Times New Roman"/>
                      <w:color w:val="auto"/>
                      <w:highlight w:val="none"/>
                      <w:lang w:val="en-US" w:eastAsia="zh-CN"/>
                    </w:rPr>
                    <w:instrText xml:space="preserve"> = sum(E2:E4) \* MERGEFORMAT </w:instrText>
                  </w:r>
                  <w:r>
                    <w:rPr>
                      <w:rFonts w:hint="default" w:ascii="Times New Roman" w:hAnsi="Times New Roman" w:cs="Times New Roman"/>
                      <w:color w:val="auto"/>
                      <w:highlight w:val="none"/>
                      <w:lang w:val="en-US" w:eastAsia="zh-CN"/>
                    </w:rPr>
                    <w:fldChar w:fldCharType="separate"/>
                  </w:r>
                  <w:r>
                    <w:rPr>
                      <w:rFonts w:hint="default" w:ascii="Times New Roman" w:hAnsi="Times New Roman" w:cs="Times New Roman"/>
                      <w:color w:val="auto"/>
                      <w:highlight w:val="none"/>
                      <w:lang w:val="en-US" w:eastAsia="zh-CN"/>
                    </w:rPr>
                    <w:t>0.</w:t>
                  </w:r>
                  <w:r>
                    <w:rPr>
                      <w:rFonts w:hint="eastAsia" w:cs="Times New Roman"/>
                      <w:color w:val="auto"/>
                      <w:highlight w:val="none"/>
                      <w:lang w:val="en-US" w:eastAsia="zh-CN"/>
                    </w:rPr>
                    <w:t>3</w:t>
                  </w:r>
                  <w:r>
                    <w:rPr>
                      <w:rFonts w:hint="default" w:ascii="Times New Roman" w:hAnsi="Times New Roman" w:cs="Times New Roman"/>
                      <w:color w:val="auto"/>
                      <w:highlight w:val="none"/>
                      <w:lang w:val="en-US" w:eastAsia="zh-CN"/>
                    </w:rPr>
                    <w:fldChar w:fldCharType="end"/>
                  </w:r>
                  <w:r>
                    <w:rPr>
                      <w:rFonts w:hint="eastAsia" w:cs="Times New Roman"/>
                      <w:color w:val="auto"/>
                      <w:highlight w:val="none"/>
                      <w:lang w:val="en-US" w:eastAsia="zh-CN"/>
                    </w:rPr>
                    <w:t>2</w:t>
                  </w:r>
                </w:p>
              </w:tc>
            </w:tr>
          </w:tbl>
          <w:p w14:paraId="7CAE8345">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经上表计算，</w:t>
            </w:r>
            <w:r>
              <w:rPr>
                <w:rFonts w:hint="default" w:ascii="Times New Roman" w:hAnsi="Times New Roman" w:eastAsia="微软雅黑" w:cs="Times New Roman"/>
                <w:color w:val="auto"/>
                <w:highlight w:val="none"/>
                <w:lang w:val="en-US" w:eastAsia="zh-CN"/>
              </w:rPr>
              <w:t>∑</w:t>
            </w:r>
            <w:r>
              <w:rPr>
                <w:rFonts w:hint="default" w:ascii="Times New Roman" w:hAnsi="Times New Roman" w:cs="Times New Roman"/>
                <w:color w:val="auto"/>
                <w:highlight w:val="none"/>
                <w:lang w:val="en-US" w:eastAsia="zh-CN"/>
              </w:rPr>
              <w:t>Q=0.</w:t>
            </w:r>
            <w:r>
              <w:rPr>
                <w:rFonts w:hint="eastAsia" w:cs="Times New Roman"/>
                <w:color w:val="auto"/>
                <w:highlight w:val="none"/>
                <w:lang w:val="en-US" w:eastAsia="zh-CN"/>
              </w:rPr>
              <w:t>32</w:t>
            </w:r>
            <w:r>
              <w:rPr>
                <w:rFonts w:hint="default" w:ascii="Times New Roman" w:hAnsi="Times New Roman" w:cs="Times New Roman"/>
                <w:color w:val="auto"/>
                <w:highlight w:val="none"/>
                <w:lang w:val="en-US" w:eastAsia="zh-CN"/>
              </w:rPr>
              <w:t>，属于Q＜1范围，该项目环境风险潜势为</w:t>
            </w:r>
            <w:r>
              <w:rPr>
                <w:rFonts w:hint="default" w:ascii="Times New Roman" w:hAnsi="Times New Roman" w:cs="Times New Roman"/>
                <w:color w:val="auto"/>
                <w:highlight w:val="none"/>
                <w:lang w:val="en-US" w:eastAsia="zh-CN"/>
              </w:rPr>
              <w:fldChar w:fldCharType="begin"/>
            </w:r>
            <w:r>
              <w:rPr>
                <w:rFonts w:hint="default" w:ascii="Times New Roman" w:hAnsi="Times New Roman" w:cs="Times New Roman"/>
                <w:color w:val="auto"/>
                <w:highlight w:val="none"/>
                <w:lang w:val="en-US" w:eastAsia="zh-CN"/>
              </w:rPr>
              <w:instrText xml:space="preserve"> = 1 \* ROMAN </w:instrText>
            </w:r>
            <w:r>
              <w:rPr>
                <w:rFonts w:hint="default" w:ascii="Times New Roman" w:hAnsi="Times New Roman" w:cs="Times New Roman"/>
                <w:color w:val="auto"/>
                <w:highlight w:val="none"/>
                <w:lang w:val="en-US" w:eastAsia="zh-CN"/>
              </w:rPr>
              <w:fldChar w:fldCharType="separate"/>
            </w:r>
            <w:r>
              <w:rPr>
                <w:rFonts w:hint="default" w:ascii="Times New Roman" w:hAnsi="Times New Roman" w:cs="Times New Roman"/>
                <w:color w:val="auto"/>
                <w:highlight w:val="none"/>
                <w:lang w:val="en-US" w:eastAsia="zh-CN"/>
              </w:rPr>
              <w:t>I</w:t>
            </w:r>
            <w:r>
              <w:rPr>
                <w:rFonts w:hint="default" w:ascii="Times New Roman" w:hAnsi="Times New Roman" w:cs="Times New Roman"/>
                <w:color w:val="auto"/>
                <w:highlight w:val="none"/>
                <w:lang w:val="en-US" w:eastAsia="zh-CN"/>
              </w:rPr>
              <w:fldChar w:fldCharType="end"/>
            </w:r>
            <w:r>
              <w:rPr>
                <w:rFonts w:hint="default" w:ascii="Times New Roman" w:hAnsi="Times New Roman" w:cs="Times New Roman"/>
                <w:color w:val="auto"/>
                <w:highlight w:val="none"/>
                <w:lang w:val="en-US" w:eastAsia="zh-CN"/>
              </w:rPr>
              <w:t>。</w:t>
            </w:r>
          </w:p>
          <w:p w14:paraId="1FE990DA">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③评价工作等级划分</w:t>
            </w:r>
          </w:p>
          <w:p w14:paraId="5DD859FA">
            <w:pPr>
              <w:bidi w:val="0"/>
              <w:ind w:left="0" w:leftChars="0" w:firstLine="0" w:firstLineChars="0"/>
              <w:jc w:val="center"/>
              <w:rPr>
                <w:rFonts w:hint="default" w:ascii="Times New Roman" w:hAnsi="Times New Roman" w:cs="Times New Roman"/>
                <w:color w:val="auto"/>
                <w:highlight w:val="none"/>
                <w:lang w:val="en-US" w:eastAsia="zh-CN"/>
              </w:rPr>
            </w:pPr>
            <w:r>
              <w:rPr>
                <w:rFonts w:hint="default" w:ascii="Times New Roman" w:hAnsi="Times New Roman" w:cs="Times New Roman"/>
                <w:b/>
                <w:bCs/>
                <w:color w:val="auto"/>
                <w:highlight w:val="none"/>
                <w:lang w:val="en-US" w:eastAsia="zh-CN"/>
              </w:rPr>
              <w:t>表4-5评价工作等级划分</w:t>
            </w:r>
          </w:p>
          <w:tbl>
            <w:tblPr>
              <w:tblStyle w:val="23"/>
              <w:tblW w:w="8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35"/>
              <w:gridCol w:w="1582"/>
              <w:gridCol w:w="1577"/>
              <w:gridCol w:w="1577"/>
              <w:gridCol w:w="1506"/>
            </w:tblGrid>
            <w:tr w14:paraId="11978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835" w:type="dxa"/>
                  <w:noWrap w:val="0"/>
                  <w:vAlign w:val="center"/>
                </w:tcPr>
                <w:p w14:paraId="68CBFA70">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环境风险潜势</w:t>
                  </w:r>
                </w:p>
              </w:tc>
              <w:tc>
                <w:tcPr>
                  <w:tcW w:w="1582" w:type="dxa"/>
                  <w:noWrap w:val="0"/>
                  <w:vAlign w:val="center"/>
                </w:tcPr>
                <w:p w14:paraId="52DD6D67">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fldChar w:fldCharType="begin"/>
                  </w:r>
                  <w:r>
                    <w:rPr>
                      <w:rFonts w:hint="default" w:ascii="Times New Roman" w:hAnsi="Times New Roman" w:cs="Times New Roman"/>
                      <w:color w:val="auto"/>
                      <w:highlight w:val="none"/>
                      <w:lang w:val="en-US" w:eastAsia="zh-CN"/>
                    </w:rPr>
                    <w:instrText xml:space="preserve"> = 4 \* ROMAN </w:instrText>
                  </w:r>
                  <w:r>
                    <w:rPr>
                      <w:rFonts w:hint="default" w:ascii="Times New Roman" w:hAnsi="Times New Roman" w:cs="Times New Roman"/>
                      <w:color w:val="auto"/>
                      <w:highlight w:val="none"/>
                      <w:lang w:val="en-US" w:eastAsia="zh-CN"/>
                    </w:rPr>
                    <w:fldChar w:fldCharType="separate"/>
                  </w:r>
                  <w:r>
                    <w:rPr>
                      <w:rFonts w:hint="default" w:ascii="Times New Roman" w:hAnsi="Times New Roman" w:cs="Times New Roman"/>
                      <w:color w:val="auto"/>
                      <w:highlight w:val="none"/>
                      <w:lang w:val="en-US" w:eastAsia="zh-CN"/>
                    </w:rPr>
                    <w:t>IV</w:t>
                  </w:r>
                  <w:r>
                    <w:rPr>
                      <w:rFonts w:hint="default" w:ascii="Times New Roman" w:hAnsi="Times New Roman" w:cs="Times New Roman"/>
                      <w:color w:val="auto"/>
                      <w:highlight w:val="none"/>
                      <w:lang w:val="en-US" w:eastAsia="zh-CN"/>
                    </w:rPr>
                    <w:fldChar w:fldCharType="end"/>
                  </w:r>
                  <w:r>
                    <w:rPr>
                      <w:rFonts w:hint="default" w:ascii="Times New Roman" w:hAnsi="Times New Roman" w:cs="Times New Roman"/>
                      <w:color w:val="auto"/>
                      <w:highlight w:val="none"/>
                      <w:lang w:val="en-US" w:eastAsia="zh-CN"/>
                    </w:rPr>
                    <w:t>、</w:t>
                  </w:r>
                  <w:r>
                    <w:rPr>
                      <w:rFonts w:hint="default" w:ascii="Times New Roman" w:hAnsi="Times New Roman" w:cs="Times New Roman"/>
                      <w:color w:val="auto"/>
                      <w:highlight w:val="none"/>
                      <w:lang w:val="en-US" w:eastAsia="zh-CN"/>
                    </w:rPr>
                    <w:fldChar w:fldCharType="begin"/>
                  </w:r>
                  <w:r>
                    <w:rPr>
                      <w:rFonts w:hint="default" w:ascii="Times New Roman" w:hAnsi="Times New Roman" w:cs="Times New Roman"/>
                      <w:color w:val="auto"/>
                      <w:highlight w:val="none"/>
                      <w:lang w:val="en-US" w:eastAsia="zh-CN"/>
                    </w:rPr>
                    <w:instrText xml:space="preserve"> = 4 \* ROMAN </w:instrText>
                  </w:r>
                  <w:r>
                    <w:rPr>
                      <w:rFonts w:hint="default" w:ascii="Times New Roman" w:hAnsi="Times New Roman" w:cs="Times New Roman"/>
                      <w:color w:val="auto"/>
                      <w:highlight w:val="none"/>
                      <w:lang w:val="en-US" w:eastAsia="zh-CN"/>
                    </w:rPr>
                    <w:fldChar w:fldCharType="separate"/>
                  </w:r>
                  <w:r>
                    <w:rPr>
                      <w:rFonts w:hint="default" w:ascii="Times New Roman" w:hAnsi="Times New Roman" w:cs="Times New Roman"/>
                      <w:color w:val="auto"/>
                      <w:highlight w:val="none"/>
                      <w:lang w:val="en-US" w:eastAsia="zh-CN"/>
                    </w:rPr>
                    <w:t>IV</w:t>
                  </w:r>
                  <w:r>
                    <w:rPr>
                      <w:rFonts w:hint="default" w:ascii="Times New Roman" w:hAnsi="Times New Roman" w:cs="Times New Roman"/>
                      <w:color w:val="auto"/>
                      <w:highlight w:val="none"/>
                      <w:lang w:val="en-US" w:eastAsia="zh-CN"/>
                    </w:rPr>
                    <w:fldChar w:fldCharType="end"/>
                  </w:r>
                  <w:r>
                    <w:rPr>
                      <w:rFonts w:hint="default" w:ascii="Times New Roman" w:hAnsi="Times New Roman" w:cs="Times New Roman"/>
                      <w:color w:val="auto"/>
                      <w:highlight w:val="none"/>
                      <w:lang w:val="en-US" w:eastAsia="zh-CN"/>
                    </w:rPr>
                    <w:t>+</w:t>
                  </w:r>
                </w:p>
              </w:tc>
              <w:tc>
                <w:tcPr>
                  <w:tcW w:w="1577" w:type="dxa"/>
                  <w:noWrap w:val="0"/>
                  <w:vAlign w:val="center"/>
                </w:tcPr>
                <w:p w14:paraId="70D571EE">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fldChar w:fldCharType="begin"/>
                  </w:r>
                  <w:r>
                    <w:rPr>
                      <w:rFonts w:hint="default" w:ascii="Times New Roman" w:hAnsi="Times New Roman" w:cs="Times New Roman"/>
                      <w:color w:val="auto"/>
                      <w:highlight w:val="none"/>
                      <w:lang w:val="en-US" w:eastAsia="zh-CN"/>
                    </w:rPr>
                    <w:instrText xml:space="preserve"> = 3 \* ROMAN </w:instrText>
                  </w:r>
                  <w:r>
                    <w:rPr>
                      <w:rFonts w:hint="default" w:ascii="Times New Roman" w:hAnsi="Times New Roman" w:cs="Times New Roman"/>
                      <w:color w:val="auto"/>
                      <w:highlight w:val="none"/>
                      <w:lang w:val="en-US" w:eastAsia="zh-CN"/>
                    </w:rPr>
                    <w:fldChar w:fldCharType="separate"/>
                  </w:r>
                  <w:r>
                    <w:rPr>
                      <w:rFonts w:hint="default" w:ascii="Times New Roman" w:hAnsi="Times New Roman" w:cs="Times New Roman"/>
                      <w:color w:val="auto"/>
                      <w:highlight w:val="none"/>
                      <w:lang w:val="en-US" w:eastAsia="zh-CN"/>
                    </w:rPr>
                    <w:t>III</w:t>
                  </w:r>
                  <w:r>
                    <w:rPr>
                      <w:rFonts w:hint="default" w:ascii="Times New Roman" w:hAnsi="Times New Roman" w:cs="Times New Roman"/>
                      <w:color w:val="auto"/>
                      <w:highlight w:val="none"/>
                      <w:lang w:val="en-US" w:eastAsia="zh-CN"/>
                    </w:rPr>
                    <w:fldChar w:fldCharType="end"/>
                  </w:r>
                </w:p>
              </w:tc>
              <w:tc>
                <w:tcPr>
                  <w:tcW w:w="1577" w:type="dxa"/>
                  <w:noWrap w:val="0"/>
                  <w:vAlign w:val="center"/>
                </w:tcPr>
                <w:p w14:paraId="4A5866FC">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fldChar w:fldCharType="begin"/>
                  </w:r>
                  <w:r>
                    <w:rPr>
                      <w:rFonts w:hint="default" w:ascii="Times New Roman" w:hAnsi="Times New Roman" w:cs="Times New Roman"/>
                      <w:color w:val="auto"/>
                      <w:highlight w:val="none"/>
                      <w:lang w:val="en-US" w:eastAsia="zh-CN"/>
                    </w:rPr>
                    <w:instrText xml:space="preserve"> = 2 \* ROMAN </w:instrText>
                  </w:r>
                  <w:r>
                    <w:rPr>
                      <w:rFonts w:hint="default" w:ascii="Times New Roman" w:hAnsi="Times New Roman" w:cs="Times New Roman"/>
                      <w:color w:val="auto"/>
                      <w:highlight w:val="none"/>
                      <w:lang w:val="en-US" w:eastAsia="zh-CN"/>
                    </w:rPr>
                    <w:fldChar w:fldCharType="separate"/>
                  </w:r>
                  <w:r>
                    <w:rPr>
                      <w:rFonts w:hint="default" w:ascii="Times New Roman" w:hAnsi="Times New Roman" w:cs="Times New Roman"/>
                      <w:color w:val="auto"/>
                      <w:highlight w:val="none"/>
                      <w:lang w:val="en-US" w:eastAsia="zh-CN"/>
                    </w:rPr>
                    <w:t>II</w:t>
                  </w:r>
                  <w:r>
                    <w:rPr>
                      <w:rFonts w:hint="default" w:ascii="Times New Roman" w:hAnsi="Times New Roman" w:cs="Times New Roman"/>
                      <w:color w:val="auto"/>
                      <w:highlight w:val="none"/>
                      <w:lang w:val="en-US" w:eastAsia="zh-CN"/>
                    </w:rPr>
                    <w:fldChar w:fldCharType="end"/>
                  </w:r>
                </w:p>
              </w:tc>
              <w:tc>
                <w:tcPr>
                  <w:tcW w:w="1506" w:type="dxa"/>
                  <w:noWrap w:val="0"/>
                  <w:vAlign w:val="center"/>
                </w:tcPr>
                <w:p w14:paraId="6286A387">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fldChar w:fldCharType="begin"/>
                  </w:r>
                  <w:r>
                    <w:rPr>
                      <w:rFonts w:hint="default" w:ascii="Times New Roman" w:hAnsi="Times New Roman" w:cs="Times New Roman"/>
                      <w:color w:val="auto"/>
                      <w:highlight w:val="none"/>
                      <w:lang w:val="en-US" w:eastAsia="zh-CN"/>
                    </w:rPr>
                    <w:instrText xml:space="preserve"> = 1 \* ROMAN </w:instrText>
                  </w:r>
                  <w:r>
                    <w:rPr>
                      <w:rFonts w:hint="default" w:ascii="Times New Roman" w:hAnsi="Times New Roman" w:cs="Times New Roman"/>
                      <w:color w:val="auto"/>
                      <w:highlight w:val="none"/>
                      <w:lang w:val="en-US" w:eastAsia="zh-CN"/>
                    </w:rPr>
                    <w:fldChar w:fldCharType="separate"/>
                  </w:r>
                  <w:r>
                    <w:rPr>
                      <w:rFonts w:hint="default" w:ascii="Times New Roman" w:hAnsi="Times New Roman" w:cs="Times New Roman"/>
                      <w:color w:val="auto"/>
                      <w:highlight w:val="none"/>
                      <w:lang w:val="en-US" w:eastAsia="zh-CN"/>
                    </w:rPr>
                    <w:t>I</w:t>
                  </w:r>
                  <w:r>
                    <w:rPr>
                      <w:rFonts w:hint="default" w:ascii="Times New Roman" w:hAnsi="Times New Roman" w:cs="Times New Roman"/>
                      <w:color w:val="auto"/>
                      <w:highlight w:val="none"/>
                      <w:lang w:val="en-US" w:eastAsia="zh-CN"/>
                    </w:rPr>
                    <w:fldChar w:fldCharType="end"/>
                  </w:r>
                </w:p>
              </w:tc>
            </w:tr>
            <w:tr w14:paraId="7E886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jc w:val="center"/>
              </w:trPr>
              <w:tc>
                <w:tcPr>
                  <w:tcW w:w="1835" w:type="dxa"/>
                  <w:noWrap w:val="0"/>
                  <w:vAlign w:val="center"/>
                </w:tcPr>
                <w:p w14:paraId="36054E37">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评价工作等级</w:t>
                  </w:r>
                </w:p>
              </w:tc>
              <w:tc>
                <w:tcPr>
                  <w:tcW w:w="1582" w:type="dxa"/>
                  <w:noWrap w:val="0"/>
                  <w:vAlign w:val="center"/>
                </w:tcPr>
                <w:p w14:paraId="1140A3BE">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一</w:t>
                  </w:r>
                </w:p>
              </w:tc>
              <w:tc>
                <w:tcPr>
                  <w:tcW w:w="1577" w:type="dxa"/>
                  <w:noWrap w:val="0"/>
                  <w:vAlign w:val="center"/>
                </w:tcPr>
                <w:p w14:paraId="7023526A">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二</w:t>
                  </w:r>
                </w:p>
              </w:tc>
              <w:tc>
                <w:tcPr>
                  <w:tcW w:w="1577" w:type="dxa"/>
                  <w:noWrap w:val="0"/>
                  <w:vAlign w:val="center"/>
                </w:tcPr>
                <w:p w14:paraId="71146C17">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三</w:t>
                  </w:r>
                </w:p>
              </w:tc>
              <w:tc>
                <w:tcPr>
                  <w:tcW w:w="1506" w:type="dxa"/>
                  <w:shd w:val="clear" w:color="auto" w:fill="BEBEBE" w:themeFill="background1" w:themeFillShade="BF"/>
                  <w:noWrap w:val="0"/>
                  <w:vAlign w:val="center"/>
                </w:tcPr>
                <w:p w14:paraId="633DF355">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简单分析</w:t>
                  </w:r>
                </w:p>
              </w:tc>
            </w:tr>
          </w:tbl>
          <w:p w14:paraId="733A9536">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根据《建设项目环境风险评价技术导则HJ169-2018》，本项目只进行简单分析。</w:t>
            </w:r>
          </w:p>
          <w:p w14:paraId="0EEA0F05">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（2）环境敏感目标概况</w:t>
            </w:r>
          </w:p>
          <w:p w14:paraId="4CD5D257">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项目选址位于内蒙古自治区鄂尔多斯市杭锦经济开发区新能源产业园，由现场调查可知，该区域内没有珍稀动植物资源、饮用水源保护区、自然保护区、重点文物、</w:t>
            </w:r>
            <w:r>
              <w:rPr>
                <w:rFonts w:hint="default" w:ascii="Times New Roman" w:hAnsi="Times New Roman" w:cs="Times New Roman"/>
                <w:color w:val="auto"/>
                <w:sz w:val="21"/>
                <w:szCs w:val="21"/>
                <w:highlight w:val="none"/>
              </w:rPr>
              <w:t>村庄散户（居民点）</w:t>
            </w:r>
            <w:r>
              <w:rPr>
                <w:rFonts w:hint="default" w:ascii="Times New Roman" w:hAnsi="Times New Roman" w:cs="Times New Roman"/>
                <w:color w:val="auto"/>
                <w:highlight w:val="none"/>
                <w:lang w:val="en-US" w:eastAsia="zh-CN"/>
              </w:rPr>
              <w:t>等重点保护目标。</w:t>
            </w:r>
          </w:p>
          <w:p w14:paraId="0E2696F3">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（3）环境风险识别</w:t>
            </w:r>
          </w:p>
          <w:p w14:paraId="0AA10461">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本项目环境风险主要为竖窑发生爆炸、天然气管道泄漏、氨水储罐泄露</w:t>
            </w:r>
            <w:r>
              <w:rPr>
                <w:rFonts w:hint="eastAsia" w:ascii="Times New Roman" w:hAnsi="Times New Roman" w:cs="Times New Roman"/>
                <w:color w:val="auto"/>
                <w:highlight w:val="none"/>
                <w:lang w:val="en-US" w:eastAsia="zh-CN"/>
              </w:rPr>
              <w:t>及危险废物暂存间内危险废物泄露</w:t>
            </w:r>
            <w:r>
              <w:rPr>
                <w:rFonts w:hint="default" w:ascii="Times New Roman" w:hAnsi="Times New Roman" w:cs="Times New Roman"/>
                <w:color w:val="auto"/>
                <w:highlight w:val="none"/>
                <w:lang w:val="en-US" w:eastAsia="zh-CN"/>
              </w:rPr>
              <w:t>发生火灾事故。</w:t>
            </w:r>
          </w:p>
          <w:p w14:paraId="51FBF153">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5.1危险物质影响途径</w:t>
            </w:r>
          </w:p>
          <w:p w14:paraId="3DA8B466">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发生火灾时，火场的温度很高，辐射热强烈，且火灾蔓延速度快。如抢救不及时，累积装置着火并伴随容器爆炸，物品沸溢、喷溅、流散，极易造成大面积火灾。火灾、爆炸事故对环境的危害主要是热辐射、冲击波和抛射物造成的后果。此外，火灾燃烧过程产生的烟雾及有害气体可造成较大范围环境污染。当发生火灾爆炸事故时，会产生大量事故废水，若不及时收集，会因漫流而造成污染地表水。</w:t>
            </w:r>
          </w:p>
          <w:p w14:paraId="1781891F">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5.2环境风险防范措施</w:t>
            </w:r>
          </w:p>
          <w:p w14:paraId="0D231125">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（1）加强明火管理，严防火种进入一般物质火灾、蔓延和扩</w:t>
            </w:r>
            <w:r>
              <w:rPr>
                <w:rFonts w:hint="eastAsia" w:cs="Times New Roman"/>
                <w:color w:val="auto"/>
                <w:highlight w:val="none"/>
                <w:lang w:val="en-US" w:eastAsia="zh-CN"/>
              </w:rPr>
              <w:t>散</w:t>
            </w:r>
            <w:r>
              <w:rPr>
                <w:rFonts w:hint="default" w:ascii="Times New Roman" w:hAnsi="Times New Roman" w:cs="Times New Roman"/>
                <w:color w:val="auto"/>
                <w:highlight w:val="none"/>
                <w:lang w:val="en-US" w:eastAsia="zh-CN"/>
              </w:rPr>
              <w:t>的速度较慢，在发生初期，范围较小，破灭较为容易。火灾，蔓延和扩展的速度极快，其火焰速度达2000m/s以上，且难以扑灭，特别是爆炸事故，如一旦发生，将立即造成重大灾害，主要是采取预防措施，加强明火、严防火种的产生是安全管理的一项首要措施，应在醒目位置设立“严禁烟火”“禁火区”等警戒标语和标牌。禁止任何人携带火种（如打火机、火柴、烟头等）和易产生碰撞火花的钉鞋器具等进入沼气处理系统，操作和维修设备时，应采用不发火的工具。</w:t>
            </w:r>
          </w:p>
          <w:p w14:paraId="2CE2A077">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（2）站内动火，需经审批</w:t>
            </w:r>
          </w:p>
          <w:p w14:paraId="6F7A4ECB">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设备的维修过程中，不可避免地要使用电气焊或其他维修火焰，由于工艺装置存有沼气，故必须认真落实好各项动火安全措施。</w:t>
            </w:r>
          </w:p>
          <w:p w14:paraId="47879B47">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①首先要详细检查动火位置周围的各阀门、法兰等密封点是否泄露，清除动火点周围环境处的易燃物质，并采取有效措施，将与动火位置或设备相关的工艺管路和周围环境完全隔绝。</w:t>
            </w:r>
          </w:p>
          <w:p w14:paraId="66C487BB">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②置换管道时需将管道内的沼气泄净后，用惰性气体（如氮气、二氧化碳、水蒸气等）充灌于内，将原有残留的危险物质驱赶排出，然后用蒸汽经一定时间的吹扫，最后再通入空气。</w:t>
            </w:r>
          </w:p>
          <w:p w14:paraId="53225D64">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（3）搞好事故抢险演练，及时堵住泄露点</w:t>
            </w:r>
          </w:p>
          <w:p w14:paraId="4F12046C">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①对管道及各类附件等任何部位的泄露，即使是微小的漏损也不能放过，都应采取措施，加以排</w:t>
            </w:r>
            <w:r>
              <w:rPr>
                <w:rFonts w:hint="eastAsia" w:cs="Times New Roman"/>
                <w:color w:val="auto"/>
                <w:highlight w:val="none"/>
                <w:lang w:val="en-US" w:eastAsia="zh-CN"/>
              </w:rPr>
              <w:t>除</w:t>
            </w:r>
            <w:r>
              <w:rPr>
                <w:rFonts w:hint="default" w:ascii="Times New Roman" w:hAnsi="Times New Roman" w:cs="Times New Roman"/>
                <w:color w:val="auto"/>
                <w:highlight w:val="none"/>
                <w:lang w:val="en-US" w:eastAsia="zh-CN"/>
              </w:rPr>
              <w:t>。</w:t>
            </w:r>
          </w:p>
          <w:p w14:paraId="0B712D78">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②设置消防设备、火灾防护系统。</w:t>
            </w:r>
          </w:p>
          <w:p w14:paraId="65824D4C">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③提高自动化水平，保证生产装置在优化和安全状态下进行操作，在可能产生泄漏的地方设置固定或携带式可燃气体检测器和报警系统。</w:t>
            </w:r>
          </w:p>
          <w:p w14:paraId="512CA11C">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④定期对天然气泄露测量、报警装置进行检查和保养，使其保持在完好状态。</w:t>
            </w:r>
          </w:p>
          <w:p w14:paraId="784E6091">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（4）将氨水储罐及输送管线区域设置为专门区域进行安全保护，可设立警示标志，应防晒，保持罐区的阴凉、通风，禁止人为火源、禁止使用可能产生火花的工具，严禁堆放易燃、可燃物品。</w:t>
            </w:r>
          </w:p>
          <w:p w14:paraId="3469C75E">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（5）氨水存放场所应具备防爆、地表防渗、强制排风功能，罐区设置围堰，防止氨水泄漏外流影响周围环境。</w:t>
            </w:r>
          </w:p>
          <w:p w14:paraId="243B4A0E">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（6）储罐放空时，应根据放空气量多少和时间长短划定安全区域，区内禁止烟火，断绝交通。人和动物必须清场撤离，告知附近居民</w:t>
            </w:r>
            <w:r>
              <w:rPr>
                <w:rFonts w:hint="eastAsia" w:cs="Times New Roman"/>
                <w:color w:val="auto"/>
                <w:highlight w:val="none"/>
                <w:lang w:val="en-US" w:eastAsia="zh-CN"/>
              </w:rPr>
              <w:t>做</w:t>
            </w:r>
            <w:r>
              <w:rPr>
                <w:rFonts w:hint="default" w:ascii="Times New Roman" w:hAnsi="Times New Roman" w:cs="Times New Roman"/>
                <w:color w:val="auto"/>
                <w:highlight w:val="none"/>
                <w:lang w:val="en-US" w:eastAsia="zh-CN"/>
              </w:rPr>
              <w:t>好防护准备。</w:t>
            </w:r>
          </w:p>
          <w:p w14:paraId="6B405FF0">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7）氨水罐区配备砂土、蛭石或其它惰性材料，以便于吸收小量泄露的氨水。对于大量泄漏的氨水，设置事故排水系统，避免进入雨水管网，并设置消防应急泵，将泄漏的氨水用大量水进行冲洗，稀释后排入厂区事故池。</w:t>
            </w:r>
          </w:p>
          <w:p w14:paraId="1E55691C">
            <w:pPr>
              <w:bidi w:val="0"/>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（8）</w:t>
            </w:r>
            <w:r>
              <w:rPr>
                <w:rFonts w:hint="default" w:ascii="Times New Roman" w:hAnsi="Times New Roman" w:cs="Times New Roman"/>
                <w:color w:val="auto"/>
                <w:highlight w:val="none"/>
                <w:lang w:val="en-US" w:eastAsia="zh-CN"/>
              </w:rPr>
              <w:t>加强危险废物储存间巡查，发现问题及时处理。</w:t>
            </w:r>
          </w:p>
          <w:p w14:paraId="15AA7D91">
            <w:pPr>
              <w:bidi w:val="0"/>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（9）</w:t>
            </w:r>
            <w:r>
              <w:rPr>
                <w:rFonts w:hint="default" w:ascii="Times New Roman" w:hAnsi="Times New Roman" w:cs="Times New Roman"/>
                <w:color w:val="auto"/>
                <w:highlight w:val="none"/>
                <w:lang w:val="en-US" w:eastAsia="zh-CN"/>
              </w:rPr>
              <w:t>强化管理，加强搬运人员的业务培训，完善各项规章制度，尽量避免储存容器在搬运过程中磕碰造成损坏。</w:t>
            </w:r>
          </w:p>
          <w:p w14:paraId="7B2C33CB">
            <w:pPr>
              <w:bidi w:val="0"/>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（10）</w:t>
            </w:r>
            <w:r>
              <w:rPr>
                <w:rFonts w:hint="default" w:ascii="Times New Roman" w:hAnsi="Times New Roman" w:cs="Times New Roman"/>
                <w:color w:val="auto"/>
                <w:highlight w:val="none"/>
                <w:lang w:val="en-US" w:eastAsia="zh-CN"/>
              </w:rPr>
              <w:t>危险废物储存间设置液体导流槽及集液池，对发生泄漏的危险物质进行及时回收，并存储于防腐防渗容器中。</w:t>
            </w:r>
          </w:p>
          <w:p w14:paraId="407DA09E">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w:t>
            </w:r>
            <w:r>
              <w:rPr>
                <w:rFonts w:hint="eastAsia" w:ascii="Times New Roman" w:hAnsi="Times New Roman" w:cs="Times New Roman"/>
                <w:color w:val="auto"/>
                <w:highlight w:val="none"/>
                <w:lang w:val="en-US" w:eastAsia="zh-CN"/>
              </w:rPr>
              <w:t>11</w:t>
            </w:r>
            <w:r>
              <w:rPr>
                <w:rFonts w:hint="default" w:ascii="Times New Roman" w:hAnsi="Times New Roman" w:cs="Times New Roman"/>
                <w:color w:val="auto"/>
                <w:highlight w:val="none"/>
                <w:lang w:val="en-US" w:eastAsia="zh-CN"/>
              </w:rPr>
              <w:t>）加强日常维护与管理，定期检漏和测量管壁厚度。为使检漏工作制度化，应确定巡查检漏的周期，设立事故急修班组，日夜值班。加强维护保养，所有管线、阀件都应固定牢靠、连接紧密、严密不漏。</w:t>
            </w:r>
          </w:p>
          <w:p w14:paraId="4AE62702">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w:t>
            </w:r>
            <w:r>
              <w:rPr>
                <w:rFonts w:hint="eastAsia" w:ascii="Times New Roman" w:hAnsi="Times New Roman" w:cs="Times New Roman"/>
                <w:color w:val="auto"/>
                <w:highlight w:val="none"/>
                <w:lang w:val="en-US" w:eastAsia="zh-CN"/>
              </w:rPr>
              <w:t>12</w:t>
            </w:r>
            <w:r>
              <w:rPr>
                <w:rFonts w:hint="default" w:ascii="Times New Roman" w:hAnsi="Times New Roman" w:cs="Times New Roman"/>
                <w:color w:val="auto"/>
                <w:highlight w:val="none"/>
                <w:lang w:val="en-US" w:eastAsia="zh-CN"/>
              </w:rPr>
              <w:t>）应急措施</w:t>
            </w:r>
          </w:p>
          <w:p w14:paraId="61E56E61">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①突发环境事件应急预案</w:t>
            </w:r>
          </w:p>
          <w:p w14:paraId="561B101D">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风险事故发生后，能否迅速作出应急反应，对于控制环境污染、减少人员伤亡及经济损失等都起到了关键性作用。根据《建设项目环境风险评价技术导则》（HJ/T169-2018）中的规定和要求，对于本项目可能造成环境风险的突发性事故须制定应急预案原则要求，本环评要求建设单位制定详细的应急预案。应急预案主要内容详见下表。</w:t>
            </w:r>
          </w:p>
          <w:p w14:paraId="2115885B">
            <w:pPr>
              <w:bidi w:val="0"/>
              <w:ind w:left="0" w:leftChars="0" w:firstLine="0" w:firstLineChars="0"/>
              <w:jc w:val="center"/>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表4-6应急预案应包括的主要内容</w:t>
            </w:r>
          </w:p>
          <w:tbl>
            <w:tblPr>
              <w:tblStyle w:val="23"/>
              <w:tblW w:w="8058"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3"/>
              <w:gridCol w:w="1357"/>
              <w:gridCol w:w="6058"/>
            </w:tblGrid>
            <w:tr w14:paraId="3AB9BE7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PrEx>
              <w:trPr>
                <w:trHeight w:val="268" w:hRule="atLeast"/>
                <w:jc w:val="center"/>
              </w:trPr>
              <w:tc>
                <w:tcPr>
                  <w:tcW w:w="643" w:type="dxa"/>
                  <w:noWrap w:val="0"/>
                  <w:vAlign w:val="center"/>
                </w:tcPr>
                <w:p w14:paraId="6A2F233E">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序号</w:t>
                  </w:r>
                </w:p>
              </w:tc>
              <w:tc>
                <w:tcPr>
                  <w:tcW w:w="1357" w:type="dxa"/>
                  <w:noWrap w:val="0"/>
                  <w:vAlign w:val="center"/>
                </w:tcPr>
                <w:p w14:paraId="02A395F0">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项目</w:t>
                  </w:r>
                </w:p>
              </w:tc>
              <w:tc>
                <w:tcPr>
                  <w:tcW w:w="6058" w:type="dxa"/>
                  <w:noWrap w:val="0"/>
                  <w:vAlign w:val="center"/>
                </w:tcPr>
                <w:p w14:paraId="2E2FD583">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内容及要求</w:t>
                  </w:r>
                </w:p>
              </w:tc>
            </w:tr>
            <w:tr w14:paraId="0B19850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06" w:hRule="atLeast"/>
                <w:jc w:val="center"/>
              </w:trPr>
              <w:tc>
                <w:tcPr>
                  <w:tcW w:w="643" w:type="dxa"/>
                  <w:noWrap w:val="0"/>
                  <w:vAlign w:val="center"/>
                </w:tcPr>
                <w:p w14:paraId="2F430783">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w:t>
                  </w:r>
                </w:p>
              </w:tc>
              <w:tc>
                <w:tcPr>
                  <w:tcW w:w="1357" w:type="dxa"/>
                  <w:noWrap w:val="0"/>
                  <w:vAlign w:val="center"/>
                </w:tcPr>
                <w:p w14:paraId="5ED48947">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危险源情况</w:t>
                  </w:r>
                </w:p>
              </w:tc>
              <w:tc>
                <w:tcPr>
                  <w:tcW w:w="6058" w:type="dxa"/>
                  <w:noWrap w:val="0"/>
                  <w:vAlign w:val="center"/>
                </w:tcPr>
                <w:p w14:paraId="5EB2955E">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详细说明危险源类型、数量、分布及其对环境的风险</w:t>
                  </w:r>
                </w:p>
              </w:tc>
            </w:tr>
            <w:tr w14:paraId="1491EAF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643" w:type="dxa"/>
                  <w:noWrap w:val="0"/>
                  <w:vAlign w:val="center"/>
                </w:tcPr>
                <w:p w14:paraId="0A08404B">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w:t>
                  </w:r>
                </w:p>
              </w:tc>
              <w:tc>
                <w:tcPr>
                  <w:tcW w:w="1357" w:type="dxa"/>
                  <w:noWrap w:val="0"/>
                  <w:vAlign w:val="center"/>
                </w:tcPr>
                <w:p w14:paraId="3E20B1C0">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应急计划区</w:t>
                  </w:r>
                </w:p>
              </w:tc>
              <w:tc>
                <w:tcPr>
                  <w:tcW w:w="6058" w:type="dxa"/>
                  <w:noWrap w:val="0"/>
                  <w:vAlign w:val="center"/>
                </w:tcPr>
                <w:p w14:paraId="29F666F0">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生产区、临近地区</w:t>
                  </w:r>
                </w:p>
              </w:tc>
            </w:tr>
            <w:tr w14:paraId="72255BB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44" w:hRule="atLeast"/>
                <w:jc w:val="center"/>
              </w:trPr>
              <w:tc>
                <w:tcPr>
                  <w:tcW w:w="643" w:type="dxa"/>
                  <w:noWrap w:val="0"/>
                  <w:vAlign w:val="center"/>
                </w:tcPr>
                <w:p w14:paraId="503779AA">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w:t>
                  </w:r>
                </w:p>
              </w:tc>
              <w:tc>
                <w:tcPr>
                  <w:tcW w:w="1357" w:type="dxa"/>
                  <w:noWrap w:val="0"/>
                  <w:vAlign w:val="center"/>
                </w:tcPr>
                <w:p w14:paraId="15826BC4">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应急组织</w:t>
                  </w:r>
                </w:p>
              </w:tc>
              <w:tc>
                <w:tcPr>
                  <w:tcW w:w="6058" w:type="dxa"/>
                  <w:noWrap w:val="0"/>
                  <w:vAlign w:val="center"/>
                </w:tcPr>
                <w:p w14:paraId="5D1A7993">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规定环境风险事故的级别及相应的应急状态分类，以此制定相应的应急响应程序</w:t>
                  </w:r>
                </w:p>
              </w:tc>
            </w:tr>
            <w:tr w14:paraId="25AB4CB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03" w:hRule="atLeast"/>
                <w:jc w:val="center"/>
              </w:trPr>
              <w:tc>
                <w:tcPr>
                  <w:tcW w:w="643" w:type="dxa"/>
                  <w:noWrap w:val="0"/>
                  <w:vAlign w:val="center"/>
                </w:tcPr>
                <w:p w14:paraId="13838323">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w:t>
                  </w:r>
                </w:p>
              </w:tc>
              <w:tc>
                <w:tcPr>
                  <w:tcW w:w="1357" w:type="dxa"/>
                  <w:noWrap w:val="0"/>
                  <w:vAlign w:val="center"/>
                </w:tcPr>
                <w:p w14:paraId="62D77DEB">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应急状态分类应急响应程序</w:t>
                  </w:r>
                </w:p>
              </w:tc>
              <w:tc>
                <w:tcPr>
                  <w:tcW w:w="6058" w:type="dxa"/>
                  <w:noWrap w:val="0"/>
                  <w:vAlign w:val="center"/>
                </w:tcPr>
                <w:p w14:paraId="6B802DA5">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由现场内专人负责一负责现场全面指挥，专业救援队伍一负责事故控制、救援和善后处理。临近地区：由现场专人负责—负责厂区附近地区全面指挥，救援、管制和疏散时规定环境风险事故的级别及相应的应急状态分类，以此制定相应的应急响应程序</w:t>
                  </w:r>
                </w:p>
              </w:tc>
            </w:tr>
            <w:tr w14:paraId="08933CF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59" w:hRule="atLeast"/>
                <w:jc w:val="center"/>
              </w:trPr>
              <w:tc>
                <w:tcPr>
                  <w:tcW w:w="643" w:type="dxa"/>
                  <w:noWrap w:val="0"/>
                  <w:vAlign w:val="center"/>
                </w:tcPr>
                <w:p w14:paraId="35BE58D8">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w:t>
                  </w:r>
                </w:p>
              </w:tc>
              <w:tc>
                <w:tcPr>
                  <w:tcW w:w="1357" w:type="dxa"/>
                  <w:noWrap w:val="0"/>
                  <w:vAlign w:val="center"/>
                </w:tcPr>
                <w:p w14:paraId="369757AB">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应急设施设备与材料</w:t>
                  </w:r>
                </w:p>
              </w:tc>
              <w:tc>
                <w:tcPr>
                  <w:tcW w:w="6058" w:type="dxa"/>
                  <w:noWrap w:val="0"/>
                  <w:vAlign w:val="center"/>
                </w:tcPr>
                <w:p w14:paraId="56B12329">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生产区：防火灾事故的应急设施、设备与材料，主要为消防器材、消防服等：防有毒有害物质外溢、扩散，主要是水或低压蒸汽幕、喷淋设备、防毒服和中毒人员急救所用的一些药品、器材临界地区烧伤、中毒人员急救所用的一些药品、器材</w:t>
                  </w:r>
                </w:p>
              </w:tc>
            </w:tr>
            <w:tr w14:paraId="727C7F6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90" w:hRule="atLeast"/>
                <w:jc w:val="center"/>
              </w:trPr>
              <w:tc>
                <w:tcPr>
                  <w:tcW w:w="643" w:type="dxa"/>
                  <w:noWrap w:val="0"/>
                  <w:vAlign w:val="center"/>
                </w:tcPr>
                <w:p w14:paraId="2A487B03">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6</w:t>
                  </w:r>
                </w:p>
              </w:tc>
              <w:tc>
                <w:tcPr>
                  <w:tcW w:w="1357" w:type="dxa"/>
                  <w:noWrap w:val="0"/>
                  <w:vAlign w:val="center"/>
                </w:tcPr>
                <w:p w14:paraId="51E8B826">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应急通讯通告与交通</w:t>
                  </w:r>
                </w:p>
              </w:tc>
              <w:tc>
                <w:tcPr>
                  <w:tcW w:w="6058" w:type="dxa"/>
                  <w:noWrap w:val="0"/>
                  <w:vAlign w:val="center"/>
                </w:tcPr>
                <w:p w14:paraId="7915957F">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规定应急状态下的通讯、通告方式和交通保障、管制等事项</w:t>
                  </w:r>
                </w:p>
              </w:tc>
            </w:tr>
            <w:tr w14:paraId="5D2127D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95" w:hRule="atLeast"/>
                <w:jc w:val="center"/>
              </w:trPr>
              <w:tc>
                <w:tcPr>
                  <w:tcW w:w="643" w:type="dxa"/>
                  <w:noWrap w:val="0"/>
                  <w:vAlign w:val="center"/>
                </w:tcPr>
                <w:p w14:paraId="395A5192">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7</w:t>
                  </w:r>
                </w:p>
              </w:tc>
              <w:tc>
                <w:tcPr>
                  <w:tcW w:w="1357" w:type="dxa"/>
                  <w:noWrap w:val="0"/>
                  <w:vAlign w:val="center"/>
                </w:tcPr>
                <w:p w14:paraId="70EF8DC1">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应急环境监测及事故后评估</w:t>
                  </w:r>
                </w:p>
              </w:tc>
              <w:tc>
                <w:tcPr>
                  <w:tcW w:w="6058" w:type="dxa"/>
                  <w:noWrap w:val="0"/>
                  <w:vAlign w:val="center"/>
                </w:tcPr>
                <w:p w14:paraId="75677737">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由专业人员对环境风险事故现场进行应急监测，对事故性质、严重程度等所造成的环境危害后果进行评估，吸取经验教训避免再次发生事故，为指挥部门提供决策依据</w:t>
                  </w:r>
                </w:p>
              </w:tc>
            </w:tr>
            <w:tr w14:paraId="37E3DB3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99" w:hRule="atLeast"/>
                <w:jc w:val="center"/>
              </w:trPr>
              <w:tc>
                <w:tcPr>
                  <w:tcW w:w="643" w:type="dxa"/>
                  <w:noWrap w:val="0"/>
                  <w:vAlign w:val="center"/>
                </w:tcPr>
                <w:p w14:paraId="5F9B7DF8">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8</w:t>
                  </w:r>
                </w:p>
              </w:tc>
              <w:tc>
                <w:tcPr>
                  <w:tcW w:w="1357" w:type="dxa"/>
                  <w:noWrap w:val="0"/>
                  <w:vAlign w:val="center"/>
                </w:tcPr>
                <w:p w14:paraId="6CB90184">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应急防护措施消除泄漏措施及需使用器材</w:t>
                  </w:r>
                </w:p>
              </w:tc>
              <w:tc>
                <w:tcPr>
                  <w:tcW w:w="6058" w:type="dxa"/>
                  <w:noWrap w:val="0"/>
                  <w:vAlign w:val="center"/>
                </w:tcPr>
                <w:p w14:paraId="23FEE26E">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事故现场：控制事故发展，防止扩大、蔓延及连锁反应：清除现场泄漏物，降低危害：相应的设施器材配备临近地区：划分腐蚀区域，控制和消除环境污染的措施及相应的设备配备</w:t>
                  </w:r>
                </w:p>
              </w:tc>
            </w:tr>
            <w:tr w14:paraId="14FA5D5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62" w:hRule="atLeast"/>
                <w:jc w:val="center"/>
              </w:trPr>
              <w:tc>
                <w:tcPr>
                  <w:tcW w:w="643" w:type="dxa"/>
                  <w:noWrap w:val="0"/>
                  <w:vAlign w:val="center"/>
                </w:tcPr>
                <w:p w14:paraId="333D473B">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9</w:t>
                  </w:r>
                </w:p>
              </w:tc>
              <w:tc>
                <w:tcPr>
                  <w:tcW w:w="1357" w:type="dxa"/>
                  <w:noWrap w:val="0"/>
                  <w:vAlign w:val="center"/>
                </w:tcPr>
                <w:p w14:paraId="3D9170D4">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应急剂量控制撤离组织计划医疗救护与保护公众健康</w:t>
                  </w:r>
                </w:p>
              </w:tc>
              <w:tc>
                <w:tcPr>
                  <w:tcW w:w="6058" w:type="dxa"/>
                  <w:noWrap w:val="0"/>
                  <w:vAlign w:val="center"/>
                </w:tcPr>
                <w:p w14:paraId="51419500">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事故现场：事故处理人员制定毒物的应急剂量、现场及临近装置人员的撤离组织计划和紧急救护方案；临近地区：制定受事故影响的临近地区内人员对毒物的应急剂量、公众的疏散组织计划和紧急救护方案</w:t>
                  </w:r>
                </w:p>
              </w:tc>
            </w:tr>
            <w:tr w14:paraId="4E2E13C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15" w:hRule="atLeast"/>
                <w:jc w:val="center"/>
              </w:trPr>
              <w:tc>
                <w:tcPr>
                  <w:tcW w:w="643" w:type="dxa"/>
                  <w:noWrap w:val="0"/>
                  <w:vAlign w:val="center"/>
                </w:tcPr>
                <w:p w14:paraId="59D75118">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10</w:t>
                  </w:r>
                </w:p>
              </w:tc>
              <w:tc>
                <w:tcPr>
                  <w:tcW w:w="1357" w:type="dxa"/>
                  <w:noWrap w:val="0"/>
                  <w:vAlign w:val="center"/>
                </w:tcPr>
                <w:p w14:paraId="68D57B39">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应急状态中止恢复措施</w:t>
                  </w:r>
                </w:p>
              </w:tc>
              <w:tc>
                <w:tcPr>
                  <w:tcW w:w="6058" w:type="dxa"/>
                  <w:noWrap w:val="0"/>
                  <w:vAlign w:val="center"/>
                </w:tcPr>
                <w:p w14:paraId="13A3BCEE">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事故现场：规定应急状态终止秩序：事故现场善后处理，恢复生产措施；临近地区：解除事故警戒、公众返回和善后恢复措施</w:t>
                  </w:r>
                </w:p>
              </w:tc>
            </w:tr>
            <w:tr w14:paraId="3FEB603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90" w:hRule="atLeast"/>
                <w:jc w:val="center"/>
              </w:trPr>
              <w:tc>
                <w:tcPr>
                  <w:tcW w:w="643" w:type="dxa"/>
                  <w:noWrap w:val="0"/>
                  <w:vAlign w:val="center"/>
                </w:tcPr>
                <w:p w14:paraId="20D12829">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11</w:t>
                  </w:r>
                </w:p>
              </w:tc>
              <w:tc>
                <w:tcPr>
                  <w:tcW w:w="1357" w:type="dxa"/>
                  <w:noWrap w:val="0"/>
                  <w:vAlign w:val="center"/>
                </w:tcPr>
                <w:p w14:paraId="69143105">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人员培训与演习</w:t>
                  </w:r>
                </w:p>
              </w:tc>
              <w:tc>
                <w:tcPr>
                  <w:tcW w:w="6058" w:type="dxa"/>
                  <w:noWrap w:val="0"/>
                  <w:vAlign w:val="center"/>
                </w:tcPr>
                <w:p w14:paraId="51CFFFDD">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应急计划制定后，平时安排事故处理人员进行相关知识培训进行事故应急处理演习；对厂区内工人进行安全卫生教育</w:t>
                  </w:r>
                </w:p>
              </w:tc>
            </w:tr>
            <w:tr w14:paraId="7E0145D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90" w:hRule="atLeast"/>
                <w:jc w:val="center"/>
              </w:trPr>
              <w:tc>
                <w:tcPr>
                  <w:tcW w:w="643" w:type="dxa"/>
                  <w:noWrap w:val="0"/>
                  <w:vAlign w:val="center"/>
                </w:tcPr>
                <w:p w14:paraId="425F04EE">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12</w:t>
                  </w:r>
                </w:p>
              </w:tc>
              <w:tc>
                <w:tcPr>
                  <w:tcW w:w="1357" w:type="dxa"/>
                  <w:noWrap w:val="0"/>
                  <w:vAlign w:val="center"/>
                </w:tcPr>
                <w:p w14:paraId="6A251F57">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公众教育信息发布</w:t>
                  </w:r>
                </w:p>
              </w:tc>
              <w:tc>
                <w:tcPr>
                  <w:tcW w:w="6058" w:type="dxa"/>
                  <w:noWrap w:val="0"/>
                  <w:vAlign w:val="center"/>
                </w:tcPr>
                <w:p w14:paraId="488BB4D2">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对厂区临近地区公众开展环境风险事故预防教育、应急知识培训并定期发布相关信息</w:t>
                  </w:r>
                </w:p>
              </w:tc>
            </w:tr>
            <w:tr w14:paraId="21C0D63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48" w:hRule="atLeast"/>
                <w:jc w:val="center"/>
              </w:trPr>
              <w:tc>
                <w:tcPr>
                  <w:tcW w:w="643" w:type="dxa"/>
                  <w:noWrap w:val="0"/>
                  <w:vAlign w:val="center"/>
                </w:tcPr>
                <w:p w14:paraId="04967D0E">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13</w:t>
                  </w:r>
                </w:p>
              </w:tc>
              <w:tc>
                <w:tcPr>
                  <w:tcW w:w="1357" w:type="dxa"/>
                  <w:noWrap w:val="0"/>
                  <w:vAlign w:val="center"/>
                </w:tcPr>
                <w:p w14:paraId="36C82481">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记录和报告</w:t>
                  </w:r>
                </w:p>
              </w:tc>
              <w:tc>
                <w:tcPr>
                  <w:tcW w:w="6058" w:type="dxa"/>
                  <w:noWrap w:val="0"/>
                  <w:vAlign w:val="center"/>
                </w:tcPr>
                <w:p w14:paraId="630D7B29">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设应急事故专门记录，建立档案和报告制度，设专门部门负责管理</w:t>
                  </w:r>
                </w:p>
              </w:tc>
            </w:tr>
            <w:tr w14:paraId="790485D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643" w:type="dxa"/>
                  <w:noWrap w:val="0"/>
                  <w:vAlign w:val="center"/>
                </w:tcPr>
                <w:p w14:paraId="54B29D24">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14</w:t>
                  </w:r>
                </w:p>
              </w:tc>
              <w:tc>
                <w:tcPr>
                  <w:tcW w:w="1357" w:type="dxa"/>
                  <w:noWrap w:val="0"/>
                  <w:vAlign w:val="center"/>
                </w:tcPr>
                <w:p w14:paraId="0F987374">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附件</w:t>
                  </w:r>
                </w:p>
              </w:tc>
              <w:tc>
                <w:tcPr>
                  <w:tcW w:w="6058" w:type="dxa"/>
                  <w:noWrap w:val="0"/>
                  <w:vAlign w:val="center"/>
                </w:tcPr>
                <w:p w14:paraId="43B3FA67">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形成环境风险事故应急处理有关的附件材料</w:t>
                  </w:r>
                </w:p>
              </w:tc>
            </w:tr>
          </w:tbl>
          <w:p w14:paraId="17244ED4">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②环境风险应急体系</w:t>
            </w:r>
          </w:p>
          <w:p w14:paraId="6EAD6E0B">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本项目应急系统应与周边企业、</w:t>
            </w:r>
            <w:r>
              <w:rPr>
                <w:rFonts w:hint="default" w:ascii="Times New Roman" w:hAnsi="Times New Roman" w:cs="Times New Roman"/>
                <w:color w:val="auto"/>
                <w:szCs w:val="21"/>
                <w:highlight w:val="none"/>
                <w:lang w:val="en-US" w:eastAsia="zh-CN"/>
              </w:rPr>
              <w:t>鄂尔多斯市杭锦经济开发区新能源产业园</w:t>
            </w:r>
            <w:r>
              <w:rPr>
                <w:rFonts w:hint="default" w:ascii="Times New Roman" w:hAnsi="Times New Roman" w:cs="Times New Roman"/>
                <w:color w:val="auto"/>
                <w:highlight w:val="none"/>
                <w:lang w:val="en-US" w:eastAsia="zh-CN"/>
              </w:rPr>
              <w:t>等区域环境风险应急系统对接联动，实现区域联防联控。项目厂区配备足够的消防、防毒防护设施及应急监测等应急设施和物资。配备应急队伍，能够立即响应，立即汇报，立即事故处置等。</w:t>
            </w:r>
          </w:p>
          <w:p w14:paraId="369918D5">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5.3环境风险评价结论</w:t>
            </w:r>
          </w:p>
          <w:p w14:paraId="35F5F7CB">
            <w:pPr>
              <w:bidi w:val="0"/>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综上所述，本项目存在易燃易爆气体，发生火灾、爆炸时，主要危害区域为生产车间中竖窑煅烧生产工序。本项目采取的环境风险防范措施有效，可行。因此在落实相应的安全防范措施、事故应急措施的同时，并制定有针对性的、操作性强的突发环境事件</w:t>
            </w:r>
            <w:r>
              <w:rPr>
                <w:rFonts w:hint="default" w:ascii="Times New Roman" w:hAnsi="Times New Roman" w:eastAsia="宋体" w:cs="Times New Roman"/>
                <w:color w:val="auto"/>
                <w:highlight w:val="none"/>
                <w:lang w:val="en-US" w:eastAsia="zh-CN"/>
              </w:rPr>
              <w:t>应急预案的前提下，本项目环境风险属于可接受水平。</w:t>
            </w:r>
          </w:p>
          <w:p w14:paraId="29749875">
            <w:pPr>
              <w:bidi w:val="0"/>
              <w:ind w:left="0" w:leftChars="0" w:firstLine="0" w:firstLineChars="0"/>
              <w:jc w:val="center"/>
              <w:rPr>
                <w:rFonts w:hint="default" w:ascii="Times New Roman" w:hAnsi="Times New Roman" w:eastAsia="宋体" w:cs="Times New Roman"/>
                <w:b/>
                <w:bCs/>
                <w:color w:val="auto"/>
                <w:highlight w:val="none"/>
                <w:vertAlign w:val="baseline"/>
                <w:lang w:val="en-US" w:eastAsia="zh-CN"/>
              </w:rPr>
            </w:pPr>
            <w:r>
              <w:rPr>
                <w:rFonts w:hint="default" w:ascii="Times New Roman" w:hAnsi="Times New Roman" w:eastAsia="宋体" w:cs="Times New Roman"/>
                <w:b/>
                <w:bCs/>
                <w:color w:val="auto"/>
                <w:highlight w:val="none"/>
                <w:lang w:val="en-US" w:eastAsia="zh-CN"/>
              </w:rPr>
              <w:t>表4-</w:t>
            </w:r>
            <w:r>
              <w:rPr>
                <w:rFonts w:hint="default" w:ascii="Times New Roman" w:hAnsi="Times New Roman" w:cs="Times New Roman"/>
                <w:b/>
                <w:bCs/>
                <w:color w:val="auto"/>
                <w:highlight w:val="none"/>
                <w:lang w:val="en-US" w:eastAsia="zh-CN"/>
              </w:rPr>
              <w:t>7</w:t>
            </w:r>
            <w:r>
              <w:rPr>
                <w:rFonts w:hint="default" w:ascii="Times New Roman" w:hAnsi="Times New Roman" w:eastAsia="宋体" w:cs="Times New Roman"/>
                <w:b/>
                <w:bCs/>
                <w:color w:val="auto"/>
                <w:highlight w:val="none"/>
                <w:lang w:val="en-US" w:eastAsia="zh-CN"/>
              </w:rPr>
              <w:t>风险评价简单分析表</w:t>
            </w:r>
          </w:p>
          <w:tbl>
            <w:tblPr>
              <w:tblStyle w:val="24"/>
              <w:tblW w:w="794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0"/>
              <w:gridCol w:w="6716"/>
            </w:tblGrid>
            <w:tr w14:paraId="5B9B3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0" w:type="dxa"/>
                  <w:vAlign w:val="center"/>
                </w:tcPr>
                <w:p w14:paraId="5E46425B">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vertAlign w:val="baseline"/>
                      <w:lang w:val="en-US" w:eastAsia="zh-CN"/>
                    </w:rPr>
                  </w:pPr>
                  <w:r>
                    <w:rPr>
                      <w:rFonts w:hint="default" w:ascii="Times New Roman" w:hAnsi="Times New Roman" w:eastAsia="宋体" w:cs="Times New Roman"/>
                      <w:color w:val="auto"/>
                      <w:highlight w:val="none"/>
                      <w:vertAlign w:val="baseline"/>
                      <w:lang w:val="en-US" w:eastAsia="zh-CN"/>
                    </w:rPr>
                    <w:t>建设项目</w:t>
                  </w:r>
                </w:p>
              </w:tc>
              <w:tc>
                <w:tcPr>
                  <w:tcW w:w="6716" w:type="dxa"/>
                  <w:vAlign w:val="center"/>
                </w:tcPr>
                <w:p w14:paraId="2E5A0CB0">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vertAlign w:val="baseline"/>
                      <w:lang w:val="en-US" w:eastAsia="zh-CN"/>
                    </w:rPr>
                  </w:pPr>
                  <w:r>
                    <w:rPr>
                      <w:rFonts w:hint="eastAsia" w:cs="Times New Roman"/>
                      <w:color w:val="auto"/>
                      <w:highlight w:val="none"/>
                      <w:vertAlign w:val="baseline"/>
                      <w:lang w:val="en-US" w:eastAsia="zh-CN"/>
                    </w:rPr>
                    <w:t>鄂尔多斯市兴元胜业年处理25万吨煤系高岭土项目</w:t>
                  </w:r>
                </w:p>
              </w:tc>
            </w:tr>
            <w:tr w14:paraId="51BA2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0" w:type="dxa"/>
                  <w:vAlign w:val="center"/>
                </w:tcPr>
                <w:p w14:paraId="7CE682AE">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vertAlign w:val="baseline"/>
                      <w:lang w:val="en-US" w:eastAsia="zh-CN"/>
                    </w:rPr>
                  </w:pPr>
                  <w:r>
                    <w:rPr>
                      <w:rFonts w:hint="default" w:ascii="Times New Roman" w:hAnsi="Times New Roman" w:eastAsia="宋体" w:cs="Times New Roman"/>
                      <w:color w:val="auto"/>
                      <w:highlight w:val="none"/>
                      <w:vertAlign w:val="baseline"/>
                      <w:lang w:val="en-US" w:eastAsia="zh-CN"/>
                    </w:rPr>
                    <w:t>建设地点</w:t>
                  </w:r>
                </w:p>
              </w:tc>
              <w:tc>
                <w:tcPr>
                  <w:tcW w:w="6716" w:type="dxa"/>
                  <w:vAlign w:val="center"/>
                </w:tcPr>
                <w:p w14:paraId="7E5FC726">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vertAlign w:val="baseline"/>
                      <w:lang w:val="en-US" w:eastAsia="zh-CN"/>
                    </w:rPr>
                  </w:pPr>
                  <w:r>
                    <w:rPr>
                      <w:rFonts w:hint="default" w:ascii="Times New Roman" w:hAnsi="Times New Roman" w:eastAsia="宋体" w:cs="Times New Roman"/>
                      <w:color w:val="auto"/>
                      <w:highlight w:val="none"/>
                      <w:vertAlign w:val="baseline"/>
                      <w:lang w:val="en-US" w:eastAsia="zh-CN"/>
                    </w:rPr>
                    <w:t>内蒙古自治区鄂尔多斯市杭锦经济开发区新能源产业园</w:t>
                  </w:r>
                </w:p>
              </w:tc>
            </w:tr>
            <w:tr w14:paraId="5D4CC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1230" w:type="dxa"/>
                  <w:vAlign w:val="center"/>
                </w:tcPr>
                <w:p w14:paraId="473753C8">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vertAlign w:val="baseline"/>
                      <w:lang w:val="en-US" w:eastAsia="zh-CN"/>
                    </w:rPr>
                  </w:pPr>
                  <w:r>
                    <w:rPr>
                      <w:rFonts w:hint="default" w:ascii="Times New Roman" w:hAnsi="Times New Roman" w:eastAsia="宋体" w:cs="Times New Roman"/>
                      <w:color w:val="auto"/>
                      <w:highlight w:val="none"/>
                      <w:vertAlign w:val="baseline"/>
                      <w:lang w:val="en-US" w:eastAsia="zh-CN"/>
                    </w:rPr>
                    <w:t>主要危险物质分布</w:t>
                  </w:r>
                </w:p>
              </w:tc>
              <w:tc>
                <w:tcPr>
                  <w:tcW w:w="6716" w:type="dxa"/>
                  <w:vAlign w:val="center"/>
                </w:tcPr>
                <w:p w14:paraId="59FD6C28">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vertAlign w:val="baseline"/>
                      <w:lang w:val="en-US" w:eastAsia="zh-CN"/>
                    </w:rPr>
                  </w:pPr>
                  <w:r>
                    <w:rPr>
                      <w:rFonts w:hint="default" w:ascii="Times New Roman" w:hAnsi="Times New Roman" w:eastAsia="宋体" w:cs="Times New Roman"/>
                      <w:color w:val="auto"/>
                      <w:highlight w:val="none"/>
                      <w:vertAlign w:val="baseline"/>
                      <w:lang w:val="en-US" w:eastAsia="zh-CN"/>
                    </w:rPr>
                    <w:t>天然气管线、管道、阀门</w:t>
                  </w:r>
                  <w:r>
                    <w:rPr>
                      <w:rFonts w:hint="eastAsia" w:ascii="Times New Roman" w:hAnsi="Times New Roman" w:cs="Times New Roman"/>
                      <w:color w:val="auto"/>
                      <w:highlight w:val="none"/>
                      <w:vertAlign w:val="baseline"/>
                      <w:lang w:val="en-US" w:eastAsia="zh-CN"/>
                    </w:rPr>
                    <w:t>、危险废物暂存间、氨水储罐</w:t>
                  </w:r>
                </w:p>
              </w:tc>
            </w:tr>
            <w:tr w14:paraId="7DAD1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0" w:type="dxa"/>
                  <w:vAlign w:val="center"/>
                </w:tcPr>
                <w:p w14:paraId="0AE1998B">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vertAlign w:val="baseline"/>
                      <w:lang w:val="en-US" w:eastAsia="zh-CN"/>
                    </w:rPr>
                  </w:pPr>
                  <w:r>
                    <w:rPr>
                      <w:rFonts w:hint="default" w:ascii="Times New Roman" w:hAnsi="Times New Roman" w:eastAsia="宋体" w:cs="Times New Roman"/>
                      <w:color w:val="auto"/>
                      <w:highlight w:val="none"/>
                      <w:vertAlign w:val="baseline"/>
                      <w:lang w:val="en-US" w:eastAsia="zh-CN"/>
                    </w:rPr>
                    <w:t>环境影响途径</w:t>
                  </w:r>
                </w:p>
              </w:tc>
              <w:tc>
                <w:tcPr>
                  <w:tcW w:w="6716" w:type="dxa"/>
                  <w:vAlign w:val="center"/>
                </w:tcPr>
                <w:p w14:paraId="36EEDAC2">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vertAlign w:val="baseline"/>
                      <w:lang w:val="en-US" w:eastAsia="zh-CN"/>
                    </w:rPr>
                  </w:pPr>
                  <w:r>
                    <w:rPr>
                      <w:rFonts w:hint="default" w:ascii="Times New Roman" w:hAnsi="Times New Roman" w:eastAsia="宋体" w:cs="Times New Roman"/>
                      <w:color w:val="auto"/>
                      <w:highlight w:val="none"/>
                      <w:vertAlign w:val="baseline"/>
                      <w:lang w:val="en-US" w:eastAsia="zh-CN"/>
                    </w:rPr>
                    <w:t>竖窑发生爆炸、天然气泄露、</w:t>
                  </w:r>
                  <w:r>
                    <w:rPr>
                      <w:rFonts w:hint="default" w:ascii="Times New Roman" w:hAnsi="Times New Roman" w:cs="Times New Roman"/>
                      <w:color w:val="auto"/>
                      <w:highlight w:val="none"/>
                      <w:vertAlign w:val="baseline"/>
                      <w:lang w:val="en-US" w:eastAsia="zh-CN"/>
                    </w:rPr>
                    <w:t>氨水储罐泄露、</w:t>
                  </w:r>
                  <w:r>
                    <w:rPr>
                      <w:rFonts w:hint="eastAsia" w:ascii="Times New Roman" w:hAnsi="Times New Roman" w:cs="Times New Roman"/>
                      <w:color w:val="auto"/>
                      <w:highlight w:val="none"/>
                      <w:vertAlign w:val="baseline"/>
                      <w:lang w:val="en-US" w:eastAsia="zh-CN"/>
                    </w:rPr>
                    <w:t>危险废物暂存、</w:t>
                  </w:r>
                  <w:r>
                    <w:rPr>
                      <w:rFonts w:hint="default" w:ascii="Times New Roman" w:hAnsi="Times New Roman" w:eastAsia="宋体" w:cs="Times New Roman"/>
                      <w:color w:val="auto"/>
                      <w:highlight w:val="none"/>
                      <w:vertAlign w:val="baseline"/>
                      <w:lang w:val="en-US" w:eastAsia="zh-CN"/>
                    </w:rPr>
                    <w:t>火灾事故后废气中产生的CO、TSP对周围大气环境产生影响。</w:t>
                  </w:r>
                </w:p>
              </w:tc>
            </w:tr>
            <w:tr w14:paraId="5CB4C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0" w:type="dxa"/>
                  <w:vAlign w:val="center"/>
                </w:tcPr>
                <w:p w14:paraId="49EE6EA9">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vertAlign w:val="baseline"/>
                      <w:lang w:val="en-US" w:eastAsia="zh-CN"/>
                    </w:rPr>
                  </w:pPr>
                  <w:r>
                    <w:rPr>
                      <w:rFonts w:hint="default" w:ascii="Times New Roman" w:hAnsi="Times New Roman" w:eastAsia="宋体" w:cs="Times New Roman"/>
                      <w:color w:val="auto"/>
                      <w:highlight w:val="none"/>
                      <w:vertAlign w:val="baseline"/>
                      <w:lang w:val="en-US" w:eastAsia="zh-CN"/>
                    </w:rPr>
                    <w:t>风险防范措施</w:t>
                  </w:r>
                </w:p>
              </w:tc>
              <w:tc>
                <w:tcPr>
                  <w:tcW w:w="6716" w:type="dxa"/>
                  <w:vAlign w:val="center"/>
                </w:tcPr>
                <w:p w14:paraId="528DE261">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eastAsia="宋体" w:cs="Times New Roman"/>
                      <w:color w:val="auto"/>
                      <w:highlight w:val="none"/>
                      <w:vertAlign w:val="baseline"/>
                      <w:lang w:val="en-US" w:eastAsia="zh-CN"/>
                    </w:rPr>
                  </w:pPr>
                  <w:r>
                    <w:rPr>
                      <w:rFonts w:hint="default" w:ascii="Times New Roman" w:hAnsi="Times New Roman" w:cs="Times New Roman"/>
                      <w:color w:val="auto"/>
                      <w:highlight w:val="none"/>
                      <w:lang w:val="en-US" w:eastAsia="zh-CN"/>
                    </w:rPr>
                    <w:t>严格按照设计规范设计和建设管道的走向，并请专业的单位进行安装；在管道沿线设定一定的安全距离；对管线、管道、阀门等进行定期的巡查和检测，确保不发生泄漏等污染事故。</w:t>
                  </w:r>
                </w:p>
              </w:tc>
            </w:tr>
            <w:tr w14:paraId="50CD2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0" w:type="dxa"/>
                  <w:vAlign w:val="center"/>
                </w:tcPr>
                <w:p w14:paraId="1F03BC2F">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vertAlign w:val="baseline"/>
                      <w:lang w:val="en-US" w:eastAsia="zh-CN"/>
                    </w:rPr>
                  </w:pPr>
                  <w:r>
                    <w:rPr>
                      <w:rFonts w:hint="default" w:ascii="Times New Roman" w:hAnsi="Times New Roman" w:eastAsia="宋体" w:cs="Times New Roman"/>
                      <w:color w:val="auto"/>
                      <w:highlight w:val="none"/>
                      <w:vertAlign w:val="baseline"/>
                      <w:lang w:val="en-US" w:eastAsia="zh-CN"/>
                    </w:rPr>
                    <w:t>其他相关内容</w:t>
                  </w:r>
                </w:p>
              </w:tc>
              <w:tc>
                <w:tcPr>
                  <w:tcW w:w="6716" w:type="dxa"/>
                  <w:vAlign w:val="center"/>
                </w:tcPr>
                <w:p w14:paraId="48D77669">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本项目涉及风险物质主要为天然气、氨水。本项目厂内严禁明火、设置相关的安全防范标识，加强危险废物储存间巡查，发现问题及时处理。</w:t>
                  </w:r>
                </w:p>
                <w:p w14:paraId="228DD9BC">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定期巡检管线的方式预防和降低环境风险事故的发生。通过上述措施后，项目环境风险可控。</w:t>
                  </w:r>
                </w:p>
              </w:tc>
            </w:tr>
          </w:tbl>
          <w:p w14:paraId="2526267A">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5.4应急事故池设置</w:t>
            </w:r>
          </w:p>
          <w:p w14:paraId="71AC4FF6">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为了确保企业在事故状态下的各类废水不超标排放，评价建议设置应急事故池收集事故状态下的废水，参照《化工建设项目环境保护设计规范》（GB50483-2009）、《中国石油化工集团公司水体环境风险防控要点》（中石化案环〔2006〕10号文）中《水体污染防控紧急措施设计导则》进行事故排水储存事故池容量计算，事故储存设计总有效容积：</w:t>
            </w:r>
          </w:p>
          <w:p w14:paraId="1DEA715E">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V总=（V1+V2-V3）max+V4+V5</w:t>
            </w:r>
          </w:p>
          <w:p w14:paraId="1F3DB933">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V1——收集系统范围内发生事故的一个或一套装置的物料量。储存相同物料的按单个最大计，装置物料量按存留最大物料量的单个容器计，本项目天然气不进行存储，发生事故后气化，因此V1取0；</w:t>
            </w:r>
          </w:p>
          <w:p w14:paraId="2E19667C">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V2——发生事故的储罐装置的消防水量，m³；</w:t>
            </w:r>
          </w:p>
          <w:p w14:paraId="50E02AAD">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V2=∑Q消×t消=20L/s×60×15=24000L=24m³</w:t>
            </w:r>
          </w:p>
          <w:p w14:paraId="19A17C45">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Q消——发生事故的储罐或装置同时使用的消防设施给水流量，m³/h，根据GB50016-2012，消防废水流量为20L/s；</w:t>
            </w:r>
          </w:p>
          <w:p w14:paraId="5BDB7A5C">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t消——消防设施对应的设计消防历时，本项目取值15分钟；</w:t>
            </w:r>
          </w:p>
          <w:p w14:paraId="198AB8DE">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V3——发生事故时可以转输到其他储存或处理设施的物料量，m³，取0；</w:t>
            </w:r>
          </w:p>
          <w:p w14:paraId="1579375D">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（V1+V2-V3）max是指对收集系统范围内不同罐组或装置分别计算V1+V2-V3，取其中最大值。</w:t>
            </w:r>
          </w:p>
          <w:p w14:paraId="7F79D6B1">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V4——发生事故时仍必须进入该收集系统的生产废水量，本项目无生产废水进入收集系统，即V4取0；</w:t>
            </w:r>
          </w:p>
          <w:p w14:paraId="528625FE">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V5——发生事故时可能进入该收集系统的降雨量，m³；初期雨水量计算得本项目雨水收集量为319.95m³。</w:t>
            </w:r>
          </w:p>
          <w:p w14:paraId="41D0E504">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color w:val="auto"/>
                <w:highlight w:val="none"/>
                <w:lang w:val="en-US" w:eastAsia="zh-CN"/>
              </w:rPr>
              <w:t>通过上述计算，项目所需事故应急池的体积约为343.95m³，考虑1.2的安全系数，评价要求企业建设1座415m³事故池，并做防渗、防腐处理，满足本项目的需要。</w:t>
            </w:r>
          </w:p>
          <w:p w14:paraId="36BC4B4E">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6</w:t>
            </w:r>
            <w:r>
              <w:rPr>
                <w:rFonts w:hint="eastAsia" w:cs="Times New Roman"/>
                <w:b/>
                <w:bCs/>
                <w:color w:val="auto"/>
                <w:highlight w:val="none"/>
                <w:lang w:val="en-US" w:eastAsia="zh-CN"/>
              </w:rPr>
              <w:t>.</w:t>
            </w:r>
            <w:r>
              <w:rPr>
                <w:rFonts w:hint="default" w:ascii="Times New Roman" w:hAnsi="Times New Roman" w:cs="Times New Roman"/>
                <w:b/>
                <w:bCs/>
                <w:color w:val="auto"/>
                <w:highlight w:val="none"/>
                <w:lang w:val="en-US" w:eastAsia="zh-CN"/>
              </w:rPr>
              <w:t>“三同时”验收</w:t>
            </w:r>
            <w:bookmarkEnd w:id="2"/>
            <w:r>
              <w:rPr>
                <w:rFonts w:hint="default" w:ascii="Times New Roman" w:hAnsi="Times New Roman" w:cs="Times New Roman"/>
                <w:b/>
                <w:bCs/>
                <w:color w:val="auto"/>
                <w:highlight w:val="none"/>
                <w:lang w:val="en-US" w:eastAsia="zh-CN"/>
              </w:rPr>
              <w:t>监测项目</w:t>
            </w:r>
          </w:p>
          <w:p w14:paraId="5DDBC380">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本项目“三同时”验收见表4-8。</w:t>
            </w:r>
          </w:p>
          <w:p w14:paraId="67C93991">
            <w:pPr>
              <w:bidi w:val="0"/>
              <w:ind w:left="0" w:leftChars="0" w:firstLine="0" w:firstLineChars="0"/>
              <w:jc w:val="center"/>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表4-8项目竣工投产“三同时”验收一览表</w:t>
            </w:r>
          </w:p>
          <w:tbl>
            <w:tblPr>
              <w:tblStyle w:val="23"/>
              <w:tblW w:w="497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419"/>
              <w:gridCol w:w="697"/>
              <w:gridCol w:w="1080"/>
              <w:gridCol w:w="2154"/>
              <w:gridCol w:w="1224"/>
              <w:gridCol w:w="2323"/>
            </w:tblGrid>
            <w:tr w14:paraId="1143B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4" w:hRule="atLeast"/>
                <w:jc w:val="center"/>
              </w:trPr>
              <w:tc>
                <w:tcPr>
                  <w:tcW w:w="265" w:type="pct"/>
                  <w:tcBorders>
                    <w:bottom w:val="single" w:color="auto" w:sz="4" w:space="0"/>
                    <w:right w:val="single" w:color="auto" w:sz="4" w:space="0"/>
                  </w:tcBorders>
                  <w:noWrap w:val="0"/>
                  <w:vAlign w:val="center"/>
                </w:tcPr>
                <w:p w14:paraId="7BAC3845">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类别</w:t>
                  </w:r>
                </w:p>
              </w:tc>
              <w:tc>
                <w:tcPr>
                  <w:tcW w:w="441" w:type="pct"/>
                  <w:tcBorders>
                    <w:left w:val="single" w:color="auto" w:sz="4" w:space="0"/>
                    <w:bottom w:val="single" w:color="auto" w:sz="4" w:space="0"/>
                    <w:right w:val="single" w:color="auto" w:sz="4" w:space="0"/>
                  </w:tcBorders>
                  <w:noWrap w:val="0"/>
                  <w:vAlign w:val="center"/>
                </w:tcPr>
                <w:p w14:paraId="7E398C41">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污染源</w:t>
                  </w:r>
                </w:p>
              </w:tc>
              <w:tc>
                <w:tcPr>
                  <w:tcW w:w="683" w:type="pct"/>
                  <w:tcBorders>
                    <w:left w:val="single" w:color="auto" w:sz="4" w:space="0"/>
                    <w:bottom w:val="single" w:color="auto" w:sz="4" w:space="0"/>
                    <w:right w:val="single" w:color="auto" w:sz="4" w:space="0"/>
                  </w:tcBorders>
                  <w:noWrap w:val="0"/>
                  <w:vAlign w:val="center"/>
                </w:tcPr>
                <w:p w14:paraId="7681DA3B">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污染物</w:t>
                  </w:r>
                </w:p>
              </w:tc>
              <w:tc>
                <w:tcPr>
                  <w:tcW w:w="1363" w:type="pct"/>
                  <w:tcBorders>
                    <w:left w:val="single" w:color="auto" w:sz="4" w:space="0"/>
                    <w:bottom w:val="single" w:color="auto" w:sz="4" w:space="0"/>
                    <w:right w:val="single" w:color="auto" w:sz="4" w:space="0"/>
                  </w:tcBorders>
                  <w:noWrap w:val="0"/>
                  <w:vAlign w:val="center"/>
                </w:tcPr>
                <w:p w14:paraId="3C9E57F7">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治理措施</w:t>
                  </w:r>
                </w:p>
              </w:tc>
              <w:tc>
                <w:tcPr>
                  <w:tcW w:w="774" w:type="pct"/>
                  <w:tcBorders>
                    <w:left w:val="single" w:color="auto" w:sz="4" w:space="0"/>
                    <w:bottom w:val="single" w:color="auto" w:sz="4" w:space="0"/>
                    <w:right w:val="single" w:color="auto" w:sz="4" w:space="0"/>
                  </w:tcBorders>
                  <w:noWrap w:val="0"/>
                  <w:vAlign w:val="center"/>
                </w:tcPr>
                <w:p w14:paraId="2AB0286D">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预期效果</w:t>
                  </w:r>
                </w:p>
              </w:tc>
              <w:tc>
                <w:tcPr>
                  <w:tcW w:w="1470" w:type="pct"/>
                  <w:tcBorders>
                    <w:left w:val="single" w:color="auto" w:sz="4" w:space="0"/>
                    <w:bottom w:val="single" w:color="auto" w:sz="4" w:space="0"/>
                  </w:tcBorders>
                  <w:noWrap w:val="0"/>
                  <w:vAlign w:val="center"/>
                </w:tcPr>
                <w:p w14:paraId="73CCCD2B">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验收标准</w:t>
                  </w:r>
                </w:p>
              </w:tc>
            </w:tr>
            <w:tr w14:paraId="7928A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4" w:hRule="atLeast"/>
                <w:jc w:val="center"/>
              </w:trPr>
              <w:tc>
                <w:tcPr>
                  <w:tcW w:w="265" w:type="pct"/>
                  <w:vMerge w:val="restart"/>
                  <w:tcBorders>
                    <w:top w:val="single" w:color="auto" w:sz="4" w:space="0"/>
                    <w:right w:val="single" w:color="auto" w:sz="4" w:space="0"/>
                  </w:tcBorders>
                  <w:noWrap w:val="0"/>
                  <w:vAlign w:val="center"/>
                </w:tcPr>
                <w:p w14:paraId="6686E024">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废气</w:t>
                  </w:r>
                </w:p>
              </w:tc>
              <w:tc>
                <w:tcPr>
                  <w:tcW w:w="441" w:type="pct"/>
                  <w:tcBorders>
                    <w:top w:val="single" w:color="auto" w:sz="4" w:space="0"/>
                    <w:left w:val="single" w:color="auto" w:sz="4" w:space="0"/>
                    <w:bottom w:val="single" w:color="auto" w:sz="4" w:space="0"/>
                    <w:right w:val="single" w:color="auto" w:sz="4" w:space="0"/>
                  </w:tcBorders>
                  <w:noWrap w:val="0"/>
                  <w:vAlign w:val="center"/>
                </w:tcPr>
                <w:p w14:paraId="065B7D8B">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物料装卸废气、物料堆存废气（G1、G5、G2、G6）</w:t>
                  </w:r>
                </w:p>
              </w:tc>
              <w:tc>
                <w:tcPr>
                  <w:tcW w:w="683" w:type="pct"/>
                  <w:tcBorders>
                    <w:top w:val="single" w:color="auto" w:sz="4" w:space="0"/>
                    <w:left w:val="single" w:color="auto" w:sz="4" w:space="0"/>
                    <w:bottom w:val="single" w:color="auto" w:sz="4" w:space="0"/>
                    <w:right w:val="single" w:color="auto" w:sz="4" w:space="0"/>
                  </w:tcBorders>
                  <w:noWrap w:val="0"/>
                  <w:vAlign w:val="center"/>
                </w:tcPr>
                <w:p w14:paraId="7A3E2E8A">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无组织颗粒物</w:t>
                  </w:r>
                </w:p>
              </w:tc>
              <w:tc>
                <w:tcPr>
                  <w:tcW w:w="1363" w:type="pct"/>
                  <w:tcBorders>
                    <w:top w:val="single" w:color="auto" w:sz="4" w:space="0"/>
                    <w:left w:val="single" w:color="auto" w:sz="4" w:space="0"/>
                    <w:bottom w:val="single" w:color="auto" w:sz="4" w:space="0"/>
                    <w:right w:val="single" w:color="auto" w:sz="4" w:space="0"/>
                  </w:tcBorders>
                  <w:noWrap w:val="0"/>
                  <w:vAlign w:val="center"/>
                </w:tcPr>
                <w:p w14:paraId="3971E528">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全封闭生产车间+2套雾炮喷淋设施</w:t>
                  </w:r>
                </w:p>
              </w:tc>
              <w:tc>
                <w:tcPr>
                  <w:tcW w:w="774" w:type="pct"/>
                  <w:tcBorders>
                    <w:top w:val="single" w:color="auto" w:sz="4" w:space="0"/>
                    <w:left w:val="single" w:color="auto" w:sz="4" w:space="0"/>
                    <w:bottom w:val="single" w:color="auto" w:sz="4" w:space="0"/>
                    <w:right w:val="single" w:color="auto" w:sz="4" w:space="0"/>
                  </w:tcBorders>
                  <w:noWrap w:val="0"/>
                  <w:vAlign w:val="center"/>
                </w:tcPr>
                <w:p w14:paraId="69ADBFDB">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达标排放</w:t>
                  </w:r>
                </w:p>
              </w:tc>
              <w:tc>
                <w:tcPr>
                  <w:tcW w:w="1470" w:type="pct"/>
                  <w:tcBorders>
                    <w:top w:val="single" w:color="auto" w:sz="4" w:space="0"/>
                    <w:left w:val="single" w:color="auto" w:sz="4" w:space="0"/>
                    <w:bottom w:val="single" w:color="auto" w:sz="4" w:space="0"/>
                  </w:tcBorders>
                  <w:noWrap w:val="0"/>
                  <w:vAlign w:val="center"/>
                </w:tcPr>
                <w:p w14:paraId="09E2E5FE">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both"/>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满足《大气污染物综合排放标准》（GB16297-1996）表2中无组织排放监控浓度限值</w:t>
                  </w:r>
                </w:p>
              </w:tc>
            </w:tr>
            <w:tr w14:paraId="2E239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265" w:type="pct"/>
                  <w:vMerge w:val="continue"/>
                  <w:tcBorders>
                    <w:right w:val="single" w:color="auto" w:sz="4" w:space="0"/>
                  </w:tcBorders>
                  <w:noWrap w:val="0"/>
                  <w:vAlign w:val="center"/>
                </w:tcPr>
                <w:p w14:paraId="2B926D8C">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p>
              </w:tc>
              <w:tc>
                <w:tcPr>
                  <w:tcW w:w="441" w:type="pct"/>
                  <w:vMerge w:val="restart"/>
                  <w:tcBorders>
                    <w:top w:val="single" w:color="auto" w:sz="4" w:space="0"/>
                    <w:left w:val="single" w:color="auto" w:sz="4" w:space="0"/>
                    <w:right w:val="single" w:color="auto" w:sz="4" w:space="0"/>
                  </w:tcBorders>
                  <w:noWrap w:val="0"/>
                  <w:vAlign w:val="center"/>
                </w:tcPr>
                <w:p w14:paraId="5C1EB59C">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筛分废气（G3）</w:t>
                  </w:r>
                </w:p>
              </w:tc>
              <w:tc>
                <w:tcPr>
                  <w:tcW w:w="683" w:type="pct"/>
                  <w:tcBorders>
                    <w:top w:val="single" w:color="auto" w:sz="4" w:space="0"/>
                    <w:left w:val="single" w:color="auto" w:sz="4" w:space="0"/>
                    <w:bottom w:val="single" w:color="auto" w:sz="4" w:space="0"/>
                    <w:right w:val="single" w:color="auto" w:sz="4" w:space="0"/>
                  </w:tcBorders>
                  <w:noWrap w:val="0"/>
                  <w:vAlign w:val="center"/>
                </w:tcPr>
                <w:p w14:paraId="02B6F5D8">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有组织颗粒物</w:t>
                  </w:r>
                </w:p>
              </w:tc>
              <w:tc>
                <w:tcPr>
                  <w:tcW w:w="1363" w:type="pct"/>
                  <w:tcBorders>
                    <w:top w:val="single" w:color="auto" w:sz="4" w:space="0"/>
                    <w:left w:val="single" w:color="auto" w:sz="4" w:space="0"/>
                    <w:bottom w:val="single" w:color="auto" w:sz="4" w:space="0"/>
                    <w:right w:val="single" w:color="auto" w:sz="4" w:space="0"/>
                  </w:tcBorders>
                  <w:noWrap w:val="0"/>
                  <w:vAlign w:val="center"/>
                </w:tcPr>
                <w:p w14:paraId="413F6132">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集气罩1个（集气效率90%）+袋式除尘器1个（除尘效率99%）+一根15m高排气筒排放（DA001）</w:t>
                  </w:r>
                </w:p>
              </w:tc>
              <w:tc>
                <w:tcPr>
                  <w:tcW w:w="774" w:type="pct"/>
                  <w:tcBorders>
                    <w:top w:val="single" w:color="auto" w:sz="4" w:space="0"/>
                    <w:left w:val="single" w:color="auto" w:sz="4" w:space="0"/>
                    <w:bottom w:val="single" w:color="auto" w:sz="4" w:space="0"/>
                    <w:right w:val="single" w:color="auto" w:sz="4" w:space="0"/>
                  </w:tcBorders>
                  <w:noWrap w:val="0"/>
                  <w:vAlign w:val="center"/>
                </w:tcPr>
                <w:p w14:paraId="4FDC1C58">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达标排放</w:t>
                  </w:r>
                </w:p>
              </w:tc>
              <w:tc>
                <w:tcPr>
                  <w:tcW w:w="1470" w:type="pct"/>
                  <w:tcBorders>
                    <w:top w:val="single" w:color="auto" w:sz="4" w:space="0"/>
                    <w:left w:val="single" w:color="auto" w:sz="4" w:space="0"/>
                    <w:bottom w:val="single" w:color="auto" w:sz="4" w:space="0"/>
                  </w:tcBorders>
                  <w:noWrap w:val="0"/>
                  <w:vAlign w:val="center"/>
                </w:tcPr>
                <w:p w14:paraId="6398A03C">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both"/>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满足《大气污染物综合排放标准》（GB16297-1996）表2中二级标准</w:t>
                  </w:r>
                </w:p>
              </w:tc>
            </w:tr>
            <w:tr w14:paraId="3CCF1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265" w:type="pct"/>
                  <w:vMerge w:val="continue"/>
                  <w:tcBorders>
                    <w:right w:val="single" w:color="auto" w:sz="4" w:space="0"/>
                  </w:tcBorders>
                  <w:noWrap w:val="0"/>
                  <w:vAlign w:val="center"/>
                </w:tcPr>
                <w:p w14:paraId="383253EE">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p>
              </w:tc>
              <w:tc>
                <w:tcPr>
                  <w:tcW w:w="441" w:type="pct"/>
                  <w:vMerge w:val="continue"/>
                  <w:tcBorders>
                    <w:left w:val="single" w:color="auto" w:sz="4" w:space="0"/>
                    <w:bottom w:val="single" w:color="auto" w:sz="4" w:space="0"/>
                    <w:right w:val="single" w:color="auto" w:sz="4" w:space="0"/>
                  </w:tcBorders>
                  <w:noWrap w:val="0"/>
                  <w:vAlign w:val="center"/>
                </w:tcPr>
                <w:p w14:paraId="698B16DA">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p>
              </w:tc>
              <w:tc>
                <w:tcPr>
                  <w:tcW w:w="683" w:type="pct"/>
                  <w:tcBorders>
                    <w:top w:val="single" w:color="auto" w:sz="4" w:space="0"/>
                    <w:left w:val="single" w:color="auto" w:sz="4" w:space="0"/>
                    <w:bottom w:val="single" w:color="auto" w:sz="4" w:space="0"/>
                    <w:right w:val="single" w:color="auto" w:sz="4" w:space="0"/>
                  </w:tcBorders>
                  <w:noWrap w:val="0"/>
                  <w:vAlign w:val="center"/>
                </w:tcPr>
                <w:p w14:paraId="6FCC81E7">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无组织颗粒物</w:t>
                  </w:r>
                </w:p>
              </w:tc>
              <w:tc>
                <w:tcPr>
                  <w:tcW w:w="1363" w:type="pct"/>
                  <w:tcBorders>
                    <w:top w:val="single" w:color="auto" w:sz="4" w:space="0"/>
                    <w:left w:val="single" w:color="auto" w:sz="4" w:space="0"/>
                    <w:bottom w:val="single" w:color="auto" w:sz="4" w:space="0"/>
                    <w:right w:val="single" w:color="auto" w:sz="4" w:space="0"/>
                  </w:tcBorders>
                  <w:noWrap w:val="0"/>
                  <w:vAlign w:val="center"/>
                </w:tcPr>
                <w:p w14:paraId="2C346FD3">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全封闭车间</w:t>
                  </w:r>
                </w:p>
              </w:tc>
              <w:tc>
                <w:tcPr>
                  <w:tcW w:w="774" w:type="pct"/>
                  <w:tcBorders>
                    <w:top w:val="single" w:color="auto" w:sz="4" w:space="0"/>
                    <w:left w:val="single" w:color="auto" w:sz="4" w:space="0"/>
                    <w:bottom w:val="single" w:color="auto" w:sz="4" w:space="0"/>
                    <w:right w:val="single" w:color="auto" w:sz="4" w:space="0"/>
                  </w:tcBorders>
                  <w:noWrap w:val="0"/>
                  <w:vAlign w:val="center"/>
                </w:tcPr>
                <w:p w14:paraId="7C42B54C">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达标排放</w:t>
                  </w:r>
                </w:p>
              </w:tc>
              <w:tc>
                <w:tcPr>
                  <w:tcW w:w="1470" w:type="pct"/>
                  <w:tcBorders>
                    <w:top w:val="single" w:color="auto" w:sz="4" w:space="0"/>
                    <w:left w:val="single" w:color="auto" w:sz="4" w:space="0"/>
                    <w:bottom w:val="single" w:color="auto" w:sz="4" w:space="0"/>
                  </w:tcBorders>
                  <w:noWrap w:val="0"/>
                  <w:vAlign w:val="center"/>
                </w:tcPr>
                <w:p w14:paraId="38C56560">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both"/>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满足《大气污染物综合排放标准》（GB16297-1996）表2中无组织排放监控浓度限值</w:t>
                  </w:r>
                </w:p>
              </w:tc>
            </w:tr>
            <w:tr w14:paraId="7ED9B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04" w:hRule="atLeast"/>
                <w:jc w:val="center"/>
              </w:trPr>
              <w:tc>
                <w:tcPr>
                  <w:tcW w:w="265" w:type="pct"/>
                  <w:vMerge w:val="continue"/>
                  <w:tcBorders>
                    <w:right w:val="single" w:color="auto" w:sz="4" w:space="0"/>
                  </w:tcBorders>
                  <w:noWrap w:val="0"/>
                  <w:vAlign w:val="center"/>
                </w:tcPr>
                <w:p w14:paraId="01D02B06">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p>
              </w:tc>
              <w:tc>
                <w:tcPr>
                  <w:tcW w:w="441" w:type="pct"/>
                  <w:tcBorders>
                    <w:top w:val="single" w:color="auto" w:sz="4" w:space="0"/>
                    <w:left w:val="single" w:color="auto" w:sz="4" w:space="0"/>
                    <w:bottom w:val="single" w:color="auto" w:sz="4" w:space="0"/>
                    <w:right w:val="single" w:color="auto" w:sz="4" w:space="0"/>
                  </w:tcBorders>
                  <w:noWrap w:val="0"/>
                  <w:vAlign w:val="center"/>
                </w:tcPr>
                <w:p w14:paraId="2C8B01F2">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天然气燃烧废气及物料煅烧废气G4</w:t>
                  </w:r>
                </w:p>
              </w:tc>
              <w:tc>
                <w:tcPr>
                  <w:tcW w:w="683" w:type="pct"/>
                  <w:tcBorders>
                    <w:top w:val="single" w:color="auto" w:sz="4" w:space="0"/>
                    <w:left w:val="single" w:color="auto" w:sz="4" w:space="0"/>
                    <w:bottom w:val="single" w:color="auto" w:sz="4" w:space="0"/>
                    <w:right w:val="single" w:color="auto" w:sz="4" w:space="0"/>
                  </w:tcBorders>
                  <w:noWrap w:val="0"/>
                  <w:vAlign w:val="center"/>
                </w:tcPr>
                <w:p w14:paraId="259EFD33">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颗粒物、SO</w:t>
                  </w:r>
                  <w:r>
                    <w:rPr>
                      <w:rFonts w:hint="default" w:ascii="Times New Roman" w:hAnsi="Times New Roman" w:cs="Times New Roman"/>
                      <w:color w:val="auto"/>
                      <w:highlight w:val="none"/>
                      <w:vertAlign w:val="subscript"/>
                      <w:lang w:val="en-US" w:eastAsia="zh-CN"/>
                    </w:rPr>
                    <w:t>2</w:t>
                  </w:r>
                  <w:r>
                    <w:rPr>
                      <w:rFonts w:hint="default" w:ascii="Times New Roman" w:hAnsi="Times New Roman" w:cs="Times New Roman"/>
                      <w:color w:val="auto"/>
                      <w:highlight w:val="none"/>
                      <w:vertAlign w:val="baseline"/>
                      <w:lang w:val="en-US" w:eastAsia="zh-CN"/>
                    </w:rPr>
                    <w:t>、NOx</w:t>
                  </w:r>
                </w:p>
              </w:tc>
              <w:tc>
                <w:tcPr>
                  <w:tcW w:w="1363" w:type="pct"/>
                  <w:tcBorders>
                    <w:top w:val="single" w:color="auto" w:sz="4" w:space="0"/>
                    <w:left w:val="single" w:color="auto" w:sz="4" w:space="0"/>
                    <w:bottom w:val="single" w:color="auto" w:sz="4" w:space="0"/>
                    <w:right w:val="single" w:color="auto" w:sz="4" w:space="0"/>
                  </w:tcBorders>
                  <w:noWrap w:val="0"/>
                  <w:vAlign w:val="center"/>
                </w:tcPr>
                <w:p w14:paraId="49E7F767">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both"/>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采用SNCR脱硝+SCR脱硝+袋式除尘+石灰石-石膏法脱硫+双碱法脱硫+37m高（DA002）排气筒排放</w:t>
                  </w:r>
                </w:p>
              </w:tc>
              <w:tc>
                <w:tcPr>
                  <w:tcW w:w="774" w:type="pct"/>
                  <w:tcBorders>
                    <w:top w:val="single" w:color="auto" w:sz="4" w:space="0"/>
                    <w:left w:val="single" w:color="auto" w:sz="4" w:space="0"/>
                    <w:bottom w:val="single" w:color="auto" w:sz="4" w:space="0"/>
                    <w:right w:val="single" w:color="auto" w:sz="4" w:space="0"/>
                  </w:tcBorders>
                  <w:noWrap w:val="0"/>
                  <w:vAlign w:val="center"/>
                </w:tcPr>
                <w:p w14:paraId="03AD8617">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达标排放</w:t>
                  </w:r>
                </w:p>
              </w:tc>
              <w:tc>
                <w:tcPr>
                  <w:tcW w:w="1470" w:type="pct"/>
                  <w:tcBorders>
                    <w:top w:val="single" w:color="auto" w:sz="4" w:space="0"/>
                    <w:left w:val="single" w:color="auto" w:sz="4" w:space="0"/>
                    <w:bottom w:val="single" w:color="auto" w:sz="4" w:space="0"/>
                  </w:tcBorders>
                  <w:noWrap w:val="0"/>
                  <w:vAlign w:val="center"/>
                </w:tcPr>
                <w:p w14:paraId="2F86A6C3">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both"/>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烟（粉）尘满足《工业炉窑大气污染物排放标准》（GB9078-1996）二级标准；SO</w:t>
                  </w:r>
                  <w:r>
                    <w:rPr>
                      <w:rFonts w:hint="default" w:ascii="Times New Roman" w:hAnsi="Times New Roman" w:cs="Times New Roman"/>
                      <w:color w:val="auto"/>
                      <w:highlight w:val="none"/>
                      <w:vertAlign w:val="subscript"/>
                      <w:lang w:val="en-US" w:eastAsia="zh-CN"/>
                    </w:rPr>
                    <w:t>2</w:t>
                  </w:r>
                  <w:r>
                    <w:rPr>
                      <w:rFonts w:hint="default" w:ascii="Times New Roman" w:hAnsi="Times New Roman" w:cs="Times New Roman"/>
                      <w:color w:val="auto"/>
                      <w:highlight w:val="none"/>
                      <w:vertAlign w:val="baseline"/>
                      <w:lang w:val="en-US" w:eastAsia="zh-CN"/>
                    </w:rPr>
                    <w:t>、</w:t>
                  </w:r>
                  <w:r>
                    <w:rPr>
                      <w:rFonts w:hint="default" w:ascii="Times New Roman" w:hAnsi="Times New Roman" w:cs="Times New Roman"/>
                      <w:color w:val="auto"/>
                      <w:highlight w:val="none"/>
                      <w:lang w:val="en-US" w:eastAsia="zh-CN"/>
                    </w:rPr>
                    <w:t>NOx满足《大气污染物综合排放标准》（GB16297-1996）表2中二级标准</w:t>
                  </w:r>
                </w:p>
              </w:tc>
            </w:tr>
            <w:tr w14:paraId="6D1CA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0" w:hRule="atLeast"/>
                <w:jc w:val="center"/>
              </w:trPr>
              <w:tc>
                <w:tcPr>
                  <w:tcW w:w="265" w:type="pct"/>
                  <w:vMerge w:val="restart"/>
                  <w:tcBorders>
                    <w:top w:val="single" w:color="auto" w:sz="4" w:space="0"/>
                    <w:right w:val="single" w:color="auto" w:sz="4" w:space="0"/>
                  </w:tcBorders>
                  <w:noWrap w:val="0"/>
                  <w:vAlign w:val="center"/>
                </w:tcPr>
                <w:p w14:paraId="4B8A2CBC">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废水</w:t>
                  </w:r>
                </w:p>
              </w:tc>
              <w:tc>
                <w:tcPr>
                  <w:tcW w:w="1125" w:type="pct"/>
                  <w:gridSpan w:val="2"/>
                  <w:tcBorders>
                    <w:top w:val="single" w:color="auto" w:sz="4" w:space="0"/>
                    <w:left w:val="single" w:color="auto" w:sz="4" w:space="0"/>
                    <w:right w:val="single" w:color="auto" w:sz="4" w:space="0"/>
                  </w:tcBorders>
                  <w:noWrap w:val="0"/>
                  <w:vAlign w:val="center"/>
                </w:tcPr>
                <w:p w14:paraId="22143628">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生产废水</w:t>
                  </w:r>
                </w:p>
              </w:tc>
              <w:tc>
                <w:tcPr>
                  <w:tcW w:w="3609" w:type="pct"/>
                  <w:gridSpan w:val="3"/>
                  <w:tcBorders>
                    <w:top w:val="single" w:color="auto" w:sz="4" w:space="0"/>
                    <w:left w:val="single" w:color="auto" w:sz="4" w:space="0"/>
                    <w:bottom w:val="single" w:color="auto" w:sz="4" w:space="0"/>
                  </w:tcBorders>
                  <w:noWrap w:val="0"/>
                  <w:vAlign w:val="center"/>
                </w:tcPr>
                <w:p w14:paraId="7E60A2C8">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both"/>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①降尘喷淋水：生产车间设置2台雾炮，用于洒水降尘，全部损耗，不回收；</w:t>
                  </w:r>
                </w:p>
                <w:p w14:paraId="2F4FBE32">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both"/>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②脱硫废水经循环水池用于脱硫塔循环补水，不外排。</w:t>
                  </w:r>
                </w:p>
                <w:p w14:paraId="24F22593">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both"/>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③初期雨水：初期雨水经390m³的初期雨水收集沉淀后，用于堆场内洒水抑尘。</w:t>
                  </w:r>
                </w:p>
                <w:p w14:paraId="49EA705A">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both"/>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④事故废水：本项目新建415m³事故池，用于事故废水的存放，与园区事故废水池联通，确保事故状态下废水不进入外环境。</w:t>
                  </w:r>
                </w:p>
              </w:tc>
            </w:tr>
            <w:tr w14:paraId="07514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265" w:type="pct"/>
                  <w:vMerge w:val="continue"/>
                  <w:tcBorders>
                    <w:bottom w:val="single" w:color="auto" w:sz="4" w:space="0"/>
                    <w:right w:val="single" w:color="auto" w:sz="4" w:space="0"/>
                  </w:tcBorders>
                  <w:noWrap w:val="0"/>
                  <w:vAlign w:val="center"/>
                </w:tcPr>
                <w:p w14:paraId="5881C134">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p>
              </w:tc>
              <w:tc>
                <w:tcPr>
                  <w:tcW w:w="1125" w:type="pct"/>
                  <w:gridSpan w:val="2"/>
                  <w:tcBorders>
                    <w:top w:val="single" w:color="auto" w:sz="4" w:space="0"/>
                    <w:left w:val="single" w:color="auto" w:sz="4" w:space="0"/>
                    <w:bottom w:val="single" w:color="auto" w:sz="4" w:space="0"/>
                    <w:right w:val="single" w:color="auto" w:sz="4" w:space="0"/>
                  </w:tcBorders>
                  <w:noWrap w:val="0"/>
                  <w:vAlign w:val="center"/>
                </w:tcPr>
                <w:p w14:paraId="5FAA0420">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生活污水</w:t>
                  </w:r>
                </w:p>
              </w:tc>
              <w:tc>
                <w:tcPr>
                  <w:tcW w:w="3609" w:type="pct"/>
                  <w:gridSpan w:val="3"/>
                  <w:tcBorders>
                    <w:top w:val="single" w:color="auto" w:sz="4" w:space="0"/>
                    <w:left w:val="single" w:color="auto" w:sz="4" w:space="0"/>
                    <w:bottom w:val="single" w:color="auto" w:sz="4" w:space="0"/>
                  </w:tcBorders>
                  <w:noWrap w:val="0"/>
                  <w:vAlign w:val="center"/>
                </w:tcPr>
                <w:p w14:paraId="725325D7">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both"/>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本项目产生的生活污水由厂区内新建化粪池（10m³）集中收集后，最终排入园区内污水处理厂处理。</w:t>
                  </w:r>
                </w:p>
              </w:tc>
            </w:tr>
            <w:tr w14:paraId="3F83C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265" w:type="pct"/>
                  <w:tcBorders>
                    <w:top w:val="single" w:color="auto" w:sz="4" w:space="0"/>
                    <w:right w:val="single" w:color="auto" w:sz="4" w:space="0"/>
                  </w:tcBorders>
                  <w:noWrap w:val="0"/>
                  <w:vAlign w:val="center"/>
                </w:tcPr>
                <w:p w14:paraId="565B7FA1">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固废</w:t>
                  </w:r>
                </w:p>
              </w:tc>
              <w:tc>
                <w:tcPr>
                  <w:tcW w:w="4734" w:type="pct"/>
                  <w:gridSpan w:val="5"/>
                  <w:tcBorders>
                    <w:top w:val="single" w:color="auto" w:sz="4" w:space="0"/>
                    <w:left w:val="single" w:color="auto" w:sz="4" w:space="0"/>
                    <w:bottom w:val="single" w:color="auto" w:sz="4" w:space="0"/>
                  </w:tcBorders>
                  <w:noWrap w:val="0"/>
                  <w:vAlign w:val="center"/>
                </w:tcPr>
                <w:p w14:paraId="6F23D948">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both"/>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①不可利用煤系高岭土：直接外售周边建材市场进行综合利用。</w:t>
                  </w:r>
                </w:p>
                <w:p w14:paraId="1A3B1196">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both"/>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②废脱硫石膏：暂存于一般固废暂存间内，定期拉运至园区一般固废填埋场进行填埋处理。</w:t>
                  </w:r>
                </w:p>
                <w:p w14:paraId="236AF5E2">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both"/>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③除尘灰：暂存于一般固废暂存间内，定期拉运至园区一般固废填埋场进行填埋处理。</w:t>
                  </w:r>
                </w:p>
                <w:p w14:paraId="0F9C2529">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default" w:ascii="Times New Roman" w:hAnsi="Times New Roman" w:cs="Times New Roman"/>
                      <w:color w:val="auto"/>
                      <w:kern w:val="2"/>
                      <w:sz w:val="21"/>
                      <w:szCs w:val="21"/>
                      <w:highlight w:val="none"/>
                      <w:vertAlign w:val="baseline"/>
                      <w:lang w:val="en-US" w:eastAsia="zh-CN" w:bidi="ar-SA"/>
                    </w:rPr>
                    <w:t>④废催化剂：本项目产生的废催化剂属于危险废物（HW50，772-007-50）暂存于危险废物暂存间内，定期交由有资质单位进行处置。</w:t>
                  </w:r>
                </w:p>
                <w:p w14:paraId="556B9AC7">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both"/>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kern w:val="2"/>
                      <w:sz w:val="21"/>
                      <w:szCs w:val="21"/>
                      <w:highlight w:val="none"/>
                      <w:vertAlign w:val="baseline"/>
                      <w:lang w:val="en-US" w:eastAsia="zh-CN" w:bidi="ar-SA"/>
                    </w:rPr>
                    <w:t>⑤</w:t>
                  </w:r>
                  <w:r>
                    <w:rPr>
                      <w:rFonts w:hint="default" w:ascii="Times New Roman" w:hAnsi="Times New Roman" w:cs="Times New Roman"/>
                      <w:color w:val="auto"/>
                      <w:highlight w:val="none"/>
                      <w:lang w:val="en-US" w:eastAsia="zh-CN"/>
                    </w:rPr>
                    <w:t>生活垃圾：厂区内设置2个垃圾桶，统一收集后，定期交由当地环卫部门清运。</w:t>
                  </w:r>
                </w:p>
              </w:tc>
            </w:tr>
            <w:tr w14:paraId="76B7A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68" w:hRule="atLeast"/>
                <w:jc w:val="center"/>
              </w:trPr>
              <w:tc>
                <w:tcPr>
                  <w:tcW w:w="265" w:type="pct"/>
                  <w:tcBorders>
                    <w:top w:val="single" w:color="auto" w:sz="4" w:space="0"/>
                    <w:bottom w:val="single" w:color="auto" w:sz="4" w:space="0"/>
                    <w:right w:val="single" w:color="auto" w:sz="4" w:space="0"/>
                  </w:tcBorders>
                  <w:noWrap w:val="0"/>
                  <w:vAlign w:val="center"/>
                </w:tcPr>
                <w:p w14:paraId="2672C27A">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噪声</w:t>
                  </w:r>
                </w:p>
              </w:tc>
              <w:tc>
                <w:tcPr>
                  <w:tcW w:w="2488" w:type="pct"/>
                  <w:gridSpan w:val="3"/>
                  <w:tcBorders>
                    <w:top w:val="single" w:color="auto" w:sz="4" w:space="0"/>
                    <w:left w:val="single" w:color="auto" w:sz="4" w:space="0"/>
                    <w:bottom w:val="single" w:color="auto" w:sz="4" w:space="0"/>
                    <w:right w:val="single" w:color="auto" w:sz="4" w:space="0"/>
                  </w:tcBorders>
                  <w:noWrap w:val="0"/>
                  <w:vAlign w:val="center"/>
                </w:tcPr>
                <w:p w14:paraId="64893568">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设备噪声室内、设备基础减震</w:t>
                  </w:r>
                </w:p>
              </w:tc>
              <w:tc>
                <w:tcPr>
                  <w:tcW w:w="774" w:type="pct"/>
                  <w:tcBorders>
                    <w:top w:val="single" w:color="auto" w:sz="4" w:space="0"/>
                    <w:left w:val="single" w:color="auto" w:sz="4" w:space="0"/>
                    <w:bottom w:val="single" w:color="auto" w:sz="4" w:space="0"/>
                    <w:right w:val="single" w:color="auto" w:sz="4" w:space="0"/>
                  </w:tcBorders>
                  <w:noWrap w:val="0"/>
                  <w:vAlign w:val="center"/>
                </w:tcPr>
                <w:p w14:paraId="76678BD0">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达标排放</w:t>
                  </w:r>
                </w:p>
              </w:tc>
              <w:tc>
                <w:tcPr>
                  <w:tcW w:w="1470" w:type="pct"/>
                  <w:tcBorders>
                    <w:top w:val="single" w:color="auto" w:sz="4" w:space="0"/>
                    <w:left w:val="single" w:color="auto" w:sz="4" w:space="0"/>
                    <w:bottom w:val="single" w:color="auto" w:sz="4" w:space="0"/>
                  </w:tcBorders>
                  <w:noWrap w:val="0"/>
                  <w:vAlign w:val="center"/>
                </w:tcPr>
                <w:p w14:paraId="71A5CA02">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厂界满足（GB12348-2008）3类标准限值</w:t>
                  </w:r>
                </w:p>
              </w:tc>
            </w:tr>
            <w:tr w14:paraId="407C1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68" w:hRule="atLeast"/>
                <w:jc w:val="center"/>
              </w:trPr>
              <w:tc>
                <w:tcPr>
                  <w:tcW w:w="265" w:type="pct"/>
                  <w:tcBorders>
                    <w:top w:val="single" w:color="auto" w:sz="4" w:space="0"/>
                    <w:bottom w:val="single" w:color="auto" w:sz="4" w:space="0"/>
                    <w:right w:val="single" w:color="auto" w:sz="4" w:space="0"/>
                  </w:tcBorders>
                  <w:noWrap w:val="0"/>
                  <w:vAlign w:val="center"/>
                </w:tcPr>
                <w:p w14:paraId="38F8836C">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防渗处理</w:t>
                  </w:r>
                </w:p>
              </w:tc>
              <w:tc>
                <w:tcPr>
                  <w:tcW w:w="4734" w:type="pct"/>
                  <w:gridSpan w:val="5"/>
                  <w:tcBorders>
                    <w:top w:val="single" w:color="auto" w:sz="4" w:space="0"/>
                    <w:left w:val="single" w:color="auto" w:sz="4" w:space="0"/>
                    <w:bottom w:val="single" w:color="auto" w:sz="4" w:space="0"/>
                  </w:tcBorders>
                  <w:noWrap w:val="0"/>
                  <w:vAlign w:val="center"/>
                </w:tcPr>
                <w:p w14:paraId="4C05825E">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default" w:ascii="Times New Roman" w:hAnsi="Times New Roman" w:cs="Times New Roman"/>
                      <w:color w:val="auto"/>
                      <w:kern w:val="2"/>
                      <w:sz w:val="21"/>
                      <w:szCs w:val="21"/>
                      <w:highlight w:val="none"/>
                      <w:vertAlign w:val="baseline"/>
                      <w:lang w:val="en-US" w:eastAsia="zh-CN" w:bidi="ar-SA"/>
                    </w:rPr>
                    <w:t>本项目实行分区防渗，全封闭生产车间及运输道路进行简单防渗处理；对脱硫循环水池、事故池、初期雨水收集池进行一般防渗处理；危险废物暂存间采用重点防渗；具体防渗措施如下：</w:t>
                  </w:r>
                </w:p>
                <w:p w14:paraId="3910E603">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default" w:ascii="Times New Roman" w:hAnsi="Times New Roman" w:cs="Times New Roman"/>
                      <w:color w:val="auto"/>
                      <w:kern w:val="2"/>
                      <w:sz w:val="21"/>
                      <w:szCs w:val="21"/>
                      <w:highlight w:val="none"/>
                      <w:vertAlign w:val="baseline"/>
                      <w:lang w:val="en-US" w:eastAsia="zh-CN" w:bidi="ar-SA"/>
                    </w:rPr>
                    <w:t>简单防渗：进行水泥地面硬化。</w:t>
                  </w:r>
                </w:p>
                <w:p w14:paraId="50181CE2">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default" w:ascii="Times New Roman" w:hAnsi="Times New Roman" w:cs="Times New Roman"/>
                      <w:color w:val="auto"/>
                      <w:kern w:val="2"/>
                      <w:sz w:val="21"/>
                      <w:szCs w:val="21"/>
                      <w:highlight w:val="none"/>
                      <w:vertAlign w:val="baseline"/>
                      <w:lang w:val="en-US" w:eastAsia="zh-CN" w:bidi="ar-SA"/>
                    </w:rPr>
                    <w:t>一般防渗：要求防渗性能等效粘土防渗层Mb≥1.5m，K≤1×10</w:t>
                  </w:r>
                  <w:r>
                    <w:rPr>
                      <w:rFonts w:hint="default" w:ascii="Times New Roman" w:hAnsi="Times New Roman" w:cs="Times New Roman"/>
                      <w:color w:val="auto"/>
                      <w:kern w:val="2"/>
                      <w:sz w:val="21"/>
                      <w:szCs w:val="21"/>
                      <w:highlight w:val="none"/>
                      <w:vertAlign w:val="superscript"/>
                      <w:lang w:val="en-US" w:eastAsia="zh-CN" w:bidi="ar-SA"/>
                    </w:rPr>
                    <w:t>-7</w:t>
                  </w:r>
                  <w:r>
                    <w:rPr>
                      <w:rFonts w:hint="default" w:ascii="Times New Roman" w:hAnsi="Times New Roman" w:cs="Times New Roman"/>
                      <w:color w:val="auto"/>
                      <w:kern w:val="2"/>
                      <w:sz w:val="21"/>
                      <w:szCs w:val="21"/>
                      <w:highlight w:val="none"/>
                      <w:vertAlign w:val="baseline"/>
                      <w:lang w:val="en-US" w:eastAsia="zh-CN" w:bidi="ar-SA"/>
                    </w:rPr>
                    <w:t>cm/s，经过防渗处理后可防止系统内废水流向地下水环境。</w:t>
                  </w:r>
                </w:p>
                <w:p w14:paraId="42863E02">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both"/>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kern w:val="2"/>
                      <w:sz w:val="21"/>
                      <w:szCs w:val="21"/>
                      <w:highlight w:val="none"/>
                      <w:vertAlign w:val="baseline"/>
                      <w:lang w:val="en-US" w:eastAsia="zh-CN" w:bidi="ar-SA"/>
                    </w:rPr>
                    <w:t>重点防渗措施：危险废物暂存间按照《危险废物贮存污染控制标准》（GB18597-2023）设计为封闭式、防雨、防风、防晒，危险废物危险废物暂存间地面及裙角、泄漏液体集液池均按照《危险废物贮存污染控制标准》（GB18597-2023）相关内容进行防渗，防渗层为至少1m厚黏土层（渗透系数≤1.0×10</w:t>
                  </w:r>
                  <w:r>
                    <w:rPr>
                      <w:rFonts w:hint="default" w:ascii="Times New Roman" w:hAnsi="Times New Roman" w:cs="Times New Roman"/>
                      <w:color w:val="auto"/>
                      <w:kern w:val="2"/>
                      <w:sz w:val="21"/>
                      <w:szCs w:val="21"/>
                      <w:highlight w:val="none"/>
                      <w:vertAlign w:val="superscript"/>
                      <w:lang w:val="en-US" w:eastAsia="zh-CN" w:bidi="ar-SA"/>
                    </w:rPr>
                    <w:t>-7</w:t>
                  </w:r>
                  <w:r>
                    <w:rPr>
                      <w:rFonts w:hint="default" w:ascii="Times New Roman" w:hAnsi="Times New Roman" w:cs="Times New Roman"/>
                      <w:color w:val="auto"/>
                      <w:kern w:val="2"/>
                      <w:sz w:val="21"/>
                      <w:szCs w:val="21"/>
                      <w:highlight w:val="none"/>
                      <w:vertAlign w:val="baseline"/>
                      <w:lang w:val="en-US" w:eastAsia="zh-CN" w:bidi="ar-SA"/>
                    </w:rPr>
                    <w:t>cm/s），或2mm厚高密度聚乙烯，或至少2mm厚的其它人工材料，总体渗透系数≤1.0×10</w:t>
                  </w:r>
                  <w:r>
                    <w:rPr>
                      <w:rFonts w:hint="default" w:ascii="Times New Roman" w:hAnsi="Times New Roman" w:cs="Times New Roman"/>
                      <w:color w:val="auto"/>
                      <w:kern w:val="2"/>
                      <w:sz w:val="21"/>
                      <w:szCs w:val="21"/>
                      <w:highlight w:val="none"/>
                      <w:vertAlign w:val="superscript"/>
                      <w:lang w:val="en-US" w:eastAsia="zh-CN" w:bidi="ar-SA"/>
                    </w:rPr>
                    <w:t>-10</w:t>
                  </w:r>
                  <w:r>
                    <w:rPr>
                      <w:rFonts w:hint="default" w:ascii="Times New Roman" w:hAnsi="Times New Roman" w:cs="Times New Roman"/>
                      <w:color w:val="auto"/>
                      <w:kern w:val="2"/>
                      <w:sz w:val="21"/>
                      <w:szCs w:val="21"/>
                      <w:highlight w:val="none"/>
                      <w:vertAlign w:val="baseline"/>
                      <w:lang w:val="en-US" w:eastAsia="zh-CN" w:bidi="ar-SA"/>
                    </w:rPr>
                    <w:t>cm/s。</w:t>
                  </w:r>
                </w:p>
              </w:tc>
            </w:tr>
          </w:tbl>
          <w:p w14:paraId="111D0933">
            <w:pPr>
              <w:bidi w:val="0"/>
              <w:rPr>
                <w:rFonts w:hint="default" w:ascii="Times New Roman" w:hAnsi="Times New Roman" w:cs="Times New Roman"/>
                <w:b/>
                <w:bCs/>
                <w:color w:val="auto"/>
                <w:highlight w:val="none"/>
                <w:lang w:val="en-US" w:eastAsia="zh-CN"/>
              </w:rPr>
            </w:pPr>
            <w:r>
              <w:rPr>
                <w:rFonts w:hint="eastAsia" w:cs="Times New Roman"/>
                <w:b/>
                <w:bCs/>
                <w:color w:val="auto"/>
                <w:highlight w:val="none"/>
                <w:lang w:val="en-US" w:eastAsia="zh-CN"/>
              </w:rPr>
              <w:t>7.</w:t>
            </w:r>
            <w:r>
              <w:rPr>
                <w:rFonts w:hint="default" w:ascii="Times New Roman" w:hAnsi="Times New Roman" w:cs="Times New Roman"/>
                <w:b/>
                <w:bCs/>
                <w:color w:val="auto"/>
                <w:highlight w:val="none"/>
                <w:lang w:val="en-US" w:eastAsia="zh-CN"/>
              </w:rPr>
              <w:t>建设项目投资情况</w:t>
            </w:r>
          </w:p>
          <w:p w14:paraId="4D88BE23">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本项目总投资金额为1500万元，其中环保投资金额为966万元，占总投资金额的6</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44%，项目环保投资金额一览表见表4-9。</w:t>
            </w:r>
          </w:p>
          <w:p w14:paraId="0CB973A2">
            <w:pPr>
              <w:bidi w:val="0"/>
              <w:jc w:val="center"/>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表4-9项目环保投资一览表</w:t>
            </w:r>
          </w:p>
          <w:tbl>
            <w:tblPr>
              <w:tblStyle w:val="23"/>
              <w:tblW w:w="78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9"/>
              <w:gridCol w:w="1600"/>
              <w:gridCol w:w="4700"/>
              <w:gridCol w:w="1158"/>
            </w:tblGrid>
            <w:tr w14:paraId="5FC90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39" w:type="dxa"/>
                  <w:noWrap w:val="0"/>
                  <w:vAlign w:val="center"/>
                </w:tcPr>
                <w:p w14:paraId="399817C3">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类型</w:t>
                  </w:r>
                </w:p>
              </w:tc>
              <w:tc>
                <w:tcPr>
                  <w:tcW w:w="1600" w:type="dxa"/>
                  <w:noWrap w:val="0"/>
                  <w:vAlign w:val="center"/>
                </w:tcPr>
                <w:p w14:paraId="6D5238E1">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污染工序</w:t>
                  </w:r>
                </w:p>
              </w:tc>
              <w:tc>
                <w:tcPr>
                  <w:tcW w:w="4700" w:type="dxa"/>
                  <w:noWrap w:val="0"/>
                  <w:vAlign w:val="center"/>
                </w:tcPr>
                <w:p w14:paraId="73D18E00">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环保措施</w:t>
                  </w:r>
                </w:p>
              </w:tc>
              <w:tc>
                <w:tcPr>
                  <w:tcW w:w="1158" w:type="dxa"/>
                  <w:noWrap w:val="0"/>
                  <w:vAlign w:val="center"/>
                </w:tcPr>
                <w:p w14:paraId="3B9A2B52">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投资（万元）</w:t>
                  </w:r>
                </w:p>
              </w:tc>
            </w:tr>
            <w:tr w14:paraId="72437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39" w:type="dxa"/>
                  <w:vMerge w:val="restart"/>
                  <w:noWrap w:val="0"/>
                  <w:vAlign w:val="center"/>
                </w:tcPr>
                <w:p w14:paraId="43A09AF1">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废气</w:t>
                  </w:r>
                </w:p>
              </w:tc>
              <w:tc>
                <w:tcPr>
                  <w:tcW w:w="1600" w:type="dxa"/>
                  <w:noWrap w:val="0"/>
                  <w:vAlign w:val="center"/>
                </w:tcPr>
                <w:p w14:paraId="53F8D382">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物料装卸废气、物料堆存废气（G1、G5、G2、G6）</w:t>
                  </w:r>
                </w:p>
              </w:tc>
              <w:tc>
                <w:tcPr>
                  <w:tcW w:w="4700" w:type="dxa"/>
                  <w:noWrap w:val="0"/>
                  <w:vAlign w:val="center"/>
                </w:tcPr>
                <w:p w14:paraId="63C31D91">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全封闭生产车间+2套雾炮喷淋设施</w:t>
                  </w:r>
                </w:p>
              </w:tc>
              <w:tc>
                <w:tcPr>
                  <w:tcW w:w="1158" w:type="dxa"/>
                  <w:noWrap w:val="0"/>
                  <w:vAlign w:val="center"/>
                </w:tcPr>
                <w:p w14:paraId="72494C1B">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800+10</w:t>
                  </w:r>
                </w:p>
              </w:tc>
            </w:tr>
            <w:tr w14:paraId="4DD4A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439" w:type="dxa"/>
                  <w:vMerge w:val="continue"/>
                  <w:noWrap w:val="0"/>
                  <w:vAlign w:val="center"/>
                </w:tcPr>
                <w:p w14:paraId="35A1D5D7">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1600" w:type="dxa"/>
                  <w:noWrap w:val="0"/>
                  <w:vAlign w:val="center"/>
                </w:tcPr>
                <w:p w14:paraId="3FDCFB0B">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筛分废气（G3）</w:t>
                  </w:r>
                </w:p>
              </w:tc>
              <w:tc>
                <w:tcPr>
                  <w:tcW w:w="4700" w:type="dxa"/>
                  <w:noWrap w:val="0"/>
                  <w:vAlign w:val="center"/>
                </w:tcPr>
                <w:p w14:paraId="2742C0E8">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szCs w:val="21"/>
                      <w:highlight w:val="none"/>
                      <w:vertAlign w:val="baseline"/>
                      <w:lang w:val="en-US" w:eastAsia="zh-CN"/>
                    </w:rPr>
                  </w:pPr>
                  <w:r>
                    <w:rPr>
                      <w:rFonts w:hint="default" w:ascii="Times New Roman" w:hAnsi="Times New Roman" w:cs="Times New Roman"/>
                      <w:color w:val="auto"/>
                      <w:szCs w:val="21"/>
                      <w:highlight w:val="none"/>
                      <w:vertAlign w:val="baseline"/>
                      <w:lang w:val="en-US" w:eastAsia="zh-CN"/>
                    </w:rPr>
                    <w:t>集气罩1个（集气效率90%）+袋式除尘器（除尘效率99%）+15m高排气筒排放（DA001）</w:t>
                  </w:r>
                </w:p>
              </w:tc>
              <w:tc>
                <w:tcPr>
                  <w:tcW w:w="1158" w:type="dxa"/>
                  <w:noWrap w:val="0"/>
                  <w:vAlign w:val="center"/>
                </w:tcPr>
                <w:p w14:paraId="15306F79">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10</w:t>
                  </w:r>
                </w:p>
              </w:tc>
            </w:tr>
            <w:tr w14:paraId="0F8C7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439" w:type="dxa"/>
                  <w:vMerge w:val="continue"/>
                  <w:noWrap w:val="0"/>
                  <w:vAlign w:val="center"/>
                </w:tcPr>
                <w:p w14:paraId="577952D8">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1600" w:type="dxa"/>
                  <w:noWrap w:val="0"/>
                  <w:vAlign w:val="center"/>
                </w:tcPr>
                <w:p w14:paraId="311ACE60">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天然气燃烧废气及物料煅烧废气G4</w:t>
                  </w:r>
                </w:p>
              </w:tc>
              <w:tc>
                <w:tcPr>
                  <w:tcW w:w="4700" w:type="dxa"/>
                  <w:noWrap w:val="0"/>
                  <w:vAlign w:val="center"/>
                </w:tcPr>
                <w:p w14:paraId="5D914427">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szCs w:val="21"/>
                      <w:highlight w:val="none"/>
                      <w:vertAlign w:val="baseline"/>
                      <w:lang w:val="en-US" w:eastAsia="zh-CN"/>
                    </w:rPr>
                  </w:pPr>
                  <w:r>
                    <w:rPr>
                      <w:rFonts w:hint="default" w:ascii="Times New Roman" w:hAnsi="Times New Roman" w:cs="Times New Roman"/>
                      <w:color w:val="auto"/>
                      <w:szCs w:val="21"/>
                      <w:highlight w:val="none"/>
                      <w:vertAlign w:val="baseline"/>
                      <w:lang w:val="en-US" w:eastAsia="zh-CN"/>
                    </w:rPr>
                    <w:t>采用SNCR脱硝+SCR脱硝+袋式除尘+石灰石-石膏法脱硫+双碱法脱硫最终经过37m高（DA002）排气筒排放，设置1个10m³的氨水储罐。</w:t>
                  </w:r>
                </w:p>
              </w:tc>
              <w:tc>
                <w:tcPr>
                  <w:tcW w:w="1158" w:type="dxa"/>
                  <w:noWrap w:val="0"/>
                  <w:vAlign w:val="center"/>
                </w:tcPr>
                <w:p w14:paraId="56EEF2DC">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110</w:t>
                  </w:r>
                </w:p>
              </w:tc>
            </w:tr>
            <w:tr w14:paraId="1D340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 w:hRule="atLeast"/>
              </w:trPr>
              <w:tc>
                <w:tcPr>
                  <w:tcW w:w="439" w:type="dxa"/>
                  <w:vMerge w:val="restart"/>
                  <w:noWrap w:val="0"/>
                  <w:vAlign w:val="center"/>
                </w:tcPr>
                <w:p w14:paraId="480E0E16">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废水</w:t>
                  </w:r>
                </w:p>
              </w:tc>
              <w:tc>
                <w:tcPr>
                  <w:tcW w:w="1600" w:type="dxa"/>
                  <w:noWrap w:val="0"/>
                  <w:vAlign w:val="center"/>
                </w:tcPr>
                <w:p w14:paraId="3CF05988">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生产废水</w:t>
                  </w:r>
                </w:p>
              </w:tc>
              <w:tc>
                <w:tcPr>
                  <w:tcW w:w="4700" w:type="dxa"/>
                  <w:noWrap w:val="0"/>
                  <w:vAlign w:val="center"/>
                </w:tcPr>
                <w:p w14:paraId="57C8FBC6">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初期雨水收集池1座390m³，1座事故池415m³</w:t>
                  </w:r>
                </w:p>
              </w:tc>
              <w:tc>
                <w:tcPr>
                  <w:tcW w:w="1158" w:type="dxa"/>
                  <w:noWrap w:val="0"/>
                  <w:vAlign w:val="center"/>
                </w:tcPr>
                <w:p w14:paraId="42C1338C">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10</w:t>
                  </w:r>
                </w:p>
              </w:tc>
            </w:tr>
            <w:tr w14:paraId="4D074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439" w:type="dxa"/>
                  <w:vMerge w:val="continue"/>
                  <w:noWrap w:val="0"/>
                  <w:vAlign w:val="center"/>
                </w:tcPr>
                <w:p w14:paraId="6EABC508">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1600" w:type="dxa"/>
                  <w:noWrap w:val="0"/>
                  <w:vAlign w:val="center"/>
                </w:tcPr>
                <w:p w14:paraId="36D1959A">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生活污水</w:t>
                  </w:r>
                </w:p>
              </w:tc>
              <w:tc>
                <w:tcPr>
                  <w:tcW w:w="4700" w:type="dxa"/>
                  <w:noWrap w:val="0"/>
                  <w:vAlign w:val="center"/>
                </w:tcPr>
                <w:p w14:paraId="2E26F05D">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化粪池1座（10m³）</w:t>
                  </w:r>
                </w:p>
              </w:tc>
              <w:tc>
                <w:tcPr>
                  <w:tcW w:w="1158" w:type="dxa"/>
                  <w:noWrap w:val="0"/>
                  <w:vAlign w:val="center"/>
                </w:tcPr>
                <w:p w14:paraId="09C74E04">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w:t>
                  </w:r>
                </w:p>
              </w:tc>
            </w:tr>
            <w:tr w14:paraId="4FE0B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trPr>
              <w:tc>
                <w:tcPr>
                  <w:tcW w:w="439" w:type="dxa"/>
                  <w:noWrap w:val="0"/>
                  <w:vAlign w:val="center"/>
                </w:tcPr>
                <w:p w14:paraId="77638E76">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噪声</w:t>
                  </w:r>
                </w:p>
              </w:tc>
              <w:tc>
                <w:tcPr>
                  <w:tcW w:w="1600" w:type="dxa"/>
                  <w:noWrap w:val="0"/>
                  <w:vAlign w:val="center"/>
                </w:tcPr>
                <w:p w14:paraId="7E3F27A4">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设备噪声</w:t>
                  </w:r>
                </w:p>
              </w:tc>
              <w:tc>
                <w:tcPr>
                  <w:tcW w:w="4700" w:type="dxa"/>
                  <w:noWrap w:val="0"/>
                  <w:vAlign w:val="center"/>
                </w:tcPr>
                <w:p w14:paraId="09CFCBCF">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设备均在车间内布置，噪声经建筑隔声、安装消音器、建筑隔声、基础减震、采用柔性连接等措施。</w:t>
                  </w:r>
                </w:p>
              </w:tc>
              <w:tc>
                <w:tcPr>
                  <w:tcW w:w="1158" w:type="dxa"/>
                  <w:noWrap w:val="0"/>
                  <w:vAlign w:val="center"/>
                </w:tcPr>
                <w:p w14:paraId="0816A23E">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0.5</w:t>
                  </w:r>
                </w:p>
              </w:tc>
            </w:tr>
            <w:tr w14:paraId="0D9CA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439" w:type="dxa"/>
                  <w:vMerge w:val="restart"/>
                  <w:noWrap w:val="0"/>
                  <w:vAlign w:val="center"/>
                </w:tcPr>
                <w:p w14:paraId="4FEE4491">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固废</w:t>
                  </w:r>
                </w:p>
              </w:tc>
              <w:tc>
                <w:tcPr>
                  <w:tcW w:w="1600" w:type="dxa"/>
                  <w:noWrap w:val="0"/>
                  <w:vAlign w:val="center"/>
                </w:tcPr>
                <w:p w14:paraId="2F762FF8">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生活垃圾</w:t>
                  </w:r>
                </w:p>
              </w:tc>
              <w:tc>
                <w:tcPr>
                  <w:tcW w:w="4700" w:type="dxa"/>
                  <w:noWrap w:val="0"/>
                  <w:vAlign w:val="center"/>
                </w:tcPr>
                <w:p w14:paraId="6E1B4B13">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垃圾桶2个</w:t>
                  </w:r>
                </w:p>
              </w:tc>
              <w:tc>
                <w:tcPr>
                  <w:tcW w:w="1158" w:type="dxa"/>
                  <w:noWrap w:val="0"/>
                  <w:vAlign w:val="center"/>
                </w:tcPr>
                <w:p w14:paraId="0C085F58">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0.5</w:t>
                  </w:r>
                </w:p>
              </w:tc>
            </w:tr>
            <w:tr w14:paraId="1787F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439" w:type="dxa"/>
                  <w:vMerge w:val="continue"/>
                  <w:noWrap w:val="0"/>
                  <w:vAlign w:val="center"/>
                </w:tcPr>
                <w:p w14:paraId="58552BC3">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1600" w:type="dxa"/>
                  <w:noWrap w:val="0"/>
                  <w:vAlign w:val="center"/>
                </w:tcPr>
                <w:p w14:paraId="2484660B">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不可利用煤系高岭土</w:t>
                  </w:r>
                </w:p>
              </w:tc>
              <w:tc>
                <w:tcPr>
                  <w:tcW w:w="4700" w:type="dxa"/>
                  <w:noWrap w:val="0"/>
                  <w:vAlign w:val="center"/>
                </w:tcPr>
                <w:p w14:paraId="6B028A2D">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该部分为高岭土粗犷，不可利用直接外售周边建材市场进行综合利用。</w:t>
                  </w:r>
                </w:p>
              </w:tc>
              <w:tc>
                <w:tcPr>
                  <w:tcW w:w="1158" w:type="dxa"/>
                  <w:noWrap w:val="0"/>
                  <w:vAlign w:val="center"/>
                </w:tcPr>
                <w:p w14:paraId="1678B5C4">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w:t>
                  </w:r>
                </w:p>
              </w:tc>
            </w:tr>
            <w:tr w14:paraId="172FF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439" w:type="dxa"/>
                  <w:vMerge w:val="continue"/>
                  <w:noWrap w:val="0"/>
                  <w:vAlign w:val="center"/>
                </w:tcPr>
                <w:p w14:paraId="2097C9AD">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1600" w:type="dxa"/>
                  <w:noWrap w:val="0"/>
                  <w:vAlign w:val="center"/>
                </w:tcPr>
                <w:p w14:paraId="2C8EA0C4">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除尘灰</w:t>
                  </w:r>
                </w:p>
              </w:tc>
              <w:tc>
                <w:tcPr>
                  <w:tcW w:w="4700" w:type="dxa"/>
                  <w:noWrap w:val="0"/>
                  <w:vAlign w:val="center"/>
                </w:tcPr>
                <w:p w14:paraId="5F7E0BFB">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暂存于一般固废暂存间（50㎡）内，定期拉运至园区一般固废填埋场进行填埋处理。</w:t>
                  </w:r>
                </w:p>
              </w:tc>
              <w:tc>
                <w:tcPr>
                  <w:tcW w:w="1158" w:type="dxa"/>
                  <w:vMerge w:val="restart"/>
                  <w:noWrap w:val="0"/>
                  <w:vAlign w:val="center"/>
                </w:tcPr>
                <w:p w14:paraId="1D9266DC">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10</w:t>
                  </w:r>
                </w:p>
              </w:tc>
            </w:tr>
            <w:tr w14:paraId="760CE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439" w:type="dxa"/>
                  <w:vMerge w:val="continue"/>
                  <w:noWrap w:val="0"/>
                  <w:vAlign w:val="center"/>
                </w:tcPr>
                <w:p w14:paraId="08FEC307">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1600" w:type="dxa"/>
                  <w:noWrap w:val="0"/>
                  <w:vAlign w:val="center"/>
                </w:tcPr>
                <w:p w14:paraId="3FA1F1D3">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废脱硫石膏</w:t>
                  </w:r>
                </w:p>
              </w:tc>
              <w:tc>
                <w:tcPr>
                  <w:tcW w:w="4700" w:type="dxa"/>
                  <w:noWrap w:val="0"/>
                  <w:vAlign w:val="center"/>
                </w:tcPr>
                <w:p w14:paraId="700B2C09">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暂存于一般固废暂存库（50㎡）中，定期拉运至园区一般固废填埋场进行填埋处理。</w:t>
                  </w:r>
                </w:p>
              </w:tc>
              <w:tc>
                <w:tcPr>
                  <w:tcW w:w="1158" w:type="dxa"/>
                  <w:vMerge w:val="continue"/>
                  <w:noWrap w:val="0"/>
                  <w:vAlign w:val="center"/>
                </w:tcPr>
                <w:p w14:paraId="15C2CA22">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r>
            <w:tr w14:paraId="5CAF0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439" w:type="dxa"/>
                  <w:vMerge w:val="continue"/>
                  <w:noWrap w:val="0"/>
                  <w:vAlign w:val="center"/>
                </w:tcPr>
                <w:p w14:paraId="6CDC4EFC">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1600" w:type="dxa"/>
                  <w:noWrap w:val="0"/>
                  <w:vAlign w:val="center"/>
                </w:tcPr>
                <w:p w14:paraId="54C89F27">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废催化剂</w:t>
                  </w:r>
                </w:p>
              </w:tc>
              <w:tc>
                <w:tcPr>
                  <w:tcW w:w="4700" w:type="dxa"/>
                  <w:noWrap w:val="0"/>
                  <w:vAlign w:val="center"/>
                </w:tcPr>
                <w:p w14:paraId="1E26C30E">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新建一座30㎡的危险废物暂存间，危险废物暂存间按照《危险废物贮存污染控制标准》（GB18597-2023）设计为封闭式、防雨、防风、防晒，危险废物危险废物暂存间地面及裙角、泄漏液体集液池均按照《危险废物贮存污染控制标准》（GB18597-2023）相关内容进行防渗，防渗层为至少1m厚黏土层（渗透系数≤1.0×10</w:t>
                  </w:r>
                  <w:r>
                    <w:rPr>
                      <w:rFonts w:hint="default" w:ascii="Times New Roman" w:hAnsi="Times New Roman" w:cs="Times New Roman"/>
                      <w:color w:val="auto"/>
                      <w:highlight w:val="none"/>
                      <w:vertAlign w:val="superscript"/>
                      <w:lang w:val="en-US" w:eastAsia="zh-CN"/>
                    </w:rPr>
                    <w:t>-7</w:t>
                  </w:r>
                  <w:r>
                    <w:rPr>
                      <w:rFonts w:hint="default" w:ascii="Times New Roman" w:hAnsi="Times New Roman" w:cs="Times New Roman"/>
                      <w:color w:val="auto"/>
                      <w:highlight w:val="none"/>
                      <w:lang w:val="en-US" w:eastAsia="zh-CN"/>
                    </w:rPr>
                    <w:t>cm/s），或2mm厚高密度聚乙烯，或至少2mm厚的其它人工材料，总体渗透系数≤1.0×10</w:t>
                  </w:r>
                  <w:r>
                    <w:rPr>
                      <w:rFonts w:hint="default" w:ascii="Times New Roman" w:hAnsi="Times New Roman" w:cs="Times New Roman"/>
                      <w:color w:val="auto"/>
                      <w:highlight w:val="none"/>
                      <w:vertAlign w:val="superscript"/>
                      <w:lang w:val="en-US" w:eastAsia="zh-CN"/>
                    </w:rPr>
                    <w:t>-10</w:t>
                  </w:r>
                  <w:r>
                    <w:rPr>
                      <w:rFonts w:hint="default" w:ascii="Times New Roman" w:hAnsi="Times New Roman" w:cs="Times New Roman"/>
                      <w:color w:val="auto"/>
                      <w:highlight w:val="none"/>
                      <w:lang w:val="en-US" w:eastAsia="zh-CN"/>
                    </w:rPr>
                    <w:t>cm/s。</w:t>
                  </w:r>
                </w:p>
              </w:tc>
              <w:tc>
                <w:tcPr>
                  <w:tcW w:w="1158" w:type="dxa"/>
                  <w:noWrap w:val="0"/>
                  <w:vAlign w:val="center"/>
                </w:tcPr>
                <w:p w14:paraId="47932150">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10</w:t>
                  </w:r>
                </w:p>
              </w:tc>
            </w:tr>
            <w:tr w14:paraId="47F3C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6739" w:type="dxa"/>
                  <w:gridSpan w:val="3"/>
                  <w:noWrap w:val="0"/>
                  <w:vAlign w:val="center"/>
                </w:tcPr>
                <w:p w14:paraId="4283D3E5">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合计</w:t>
                  </w:r>
                </w:p>
              </w:tc>
              <w:tc>
                <w:tcPr>
                  <w:tcW w:w="1158" w:type="dxa"/>
                  <w:noWrap w:val="0"/>
                  <w:vAlign w:val="center"/>
                </w:tcPr>
                <w:p w14:paraId="28A884F0">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966</w:t>
                  </w:r>
                </w:p>
              </w:tc>
            </w:tr>
          </w:tbl>
          <w:p w14:paraId="03FB206D">
            <w:pPr>
              <w:bidi w:val="0"/>
              <w:ind w:left="0" w:leftChars="0" w:firstLine="0" w:firstLineChars="0"/>
              <w:rPr>
                <w:rFonts w:hint="default" w:ascii="Times New Roman" w:hAnsi="Times New Roman" w:cs="Times New Roman"/>
                <w:color w:val="auto"/>
                <w:highlight w:val="none"/>
                <w:lang w:val="en-US" w:eastAsia="zh-CN"/>
              </w:rPr>
            </w:pPr>
          </w:p>
        </w:tc>
      </w:tr>
    </w:tbl>
    <w:p w14:paraId="4454B987">
      <w:pPr>
        <w:adjustRightInd w:val="0"/>
        <w:snapToGrid w:val="0"/>
        <w:spacing w:line="360" w:lineRule="auto"/>
        <w:rPr>
          <w:rFonts w:hint="default" w:ascii="Times New Roman" w:hAnsi="Times New Roman" w:cs="Times New Roman"/>
          <w:b/>
          <w:color w:val="auto"/>
          <w:kern w:val="0"/>
          <w:sz w:val="28"/>
          <w:szCs w:val="28"/>
          <w:highlight w:val="none"/>
        </w:rPr>
        <w:sectPr>
          <w:pgSz w:w="11907" w:h="16840"/>
          <w:pgMar w:top="1440" w:right="1800" w:bottom="1440" w:left="1800" w:header="851" w:footer="851" w:gutter="0"/>
          <w:pgBorders>
            <w:top w:val="none" w:sz="0" w:space="0"/>
            <w:left w:val="none" w:sz="0" w:space="0"/>
            <w:bottom w:val="none" w:sz="0" w:space="0"/>
            <w:right w:val="none" w:sz="0" w:space="0"/>
          </w:pgBorders>
          <w:pgNumType w:fmt="numberInDash"/>
          <w:cols w:space="720" w:num="1"/>
          <w:docGrid w:linePitch="312" w:charSpace="0"/>
        </w:sectPr>
      </w:pPr>
    </w:p>
    <w:p w14:paraId="14B774C7">
      <w:pPr>
        <w:pStyle w:val="3"/>
        <w:keepNext/>
        <w:keepLines w:val="0"/>
        <w:pageBreakBefore w:val="0"/>
        <w:widowControl w:val="0"/>
        <w:kinsoku/>
        <w:wordWrap/>
        <w:overflowPunct w:val="0"/>
        <w:topLinePunct w:val="0"/>
        <w:autoSpaceDE w:val="0"/>
        <w:autoSpaceDN w:val="0"/>
        <w:bidi w:val="0"/>
        <w:adjustRightInd/>
        <w:snapToGrid w:val="0"/>
        <w:spacing w:line="360" w:lineRule="auto"/>
        <w:jc w:val="center"/>
        <w:textAlignment w:val="auto"/>
        <w:rPr>
          <w:rFonts w:hint="default" w:ascii="Times New Roman" w:hAnsi="Times New Roman" w:eastAsia="黑体" w:cs="Times New Roman"/>
          <w:b w:val="0"/>
          <w:bCs w:val="0"/>
          <w:snapToGrid w:val="0"/>
          <w:color w:val="auto"/>
          <w:kern w:val="0"/>
          <w:sz w:val="30"/>
          <w:szCs w:val="30"/>
          <w:highlight w:val="none"/>
          <w:lang w:val="en-US" w:eastAsia="zh-CN" w:bidi="ar-SA"/>
        </w:rPr>
      </w:pPr>
      <w:r>
        <w:rPr>
          <w:rFonts w:hint="default" w:ascii="Times New Roman" w:hAnsi="Times New Roman" w:eastAsia="黑体" w:cs="Times New Roman"/>
          <w:b w:val="0"/>
          <w:bCs w:val="0"/>
          <w:snapToGrid w:val="0"/>
          <w:color w:val="auto"/>
          <w:kern w:val="0"/>
          <w:sz w:val="30"/>
          <w:szCs w:val="30"/>
          <w:highlight w:val="none"/>
          <w:lang w:val="en-US" w:eastAsia="zh-CN" w:bidi="ar-SA"/>
        </w:rPr>
        <w:t>五、</w:t>
      </w:r>
      <w:bookmarkStart w:id="3" w:name="_Hlk54167917"/>
      <w:r>
        <w:rPr>
          <w:rFonts w:hint="default" w:ascii="Times New Roman" w:hAnsi="Times New Roman" w:eastAsia="黑体" w:cs="Times New Roman"/>
          <w:b w:val="0"/>
          <w:bCs w:val="0"/>
          <w:snapToGrid w:val="0"/>
          <w:color w:val="auto"/>
          <w:kern w:val="0"/>
          <w:sz w:val="30"/>
          <w:szCs w:val="30"/>
          <w:highlight w:val="none"/>
          <w:lang w:val="en-US" w:eastAsia="zh-CN" w:bidi="ar-SA"/>
        </w:rPr>
        <w:t>环境保护措施监督检查清单</w:t>
      </w:r>
      <w:bookmarkEnd w:id="3"/>
    </w:p>
    <w:tbl>
      <w:tblPr>
        <w:tblStyle w:val="23"/>
        <w:tblW w:w="880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8"/>
        <w:gridCol w:w="1566"/>
        <w:gridCol w:w="920"/>
        <w:gridCol w:w="2087"/>
        <w:gridCol w:w="2449"/>
      </w:tblGrid>
      <w:tr w14:paraId="10092A2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78" w:type="dxa"/>
            <w:tcBorders>
              <w:tl2br w:val="single" w:color="auto" w:sz="4" w:space="0"/>
            </w:tcBorders>
            <w:noWrap w:val="0"/>
            <w:vAlign w:val="top"/>
          </w:tcPr>
          <w:p w14:paraId="3A8FA5DF">
            <w:pPr>
              <w:keepNext w:val="0"/>
              <w:keepLines w:val="0"/>
              <w:pageBreakBefore w:val="0"/>
              <w:widowControl w:val="0"/>
              <w:kinsoku/>
              <w:wordWrap/>
              <w:overflowPunct/>
              <w:topLinePunct w:val="0"/>
              <w:autoSpaceDE w:val="0"/>
              <w:autoSpaceDN w:val="0"/>
              <w:bidi w:val="0"/>
              <w:adjustRightInd w:val="0"/>
              <w:snapToGrid w:val="0"/>
              <w:spacing w:line="240" w:lineRule="auto"/>
              <w:ind w:firstLine="840" w:firstLineChars="400"/>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内容</w:t>
            </w:r>
          </w:p>
          <w:p w14:paraId="48156F37">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要素</w:t>
            </w:r>
          </w:p>
        </w:tc>
        <w:tc>
          <w:tcPr>
            <w:tcW w:w="1566" w:type="dxa"/>
            <w:noWrap w:val="0"/>
            <w:vAlign w:val="center"/>
          </w:tcPr>
          <w:p w14:paraId="28D21DDF">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排放口</w:t>
            </w:r>
            <w:r>
              <w:rPr>
                <w:rFonts w:hint="eastAsia" w:cs="Times New Roman"/>
                <w:color w:val="auto"/>
                <w:szCs w:val="21"/>
                <w:highlight w:val="none"/>
                <w:lang w:eastAsia="zh-CN"/>
              </w:rPr>
              <w:t>（</w:t>
            </w:r>
            <w:r>
              <w:rPr>
                <w:rFonts w:hint="default" w:ascii="Times New Roman" w:hAnsi="Times New Roman" w:cs="Times New Roman"/>
                <w:color w:val="auto"/>
                <w:szCs w:val="21"/>
                <w:highlight w:val="none"/>
              </w:rPr>
              <w:t>编号、</w:t>
            </w:r>
          </w:p>
          <w:p w14:paraId="75D67C3B">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名称</w:t>
            </w:r>
            <w:r>
              <w:rPr>
                <w:rFonts w:hint="eastAsia" w:cs="Times New Roman"/>
                <w:color w:val="auto"/>
                <w:szCs w:val="21"/>
                <w:highlight w:val="none"/>
                <w:lang w:eastAsia="zh-CN"/>
              </w:rPr>
              <w:t>）</w:t>
            </w:r>
            <w:r>
              <w:rPr>
                <w:rFonts w:hint="default" w:ascii="Times New Roman" w:hAnsi="Times New Roman" w:cs="Times New Roman"/>
                <w:color w:val="auto"/>
                <w:szCs w:val="21"/>
                <w:highlight w:val="none"/>
              </w:rPr>
              <w:t>/污染源</w:t>
            </w:r>
          </w:p>
        </w:tc>
        <w:tc>
          <w:tcPr>
            <w:tcW w:w="920" w:type="dxa"/>
            <w:noWrap w:val="0"/>
            <w:vAlign w:val="center"/>
          </w:tcPr>
          <w:p w14:paraId="2527F15B">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污染物项目</w:t>
            </w:r>
          </w:p>
        </w:tc>
        <w:tc>
          <w:tcPr>
            <w:tcW w:w="2087" w:type="dxa"/>
            <w:noWrap w:val="0"/>
            <w:vAlign w:val="center"/>
          </w:tcPr>
          <w:p w14:paraId="70B4EBEB">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环境保护措施</w:t>
            </w:r>
          </w:p>
        </w:tc>
        <w:tc>
          <w:tcPr>
            <w:tcW w:w="2449" w:type="dxa"/>
            <w:noWrap w:val="0"/>
            <w:vAlign w:val="center"/>
          </w:tcPr>
          <w:p w14:paraId="3BA65C0F">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执行标准</w:t>
            </w:r>
          </w:p>
        </w:tc>
      </w:tr>
      <w:tr w14:paraId="2093922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78" w:type="dxa"/>
            <w:vMerge w:val="restart"/>
            <w:noWrap w:val="0"/>
            <w:vAlign w:val="center"/>
          </w:tcPr>
          <w:p w14:paraId="66EE5DEE">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大气环境</w:t>
            </w:r>
          </w:p>
        </w:tc>
        <w:tc>
          <w:tcPr>
            <w:tcW w:w="1566" w:type="dxa"/>
            <w:noWrap w:val="0"/>
            <w:vAlign w:val="center"/>
          </w:tcPr>
          <w:p w14:paraId="79114341">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both"/>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val="en-US" w:eastAsia="zh-CN"/>
              </w:rPr>
              <w:t>物料装卸废气、物料堆存废气（G1、G5、G2、G6）</w:t>
            </w:r>
          </w:p>
        </w:tc>
        <w:tc>
          <w:tcPr>
            <w:tcW w:w="920" w:type="dxa"/>
            <w:noWrap w:val="0"/>
            <w:vAlign w:val="center"/>
          </w:tcPr>
          <w:p w14:paraId="51E36DC0">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val="en-US" w:eastAsia="zh-CN"/>
              </w:rPr>
              <w:t>颗粒物</w:t>
            </w:r>
          </w:p>
        </w:tc>
        <w:tc>
          <w:tcPr>
            <w:tcW w:w="2087" w:type="dxa"/>
            <w:noWrap w:val="0"/>
            <w:vAlign w:val="center"/>
          </w:tcPr>
          <w:p w14:paraId="3F7ECAF8">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both"/>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val="en-US" w:eastAsia="zh-CN"/>
              </w:rPr>
              <w:t>全封闭生产车间+2套雾炮喷淋设施</w:t>
            </w:r>
          </w:p>
        </w:tc>
        <w:tc>
          <w:tcPr>
            <w:tcW w:w="2449" w:type="dxa"/>
            <w:noWrap w:val="0"/>
            <w:vAlign w:val="center"/>
          </w:tcPr>
          <w:p w14:paraId="504B3ED8">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both"/>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val="en-US" w:eastAsia="zh-CN"/>
              </w:rPr>
              <w:t>满足《大气污染物综合排标准》（GB16297-1996）表2中无组织排放监控浓度限值</w:t>
            </w:r>
          </w:p>
        </w:tc>
      </w:tr>
      <w:tr w14:paraId="5B07B82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78" w:type="dxa"/>
            <w:vMerge w:val="continue"/>
            <w:noWrap w:val="0"/>
            <w:vAlign w:val="center"/>
          </w:tcPr>
          <w:p w14:paraId="7973A631">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color w:val="auto"/>
                <w:szCs w:val="21"/>
                <w:highlight w:val="none"/>
              </w:rPr>
            </w:pPr>
          </w:p>
        </w:tc>
        <w:tc>
          <w:tcPr>
            <w:tcW w:w="1566" w:type="dxa"/>
            <w:noWrap w:val="0"/>
            <w:vAlign w:val="center"/>
          </w:tcPr>
          <w:p w14:paraId="4B504678">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color w:val="auto"/>
                <w:szCs w:val="21"/>
                <w:highlight w:val="none"/>
                <w:lang w:val="en-US"/>
              </w:rPr>
            </w:pPr>
            <w:r>
              <w:rPr>
                <w:rFonts w:hint="default" w:ascii="Times New Roman" w:hAnsi="Times New Roman" w:cs="Times New Roman"/>
                <w:color w:val="auto"/>
                <w:szCs w:val="21"/>
                <w:highlight w:val="none"/>
                <w:lang w:val="en-US" w:eastAsia="zh-CN"/>
              </w:rPr>
              <w:t>筛分废气（G3</w:t>
            </w:r>
            <w:r>
              <w:rPr>
                <w:rFonts w:hint="eastAsia" w:cs="Times New Roman"/>
                <w:color w:val="auto"/>
                <w:szCs w:val="21"/>
                <w:highlight w:val="none"/>
                <w:lang w:val="en-US" w:eastAsia="zh-CN"/>
              </w:rPr>
              <w:t>）</w:t>
            </w:r>
          </w:p>
        </w:tc>
        <w:tc>
          <w:tcPr>
            <w:tcW w:w="920" w:type="dxa"/>
            <w:noWrap w:val="0"/>
            <w:vAlign w:val="center"/>
          </w:tcPr>
          <w:p w14:paraId="67220E4F">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color w:val="auto"/>
                <w:szCs w:val="21"/>
                <w:highlight w:val="none"/>
              </w:rPr>
            </w:pPr>
            <w:r>
              <w:rPr>
                <w:rFonts w:hint="eastAsia"/>
                <w:color w:val="auto"/>
                <w:highlight w:val="none"/>
                <w:lang w:val="en-US" w:eastAsia="zh-CN"/>
              </w:rPr>
              <w:t>颗粒物</w:t>
            </w:r>
          </w:p>
        </w:tc>
        <w:tc>
          <w:tcPr>
            <w:tcW w:w="2087" w:type="dxa"/>
            <w:noWrap w:val="0"/>
            <w:vAlign w:val="center"/>
          </w:tcPr>
          <w:p w14:paraId="4D6A82DF">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both"/>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val="en-US" w:eastAsia="zh-CN"/>
              </w:rPr>
              <w:t>集气罩1个（集气效率90%）+袋式除尘器（除尘效率99%）+15m高排气筒排放（DA001）</w:t>
            </w:r>
          </w:p>
        </w:tc>
        <w:tc>
          <w:tcPr>
            <w:tcW w:w="2449" w:type="dxa"/>
            <w:noWrap w:val="0"/>
            <w:vAlign w:val="center"/>
          </w:tcPr>
          <w:p w14:paraId="0875DCB5">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both"/>
              <w:textAlignment w:val="auto"/>
              <w:rPr>
                <w:rFonts w:hint="default" w:ascii="Times New Roman" w:hAnsi="Times New Roman" w:cs="Times New Roman"/>
                <w:color w:val="auto"/>
                <w:szCs w:val="21"/>
                <w:highlight w:val="none"/>
              </w:rPr>
            </w:pPr>
            <w:r>
              <w:rPr>
                <w:rFonts w:hint="eastAsia"/>
                <w:color w:val="auto"/>
                <w:highlight w:val="none"/>
                <w:lang w:val="en-US" w:eastAsia="zh-CN"/>
              </w:rPr>
              <w:t>满足《大气污染物综合排标准》（GB16297-1996）表2中二级标准</w:t>
            </w:r>
          </w:p>
        </w:tc>
      </w:tr>
      <w:tr w14:paraId="38416CF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78" w:type="dxa"/>
            <w:vMerge w:val="continue"/>
            <w:noWrap w:val="0"/>
            <w:vAlign w:val="center"/>
          </w:tcPr>
          <w:p w14:paraId="6912FF0A">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color w:val="auto"/>
                <w:szCs w:val="21"/>
                <w:highlight w:val="none"/>
              </w:rPr>
            </w:pPr>
          </w:p>
        </w:tc>
        <w:tc>
          <w:tcPr>
            <w:tcW w:w="1566" w:type="dxa"/>
            <w:noWrap w:val="0"/>
            <w:vAlign w:val="center"/>
          </w:tcPr>
          <w:p w14:paraId="4B283D90">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eastAsia"/>
                <w:color w:val="auto"/>
                <w:highlight w:val="none"/>
                <w:lang w:val="en-US" w:eastAsia="zh-CN"/>
              </w:rPr>
            </w:pPr>
            <w:r>
              <w:rPr>
                <w:rFonts w:hint="eastAsia"/>
                <w:color w:val="auto"/>
                <w:highlight w:val="none"/>
                <w:lang w:val="en-US" w:eastAsia="zh-CN"/>
              </w:rPr>
              <w:t>天然气燃烧废气及物料煅烧废气G4</w:t>
            </w:r>
          </w:p>
        </w:tc>
        <w:tc>
          <w:tcPr>
            <w:tcW w:w="920" w:type="dxa"/>
            <w:noWrap w:val="0"/>
            <w:vAlign w:val="center"/>
          </w:tcPr>
          <w:p w14:paraId="5FD4FFA1">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color w:val="auto"/>
                <w:szCs w:val="21"/>
                <w:highlight w:val="none"/>
              </w:rPr>
            </w:pPr>
            <w:r>
              <w:rPr>
                <w:rFonts w:hint="eastAsia" w:cs="Times New Roman"/>
                <w:color w:val="auto"/>
                <w:szCs w:val="21"/>
                <w:highlight w:val="none"/>
                <w:lang w:val="en-US" w:eastAsia="zh-CN"/>
              </w:rPr>
              <w:t>粉尘</w:t>
            </w:r>
            <w:r>
              <w:rPr>
                <w:rFonts w:hint="default" w:ascii="Times New Roman" w:hAnsi="Times New Roman" w:cs="Times New Roman"/>
                <w:color w:val="auto"/>
                <w:szCs w:val="21"/>
                <w:highlight w:val="none"/>
                <w:lang w:val="en-US" w:eastAsia="zh-CN"/>
              </w:rPr>
              <w:t>、SO</w:t>
            </w:r>
            <w:r>
              <w:rPr>
                <w:rFonts w:hint="default" w:ascii="Times New Roman" w:hAnsi="Times New Roman" w:cs="Times New Roman"/>
                <w:color w:val="auto"/>
                <w:szCs w:val="21"/>
                <w:highlight w:val="none"/>
                <w:vertAlign w:val="subscript"/>
                <w:lang w:val="en-US" w:eastAsia="zh-CN"/>
              </w:rPr>
              <w:t>2</w:t>
            </w:r>
            <w:r>
              <w:rPr>
                <w:rFonts w:hint="default" w:ascii="Times New Roman" w:hAnsi="Times New Roman" w:cs="Times New Roman"/>
                <w:color w:val="auto"/>
                <w:szCs w:val="21"/>
                <w:highlight w:val="none"/>
                <w:lang w:val="en-US" w:eastAsia="zh-CN"/>
              </w:rPr>
              <w:t>、NOx</w:t>
            </w:r>
          </w:p>
        </w:tc>
        <w:tc>
          <w:tcPr>
            <w:tcW w:w="2087" w:type="dxa"/>
            <w:noWrap w:val="0"/>
            <w:vAlign w:val="center"/>
          </w:tcPr>
          <w:p w14:paraId="6D121986">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both"/>
              <w:textAlignment w:val="auto"/>
              <w:rPr>
                <w:rFonts w:hint="eastAsia"/>
                <w:color w:val="auto"/>
                <w:highlight w:val="none"/>
                <w:lang w:val="en-US" w:eastAsia="zh-CN"/>
              </w:rPr>
            </w:pPr>
            <w:r>
              <w:rPr>
                <w:rFonts w:hint="eastAsia"/>
                <w:color w:val="auto"/>
                <w:highlight w:val="none"/>
                <w:lang w:val="en-US" w:eastAsia="zh-CN"/>
              </w:rPr>
              <w:t>采用SNCR脱硝+SCR脱硝+袋式除尘+石灰石-石膏法脱硫+双碱法脱硫最终经过37m高（DA002）排气筒排放。</w:t>
            </w:r>
          </w:p>
        </w:tc>
        <w:tc>
          <w:tcPr>
            <w:tcW w:w="2449" w:type="dxa"/>
            <w:noWrap w:val="0"/>
            <w:vAlign w:val="center"/>
          </w:tcPr>
          <w:p w14:paraId="60657380">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both"/>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val="en-US" w:eastAsia="zh-CN"/>
              </w:rPr>
              <w:t>烟（粉）尘满足《工业炉窑大气污染物排放标准》（GB9078-1996）二级标准；SO</w:t>
            </w:r>
            <w:r>
              <w:rPr>
                <w:rFonts w:hint="default" w:ascii="Times New Roman" w:hAnsi="Times New Roman" w:cs="Times New Roman"/>
                <w:color w:val="auto"/>
                <w:szCs w:val="21"/>
                <w:highlight w:val="none"/>
                <w:vertAlign w:val="subscript"/>
                <w:lang w:val="en-US" w:eastAsia="zh-CN"/>
              </w:rPr>
              <w:t>2</w:t>
            </w:r>
            <w:r>
              <w:rPr>
                <w:rFonts w:hint="default" w:ascii="Times New Roman" w:hAnsi="Times New Roman" w:cs="Times New Roman"/>
                <w:color w:val="auto"/>
                <w:szCs w:val="21"/>
                <w:highlight w:val="none"/>
                <w:lang w:val="en-US" w:eastAsia="zh-CN"/>
              </w:rPr>
              <w:t>、NOx满足《大气污染物综合排放标准》（GB16297-1996）表2中二级标准</w:t>
            </w:r>
          </w:p>
        </w:tc>
      </w:tr>
      <w:tr w14:paraId="247704D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45" w:hRule="atLeast"/>
          <w:jc w:val="center"/>
        </w:trPr>
        <w:tc>
          <w:tcPr>
            <w:tcW w:w="1778" w:type="dxa"/>
            <w:noWrap w:val="0"/>
            <w:vAlign w:val="center"/>
          </w:tcPr>
          <w:p w14:paraId="52BD9542">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地表水环境</w:t>
            </w:r>
          </w:p>
        </w:tc>
        <w:tc>
          <w:tcPr>
            <w:tcW w:w="7022" w:type="dxa"/>
            <w:gridSpan w:val="4"/>
            <w:noWrap w:val="0"/>
            <w:vAlign w:val="center"/>
          </w:tcPr>
          <w:p w14:paraId="164E3773">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both"/>
              <w:textAlignment w:val="auto"/>
              <w:rPr>
                <w:rFonts w:hint="default"/>
                <w:color w:val="auto"/>
                <w:highlight w:val="none"/>
                <w:lang w:val="en-US" w:eastAsia="zh-CN"/>
              </w:rPr>
            </w:pPr>
            <w:r>
              <w:rPr>
                <w:rFonts w:hint="eastAsia"/>
                <w:color w:val="auto"/>
                <w:highlight w:val="none"/>
                <w:lang w:val="en-US" w:eastAsia="zh-CN"/>
              </w:rPr>
              <w:t>①</w:t>
            </w:r>
            <w:r>
              <w:rPr>
                <w:rFonts w:hint="default"/>
                <w:color w:val="auto"/>
                <w:highlight w:val="none"/>
                <w:lang w:val="en-US" w:eastAsia="zh-CN"/>
              </w:rPr>
              <w:t>降尘喷淋水：生产车间设置2台雾炮，用于洒水降尘，全部损耗，不回收；</w:t>
            </w:r>
          </w:p>
          <w:p w14:paraId="4EB8FEAF">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both"/>
              <w:textAlignment w:val="auto"/>
              <w:rPr>
                <w:rFonts w:hint="default"/>
                <w:color w:val="auto"/>
                <w:highlight w:val="none"/>
                <w:lang w:val="en-US" w:eastAsia="zh-CN"/>
              </w:rPr>
            </w:pPr>
            <w:r>
              <w:rPr>
                <w:rFonts w:hint="eastAsia"/>
                <w:color w:val="auto"/>
                <w:highlight w:val="none"/>
                <w:lang w:val="en-US" w:eastAsia="zh-CN"/>
              </w:rPr>
              <w:t>②</w:t>
            </w:r>
            <w:r>
              <w:rPr>
                <w:rFonts w:hint="default"/>
                <w:color w:val="auto"/>
                <w:highlight w:val="none"/>
                <w:lang w:val="en-US" w:eastAsia="zh-CN"/>
              </w:rPr>
              <w:t>脱硫废水</w:t>
            </w:r>
            <w:r>
              <w:rPr>
                <w:rFonts w:hint="eastAsia"/>
                <w:color w:val="auto"/>
                <w:highlight w:val="none"/>
                <w:lang w:val="en-US" w:eastAsia="zh-CN"/>
              </w:rPr>
              <w:t>：</w:t>
            </w:r>
            <w:r>
              <w:rPr>
                <w:rFonts w:hint="default"/>
                <w:color w:val="auto"/>
                <w:highlight w:val="none"/>
                <w:lang w:val="en-US" w:eastAsia="zh-CN"/>
              </w:rPr>
              <w:t>经循环水池用于脱硫塔循环补水，不外排。</w:t>
            </w:r>
          </w:p>
          <w:p w14:paraId="49EA34E6">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both"/>
              <w:textAlignment w:val="auto"/>
              <w:rPr>
                <w:rFonts w:hint="default"/>
                <w:color w:val="auto"/>
                <w:highlight w:val="none"/>
                <w:lang w:val="en-US" w:eastAsia="zh-CN"/>
              </w:rPr>
            </w:pPr>
            <w:r>
              <w:rPr>
                <w:rFonts w:hint="eastAsia"/>
                <w:color w:val="auto"/>
                <w:highlight w:val="none"/>
                <w:lang w:val="en-US" w:eastAsia="zh-CN"/>
              </w:rPr>
              <w:t>③</w:t>
            </w:r>
            <w:r>
              <w:rPr>
                <w:rFonts w:hint="default"/>
                <w:color w:val="auto"/>
                <w:highlight w:val="none"/>
                <w:lang w:val="en-US" w:eastAsia="zh-CN"/>
              </w:rPr>
              <w:t>初期雨水：初期雨水经</w:t>
            </w:r>
            <w:r>
              <w:rPr>
                <w:rFonts w:hint="eastAsia"/>
                <w:color w:val="auto"/>
                <w:highlight w:val="none"/>
                <w:lang w:val="en-US" w:eastAsia="zh-CN"/>
              </w:rPr>
              <w:t>390</w:t>
            </w:r>
            <w:r>
              <w:rPr>
                <w:rFonts w:hint="default"/>
                <w:color w:val="auto"/>
                <w:highlight w:val="none"/>
                <w:lang w:val="en-US" w:eastAsia="zh-CN"/>
              </w:rPr>
              <w:t>m³的</w:t>
            </w:r>
            <w:r>
              <w:rPr>
                <w:rFonts w:hint="eastAsia"/>
                <w:color w:val="auto"/>
                <w:highlight w:val="none"/>
                <w:lang w:val="en-US" w:eastAsia="zh-CN"/>
              </w:rPr>
              <w:t>初期雨水</w:t>
            </w:r>
            <w:r>
              <w:rPr>
                <w:rFonts w:hint="default"/>
                <w:color w:val="auto"/>
                <w:highlight w:val="none"/>
                <w:lang w:val="en-US" w:eastAsia="zh-CN"/>
              </w:rPr>
              <w:t>收集沉淀后，用于</w:t>
            </w:r>
            <w:r>
              <w:rPr>
                <w:rFonts w:hint="eastAsia"/>
                <w:color w:val="auto"/>
                <w:highlight w:val="none"/>
                <w:lang w:val="en-US" w:eastAsia="zh-CN"/>
              </w:rPr>
              <w:t>堆场</w:t>
            </w:r>
            <w:r>
              <w:rPr>
                <w:rFonts w:hint="default"/>
                <w:color w:val="auto"/>
                <w:highlight w:val="none"/>
                <w:lang w:val="en-US" w:eastAsia="zh-CN"/>
              </w:rPr>
              <w:t>内洒水抑尘。</w:t>
            </w:r>
          </w:p>
          <w:p w14:paraId="56117BA7">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both"/>
              <w:textAlignment w:val="auto"/>
              <w:rPr>
                <w:rFonts w:hint="eastAsia"/>
                <w:color w:val="auto"/>
                <w:highlight w:val="none"/>
                <w:lang w:val="en-US" w:eastAsia="zh-CN"/>
              </w:rPr>
            </w:pPr>
            <w:r>
              <w:rPr>
                <w:rFonts w:hint="eastAsia"/>
                <w:color w:val="auto"/>
                <w:highlight w:val="none"/>
                <w:lang w:val="en-US" w:eastAsia="zh-CN"/>
              </w:rPr>
              <w:t>④事故废水：本项目新建415m³事故池，用于事故废水的存放，与园区事故废水池联通，确保事故状态下废水不进入外环境。</w:t>
            </w:r>
          </w:p>
          <w:p w14:paraId="51D5B3E0">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both"/>
              <w:textAlignment w:val="auto"/>
              <w:rPr>
                <w:rFonts w:hint="eastAsia"/>
                <w:color w:val="auto"/>
                <w:highlight w:val="none"/>
                <w:lang w:val="en-US" w:eastAsia="zh-CN"/>
              </w:rPr>
            </w:pPr>
            <w:r>
              <w:rPr>
                <w:rFonts w:hint="eastAsia"/>
                <w:color w:val="auto"/>
                <w:highlight w:val="none"/>
                <w:lang w:val="en-US" w:eastAsia="zh-CN"/>
              </w:rPr>
              <w:t>⑤生活污水：内新建化粪池（10m³）集中收集后，最终排入园区内污水处理厂处理。</w:t>
            </w:r>
          </w:p>
          <w:p w14:paraId="3961A441">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both"/>
              <w:textAlignment w:val="auto"/>
              <w:rPr>
                <w:rFonts w:hint="default" w:ascii="Times New Roman" w:hAnsi="Times New Roman" w:cs="Times New Roman"/>
                <w:color w:val="auto"/>
                <w:szCs w:val="21"/>
                <w:highlight w:val="none"/>
                <w:lang w:val="en-US"/>
              </w:rPr>
            </w:pPr>
            <w:r>
              <w:rPr>
                <w:rFonts w:hint="eastAsia"/>
                <w:color w:val="auto"/>
                <w:highlight w:val="none"/>
                <w:lang w:val="en-US" w:eastAsia="zh-CN"/>
              </w:rPr>
              <w:t>本项目无外排废水产生，对周围地表水环境影响较小。</w:t>
            </w:r>
          </w:p>
        </w:tc>
      </w:tr>
      <w:tr w14:paraId="2C94773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78" w:type="dxa"/>
            <w:noWrap w:val="0"/>
            <w:vAlign w:val="center"/>
          </w:tcPr>
          <w:p w14:paraId="15A49882">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声环境</w:t>
            </w:r>
          </w:p>
        </w:tc>
        <w:tc>
          <w:tcPr>
            <w:tcW w:w="1566" w:type="dxa"/>
            <w:noWrap w:val="0"/>
            <w:vAlign w:val="center"/>
          </w:tcPr>
          <w:p w14:paraId="75D8C512">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szCs w:val="21"/>
                <w:highlight w:val="none"/>
                <w:lang w:eastAsia="zh-CN"/>
              </w:rPr>
            </w:pPr>
            <w:r>
              <w:rPr>
                <w:rFonts w:hint="eastAsia" w:cs="Times New Roman"/>
                <w:color w:val="auto"/>
                <w:szCs w:val="21"/>
                <w:highlight w:val="none"/>
                <w:lang w:eastAsia="zh-CN"/>
              </w:rPr>
              <w:t>设备运行</w:t>
            </w:r>
          </w:p>
        </w:tc>
        <w:tc>
          <w:tcPr>
            <w:tcW w:w="920" w:type="dxa"/>
            <w:noWrap w:val="0"/>
            <w:vAlign w:val="center"/>
          </w:tcPr>
          <w:p w14:paraId="507DD77C">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szCs w:val="21"/>
                <w:highlight w:val="none"/>
                <w:lang w:eastAsia="zh-CN"/>
              </w:rPr>
            </w:pPr>
            <w:r>
              <w:rPr>
                <w:rFonts w:hint="eastAsia" w:cs="Times New Roman"/>
                <w:color w:val="auto"/>
                <w:szCs w:val="21"/>
                <w:highlight w:val="none"/>
                <w:lang w:eastAsia="zh-CN"/>
              </w:rPr>
              <w:t>噪声</w:t>
            </w:r>
          </w:p>
        </w:tc>
        <w:tc>
          <w:tcPr>
            <w:tcW w:w="2087" w:type="dxa"/>
            <w:noWrap w:val="0"/>
            <w:vAlign w:val="center"/>
          </w:tcPr>
          <w:p w14:paraId="472DC90C">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both"/>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val="en-US" w:eastAsia="zh-CN"/>
              </w:rPr>
              <w:t>厂房隔声，设备选型上，考虑低噪声，并配备相应的消音部件，如减振垫、消音器等，并相对集中在密闭厂房内；除尘器风机置于厂房外，采取设置减震垫等措施；</w:t>
            </w:r>
          </w:p>
        </w:tc>
        <w:tc>
          <w:tcPr>
            <w:tcW w:w="2449" w:type="dxa"/>
            <w:noWrap w:val="0"/>
            <w:vAlign w:val="center"/>
          </w:tcPr>
          <w:p w14:paraId="1E0ACDB9">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both"/>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val="en-US" w:eastAsia="zh-CN"/>
              </w:rPr>
              <w:t>《工业企业厂界环境噪声排放标准》</w:t>
            </w:r>
            <w:r>
              <w:rPr>
                <w:rFonts w:hint="eastAsia" w:cs="Times New Roman"/>
                <w:color w:val="auto"/>
                <w:szCs w:val="21"/>
                <w:highlight w:val="none"/>
                <w:lang w:val="en-US" w:eastAsia="zh-CN"/>
              </w:rPr>
              <w:t>（</w:t>
            </w:r>
            <w:r>
              <w:rPr>
                <w:rFonts w:hint="default" w:ascii="Times New Roman" w:hAnsi="Times New Roman" w:cs="Times New Roman"/>
                <w:color w:val="auto"/>
                <w:szCs w:val="21"/>
                <w:highlight w:val="none"/>
                <w:lang w:val="en-US" w:eastAsia="zh-CN"/>
              </w:rPr>
              <w:t>GB12348-2008</w:t>
            </w:r>
            <w:r>
              <w:rPr>
                <w:rFonts w:hint="eastAsia" w:cs="Times New Roman"/>
                <w:color w:val="auto"/>
                <w:szCs w:val="21"/>
                <w:highlight w:val="none"/>
                <w:lang w:val="en-US" w:eastAsia="zh-CN"/>
              </w:rPr>
              <w:t>）3</w:t>
            </w:r>
            <w:r>
              <w:rPr>
                <w:rFonts w:hint="default" w:ascii="Times New Roman" w:hAnsi="Times New Roman" w:cs="Times New Roman"/>
                <w:color w:val="auto"/>
                <w:szCs w:val="21"/>
                <w:highlight w:val="none"/>
                <w:lang w:val="en-US" w:eastAsia="zh-CN"/>
              </w:rPr>
              <w:t>类标准</w:t>
            </w:r>
          </w:p>
        </w:tc>
      </w:tr>
      <w:tr w14:paraId="01EEF1F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78" w:type="dxa"/>
            <w:noWrap w:val="0"/>
            <w:vAlign w:val="center"/>
          </w:tcPr>
          <w:p w14:paraId="3267BB05">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电磁辐射</w:t>
            </w:r>
          </w:p>
        </w:tc>
        <w:tc>
          <w:tcPr>
            <w:tcW w:w="1566" w:type="dxa"/>
            <w:noWrap w:val="0"/>
            <w:vAlign w:val="center"/>
          </w:tcPr>
          <w:p w14:paraId="3C578C72">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w:t>
            </w:r>
          </w:p>
        </w:tc>
        <w:tc>
          <w:tcPr>
            <w:tcW w:w="920" w:type="dxa"/>
            <w:noWrap w:val="0"/>
            <w:vAlign w:val="center"/>
          </w:tcPr>
          <w:p w14:paraId="25056146">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w:t>
            </w:r>
          </w:p>
        </w:tc>
        <w:tc>
          <w:tcPr>
            <w:tcW w:w="2087" w:type="dxa"/>
            <w:noWrap w:val="0"/>
            <w:vAlign w:val="center"/>
          </w:tcPr>
          <w:p w14:paraId="6F81D5A7">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w:t>
            </w:r>
          </w:p>
        </w:tc>
        <w:tc>
          <w:tcPr>
            <w:tcW w:w="2449" w:type="dxa"/>
            <w:noWrap w:val="0"/>
            <w:vAlign w:val="center"/>
          </w:tcPr>
          <w:p w14:paraId="49930834">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w:t>
            </w:r>
          </w:p>
        </w:tc>
      </w:tr>
      <w:tr w14:paraId="7168B1F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778" w:type="dxa"/>
            <w:noWrap w:val="0"/>
            <w:vAlign w:val="center"/>
          </w:tcPr>
          <w:p w14:paraId="6D86A443">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固体废物</w:t>
            </w:r>
          </w:p>
        </w:tc>
        <w:tc>
          <w:tcPr>
            <w:tcW w:w="7022" w:type="dxa"/>
            <w:gridSpan w:val="4"/>
            <w:noWrap w:val="0"/>
            <w:vAlign w:val="center"/>
          </w:tcPr>
          <w:p w14:paraId="5A76BC57">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both"/>
              <w:textAlignment w:val="auto"/>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①不可利用煤系高岭土：直接外售周边建材市场进行综合利用。</w:t>
            </w:r>
          </w:p>
          <w:p w14:paraId="3FAD74A3">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both"/>
              <w:textAlignment w:val="auto"/>
              <w:rPr>
                <w:rFonts w:hint="eastAsia" w:cs="Times New Roman"/>
                <w:color w:val="auto"/>
                <w:kern w:val="2"/>
                <w:sz w:val="21"/>
                <w:szCs w:val="21"/>
                <w:highlight w:val="none"/>
                <w:vertAlign w:val="baseline"/>
                <w:lang w:val="en-US" w:eastAsia="zh-CN" w:bidi="ar-SA"/>
              </w:rPr>
            </w:pPr>
            <w:r>
              <w:rPr>
                <w:rFonts w:hint="default" w:ascii="Times New Roman" w:hAnsi="Times New Roman" w:cs="Times New Roman"/>
                <w:color w:val="auto"/>
                <w:szCs w:val="21"/>
                <w:highlight w:val="none"/>
                <w:lang w:val="en-US" w:eastAsia="zh-CN"/>
              </w:rPr>
              <w:t>②废脱硫石膏：收集暂存于一般固废暂存间内，</w:t>
            </w:r>
            <w:r>
              <w:rPr>
                <w:rFonts w:hint="eastAsia" w:cs="Times New Roman"/>
                <w:color w:val="auto"/>
                <w:kern w:val="2"/>
                <w:sz w:val="21"/>
                <w:szCs w:val="21"/>
                <w:highlight w:val="none"/>
                <w:vertAlign w:val="baseline"/>
                <w:lang w:val="en-US" w:eastAsia="zh-CN" w:bidi="ar-SA"/>
              </w:rPr>
              <w:t>暂存于一般固废暂存间内，定期拉运至园区一般固废填埋场进行填埋处理；</w:t>
            </w:r>
          </w:p>
          <w:p w14:paraId="5F2B6E73">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both"/>
              <w:textAlignment w:val="auto"/>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③除尘灰：</w:t>
            </w:r>
            <w:r>
              <w:rPr>
                <w:rFonts w:hint="eastAsia" w:cs="Times New Roman"/>
                <w:color w:val="auto"/>
                <w:kern w:val="2"/>
                <w:sz w:val="21"/>
                <w:szCs w:val="21"/>
                <w:highlight w:val="none"/>
                <w:vertAlign w:val="baseline"/>
                <w:lang w:val="en-US" w:eastAsia="zh-CN" w:bidi="ar-SA"/>
              </w:rPr>
              <w:t>暂存于一般固废暂存间内，定期拉运至园区一般固废填埋场进行填埋处理；</w:t>
            </w:r>
          </w:p>
          <w:p w14:paraId="4A50176D">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cs="Times New Roman"/>
                <w:color w:val="auto"/>
                <w:kern w:val="2"/>
                <w:sz w:val="21"/>
                <w:szCs w:val="21"/>
                <w:highlight w:val="none"/>
                <w:vertAlign w:val="baseline"/>
                <w:lang w:val="en-US" w:eastAsia="zh-CN" w:bidi="ar-SA"/>
              </w:rPr>
            </w:pPr>
            <w:r>
              <w:rPr>
                <w:rFonts w:hint="default" w:ascii="Times New Roman" w:hAnsi="Times New Roman" w:cs="Times New Roman"/>
                <w:color w:val="auto"/>
                <w:szCs w:val="21"/>
                <w:highlight w:val="none"/>
                <w:lang w:val="en-US" w:eastAsia="zh-CN"/>
              </w:rPr>
              <w:t>④</w:t>
            </w:r>
            <w:r>
              <w:rPr>
                <w:rFonts w:hint="eastAsia" w:cs="Times New Roman"/>
                <w:color w:val="auto"/>
                <w:kern w:val="2"/>
                <w:sz w:val="21"/>
                <w:szCs w:val="21"/>
                <w:highlight w:val="none"/>
                <w:vertAlign w:val="baseline"/>
                <w:lang w:val="en-US" w:eastAsia="zh-CN" w:bidi="ar-SA"/>
              </w:rPr>
              <w:t>废催化剂：本项目产生的废催化剂属于危险废物（HW50，772-007-50）暂存于危险废物暂存间内，定期交由有资质单位进行处置。</w:t>
            </w:r>
          </w:p>
          <w:p w14:paraId="43CC2D49">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both"/>
              <w:textAlignment w:val="auto"/>
              <w:rPr>
                <w:rFonts w:hint="default" w:ascii="Times New Roman" w:hAnsi="Times New Roman" w:cs="Times New Roman"/>
                <w:color w:val="auto"/>
                <w:szCs w:val="21"/>
                <w:highlight w:val="none"/>
              </w:rPr>
            </w:pPr>
            <w:r>
              <w:rPr>
                <w:rFonts w:hint="eastAsia" w:cs="Times New Roman"/>
                <w:color w:val="auto"/>
                <w:kern w:val="2"/>
                <w:sz w:val="21"/>
                <w:szCs w:val="21"/>
                <w:highlight w:val="none"/>
                <w:vertAlign w:val="baseline"/>
                <w:lang w:val="en-US" w:eastAsia="zh-CN" w:bidi="ar-SA"/>
              </w:rPr>
              <w:t>⑤</w:t>
            </w:r>
            <w:r>
              <w:rPr>
                <w:rFonts w:hint="default" w:ascii="Times New Roman" w:hAnsi="Times New Roman" w:cs="Times New Roman"/>
                <w:color w:val="auto"/>
                <w:szCs w:val="21"/>
                <w:highlight w:val="none"/>
                <w:lang w:val="en-US" w:eastAsia="zh-CN"/>
              </w:rPr>
              <w:t>生活垃圾：厂区内设置2个垃圾桶，统一收集后，定期交由当地环卫部门清运。</w:t>
            </w:r>
          </w:p>
        </w:tc>
      </w:tr>
      <w:tr w14:paraId="35D8C70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76" w:hRule="atLeast"/>
          <w:jc w:val="center"/>
        </w:trPr>
        <w:tc>
          <w:tcPr>
            <w:tcW w:w="1778" w:type="dxa"/>
            <w:noWrap w:val="0"/>
            <w:vAlign w:val="center"/>
          </w:tcPr>
          <w:p w14:paraId="65EC46D6">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土壤及地下水</w:t>
            </w:r>
          </w:p>
          <w:p w14:paraId="0F584ECB">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污染防治措施</w:t>
            </w:r>
          </w:p>
        </w:tc>
        <w:tc>
          <w:tcPr>
            <w:tcW w:w="7022" w:type="dxa"/>
            <w:gridSpan w:val="4"/>
            <w:noWrap w:val="0"/>
            <w:vAlign w:val="center"/>
          </w:tcPr>
          <w:p w14:paraId="11AFF9AB">
            <w:pPr>
              <w:keepNext w:val="0"/>
              <w:keepLines w:val="0"/>
              <w:pageBreakBefore w:val="0"/>
              <w:widowControl w:val="0"/>
              <w:kinsoku/>
              <w:wordWrap/>
              <w:overflowPunct/>
              <w:topLinePunct w:val="0"/>
              <w:autoSpaceDE w:val="0"/>
              <w:autoSpaceDN w:val="0"/>
              <w:bidi w:val="0"/>
              <w:adjustRightInd/>
              <w:snapToGrid/>
              <w:spacing w:line="240" w:lineRule="auto"/>
              <w:ind w:firstLine="420" w:firstLineChars="200"/>
              <w:textAlignment w:val="auto"/>
              <w:rPr>
                <w:rFonts w:hint="eastAsia"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本项目实行分区防渗，全封闭生产车间及运输道路进行简单防渗处理；对脱硫循环水池、事故池、初期雨水收集池进行一般防渗处理；危险废物暂存间采用重点防渗；具体防渗措施如下：</w:t>
            </w:r>
          </w:p>
          <w:p w14:paraId="3D18BC96">
            <w:pPr>
              <w:keepNext w:val="0"/>
              <w:keepLines w:val="0"/>
              <w:pageBreakBefore w:val="0"/>
              <w:widowControl w:val="0"/>
              <w:kinsoku/>
              <w:wordWrap/>
              <w:overflowPunct/>
              <w:topLinePunct w:val="0"/>
              <w:autoSpaceDE w:val="0"/>
              <w:autoSpaceDN w:val="0"/>
              <w:bidi w:val="0"/>
              <w:adjustRightInd/>
              <w:snapToGrid/>
              <w:spacing w:line="240" w:lineRule="auto"/>
              <w:ind w:firstLine="420" w:firstLineChars="200"/>
              <w:textAlignment w:val="auto"/>
              <w:rPr>
                <w:rFonts w:hint="eastAsia"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简单防渗：进行水泥地面硬化。</w:t>
            </w:r>
          </w:p>
          <w:p w14:paraId="68FB64C4">
            <w:pPr>
              <w:keepNext w:val="0"/>
              <w:keepLines w:val="0"/>
              <w:pageBreakBefore w:val="0"/>
              <w:widowControl w:val="0"/>
              <w:kinsoku/>
              <w:wordWrap/>
              <w:overflowPunct/>
              <w:topLinePunct w:val="0"/>
              <w:autoSpaceDE w:val="0"/>
              <w:autoSpaceDN w:val="0"/>
              <w:bidi w:val="0"/>
              <w:adjustRightInd/>
              <w:snapToGrid/>
              <w:spacing w:line="240" w:lineRule="auto"/>
              <w:ind w:firstLine="420" w:firstLineChars="200"/>
              <w:textAlignment w:val="auto"/>
              <w:rPr>
                <w:rFonts w:hint="eastAsia"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一般防渗：要求防渗性能等效粘土防渗层Mb≥1.5m，K≤1×10</w:t>
            </w:r>
            <w:r>
              <w:rPr>
                <w:rFonts w:hint="eastAsia" w:cs="Times New Roman"/>
                <w:color w:val="auto"/>
                <w:kern w:val="2"/>
                <w:sz w:val="21"/>
                <w:szCs w:val="21"/>
                <w:highlight w:val="none"/>
                <w:vertAlign w:val="superscript"/>
                <w:lang w:val="en-US" w:eastAsia="zh-CN" w:bidi="ar-SA"/>
              </w:rPr>
              <w:t>-7</w:t>
            </w:r>
            <w:r>
              <w:rPr>
                <w:rFonts w:hint="eastAsia" w:cs="Times New Roman"/>
                <w:color w:val="auto"/>
                <w:kern w:val="2"/>
                <w:sz w:val="21"/>
                <w:szCs w:val="21"/>
                <w:highlight w:val="none"/>
                <w:vertAlign w:val="baseline"/>
                <w:lang w:val="en-US" w:eastAsia="zh-CN" w:bidi="ar-SA"/>
              </w:rPr>
              <w:t>cm/s，经过防渗处理后可防止系统内废水流向地下水环境。</w:t>
            </w:r>
          </w:p>
          <w:p w14:paraId="208C24E6">
            <w:pPr>
              <w:keepNext w:val="0"/>
              <w:keepLines w:val="0"/>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default" w:ascii="Times New Roman" w:hAnsi="Times New Roman" w:cs="Times New Roman"/>
                <w:color w:val="auto"/>
                <w:szCs w:val="21"/>
                <w:highlight w:val="none"/>
              </w:rPr>
            </w:pPr>
            <w:r>
              <w:rPr>
                <w:rFonts w:hint="eastAsia" w:cs="Times New Roman"/>
                <w:color w:val="auto"/>
                <w:kern w:val="2"/>
                <w:sz w:val="21"/>
                <w:szCs w:val="21"/>
                <w:highlight w:val="none"/>
                <w:vertAlign w:val="baseline"/>
                <w:lang w:val="en-US" w:eastAsia="zh-CN" w:bidi="ar-SA"/>
              </w:rPr>
              <w:t>重点防渗措施：危险废物暂存间按照《危险废物贮存污染控制标准》（GB18597-2023）设计为封闭式、防雨、防风、防晒，危险废物危险废物暂存间地面及裙角、泄漏液体集液池均按照《危险废物贮存污染控制标准》（GB18597-2023）相关内容进行防渗，防渗层为至少1m厚黏土层（渗透系数≤1.0×10</w:t>
            </w:r>
            <w:r>
              <w:rPr>
                <w:rFonts w:hint="eastAsia" w:cs="Times New Roman"/>
                <w:color w:val="auto"/>
                <w:kern w:val="2"/>
                <w:sz w:val="21"/>
                <w:szCs w:val="21"/>
                <w:highlight w:val="none"/>
                <w:vertAlign w:val="superscript"/>
                <w:lang w:val="en-US" w:eastAsia="zh-CN" w:bidi="ar-SA"/>
              </w:rPr>
              <w:t>-7</w:t>
            </w:r>
            <w:r>
              <w:rPr>
                <w:rFonts w:hint="eastAsia" w:cs="Times New Roman"/>
                <w:color w:val="auto"/>
                <w:kern w:val="2"/>
                <w:sz w:val="21"/>
                <w:szCs w:val="21"/>
                <w:highlight w:val="none"/>
                <w:vertAlign w:val="baseline"/>
                <w:lang w:val="en-US" w:eastAsia="zh-CN" w:bidi="ar-SA"/>
              </w:rPr>
              <w:t>cm/s），或2mm厚高密度聚乙烯，或至少2mm厚的其它人工材料，总体渗透系数≤1.0×10</w:t>
            </w:r>
            <w:r>
              <w:rPr>
                <w:rFonts w:hint="eastAsia" w:cs="Times New Roman"/>
                <w:color w:val="auto"/>
                <w:kern w:val="2"/>
                <w:sz w:val="21"/>
                <w:szCs w:val="21"/>
                <w:highlight w:val="none"/>
                <w:vertAlign w:val="superscript"/>
                <w:lang w:val="en-US" w:eastAsia="zh-CN" w:bidi="ar-SA"/>
              </w:rPr>
              <w:t>-10</w:t>
            </w:r>
            <w:r>
              <w:rPr>
                <w:rFonts w:hint="eastAsia" w:cs="Times New Roman"/>
                <w:color w:val="auto"/>
                <w:kern w:val="2"/>
                <w:sz w:val="21"/>
                <w:szCs w:val="21"/>
                <w:highlight w:val="none"/>
                <w:vertAlign w:val="baseline"/>
                <w:lang w:val="en-US" w:eastAsia="zh-CN" w:bidi="ar-SA"/>
              </w:rPr>
              <w:t>cm/s。</w:t>
            </w:r>
          </w:p>
        </w:tc>
      </w:tr>
      <w:tr w14:paraId="4466017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7" w:hRule="atLeast"/>
          <w:jc w:val="center"/>
        </w:trPr>
        <w:tc>
          <w:tcPr>
            <w:tcW w:w="1778" w:type="dxa"/>
            <w:noWrap w:val="0"/>
            <w:vAlign w:val="center"/>
          </w:tcPr>
          <w:p w14:paraId="6230D5A4">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生态保护措施</w:t>
            </w:r>
          </w:p>
        </w:tc>
        <w:tc>
          <w:tcPr>
            <w:tcW w:w="7022" w:type="dxa"/>
            <w:gridSpan w:val="4"/>
            <w:noWrap w:val="0"/>
            <w:vAlign w:val="center"/>
          </w:tcPr>
          <w:p w14:paraId="42248883">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w:t>
            </w:r>
          </w:p>
        </w:tc>
      </w:tr>
      <w:tr w14:paraId="2C24386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1778" w:type="dxa"/>
            <w:noWrap w:val="0"/>
            <w:vAlign w:val="center"/>
          </w:tcPr>
          <w:p w14:paraId="41E95BA7">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color w:val="auto"/>
                <w:spacing w:val="-8"/>
                <w:szCs w:val="21"/>
                <w:highlight w:val="none"/>
              </w:rPr>
            </w:pPr>
            <w:r>
              <w:rPr>
                <w:rFonts w:hint="default" w:ascii="Times New Roman" w:hAnsi="Times New Roman" w:cs="Times New Roman"/>
                <w:color w:val="auto"/>
                <w:spacing w:val="-8"/>
                <w:szCs w:val="21"/>
                <w:highlight w:val="none"/>
              </w:rPr>
              <w:t>环境风险</w:t>
            </w:r>
          </w:p>
          <w:p w14:paraId="2C668134">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color w:val="auto"/>
                <w:spacing w:val="-8"/>
                <w:szCs w:val="21"/>
                <w:highlight w:val="none"/>
              </w:rPr>
            </w:pPr>
            <w:r>
              <w:rPr>
                <w:rFonts w:hint="default" w:ascii="Times New Roman" w:hAnsi="Times New Roman" w:cs="Times New Roman"/>
                <w:color w:val="auto"/>
                <w:spacing w:val="-8"/>
                <w:szCs w:val="21"/>
                <w:highlight w:val="none"/>
              </w:rPr>
              <w:t>防范措施</w:t>
            </w:r>
          </w:p>
        </w:tc>
        <w:tc>
          <w:tcPr>
            <w:tcW w:w="7022" w:type="dxa"/>
            <w:gridSpan w:val="4"/>
            <w:noWrap w:val="0"/>
            <w:vAlign w:val="center"/>
          </w:tcPr>
          <w:p w14:paraId="1743FA31">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color w:val="auto"/>
                <w:szCs w:val="21"/>
                <w:highlight w:val="none"/>
              </w:rPr>
            </w:pPr>
            <w:r>
              <w:rPr>
                <w:rFonts w:hint="eastAsia" w:cs="Times New Roman"/>
                <w:color w:val="auto"/>
                <w:szCs w:val="21"/>
                <w:highlight w:val="none"/>
                <w:vertAlign w:val="baseline"/>
                <w:lang w:val="en-US" w:eastAsia="zh-CN"/>
              </w:rPr>
              <w:t>安装天然气泄露报警装置，厂区内设置415m³事故池。</w:t>
            </w:r>
          </w:p>
        </w:tc>
      </w:tr>
      <w:tr w14:paraId="45CF6D0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1778" w:type="dxa"/>
            <w:noWrap w:val="0"/>
            <w:vAlign w:val="center"/>
          </w:tcPr>
          <w:p w14:paraId="3F1627DD">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color w:val="auto"/>
                <w:spacing w:val="-8"/>
                <w:szCs w:val="21"/>
                <w:highlight w:val="none"/>
              </w:rPr>
            </w:pPr>
            <w:r>
              <w:rPr>
                <w:rFonts w:hint="default" w:ascii="Times New Roman" w:hAnsi="Times New Roman" w:cs="Times New Roman"/>
                <w:color w:val="auto"/>
                <w:spacing w:val="-8"/>
                <w:szCs w:val="21"/>
                <w:highlight w:val="none"/>
              </w:rPr>
              <w:t>其他环境</w:t>
            </w:r>
          </w:p>
          <w:p w14:paraId="4E0FD408">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color w:val="auto"/>
                <w:spacing w:val="-8"/>
                <w:szCs w:val="21"/>
                <w:highlight w:val="none"/>
              </w:rPr>
            </w:pPr>
            <w:r>
              <w:rPr>
                <w:rFonts w:hint="default" w:ascii="Times New Roman" w:hAnsi="Times New Roman" w:cs="Times New Roman"/>
                <w:color w:val="auto"/>
                <w:spacing w:val="-8"/>
                <w:szCs w:val="21"/>
                <w:highlight w:val="none"/>
              </w:rPr>
              <w:t>管理要求</w:t>
            </w:r>
          </w:p>
        </w:tc>
        <w:tc>
          <w:tcPr>
            <w:tcW w:w="7022" w:type="dxa"/>
            <w:gridSpan w:val="4"/>
            <w:noWrap w:val="0"/>
            <w:vAlign w:val="center"/>
          </w:tcPr>
          <w:p w14:paraId="62F68EA1">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设置环境管理机构和专职或兼职负责人管理环境相关事宜；要求排污口规范化设置，落实三同时并进行环保验收；制定应急计划。</w:t>
            </w:r>
          </w:p>
        </w:tc>
      </w:tr>
    </w:tbl>
    <w:p w14:paraId="70D17A02">
      <w:pPr>
        <w:pStyle w:val="20"/>
        <w:ind w:left="0" w:leftChars="0" w:firstLine="0" w:firstLineChars="0"/>
        <w:jc w:val="center"/>
        <w:outlineLvl w:val="0"/>
        <w:rPr>
          <w:rFonts w:hint="default" w:ascii="Times New Roman" w:hAnsi="Times New Roman" w:eastAsia="黑体" w:cs="Times New Roman"/>
          <w:snapToGrid w:val="0"/>
          <w:color w:val="auto"/>
          <w:sz w:val="30"/>
          <w:szCs w:val="30"/>
          <w:highlight w:val="none"/>
        </w:rPr>
      </w:pPr>
      <w:r>
        <w:rPr>
          <w:rFonts w:hint="default" w:ascii="Times New Roman" w:hAnsi="Times New Roman" w:cs="Times New Roman"/>
          <w:snapToGrid w:val="0"/>
          <w:color w:val="auto"/>
          <w:highlight w:val="none"/>
        </w:rPr>
        <w:br w:type="page"/>
      </w:r>
      <w:r>
        <w:rPr>
          <w:rFonts w:hint="default" w:ascii="Times New Roman" w:hAnsi="Times New Roman" w:eastAsia="黑体" w:cs="Times New Roman"/>
          <w:snapToGrid w:val="0"/>
          <w:color w:val="auto"/>
          <w:sz w:val="30"/>
          <w:szCs w:val="30"/>
          <w:highlight w:val="none"/>
        </w:rPr>
        <w:t>六、结论</w:t>
      </w:r>
    </w:p>
    <w:tbl>
      <w:tblPr>
        <w:tblStyle w:val="23"/>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865"/>
      </w:tblGrid>
      <w:tr w14:paraId="6D0312A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991" w:hRule="atLeast"/>
          <w:jc w:val="center"/>
        </w:trPr>
        <w:tc>
          <w:tcPr>
            <w:tcW w:w="8865" w:type="dxa"/>
            <w:noWrap w:val="0"/>
            <w:vAlign w:val="center"/>
          </w:tcPr>
          <w:p w14:paraId="6C70CCD6">
            <w:pPr>
              <w:spacing w:line="360" w:lineRule="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本项目建设符合国家产业政策；项目在落实各项污染防治措施的前提下，可以做到污染物达标排放；项目的运营对周围环境的影响较小，周围环境质量可维持现状。从环境保护的角度分析，本项目的建设是可行的。</w:t>
            </w:r>
          </w:p>
        </w:tc>
      </w:tr>
    </w:tbl>
    <w:p w14:paraId="0A875482">
      <w:pPr>
        <w:rPr>
          <w:rFonts w:hint="default" w:ascii="Times New Roman" w:hAnsi="Times New Roman" w:cs="Times New Roman"/>
          <w:color w:val="auto"/>
          <w:highlight w:val="none"/>
        </w:rPr>
        <w:sectPr>
          <w:pgSz w:w="11906" w:h="16838"/>
          <w:pgMar w:top="1440" w:right="1800" w:bottom="1440" w:left="1800" w:header="851" w:footer="851" w:gutter="0"/>
          <w:pgBorders>
            <w:top w:val="none" w:sz="0" w:space="0"/>
            <w:left w:val="none" w:sz="0" w:space="0"/>
            <w:bottom w:val="none" w:sz="0" w:space="0"/>
            <w:right w:val="none" w:sz="0" w:space="0"/>
          </w:pgBorders>
          <w:pgNumType w:fmt="numberInDash"/>
          <w:cols w:space="720" w:num="1"/>
          <w:docGrid w:linePitch="312" w:charSpace="0"/>
        </w:sectPr>
      </w:pPr>
    </w:p>
    <w:p w14:paraId="7ABBCD76">
      <w:pPr>
        <w:pStyle w:val="20"/>
        <w:adjustRightInd w:val="0"/>
        <w:snapToGrid w:val="0"/>
        <w:spacing w:before="0" w:beforeAutospacing="0" w:after="0" w:afterAutospacing="0" w:line="648" w:lineRule="auto"/>
        <w:outlineLvl w:val="0"/>
        <w:rPr>
          <w:rFonts w:hint="default" w:ascii="Times New Roman" w:hAnsi="Times New Roman" w:eastAsia="黑体" w:cs="Times New Roman"/>
          <w:snapToGrid w:val="0"/>
          <w:color w:val="auto"/>
          <w:sz w:val="32"/>
          <w:szCs w:val="32"/>
          <w:highlight w:val="none"/>
        </w:rPr>
      </w:pPr>
      <w:r>
        <w:rPr>
          <w:rFonts w:hint="default" w:ascii="Times New Roman" w:hAnsi="Times New Roman" w:eastAsia="黑体" w:cs="Times New Roman"/>
          <w:snapToGrid w:val="0"/>
          <w:color w:val="auto"/>
          <w:sz w:val="32"/>
          <w:szCs w:val="32"/>
          <w:highlight w:val="none"/>
        </w:rPr>
        <w:t>附表</w:t>
      </w:r>
    </w:p>
    <w:p w14:paraId="34713074">
      <w:pPr>
        <w:bidi w:val="0"/>
        <w:ind w:left="0" w:leftChars="0" w:firstLine="0" w:firstLineChars="0"/>
        <w:jc w:val="center"/>
        <w:rPr>
          <w:rFonts w:hint="default"/>
          <w:b/>
          <w:bCs/>
          <w:color w:val="auto"/>
          <w:highlight w:val="none"/>
          <w:lang w:val="en-US" w:eastAsia="zh-CN"/>
        </w:rPr>
      </w:pPr>
      <w:r>
        <w:rPr>
          <w:rFonts w:hint="default" w:ascii="Times New Roman" w:hAnsi="Times New Roman" w:eastAsia="方正小标宋_GBK" w:cs="Times New Roman"/>
          <w:snapToGrid w:val="0"/>
          <w:color w:val="auto"/>
          <w:sz w:val="38"/>
          <w:szCs w:val="38"/>
          <w:highlight w:val="none"/>
        </w:rPr>
        <w:t>建设项目污染物排放量汇总表</w:t>
      </w:r>
    </w:p>
    <w:tbl>
      <w:tblPr>
        <w:tblStyle w:val="23"/>
        <w:tblW w:w="9836"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133"/>
        <w:gridCol w:w="1011"/>
        <w:gridCol w:w="1029"/>
        <w:gridCol w:w="759"/>
        <w:gridCol w:w="899"/>
        <w:gridCol w:w="1006"/>
        <w:gridCol w:w="1251"/>
        <w:gridCol w:w="1515"/>
        <w:gridCol w:w="1233"/>
      </w:tblGrid>
      <w:tr w14:paraId="17C4BF6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85" w:hRule="atLeast"/>
        </w:trPr>
        <w:tc>
          <w:tcPr>
            <w:tcW w:w="1133" w:type="dxa"/>
            <w:tcBorders>
              <w:tl2br w:val="single" w:color="auto" w:sz="4" w:space="0"/>
            </w:tcBorders>
            <w:noWrap w:val="0"/>
            <w:tcMar>
              <w:left w:w="28" w:type="dxa"/>
              <w:right w:w="28" w:type="dxa"/>
            </w:tcMar>
            <w:vAlign w:val="center"/>
          </w:tcPr>
          <w:p w14:paraId="66D20BD8">
            <w:pPr>
              <w:pStyle w:val="45"/>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jc w:val="right"/>
              <w:textAlignment w:val="auto"/>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项目</w:t>
            </w:r>
          </w:p>
          <w:p w14:paraId="1CFA1ABF">
            <w:pPr>
              <w:pStyle w:val="45"/>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jc w:val="left"/>
              <w:textAlignment w:val="auto"/>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分类</w:t>
            </w:r>
          </w:p>
        </w:tc>
        <w:tc>
          <w:tcPr>
            <w:tcW w:w="1011" w:type="dxa"/>
            <w:noWrap w:val="0"/>
            <w:tcMar>
              <w:left w:w="28" w:type="dxa"/>
              <w:right w:w="28" w:type="dxa"/>
            </w:tcMar>
            <w:vAlign w:val="center"/>
          </w:tcPr>
          <w:p w14:paraId="1790D2AB">
            <w:pPr>
              <w:pStyle w:val="45"/>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textAlignment w:val="auto"/>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污染物名称</w:t>
            </w:r>
          </w:p>
        </w:tc>
        <w:tc>
          <w:tcPr>
            <w:tcW w:w="1029" w:type="dxa"/>
            <w:noWrap w:val="0"/>
            <w:tcMar>
              <w:left w:w="28" w:type="dxa"/>
              <w:right w:w="28" w:type="dxa"/>
            </w:tcMar>
            <w:vAlign w:val="center"/>
          </w:tcPr>
          <w:p w14:paraId="2E327C5A">
            <w:pPr>
              <w:pStyle w:val="45"/>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textAlignment w:val="auto"/>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现有工程</w:t>
            </w:r>
          </w:p>
          <w:p w14:paraId="7E187631">
            <w:pPr>
              <w:pStyle w:val="45"/>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textAlignment w:val="auto"/>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排放量（固体废物产生量）</w:t>
            </w:r>
            <w:r>
              <w:rPr>
                <w:rFonts w:hint="default" w:ascii="Times New Roman" w:hAnsi="Times New Roman" w:eastAsia="黑体" w:cs="Times New Roman"/>
                <w:snapToGrid w:val="0"/>
                <w:color w:val="auto"/>
                <w:spacing w:val="-6"/>
                <w:kern w:val="21"/>
                <w:szCs w:val="21"/>
                <w:highlight w:val="none"/>
              </w:rPr>
              <w:fldChar w:fldCharType="begin"/>
            </w:r>
            <w:r>
              <w:rPr>
                <w:rFonts w:hint="default" w:ascii="Times New Roman" w:hAnsi="Times New Roman" w:eastAsia="黑体" w:cs="Times New Roman"/>
                <w:snapToGrid w:val="0"/>
                <w:color w:val="auto"/>
                <w:spacing w:val="-6"/>
                <w:kern w:val="21"/>
                <w:szCs w:val="21"/>
                <w:highlight w:val="none"/>
              </w:rPr>
              <w:instrText xml:space="preserve"> = 1 \* GB3 \* MERGEFORMAT </w:instrText>
            </w:r>
            <w:r>
              <w:rPr>
                <w:rFonts w:hint="default" w:ascii="Times New Roman" w:hAnsi="Times New Roman" w:eastAsia="黑体" w:cs="Times New Roman"/>
                <w:snapToGrid w:val="0"/>
                <w:color w:val="auto"/>
                <w:spacing w:val="-6"/>
                <w:kern w:val="21"/>
                <w:szCs w:val="21"/>
                <w:highlight w:val="none"/>
              </w:rPr>
              <w:fldChar w:fldCharType="separate"/>
            </w:r>
            <w:r>
              <w:rPr>
                <w:rFonts w:hint="default" w:ascii="Times New Roman" w:hAnsi="Times New Roman" w:eastAsia="黑体" w:cs="Times New Roman"/>
                <w:color w:val="auto"/>
                <w:kern w:val="2"/>
                <w:szCs w:val="21"/>
                <w:highlight w:val="none"/>
              </w:rPr>
              <w:t>①</w:t>
            </w:r>
            <w:r>
              <w:rPr>
                <w:rFonts w:hint="default" w:ascii="Times New Roman" w:hAnsi="Times New Roman" w:eastAsia="黑体" w:cs="Times New Roman"/>
                <w:snapToGrid w:val="0"/>
                <w:color w:val="auto"/>
                <w:spacing w:val="-6"/>
                <w:kern w:val="21"/>
                <w:szCs w:val="21"/>
                <w:highlight w:val="none"/>
              </w:rPr>
              <w:fldChar w:fldCharType="end"/>
            </w:r>
          </w:p>
        </w:tc>
        <w:tc>
          <w:tcPr>
            <w:tcW w:w="759" w:type="dxa"/>
            <w:noWrap w:val="0"/>
            <w:tcMar>
              <w:left w:w="28" w:type="dxa"/>
              <w:right w:w="28" w:type="dxa"/>
            </w:tcMar>
            <w:vAlign w:val="center"/>
          </w:tcPr>
          <w:p w14:paraId="45614AA2">
            <w:pPr>
              <w:pStyle w:val="45"/>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textAlignment w:val="auto"/>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现有工程</w:t>
            </w:r>
          </w:p>
          <w:p w14:paraId="76DC1F2E">
            <w:pPr>
              <w:pStyle w:val="45"/>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textAlignment w:val="auto"/>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许可排放量</w:t>
            </w:r>
          </w:p>
          <w:p w14:paraId="68F3B449">
            <w:pPr>
              <w:pStyle w:val="45"/>
              <w:keepNext w:val="0"/>
              <w:keepLines w:val="0"/>
              <w:pageBreakBefore w:val="0"/>
              <w:widowControl w:val="0"/>
              <w:kinsoku/>
              <w:wordWrap/>
              <w:overflowPunct/>
              <w:topLinePunct w:val="0"/>
              <w:autoSpaceDE w:val="0"/>
              <w:autoSpaceDN w:val="0"/>
              <w:bidi w:val="0"/>
              <w:adjustRightInd w:val="0"/>
              <w:snapToGrid w:val="0"/>
              <w:spacing w:beforeLines="0" w:afterLines="0"/>
              <w:ind w:firstLine="0" w:firstLineChars="0"/>
              <w:textAlignment w:val="auto"/>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fldChar w:fldCharType="begin"/>
            </w:r>
            <w:r>
              <w:rPr>
                <w:rFonts w:hint="default" w:ascii="Times New Roman" w:hAnsi="Times New Roman" w:eastAsia="黑体" w:cs="Times New Roman"/>
                <w:snapToGrid w:val="0"/>
                <w:color w:val="auto"/>
                <w:spacing w:val="-6"/>
                <w:kern w:val="21"/>
                <w:szCs w:val="21"/>
                <w:highlight w:val="none"/>
              </w:rPr>
              <w:instrText xml:space="preserve"> = 2 \* GB3 \* MERGEFORMAT </w:instrText>
            </w:r>
            <w:r>
              <w:rPr>
                <w:rFonts w:hint="default" w:ascii="Times New Roman" w:hAnsi="Times New Roman" w:eastAsia="黑体" w:cs="Times New Roman"/>
                <w:snapToGrid w:val="0"/>
                <w:color w:val="auto"/>
                <w:spacing w:val="-6"/>
                <w:kern w:val="21"/>
                <w:szCs w:val="21"/>
                <w:highlight w:val="none"/>
              </w:rPr>
              <w:fldChar w:fldCharType="separate"/>
            </w:r>
            <w:r>
              <w:rPr>
                <w:rFonts w:hint="default" w:ascii="Times New Roman" w:hAnsi="Times New Roman" w:eastAsia="黑体" w:cs="Times New Roman"/>
                <w:snapToGrid w:val="0"/>
                <w:color w:val="auto"/>
                <w:spacing w:val="-6"/>
                <w:kern w:val="21"/>
                <w:szCs w:val="21"/>
                <w:highlight w:val="none"/>
              </w:rPr>
              <w:t>②</w:t>
            </w:r>
            <w:r>
              <w:rPr>
                <w:rFonts w:hint="default" w:ascii="Times New Roman" w:hAnsi="Times New Roman" w:eastAsia="黑体" w:cs="Times New Roman"/>
                <w:snapToGrid w:val="0"/>
                <w:color w:val="auto"/>
                <w:spacing w:val="-6"/>
                <w:kern w:val="21"/>
                <w:szCs w:val="21"/>
                <w:highlight w:val="none"/>
              </w:rPr>
              <w:fldChar w:fldCharType="end"/>
            </w:r>
          </w:p>
        </w:tc>
        <w:tc>
          <w:tcPr>
            <w:tcW w:w="899" w:type="dxa"/>
            <w:noWrap w:val="0"/>
            <w:tcMar>
              <w:left w:w="28" w:type="dxa"/>
              <w:right w:w="28" w:type="dxa"/>
            </w:tcMar>
            <w:vAlign w:val="center"/>
          </w:tcPr>
          <w:p w14:paraId="6CFF3576">
            <w:pPr>
              <w:pStyle w:val="45"/>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textAlignment w:val="auto"/>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在建工程</w:t>
            </w:r>
          </w:p>
          <w:p w14:paraId="2464521D">
            <w:pPr>
              <w:pStyle w:val="45"/>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textAlignment w:val="auto"/>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排放量（固体废物产生量）</w:t>
            </w:r>
            <w:r>
              <w:rPr>
                <w:rFonts w:hint="default" w:ascii="Times New Roman" w:hAnsi="Times New Roman" w:eastAsia="黑体" w:cs="Times New Roman"/>
                <w:snapToGrid w:val="0"/>
                <w:color w:val="auto"/>
                <w:spacing w:val="-6"/>
                <w:kern w:val="21"/>
                <w:szCs w:val="21"/>
                <w:highlight w:val="none"/>
              </w:rPr>
              <w:fldChar w:fldCharType="begin"/>
            </w:r>
            <w:r>
              <w:rPr>
                <w:rFonts w:hint="default" w:ascii="Times New Roman" w:hAnsi="Times New Roman" w:eastAsia="黑体" w:cs="Times New Roman"/>
                <w:snapToGrid w:val="0"/>
                <w:color w:val="auto"/>
                <w:spacing w:val="-6"/>
                <w:kern w:val="21"/>
                <w:szCs w:val="21"/>
                <w:highlight w:val="none"/>
              </w:rPr>
              <w:instrText xml:space="preserve"> = 3 \* GB3 \* MERGEFORMAT </w:instrText>
            </w:r>
            <w:r>
              <w:rPr>
                <w:rFonts w:hint="default" w:ascii="Times New Roman" w:hAnsi="Times New Roman" w:eastAsia="黑体" w:cs="Times New Roman"/>
                <w:snapToGrid w:val="0"/>
                <w:color w:val="auto"/>
                <w:spacing w:val="-6"/>
                <w:kern w:val="21"/>
                <w:szCs w:val="21"/>
                <w:highlight w:val="none"/>
              </w:rPr>
              <w:fldChar w:fldCharType="separate"/>
            </w:r>
            <w:r>
              <w:rPr>
                <w:rFonts w:hint="default" w:ascii="Times New Roman" w:hAnsi="Times New Roman" w:eastAsia="黑体" w:cs="Times New Roman"/>
                <w:color w:val="auto"/>
                <w:kern w:val="2"/>
                <w:szCs w:val="21"/>
                <w:highlight w:val="none"/>
              </w:rPr>
              <w:t>③</w:t>
            </w:r>
            <w:r>
              <w:rPr>
                <w:rFonts w:hint="default" w:ascii="Times New Roman" w:hAnsi="Times New Roman" w:eastAsia="黑体" w:cs="Times New Roman"/>
                <w:snapToGrid w:val="0"/>
                <w:color w:val="auto"/>
                <w:spacing w:val="-6"/>
                <w:kern w:val="21"/>
                <w:szCs w:val="21"/>
                <w:highlight w:val="none"/>
              </w:rPr>
              <w:fldChar w:fldCharType="end"/>
            </w:r>
          </w:p>
        </w:tc>
        <w:tc>
          <w:tcPr>
            <w:tcW w:w="1006" w:type="dxa"/>
            <w:noWrap w:val="0"/>
            <w:tcMar>
              <w:left w:w="28" w:type="dxa"/>
              <w:right w:w="28" w:type="dxa"/>
            </w:tcMar>
            <w:vAlign w:val="center"/>
          </w:tcPr>
          <w:p w14:paraId="39A4B561">
            <w:pPr>
              <w:pStyle w:val="45"/>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textAlignment w:val="auto"/>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本项目</w:t>
            </w:r>
          </w:p>
          <w:p w14:paraId="783CC951">
            <w:pPr>
              <w:pStyle w:val="45"/>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textAlignment w:val="auto"/>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排放量（固体废物产生量）</w:t>
            </w:r>
            <w:r>
              <w:rPr>
                <w:rFonts w:hint="default" w:ascii="Times New Roman" w:hAnsi="Times New Roman" w:eastAsia="黑体" w:cs="Times New Roman"/>
                <w:snapToGrid w:val="0"/>
                <w:color w:val="auto"/>
                <w:spacing w:val="-6"/>
                <w:kern w:val="21"/>
                <w:szCs w:val="21"/>
                <w:highlight w:val="none"/>
              </w:rPr>
              <w:fldChar w:fldCharType="begin"/>
            </w:r>
            <w:r>
              <w:rPr>
                <w:rFonts w:hint="default" w:ascii="Times New Roman" w:hAnsi="Times New Roman" w:eastAsia="黑体" w:cs="Times New Roman"/>
                <w:snapToGrid w:val="0"/>
                <w:color w:val="auto"/>
                <w:spacing w:val="-6"/>
                <w:kern w:val="21"/>
                <w:szCs w:val="21"/>
                <w:highlight w:val="none"/>
              </w:rPr>
              <w:instrText xml:space="preserve"> = 4 \* GB3 \* MERGEFORMAT </w:instrText>
            </w:r>
            <w:r>
              <w:rPr>
                <w:rFonts w:hint="default" w:ascii="Times New Roman" w:hAnsi="Times New Roman" w:eastAsia="黑体" w:cs="Times New Roman"/>
                <w:snapToGrid w:val="0"/>
                <w:color w:val="auto"/>
                <w:spacing w:val="-6"/>
                <w:kern w:val="21"/>
                <w:szCs w:val="21"/>
                <w:highlight w:val="none"/>
              </w:rPr>
              <w:fldChar w:fldCharType="separate"/>
            </w:r>
            <w:r>
              <w:rPr>
                <w:rFonts w:hint="default" w:ascii="Times New Roman" w:hAnsi="Times New Roman" w:eastAsia="黑体" w:cs="Times New Roman"/>
                <w:color w:val="auto"/>
                <w:kern w:val="2"/>
                <w:szCs w:val="21"/>
                <w:highlight w:val="none"/>
              </w:rPr>
              <w:t>④</w:t>
            </w:r>
            <w:r>
              <w:rPr>
                <w:rFonts w:hint="default" w:ascii="Times New Roman" w:hAnsi="Times New Roman" w:eastAsia="黑体" w:cs="Times New Roman"/>
                <w:snapToGrid w:val="0"/>
                <w:color w:val="auto"/>
                <w:spacing w:val="-6"/>
                <w:kern w:val="21"/>
                <w:szCs w:val="21"/>
                <w:highlight w:val="none"/>
              </w:rPr>
              <w:fldChar w:fldCharType="end"/>
            </w:r>
          </w:p>
        </w:tc>
        <w:tc>
          <w:tcPr>
            <w:tcW w:w="1251" w:type="dxa"/>
            <w:noWrap w:val="0"/>
            <w:tcMar>
              <w:left w:w="28" w:type="dxa"/>
              <w:right w:w="28" w:type="dxa"/>
            </w:tcMar>
            <w:vAlign w:val="center"/>
          </w:tcPr>
          <w:p w14:paraId="0F3E77E4">
            <w:pPr>
              <w:pStyle w:val="45"/>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textAlignment w:val="auto"/>
              <w:rPr>
                <w:rFonts w:hint="default" w:ascii="Times New Roman" w:hAnsi="Times New Roman" w:eastAsia="黑体" w:cs="Times New Roman"/>
                <w:snapToGrid w:val="0"/>
                <w:color w:val="auto"/>
                <w:spacing w:val="-16"/>
                <w:kern w:val="21"/>
                <w:szCs w:val="21"/>
                <w:highlight w:val="none"/>
              </w:rPr>
            </w:pPr>
            <w:r>
              <w:rPr>
                <w:rFonts w:hint="default" w:ascii="Times New Roman" w:hAnsi="Times New Roman" w:eastAsia="黑体" w:cs="Times New Roman"/>
                <w:snapToGrid w:val="0"/>
                <w:color w:val="auto"/>
                <w:spacing w:val="-16"/>
                <w:kern w:val="21"/>
                <w:szCs w:val="21"/>
                <w:highlight w:val="none"/>
              </w:rPr>
              <w:t>以新带老削减量</w:t>
            </w:r>
          </w:p>
          <w:p w14:paraId="3D6F058D">
            <w:pPr>
              <w:pStyle w:val="45"/>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textAlignment w:val="auto"/>
              <w:rPr>
                <w:rFonts w:hint="default" w:ascii="Times New Roman" w:hAnsi="Times New Roman" w:eastAsia="黑体" w:cs="Times New Roman"/>
                <w:snapToGrid w:val="0"/>
                <w:color w:val="auto"/>
                <w:spacing w:val="-16"/>
                <w:kern w:val="21"/>
                <w:szCs w:val="21"/>
                <w:highlight w:val="none"/>
              </w:rPr>
            </w:pPr>
            <w:r>
              <w:rPr>
                <w:rFonts w:hint="default" w:ascii="Times New Roman" w:hAnsi="Times New Roman" w:eastAsia="黑体" w:cs="Times New Roman"/>
                <w:snapToGrid w:val="0"/>
                <w:color w:val="auto"/>
                <w:spacing w:val="-16"/>
                <w:kern w:val="21"/>
                <w:szCs w:val="21"/>
                <w:highlight w:val="none"/>
              </w:rPr>
              <w:t>（新建项目不填）</w:t>
            </w:r>
            <w:r>
              <w:rPr>
                <w:rFonts w:hint="default" w:ascii="Times New Roman" w:hAnsi="Times New Roman" w:eastAsia="黑体" w:cs="Times New Roman"/>
                <w:snapToGrid w:val="0"/>
                <w:color w:val="auto"/>
                <w:spacing w:val="-16"/>
                <w:kern w:val="21"/>
                <w:szCs w:val="21"/>
                <w:highlight w:val="none"/>
              </w:rPr>
              <w:fldChar w:fldCharType="begin"/>
            </w:r>
            <w:r>
              <w:rPr>
                <w:rFonts w:hint="default" w:ascii="Times New Roman" w:hAnsi="Times New Roman" w:eastAsia="黑体" w:cs="Times New Roman"/>
                <w:snapToGrid w:val="0"/>
                <w:color w:val="auto"/>
                <w:spacing w:val="-16"/>
                <w:kern w:val="21"/>
                <w:szCs w:val="21"/>
                <w:highlight w:val="none"/>
              </w:rPr>
              <w:instrText xml:space="preserve"> = 5 \* GB3 \* MERGEFORMAT </w:instrText>
            </w:r>
            <w:r>
              <w:rPr>
                <w:rFonts w:hint="default" w:ascii="Times New Roman" w:hAnsi="Times New Roman" w:eastAsia="黑体" w:cs="Times New Roman"/>
                <w:snapToGrid w:val="0"/>
                <w:color w:val="auto"/>
                <w:spacing w:val="-16"/>
                <w:kern w:val="21"/>
                <w:szCs w:val="21"/>
                <w:highlight w:val="none"/>
              </w:rPr>
              <w:fldChar w:fldCharType="separate"/>
            </w:r>
            <w:r>
              <w:rPr>
                <w:rFonts w:hint="default" w:ascii="Times New Roman" w:hAnsi="Times New Roman" w:eastAsia="黑体" w:cs="Times New Roman"/>
                <w:color w:val="auto"/>
                <w:kern w:val="2"/>
                <w:szCs w:val="21"/>
                <w:highlight w:val="none"/>
              </w:rPr>
              <w:t>⑤</w:t>
            </w:r>
            <w:r>
              <w:rPr>
                <w:rFonts w:hint="default" w:ascii="Times New Roman" w:hAnsi="Times New Roman" w:eastAsia="黑体" w:cs="Times New Roman"/>
                <w:snapToGrid w:val="0"/>
                <w:color w:val="auto"/>
                <w:spacing w:val="-16"/>
                <w:kern w:val="21"/>
                <w:szCs w:val="21"/>
                <w:highlight w:val="none"/>
              </w:rPr>
              <w:fldChar w:fldCharType="end"/>
            </w:r>
          </w:p>
        </w:tc>
        <w:tc>
          <w:tcPr>
            <w:tcW w:w="1515" w:type="dxa"/>
            <w:noWrap w:val="0"/>
            <w:tcMar>
              <w:left w:w="28" w:type="dxa"/>
              <w:right w:w="28" w:type="dxa"/>
            </w:tcMar>
            <w:vAlign w:val="center"/>
          </w:tcPr>
          <w:p w14:paraId="3BD1BCB9">
            <w:pPr>
              <w:pStyle w:val="45"/>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textAlignment w:val="auto"/>
              <w:rPr>
                <w:rFonts w:hint="default" w:ascii="Times New Roman" w:hAnsi="Times New Roman" w:eastAsia="黑体" w:cs="Times New Roman"/>
                <w:snapToGrid w:val="0"/>
                <w:color w:val="auto"/>
                <w:spacing w:val="-16"/>
                <w:kern w:val="21"/>
                <w:szCs w:val="21"/>
                <w:highlight w:val="none"/>
              </w:rPr>
            </w:pPr>
            <w:r>
              <w:rPr>
                <w:rFonts w:hint="default" w:ascii="Times New Roman" w:hAnsi="Times New Roman" w:eastAsia="黑体" w:cs="Times New Roman"/>
                <w:snapToGrid w:val="0"/>
                <w:color w:val="auto"/>
                <w:spacing w:val="-16"/>
                <w:kern w:val="21"/>
                <w:szCs w:val="21"/>
                <w:highlight w:val="none"/>
              </w:rPr>
              <w:t>本项目建成后</w:t>
            </w:r>
          </w:p>
          <w:p w14:paraId="6C92C394">
            <w:pPr>
              <w:pStyle w:val="45"/>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textAlignment w:val="auto"/>
              <w:rPr>
                <w:rFonts w:hint="default" w:ascii="Times New Roman" w:hAnsi="Times New Roman" w:eastAsia="黑体" w:cs="Times New Roman"/>
                <w:snapToGrid w:val="0"/>
                <w:color w:val="auto"/>
                <w:spacing w:val="-16"/>
                <w:kern w:val="21"/>
                <w:szCs w:val="21"/>
                <w:highlight w:val="none"/>
              </w:rPr>
            </w:pPr>
            <w:r>
              <w:rPr>
                <w:rFonts w:hint="default" w:ascii="Times New Roman" w:hAnsi="Times New Roman" w:eastAsia="黑体" w:cs="Times New Roman"/>
                <w:snapToGrid w:val="0"/>
                <w:color w:val="auto"/>
                <w:spacing w:val="-16"/>
                <w:kern w:val="21"/>
                <w:szCs w:val="21"/>
                <w:highlight w:val="none"/>
              </w:rPr>
              <w:t>全厂排放量（固体废物产生量）</w:t>
            </w:r>
            <w:r>
              <w:rPr>
                <w:rFonts w:hint="default" w:ascii="Times New Roman" w:hAnsi="Times New Roman" w:eastAsia="黑体" w:cs="Times New Roman"/>
                <w:snapToGrid w:val="0"/>
                <w:color w:val="auto"/>
                <w:spacing w:val="-16"/>
                <w:kern w:val="21"/>
                <w:szCs w:val="21"/>
                <w:highlight w:val="none"/>
              </w:rPr>
              <w:fldChar w:fldCharType="begin"/>
            </w:r>
            <w:r>
              <w:rPr>
                <w:rFonts w:hint="default" w:ascii="Times New Roman" w:hAnsi="Times New Roman" w:eastAsia="黑体" w:cs="Times New Roman"/>
                <w:snapToGrid w:val="0"/>
                <w:color w:val="auto"/>
                <w:spacing w:val="-16"/>
                <w:kern w:val="21"/>
                <w:szCs w:val="21"/>
                <w:highlight w:val="none"/>
              </w:rPr>
              <w:instrText xml:space="preserve"> = 6 \* GB3 \* MERGEFORMAT </w:instrText>
            </w:r>
            <w:r>
              <w:rPr>
                <w:rFonts w:hint="default" w:ascii="Times New Roman" w:hAnsi="Times New Roman" w:eastAsia="黑体" w:cs="Times New Roman"/>
                <w:snapToGrid w:val="0"/>
                <w:color w:val="auto"/>
                <w:spacing w:val="-16"/>
                <w:kern w:val="21"/>
                <w:szCs w:val="21"/>
                <w:highlight w:val="none"/>
              </w:rPr>
              <w:fldChar w:fldCharType="separate"/>
            </w:r>
            <w:r>
              <w:rPr>
                <w:rFonts w:hint="default" w:ascii="Times New Roman" w:hAnsi="Times New Roman" w:eastAsia="黑体" w:cs="Times New Roman"/>
                <w:color w:val="auto"/>
                <w:kern w:val="2"/>
                <w:szCs w:val="21"/>
                <w:highlight w:val="none"/>
              </w:rPr>
              <w:t>⑥</w:t>
            </w:r>
            <w:r>
              <w:rPr>
                <w:rFonts w:hint="default" w:ascii="Times New Roman" w:hAnsi="Times New Roman" w:eastAsia="黑体" w:cs="Times New Roman"/>
                <w:snapToGrid w:val="0"/>
                <w:color w:val="auto"/>
                <w:spacing w:val="-16"/>
                <w:kern w:val="21"/>
                <w:szCs w:val="21"/>
                <w:highlight w:val="none"/>
              </w:rPr>
              <w:fldChar w:fldCharType="end"/>
            </w:r>
          </w:p>
        </w:tc>
        <w:tc>
          <w:tcPr>
            <w:tcW w:w="1233" w:type="dxa"/>
            <w:noWrap w:val="0"/>
            <w:tcMar>
              <w:left w:w="28" w:type="dxa"/>
              <w:right w:w="28" w:type="dxa"/>
            </w:tcMar>
            <w:vAlign w:val="center"/>
          </w:tcPr>
          <w:p w14:paraId="5EB7D2B6">
            <w:pPr>
              <w:pStyle w:val="45"/>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textAlignment w:val="auto"/>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变化量</w:t>
            </w:r>
          </w:p>
          <w:p w14:paraId="0FD1897C">
            <w:pPr>
              <w:pStyle w:val="45"/>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textAlignment w:val="auto"/>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fldChar w:fldCharType="begin"/>
            </w:r>
            <w:r>
              <w:rPr>
                <w:rFonts w:hint="default" w:ascii="Times New Roman" w:hAnsi="Times New Roman" w:eastAsia="黑体" w:cs="Times New Roman"/>
                <w:snapToGrid w:val="0"/>
                <w:color w:val="auto"/>
                <w:spacing w:val="-6"/>
                <w:kern w:val="21"/>
                <w:szCs w:val="21"/>
                <w:highlight w:val="none"/>
              </w:rPr>
              <w:instrText xml:space="preserve"> = 7 \* GB3 \* MERGEFORMAT </w:instrText>
            </w:r>
            <w:r>
              <w:rPr>
                <w:rFonts w:hint="default" w:ascii="Times New Roman" w:hAnsi="Times New Roman" w:eastAsia="黑体" w:cs="Times New Roman"/>
                <w:snapToGrid w:val="0"/>
                <w:color w:val="auto"/>
                <w:spacing w:val="-6"/>
                <w:kern w:val="21"/>
                <w:szCs w:val="21"/>
                <w:highlight w:val="none"/>
              </w:rPr>
              <w:fldChar w:fldCharType="separate"/>
            </w:r>
            <w:r>
              <w:rPr>
                <w:rFonts w:hint="default" w:ascii="Times New Roman" w:hAnsi="Times New Roman" w:eastAsia="黑体" w:cs="Times New Roman"/>
                <w:color w:val="auto"/>
                <w:kern w:val="2"/>
                <w:szCs w:val="21"/>
                <w:highlight w:val="none"/>
              </w:rPr>
              <w:t>⑦</w:t>
            </w:r>
            <w:r>
              <w:rPr>
                <w:rFonts w:hint="default" w:ascii="Times New Roman" w:hAnsi="Times New Roman" w:eastAsia="黑体" w:cs="Times New Roman"/>
                <w:snapToGrid w:val="0"/>
                <w:color w:val="auto"/>
                <w:spacing w:val="-6"/>
                <w:kern w:val="21"/>
                <w:szCs w:val="21"/>
                <w:highlight w:val="none"/>
              </w:rPr>
              <w:fldChar w:fldCharType="end"/>
            </w:r>
          </w:p>
        </w:tc>
      </w:tr>
      <w:tr w14:paraId="059112D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1" w:hRule="atLeast"/>
        </w:trPr>
        <w:tc>
          <w:tcPr>
            <w:tcW w:w="1133" w:type="dxa"/>
            <w:vMerge w:val="restart"/>
            <w:noWrap w:val="0"/>
            <w:vAlign w:val="center"/>
          </w:tcPr>
          <w:p w14:paraId="54EECAE9">
            <w:pPr>
              <w:pStyle w:val="45"/>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default" w:ascii="Times New Roman" w:hAnsi="Times New Roman" w:cs="Times New Roman"/>
                <w:snapToGrid w:val="0"/>
                <w:color w:val="auto"/>
                <w:kern w:val="21"/>
                <w:szCs w:val="21"/>
                <w:highlight w:val="none"/>
              </w:rPr>
              <w:t>废气</w:t>
            </w:r>
          </w:p>
        </w:tc>
        <w:tc>
          <w:tcPr>
            <w:tcW w:w="1011" w:type="dxa"/>
            <w:noWrap w:val="0"/>
            <w:vAlign w:val="center"/>
          </w:tcPr>
          <w:p w14:paraId="4636E8F1">
            <w:pPr>
              <w:pStyle w:val="45"/>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textAlignment w:val="auto"/>
              <w:rPr>
                <w:rFonts w:hint="default" w:ascii="Times New Roman"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废气量</w:t>
            </w:r>
          </w:p>
        </w:tc>
        <w:tc>
          <w:tcPr>
            <w:tcW w:w="1029" w:type="dxa"/>
            <w:noWrap w:val="0"/>
            <w:vAlign w:val="center"/>
          </w:tcPr>
          <w:p w14:paraId="1DD61A24">
            <w:pPr>
              <w:pStyle w:val="45"/>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eastAsia" w:ascii="Times New Roman" w:hAnsi="Times New Roman" w:eastAsia="宋体" w:cs="Times New Roman"/>
                <w:color w:val="auto"/>
                <w:sz w:val="21"/>
                <w:szCs w:val="21"/>
                <w:highlight w:val="none"/>
                <w:lang w:val="en-US" w:eastAsia="zh-CN"/>
              </w:rPr>
              <w:t>/</w:t>
            </w:r>
          </w:p>
        </w:tc>
        <w:tc>
          <w:tcPr>
            <w:tcW w:w="759" w:type="dxa"/>
            <w:noWrap w:val="0"/>
            <w:vAlign w:val="center"/>
          </w:tcPr>
          <w:p w14:paraId="5801DD80">
            <w:pPr>
              <w:pStyle w:val="45"/>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eastAsia" w:ascii="Times New Roman" w:hAnsi="Times New Roman" w:eastAsia="宋体" w:cs="Times New Roman"/>
                <w:color w:val="auto"/>
                <w:sz w:val="21"/>
                <w:szCs w:val="21"/>
                <w:highlight w:val="none"/>
                <w:lang w:val="en-US" w:eastAsia="zh-CN"/>
              </w:rPr>
              <w:t>/</w:t>
            </w:r>
          </w:p>
        </w:tc>
        <w:tc>
          <w:tcPr>
            <w:tcW w:w="899" w:type="dxa"/>
            <w:noWrap w:val="0"/>
            <w:vAlign w:val="center"/>
          </w:tcPr>
          <w:p w14:paraId="675C1C9D">
            <w:pPr>
              <w:pStyle w:val="45"/>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eastAsia" w:ascii="Times New Roman" w:hAnsi="Times New Roman" w:eastAsia="宋体" w:cs="Times New Roman"/>
                <w:color w:val="auto"/>
                <w:sz w:val="21"/>
                <w:szCs w:val="21"/>
                <w:highlight w:val="none"/>
                <w:lang w:val="en-US" w:eastAsia="zh-CN"/>
              </w:rPr>
              <w:t>/</w:t>
            </w:r>
          </w:p>
        </w:tc>
        <w:tc>
          <w:tcPr>
            <w:tcW w:w="1006" w:type="dxa"/>
            <w:noWrap w:val="0"/>
            <w:vAlign w:val="center"/>
          </w:tcPr>
          <w:p w14:paraId="49176D90">
            <w:pPr>
              <w:pStyle w:val="45"/>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textAlignment w:val="auto"/>
              <w:rPr>
                <w:rFonts w:hint="eastAsia" w:ascii="Times New Roman"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w:t>
            </w:r>
            <w:r>
              <w:rPr>
                <w:rFonts w:hint="default" w:ascii="Times New Roman" w:cs="Times New Roman"/>
                <w:snapToGrid w:val="0"/>
                <w:color w:val="auto"/>
                <w:kern w:val="21"/>
                <w:szCs w:val="21"/>
                <w:highlight w:val="none"/>
                <w:lang w:val="en-US" w:eastAsia="zh-CN"/>
              </w:rPr>
              <w:t>112948万Nm³/a</w:t>
            </w:r>
          </w:p>
        </w:tc>
        <w:tc>
          <w:tcPr>
            <w:tcW w:w="1251" w:type="dxa"/>
            <w:noWrap w:val="0"/>
            <w:vAlign w:val="center"/>
          </w:tcPr>
          <w:p w14:paraId="74C408B0">
            <w:pPr>
              <w:pStyle w:val="45"/>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eastAsia" w:ascii="Times New Roman" w:hAnsi="Times New Roman" w:eastAsia="宋体" w:cs="Times New Roman"/>
                <w:color w:val="auto"/>
                <w:sz w:val="21"/>
                <w:szCs w:val="21"/>
                <w:highlight w:val="none"/>
                <w:lang w:val="en-US" w:eastAsia="zh-CN"/>
              </w:rPr>
              <w:t>/</w:t>
            </w:r>
          </w:p>
        </w:tc>
        <w:tc>
          <w:tcPr>
            <w:tcW w:w="1515" w:type="dxa"/>
            <w:noWrap w:val="0"/>
            <w:vAlign w:val="center"/>
          </w:tcPr>
          <w:p w14:paraId="235404E7">
            <w:pPr>
              <w:pStyle w:val="45"/>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textAlignment w:val="auto"/>
              <w:rPr>
                <w:rFonts w:hint="eastAsia" w:ascii="Times New Roman"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w:t>
            </w:r>
            <w:r>
              <w:rPr>
                <w:rFonts w:hint="default" w:ascii="Times New Roman" w:cs="Times New Roman"/>
                <w:snapToGrid w:val="0"/>
                <w:color w:val="auto"/>
                <w:kern w:val="21"/>
                <w:szCs w:val="21"/>
                <w:highlight w:val="none"/>
                <w:lang w:val="en-US" w:eastAsia="zh-CN"/>
              </w:rPr>
              <w:t>112948万Nm³/a</w:t>
            </w:r>
          </w:p>
        </w:tc>
        <w:tc>
          <w:tcPr>
            <w:tcW w:w="1233" w:type="dxa"/>
            <w:noWrap w:val="0"/>
            <w:vAlign w:val="center"/>
          </w:tcPr>
          <w:p w14:paraId="0B84CE6D">
            <w:pPr>
              <w:pStyle w:val="45"/>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textAlignment w:val="auto"/>
              <w:rPr>
                <w:rFonts w:hint="eastAsia" w:ascii="Times New Roman"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w:t>
            </w:r>
            <w:r>
              <w:rPr>
                <w:rFonts w:hint="default" w:ascii="Times New Roman" w:cs="Times New Roman"/>
                <w:snapToGrid w:val="0"/>
                <w:color w:val="auto"/>
                <w:kern w:val="21"/>
                <w:szCs w:val="21"/>
                <w:highlight w:val="none"/>
                <w:lang w:val="en-US" w:eastAsia="zh-CN"/>
              </w:rPr>
              <w:t>112948万Nm³/a</w:t>
            </w:r>
          </w:p>
        </w:tc>
      </w:tr>
      <w:tr w14:paraId="770C84A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1133" w:type="dxa"/>
            <w:vMerge w:val="continue"/>
            <w:noWrap w:val="0"/>
            <w:vAlign w:val="center"/>
          </w:tcPr>
          <w:p w14:paraId="5254E026">
            <w:pPr>
              <w:pStyle w:val="45"/>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p>
        </w:tc>
        <w:tc>
          <w:tcPr>
            <w:tcW w:w="1011" w:type="dxa"/>
            <w:noWrap w:val="0"/>
            <w:vAlign w:val="center"/>
          </w:tcPr>
          <w:p w14:paraId="49E33FB2">
            <w:pPr>
              <w:pStyle w:val="45"/>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textAlignment w:val="auto"/>
              <w:rPr>
                <w:rFonts w:hint="default" w:ascii="Times New Roman" w:hAnsi="Times New Roman" w:eastAsia="宋体"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颗粒物</w:t>
            </w:r>
          </w:p>
        </w:tc>
        <w:tc>
          <w:tcPr>
            <w:tcW w:w="1029" w:type="dxa"/>
            <w:noWrap w:val="0"/>
            <w:vAlign w:val="center"/>
          </w:tcPr>
          <w:p w14:paraId="6CFA0380">
            <w:pPr>
              <w:pStyle w:val="45"/>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eastAsia" w:ascii="Times New Roman" w:hAnsi="Times New Roman" w:eastAsia="宋体" w:cs="Times New Roman"/>
                <w:color w:val="auto"/>
                <w:sz w:val="21"/>
                <w:szCs w:val="21"/>
                <w:highlight w:val="none"/>
                <w:lang w:val="en-US" w:eastAsia="zh-CN"/>
              </w:rPr>
              <w:t>/</w:t>
            </w:r>
          </w:p>
        </w:tc>
        <w:tc>
          <w:tcPr>
            <w:tcW w:w="759" w:type="dxa"/>
            <w:noWrap w:val="0"/>
            <w:vAlign w:val="center"/>
          </w:tcPr>
          <w:p w14:paraId="0B925091">
            <w:pPr>
              <w:pStyle w:val="45"/>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eastAsia" w:ascii="Times New Roman" w:hAnsi="Times New Roman" w:eastAsia="宋体" w:cs="Times New Roman"/>
                <w:color w:val="auto"/>
                <w:sz w:val="21"/>
                <w:szCs w:val="21"/>
                <w:highlight w:val="none"/>
                <w:lang w:val="en-US" w:eastAsia="zh-CN"/>
              </w:rPr>
              <w:t>/</w:t>
            </w:r>
          </w:p>
        </w:tc>
        <w:tc>
          <w:tcPr>
            <w:tcW w:w="899" w:type="dxa"/>
            <w:noWrap w:val="0"/>
            <w:vAlign w:val="center"/>
          </w:tcPr>
          <w:p w14:paraId="7DDF7F69">
            <w:pPr>
              <w:pStyle w:val="45"/>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eastAsia" w:ascii="Times New Roman" w:hAnsi="Times New Roman" w:eastAsia="宋体" w:cs="Times New Roman"/>
                <w:color w:val="auto"/>
                <w:sz w:val="21"/>
                <w:szCs w:val="21"/>
                <w:highlight w:val="none"/>
                <w:lang w:val="en-US" w:eastAsia="zh-CN"/>
              </w:rPr>
              <w:t>/</w:t>
            </w:r>
          </w:p>
        </w:tc>
        <w:tc>
          <w:tcPr>
            <w:tcW w:w="1006" w:type="dxa"/>
            <w:noWrap w:val="0"/>
            <w:vAlign w:val="center"/>
          </w:tcPr>
          <w:p w14:paraId="6E782B94">
            <w:pPr>
              <w:pStyle w:val="45"/>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textAlignment w:val="auto"/>
              <w:rPr>
                <w:rFonts w:hint="default" w:ascii="Times New Roman" w:hAnsi="Times New Roman" w:eastAsia="宋体"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+112.20t/a</w:t>
            </w:r>
          </w:p>
        </w:tc>
        <w:tc>
          <w:tcPr>
            <w:tcW w:w="1251" w:type="dxa"/>
            <w:noWrap w:val="0"/>
            <w:vAlign w:val="center"/>
          </w:tcPr>
          <w:p w14:paraId="4D8FFC8F">
            <w:pPr>
              <w:pStyle w:val="45"/>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eastAsia" w:ascii="Times New Roman" w:hAnsi="Times New Roman" w:eastAsia="宋体" w:cs="Times New Roman"/>
                <w:color w:val="auto"/>
                <w:sz w:val="21"/>
                <w:szCs w:val="21"/>
                <w:highlight w:val="none"/>
                <w:lang w:val="en-US" w:eastAsia="zh-CN"/>
              </w:rPr>
              <w:t>/</w:t>
            </w:r>
          </w:p>
        </w:tc>
        <w:tc>
          <w:tcPr>
            <w:tcW w:w="1515" w:type="dxa"/>
            <w:noWrap w:val="0"/>
            <w:vAlign w:val="center"/>
          </w:tcPr>
          <w:p w14:paraId="2E512608">
            <w:pPr>
              <w:pStyle w:val="45"/>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eastAsia" w:ascii="Times New Roman" w:cs="Times New Roman"/>
                <w:snapToGrid w:val="0"/>
                <w:color w:val="auto"/>
                <w:kern w:val="21"/>
                <w:szCs w:val="21"/>
                <w:highlight w:val="none"/>
                <w:lang w:val="en-US" w:eastAsia="zh-CN"/>
              </w:rPr>
              <w:t>+112.20t/a</w:t>
            </w:r>
          </w:p>
        </w:tc>
        <w:tc>
          <w:tcPr>
            <w:tcW w:w="1233" w:type="dxa"/>
            <w:noWrap w:val="0"/>
            <w:vAlign w:val="center"/>
          </w:tcPr>
          <w:p w14:paraId="329DB37F">
            <w:pPr>
              <w:pStyle w:val="45"/>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eastAsia" w:ascii="Times New Roman" w:cs="Times New Roman"/>
                <w:snapToGrid w:val="0"/>
                <w:color w:val="auto"/>
                <w:kern w:val="21"/>
                <w:szCs w:val="21"/>
                <w:highlight w:val="none"/>
                <w:lang w:val="en-US" w:eastAsia="zh-CN"/>
              </w:rPr>
              <w:t>+112.20t/a</w:t>
            </w:r>
          </w:p>
        </w:tc>
      </w:tr>
      <w:tr w14:paraId="247D3A8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1133" w:type="dxa"/>
            <w:vMerge w:val="continue"/>
            <w:noWrap w:val="0"/>
            <w:vAlign w:val="center"/>
          </w:tcPr>
          <w:p w14:paraId="268240E8">
            <w:pPr>
              <w:pStyle w:val="45"/>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p>
        </w:tc>
        <w:tc>
          <w:tcPr>
            <w:tcW w:w="1011" w:type="dxa"/>
            <w:noWrap w:val="0"/>
            <w:vAlign w:val="center"/>
          </w:tcPr>
          <w:p w14:paraId="1C4E34B5">
            <w:pPr>
              <w:pStyle w:val="45"/>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default"/>
                <w:color w:val="auto"/>
                <w:highlight w:val="none"/>
                <w:lang w:val="en-US" w:eastAsia="zh-CN"/>
              </w:rPr>
              <w:t>SO</w:t>
            </w:r>
            <w:r>
              <w:rPr>
                <w:rFonts w:hint="default"/>
                <w:color w:val="auto"/>
                <w:highlight w:val="none"/>
                <w:vertAlign w:val="subscript"/>
                <w:lang w:val="en-US" w:eastAsia="zh-CN"/>
              </w:rPr>
              <w:t>2</w:t>
            </w:r>
          </w:p>
        </w:tc>
        <w:tc>
          <w:tcPr>
            <w:tcW w:w="1029" w:type="dxa"/>
            <w:noWrap w:val="0"/>
            <w:vAlign w:val="center"/>
          </w:tcPr>
          <w:p w14:paraId="762513E4">
            <w:pPr>
              <w:pStyle w:val="45"/>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eastAsia" w:ascii="Times New Roman" w:hAnsi="Times New Roman" w:eastAsia="宋体" w:cs="Times New Roman"/>
                <w:color w:val="auto"/>
                <w:sz w:val="21"/>
                <w:szCs w:val="21"/>
                <w:highlight w:val="none"/>
                <w:lang w:val="en-US" w:eastAsia="zh-CN"/>
              </w:rPr>
              <w:t>/</w:t>
            </w:r>
          </w:p>
        </w:tc>
        <w:tc>
          <w:tcPr>
            <w:tcW w:w="759" w:type="dxa"/>
            <w:noWrap w:val="0"/>
            <w:vAlign w:val="center"/>
          </w:tcPr>
          <w:p w14:paraId="4EB20795">
            <w:pPr>
              <w:pStyle w:val="45"/>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eastAsia" w:ascii="Times New Roman" w:hAnsi="Times New Roman" w:eastAsia="宋体" w:cs="Times New Roman"/>
                <w:color w:val="auto"/>
                <w:sz w:val="21"/>
                <w:szCs w:val="21"/>
                <w:highlight w:val="none"/>
                <w:lang w:val="en-US" w:eastAsia="zh-CN"/>
              </w:rPr>
              <w:t>/</w:t>
            </w:r>
          </w:p>
        </w:tc>
        <w:tc>
          <w:tcPr>
            <w:tcW w:w="899" w:type="dxa"/>
            <w:noWrap w:val="0"/>
            <w:vAlign w:val="center"/>
          </w:tcPr>
          <w:p w14:paraId="5D699294">
            <w:pPr>
              <w:pStyle w:val="45"/>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eastAsia" w:ascii="Times New Roman" w:hAnsi="Times New Roman" w:eastAsia="宋体" w:cs="Times New Roman"/>
                <w:color w:val="auto"/>
                <w:sz w:val="21"/>
                <w:szCs w:val="21"/>
                <w:highlight w:val="none"/>
                <w:lang w:val="en-US" w:eastAsia="zh-CN"/>
              </w:rPr>
              <w:t>/</w:t>
            </w:r>
          </w:p>
        </w:tc>
        <w:tc>
          <w:tcPr>
            <w:tcW w:w="1006" w:type="dxa"/>
            <w:noWrap w:val="0"/>
            <w:vAlign w:val="center"/>
          </w:tcPr>
          <w:p w14:paraId="61547514">
            <w:pPr>
              <w:pStyle w:val="45"/>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eastAsia" w:ascii="Times New Roman" w:cs="Times New Roman"/>
                <w:snapToGrid w:val="0"/>
                <w:color w:val="auto"/>
                <w:kern w:val="21"/>
                <w:szCs w:val="21"/>
                <w:highlight w:val="none"/>
                <w:lang w:val="en-US" w:eastAsia="zh-CN"/>
              </w:rPr>
              <w:t>+38.90</w:t>
            </w:r>
            <w:r>
              <w:rPr>
                <w:rFonts w:hint="default" w:ascii="Times New Roman" w:hAnsi="Times New Roman" w:cs="Times New Roman"/>
                <w:snapToGrid w:val="0"/>
                <w:color w:val="auto"/>
                <w:kern w:val="21"/>
                <w:szCs w:val="21"/>
                <w:highlight w:val="none"/>
                <w:lang w:val="en-US" w:eastAsia="zh-CN"/>
              </w:rPr>
              <w:t>t/a</w:t>
            </w:r>
          </w:p>
        </w:tc>
        <w:tc>
          <w:tcPr>
            <w:tcW w:w="1251" w:type="dxa"/>
            <w:noWrap w:val="0"/>
            <w:vAlign w:val="center"/>
          </w:tcPr>
          <w:p w14:paraId="2D2EA94F">
            <w:pPr>
              <w:pStyle w:val="45"/>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eastAsia" w:ascii="Times New Roman" w:hAnsi="Times New Roman" w:eastAsia="宋体" w:cs="Times New Roman"/>
                <w:color w:val="auto"/>
                <w:sz w:val="21"/>
                <w:szCs w:val="21"/>
                <w:highlight w:val="none"/>
                <w:lang w:val="en-US" w:eastAsia="zh-CN"/>
              </w:rPr>
              <w:t>/</w:t>
            </w:r>
          </w:p>
        </w:tc>
        <w:tc>
          <w:tcPr>
            <w:tcW w:w="1515" w:type="dxa"/>
            <w:noWrap w:val="0"/>
            <w:vAlign w:val="center"/>
          </w:tcPr>
          <w:p w14:paraId="38158181">
            <w:pPr>
              <w:pStyle w:val="45"/>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eastAsia" w:ascii="Times New Roman" w:cs="Times New Roman"/>
                <w:snapToGrid w:val="0"/>
                <w:color w:val="auto"/>
                <w:kern w:val="21"/>
                <w:szCs w:val="21"/>
                <w:highlight w:val="none"/>
                <w:lang w:val="en-US" w:eastAsia="zh-CN"/>
              </w:rPr>
              <w:t>+38.90</w:t>
            </w:r>
            <w:r>
              <w:rPr>
                <w:rFonts w:hint="default" w:ascii="Times New Roman" w:hAnsi="Times New Roman" w:cs="Times New Roman"/>
                <w:snapToGrid w:val="0"/>
                <w:color w:val="auto"/>
                <w:kern w:val="21"/>
                <w:szCs w:val="21"/>
                <w:highlight w:val="none"/>
                <w:lang w:val="en-US" w:eastAsia="zh-CN"/>
              </w:rPr>
              <w:t>t/a</w:t>
            </w:r>
          </w:p>
        </w:tc>
        <w:tc>
          <w:tcPr>
            <w:tcW w:w="1233" w:type="dxa"/>
            <w:noWrap w:val="0"/>
            <w:vAlign w:val="center"/>
          </w:tcPr>
          <w:p w14:paraId="527B0BEB">
            <w:pPr>
              <w:pStyle w:val="45"/>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eastAsia" w:ascii="Times New Roman" w:cs="Times New Roman"/>
                <w:snapToGrid w:val="0"/>
                <w:color w:val="auto"/>
                <w:kern w:val="21"/>
                <w:szCs w:val="21"/>
                <w:highlight w:val="none"/>
                <w:lang w:val="en-US" w:eastAsia="zh-CN"/>
              </w:rPr>
              <w:t>+38.90</w:t>
            </w:r>
            <w:r>
              <w:rPr>
                <w:rFonts w:hint="default" w:ascii="Times New Roman" w:hAnsi="Times New Roman" w:cs="Times New Roman"/>
                <w:snapToGrid w:val="0"/>
                <w:color w:val="auto"/>
                <w:kern w:val="21"/>
                <w:szCs w:val="21"/>
                <w:highlight w:val="none"/>
                <w:lang w:val="en-US" w:eastAsia="zh-CN"/>
              </w:rPr>
              <w:t>t/a</w:t>
            </w:r>
          </w:p>
        </w:tc>
      </w:tr>
      <w:tr w14:paraId="23FB291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1133" w:type="dxa"/>
            <w:vMerge w:val="continue"/>
            <w:noWrap w:val="0"/>
            <w:vAlign w:val="center"/>
          </w:tcPr>
          <w:p w14:paraId="13EB0441">
            <w:pPr>
              <w:pStyle w:val="45"/>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p>
        </w:tc>
        <w:tc>
          <w:tcPr>
            <w:tcW w:w="1011" w:type="dxa"/>
            <w:noWrap w:val="0"/>
            <w:vAlign w:val="center"/>
          </w:tcPr>
          <w:p w14:paraId="7124D119">
            <w:pPr>
              <w:pStyle w:val="45"/>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textAlignment w:val="auto"/>
              <w:rPr>
                <w:rFonts w:hint="default"/>
                <w:color w:val="auto"/>
                <w:highlight w:val="none"/>
                <w:lang w:val="en-US" w:eastAsia="zh-CN"/>
              </w:rPr>
            </w:pPr>
            <w:r>
              <w:rPr>
                <w:rFonts w:hint="eastAsia"/>
                <w:color w:val="auto"/>
                <w:highlight w:val="none"/>
                <w:vertAlign w:val="baseline"/>
                <w:lang w:val="en-US" w:eastAsia="zh-CN"/>
              </w:rPr>
              <w:t>NOx</w:t>
            </w:r>
          </w:p>
        </w:tc>
        <w:tc>
          <w:tcPr>
            <w:tcW w:w="1029" w:type="dxa"/>
            <w:noWrap w:val="0"/>
            <w:vAlign w:val="center"/>
          </w:tcPr>
          <w:p w14:paraId="6A9513DA">
            <w:pPr>
              <w:pStyle w:val="45"/>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eastAsia" w:ascii="Times New Roman" w:hAnsi="Times New Roman" w:eastAsia="宋体" w:cs="Times New Roman"/>
                <w:color w:val="auto"/>
                <w:sz w:val="21"/>
                <w:szCs w:val="21"/>
                <w:highlight w:val="none"/>
                <w:lang w:val="en-US" w:eastAsia="zh-CN"/>
              </w:rPr>
              <w:t>/</w:t>
            </w:r>
          </w:p>
        </w:tc>
        <w:tc>
          <w:tcPr>
            <w:tcW w:w="759" w:type="dxa"/>
            <w:noWrap w:val="0"/>
            <w:vAlign w:val="center"/>
          </w:tcPr>
          <w:p w14:paraId="579B2255">
            <w:pPr>
              <w:pStyle w:val="45"/>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eastAsia" w:ascii="Times New Roman" w:hAnsi="Times New Roman" w:eastAsia="宋体" w:cs="Times New Roman"/>
                <w:color w:val="auto"/>
                <w:sz w:val="21"/>
                <w:szCs w:val="21"/>
                <w:highlight w:val="none"/>
                <w:lang w:val="en-US" w:eastAsia="zh-CN"/>
              </w:rPr>
              <w:t>/</w:t>
            </w:r>
          </w:p>
        </w:tc>
        <w:tc>
          <w:tcPr>
            <w:tcW w:w="899" w:type="dxa"/>
            <w:noWrap w:val="0"/>
            <w:vAlign w:val="center"/>
          </w:tcPr>
          <w:p w14:paraId="312518BB">
            <w:pPr>
              <w:pStyle w:val="45"/>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eastAsia" w:ascii="Times New Roman" w:hAnsi="Times New Roman" w:eastAsia="宋体" w:cs="Times New Roman"/>
                <w:color w:val="auto"/>
                <w:sz w:val="21"/>
                <w:szCs w:val="21"/>
                <w:highlight w:val="none"/>
                <w:lang w:val="en-US" w:eastAsia="zh-CN"/>
              </w:rPr>
              <w:t>/</w:t>
            </w:r>
          </w:p>
        </w:tc>
        <w:tc>
          <w:tcPr>
            <w:tcW w:w="1006" w:type="dxa"/>
            <w:noWrap w:val="0"/>
            <w:vAlign w:val="center"/>
          </w:tcPr>
          <w:p w14:paraId="4BBD5A74">
            <w:pPr>
              <w:pStyle w:val="45"/>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eastAsia" w:ascii="Times New Roman" w:cs="Times New Roman"/>
                <w:snapToGrid w:val="0"/>
                <w:color w:val="auto"/>
                <w:kern w:val="21"/>
                <w:szCs w:val="21"/>
                <w:highlight w:val="none"/>
                <w:lang w:val="en-US" w:eastAsia="zh-CN"/>
              </w:rPr>
              <w:t>+41.36t/a</w:t>
            </w:r>
          </w:p>
        </w:tc>
        <w:tc>
          <w:tcPr>
            <w:tcW w:w="1251" w:type="dxa"/>
            <w:noWrap w:val="0"/>
            <w:vAlign w:val="center"/>
          </w:tcPr>
          <w:p w14:paraId="321D9AC6">
            <w:pPr>
              <w:pStyle w:val="45"/>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eastAsia" w:ascii="Times New Roman" w:hAnsi="Times New Roman" w:eastAsia="宋体" w:cs="Times New Roman"/>
                <w:color w:val="auto"/>
                <w:sz w:val="21"/>
                <w:szCs w:val="21"/>
                <w:highlight w:val="none"/>
                <w:lang w:val="en-US" w:eastAsia="zh-CN"/>
              </w:rPr>
              <w:t>/</w:t>
            </w:r>
          </w:p>
        </w:tc>
        <w:tc>
          <w:tcPr>
            <w:tcW w:w="1515" w:type="dxa"/>
            <w:noWrap w:val="0"/>
            <w:vAlign w:val="center"/>
          </w:tcPr>
          <w:p w14:paraId="07DC3DD6">
            <w:pPr>
              <w:pStyle w:val="45"/>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eastAsia" w:ascii="Times New Roman" w:cs="Times New Roman"/>
                <w:snapToGrid w:val="0"/>
                <w:color w:val="auto"/>
                <w:kern w:val="21"/>
                <w:szCs w:val="21"/>
                <w:highlight w:val="none"/>
                <w:lang w:val="en-US" w:eastAsia="zh-CN"/>
              </w:rPr>
              <w:t>+41.36t/a</w:t>
            </w:r>
          </w:p>
        </w:tc>
        <w:tc>
          <w:tcPr>
            <w:tcW w:w="1233" w:type="dxa"/>
            <w:noWrap w:val="0"/>
            <w:vAlign w:val="center"/>
          </w:tcPr>
          <w:p w14:paraId="61BCB924">
            <w:pPr>
              <w:pStyle w:val="45"/>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eastAsia" w:ascii="Times New Roman" w:cs="Times New Roman"/>
                <w:snapToGrid w:val="0"/>
                <w:color w:val="auto"/>
                <w:kern w:val="21"/>
                <w:szCs w:val="21"/>
                <w:highlight w:val="none"/>
                <w:lang w:val="en-US" w:eastAsia="zh-CN"/>
              </w:rPr>
              <w:t>+41.36t/a</w:t>
            </w:r>
          </w:p>
        </w:tc>
      </w:tr>
      <w:tr w14:paraId="5108DD4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1133" w:type="dxa"/>
            <w:noWrap w:val="0"/>
            <w:vAlign w:val="center"/>
          </w:tcPr>
          <w:p w14:paraId="31887351">
            <w:pPr>
              <w:pStyle w:val="45"/>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default" w:ascii="Times New Roman" w:hAnsi="Times New Roman" w:cs="Times New Roman"/>
                <w:snapToGrid w:val="0"/>
                <w:color w:val="auto"/>
                <w:kern w:val="21"/>
                <w:szCs w:val="21"/>
                <w:highlight w:val="none"/>
              </w:rPr>
              <w:t>废水</w:t>
            </w:r>
          </w:p>
        </w:tc>
        <w:tc>
          <w:tcPr>
            <w:tcW w:w="1011" w:type="dxa"/>
            <w:noWrap w:val="0"/>
            <w:vAlign w:val="center"/>
          </w:tcPr>
          <w:p w14:paraId="1983F420">
            <w:pPr>
              <w:pStyle w:val="45"/>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textAlignment w:val="auto"/>
              <w:rPr>
                <w:rFonts w:hint="eastAsia" w:ascii="Times New Roman" w:hAnsi="Times New Roman" w:eastAsia="宋体" w:cs="Times New Roman"/>
                <w:snapToGrid w:val="0"/>
                <w:color w:val="auto"/>
                <w:kern w:val="21"/>
                <w:szCs w:val="21"/>
                <w:highlight w:val="none"/>
                <w:lang w:eastAsia="zh-CN"/>
              </w:rPr>
            </w:pPr>
            <w:r>
              <w:rPr>
                <w:rFonts w:hint="eastAsia" w:ascii="Times New Roman" w:cs="Times New Roman"/>
                <w:snapToGrid w:val="0"/>
                <w:color w:val="auto"/>
                <w:kern w:val="21"/>
                <w:szCs w:val="21"/>
                <w:highlight w:val="none"/>
                <w:lang w:val="en-US" w:eastAsia="zh-CN"/>
              </w:rPr>
              <w:t>/</w:t>
            </w:r>
          </w:p>
        </w:tc>
        <w:tc>
          <w:tcPr>
            <w:tcW w:w="1029" w:type="dxa"/>
            <w:noWrap w:val="0"/>
            <w:vAlign w:val="center"/>
          </w:tcPr>
          <w:p w14:paraId="730A766A">
            <w:pPr>
              <w:pStyle w:val="45"/>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eastAsia" w:ascii="Times New Roman" w:hAnsi="Times New Roman" w:eastAsia="宋体" w:cs="Times New Roman"/>
                <w:color w:val="auto"/>
                <w:sz w:val="21"/>
                <w:szCs w:val="21"/>
                <w:highlight w:val="none"/>
                <w:lang w:val="en-US" w:eastAsia="zh-CN"/>
              </w:rPr>
              <w:t>/</w:t>
            </w:r>
          </w:p>
        </w:tc>
        <w:tc>
          <w:tcPr>
            <w:tcW w:w="759" w:type="dxa"/>
            <w:noWrap w:val="0"/>
            <w:vAlign w:val="center"/>
          </w:tcPr>
          <w:p w14:paraId="5680EC60">
            <w:pPr>
              <w:pStyle w:val="45"/>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eastAsia" w:ascii="Times New Roman" w:hAnsi="Times New Roman" w:eastAsia="宋体" w:cs="Times New Roman"/>
                <w:color w:val="auto"/>
                <w:sz w:val="21"/>
                <w:szCs w:val="21"/>
                <w:highlight w:val="none"/>
                <w:lang w:val="en-US" w:eastAsia="zh-CN"/>
              </w:rPr>
              <w:t>/</w:t>
            </w:r>
          </w:p>
        </w:tc>
        <w:tc>
          <w:tcPr>
            <w:tcW w:w="899" w:type="dxa"/>
            <w:noWrap w:val="0"/>
            <w:vAlign w:val="center"/>
          </w:tcPr>
          <w:p w14:paraId="67CE4BF5">
            <w:pPr>
              <w:pStyle w:val="45"/>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eastAsia" w:ascii="Times New Roman" w:hAnsi="Times New Roman" w:eastAsia="宋体" w:cs="Times New Roman"/>
                <w:color w:val="auto"/>
                <w:sz w:val="21"/>
                <w:szCs w:val="21"/>
                <w:highlight w:val="none"/>
                <w:lang w:val="en-US" w:eastAsia="zh-CN"/>
              </w:rPr>
              <w:t>/</w:t>
            </w:r>
          </w:p>
        </w:tc>
        <w:tc>
          <w:tcPr>
            <w:tcW w:w="1006" w:type="dxa"/>
            <w:noWrap w:val="0"/>
            <w:vAlign w:val="center"/>
          </w:tcPr>
          <w:p w14:paraId="565F52D7">
            <w:pPr>
              <w:pStyle w:val="45"/>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eastAsia" w:ascii="Times New Roman" w:cs="Times New Roman"/>
                <w:snapToGrid w:val="0"/>
                <w:color w:val="auto"/>
                <w:kern w:val="21"/>
                <w:szCs w:val="21"/>
                <w:highlight w:val="none"/>
                <w:lang w:val="en-US" w:eastAsia="zh-CN"/>
              </w:rPr>
              <w:t>/</w:t>
            </w:r>
          </w:p>
        </w:tc>
        <w:tc>
          <w:tcPr>
            <w:tcW w:w="1251" w:type="dxa"/>
            <w:noWrap w:val="0"/>
            <w:vAlign w:val="center"/>
          </w:tcPr>
          <w:p w14:paraId="525BD490">
            <w:pPr>
              <w:pStyle w:val="45"/>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eastAsia" w:ascii="Times New Roman" w:hAnsi="Times New Roman" w:eastAsia="宋体" w:cs="Times New Roman"/>
                <w:color w:val="auto"/>
                <w:sz w:val="21"/>
                <w:szCs w:val="21"/>
                <w:highlight w:val="none"/>
                <w:lang w:val="en-US" w:eastAsia="zh-CN"/>
              </w:rPr>
              <w:t>/</w:t>
            </w:r>
          </w:p>
        </w:tc>
        <w:tc>
          <w:tcPr>
            <w:tcW w:w="1515" w:type="dxa"/>
            <w:noWrap w:val="0"/>
            <w:vAlign w:val="center"/>
          </w:tcPr>
          <w:p w14:paraId="1CF2610C">
            <w:pPr>
              <w:pStyle w:val="45"/>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eastAsia" w:ascii="Times New Roman" w:cs="Times New Roman"/>
                <w:snapToGrid w:val="0"/>
                <w:color w:val="auto"/>
                <w:kern w:val="21"/>
                <w:szCs w:val="21"/>
                <w:highlight w:val="none"/>
                <w:lang w:val="en-US" w:eastAsia="zh-CN"/>
              </w:rPr>
              <w:t>/</w:t>
            </w:r>
          </w:p>
        </w:tc>
        <w:tc>
          <w:tcPr>
            <w:tcW w:w="1233" w:type="dxa"/>
            <w:noWrap w:val="0"/>
            <w:vAlign w:val="center"/>
          </w:tcPr>
          <w:p w14:paraId="54501F5F">
            <w:pPr>
              <w:pStyle w:val="45"/>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lang w:val="en-US"/>
              </w:rPr>
            </w:pPr>
            <w:r>
              <w:rPr>
                <w:rFonts w:hint="eastAsia" w:ascii="Times New Roman" w:cs="Times New Roman"/>
                <w:snapToGrid w:val="0"/>
                <w:color w:val="auto"/>
                <w:kern w:val="21"/>
                <w:szCs w:val="21"/>
                <w:highlight w:val="none"/>
                <w:lang w:val="en-US" w:eastAsia="zh-CN"/>
              </w:rPr>
              <w:t>/</w:t>
            </w:r>
          </w:p>
        </w:tc>
      </w:tr>
      <w:tr w14:paraId="3D4A3CE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08" w:hRule="atLeast"/>
        </w:trPr>
        <w:tc>
          <w:tcPr>
            <w:tcW w:w="1133" w:type="dxa"/>
            <w:vMerge w:val="restart"/>
            <w:noWrap w:val="0"/>
            <w:vAlign w:val="center"/>
          </w:tcPr>
          <w:p w14:paraId="4EC21EE5">
            <w:pPr>
              <w:pStyle w:val="45"/>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default" w:ascii="Times New Roman" w:hAnsi="Times New Roman" w:cs="Times New Roman"/>
                <w:snapToGrid w:val="0"/>
                <w:color w:val="auto"/>
                <w:kern w:val="21"/>
                <w:szCs w:val="21"/>
                <w:highlight w:val="none"/>
              </w:rPr>
              <w:t>一般工业</w:t>
            </w:r>
          </w:p>
          <w:p w14:paraId="59957239">
            <w:pPr>
              <w:pStyle w:val="45"/>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default" w:ascii="Times New Roman" w:hAnsi="Times New Roman" w:cs="Times New Roman"/>
                <w:snapToGrid w:val="0"/>
                <w:color w:val="auto"/>
                <w:kern w:val="21"/>
                <w:szCs w:val="21"/>
                <w:highlight w:val="none"/>
              </w:rPr>
              <w:t>固体废物</w:t>
            </w:r>
          </w:p>
        </w:tc>
        <w:tc>
          <w:tcPr>
            <w:tcW w:w="1011" w:type="dxa"/>
            <w:noWrap w:val="0"/>
            <w:vAlign w:val="center"/>
          </w:tcPr>
          <w:p w14:paraId="4518528C">
            <w:pPr>
              <w:pStyle w:val="45"/>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eastAsia" w:ascii="Times New Roman" w:cs="Times New Roman"/>
                <w:snapToGrid w:val="0"/>
                <w:color w:val="auto"/>
                <w:kern w:val="21"/>
                <w:szCs w:val="21"/>
                <w:highlight w:val="none"/>
                <w:lang w:val="en-US" w:eastAsia="zh-CN"/>
              </w:rPr>
              <w:t>不可利用煤系高岭土</w:t>
            </w:r>
          </w:p>
        </w:tc>
        <w:tc>
          <w:tcPr>
            <w:tcW w:w="1029" w:type="dxa"/>
            <w:noWrap w:val="0"/>
            <w:vAlign w:val="center"/>
          </w:tcPr>
          <w:p w14:paraId="4E5A3FCC">
            <w:pPr>
              <w:pStyle w:val="45"/>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eastAsia" w:ascii="Times New Roman" w:hAnsi="Times New Roman" w:eastAsia="宋体" w:cs="Times New Roman"/>
                <w:color w:val="auto"/>
                <w:sz w:val="21"/>
                <w:szCs w:val="21"/>
                <w:highlight w:val="none"/>
                <w:lang w:val="en-US" w:eastAsia="zh-CN"/>
              </w:rPr>
              <w:t>/</w:t>
            </w:r>
          </w:p>
        </w:tc>
        <w:tc>
          <w:tcPr>
            <w:tcW w:w="759" w:type="dxa"/>
            <w:noWrap w:val="0"/>
            <w:vAlign w:val="center"/>
          </w:tcPr>
          <w:p w14:paraId="45F1CFB7">
            <w:pPr>
              <w:pStyle w:val="45"/>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eastAsia" w:ascii="Times New Roman" w:hAnsi="Times New Roman" w:eastAsia="宋体" w:cs="Times New Roman"/>
                <w:color w:val="auto"/>
                <w:sz w:val="21"/>
                <w:szCs w:val="21"/>
                <w:highlight w:val="none"/>
                <w:lang w:val="en-US" w:eastAsia="zh-CN"/>
              </w:rPr>
              <w:t>/</w:t>
            </w:r>
          </w:p>
        </w:tc>
        <w:tc>
          <w:tcPr>
            <w:tcW w:w="899" w:type="dxa"/>
            <w:noWrap w:val="0"/>
            <w:vAlign w:val="center"/>
          </w:tcPr>
          <w:p w14:paraId="1FD56C24">
            <w:pPr>
              <w:pStyle w:val="45"/>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eastAsia" w:ascii="Times New Roman" w:hAnsi="Times New Roman" w:eastAsia="宋体" w:cs="Times New Roman"/>
                <w:color w:val="auto"/>
                <w:sz w:val="21"/>
                <w:szCs w:val="21"/>
                <w:highlight w:val="none"/>
                <w:lang w:val="en-US" w:eastAsia="zh-CN"/>
              </w:rPr>
              <w:t>/</w:t>
            </w:r>
          </w:p>
        </w:tc>
        <w:tc>
          <w:tcPr>
            <w:tcW w:w="1006" w:type="dxa"/>
            <w:noWrap w:val="0"/>
            <w:vAlign w:val="center"/>
          </w:tcPr>
          <w:p w14:paraId="7950AEDC">
            <w:pPr>
              <w:pStyle w:val="45"/>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eastAsia" w:ascii="Times New Roman" w:cs="Times New Roman"/>
                <w:snapToGrid w:val="0"/>
                <w:color w:val="auto"/>
                <w:kern w:val="21"/>
                <w:szCs w:val="21"/>
                <w:highlight w:val="none"/>
                <w:lang w:val="en-US" w:eastAsia="zh-CN"/>
              </w:rPr>
              <w:t>+2.9</w:t>
            </w:r>
            <w:r>
              <w:rPr>
                <w:rFonts w:hint="default" w:ascii="Times New Roman" w:hAnsi="Times New Roman" w:cs="Times New Roman"/>
                <w:snapToGrid w:val="0"/>
                <w:color w:val="auto"/>
                <w:kern w:val="21"/>
                <w:szCs w:val="21"/>
                <w:highlight w:val="none"/>
                <w:lang w:val="en-US" w:eastAsia="zh-CN"/>
              </w:rPr>
              <w:t>万t/a</w:t>
            </w:r>
          </w:p>
        </w:tc>
        <w:tc>
          <w:tcPr>
            <w:tcW w:w="1251" w:type="dxa"/>
            <w:noWrap w:val="0"/>
            <w:vAlign w:val="center"/>
          </w:tcPr>
          <w:p w14:paraId="54A61B85">
            <w:pPr>
              <w:pStyle w:val="45"/>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eastAsia" w:ascii="Times New Roman" w:hAnsi="Times New Roman" w:eastAsia="宋体" w:cs="Times New Roman"/>
                <w:color w:val="auto"/>
                <w:sz w:val="21"/>
                <w:szCs w:val="21"/>
                <w:highlight w:val="none"/>
                <w:lang w:val="en-US" w:eastAsia="zh-CN"/>
              </w:rPr>
              <w:t>/</w:t>
            </w:r>
          </w:p>
        </w:tc>
        <w:tc>
          <w:tcPr>
            <w:tcW w:w="1515" w:type="dxa"/>
            <w:noWrap w:val="0"/>
            <w:vAlign w:val="center"/>
          </w:tcPr>
          <w:p w14:paraId="6B42C0A3">
            <w:pPr>
              <w:pStyle w:val="45"/>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eastAsia" w:ascii="Times New Roman" w:cs="Times New Roman"/>
                <w:snapToGrid w:val="0"/>
                <w:color w:val="auto"/>
                <w:kern w:val="21"/>
                <w:szCs w:val="21"/>
                <w:highlight w:val="none"/>
                <w:lang w:val="en-US" w:eastAsia="zh-CN"/>
              </w:rPr>
              <w:t>+2.9</w:t>
            </w:r>
            <w:r>
              <w:rPr>
                <w:rFonts w:hint="default" w:ascii="Times New Roman" w:hAnsi="Times New Roman" w:cs="Times New Roman"/>
                <w:snapToGrid w:val="0"/>
                <w:color w:val="auto"/>
                <w:kern w:val="21"/>
                <w:szCs w:val="21"/>
                <w:highlight w:val="none"/>
                <w:lang w:val="en-US" w:eastAsia="zh-CN"/>
              </w:rPr>
              <w:t>万t/a</w:t>
            </w:r>
          </w:p>
        </w:tc>
        <w:tc>
          <w:tcPr>
            <w:tcW w:w="1233" w:type="dxa"/>
            <w:noWrap w:val="0"/>
            <w:vAlign w:val="center"/>
          </w:tcPr>
          <w:p w14:paraId="3E5A9C67">
            <w:pPr>
              <w:pStyle w:val="45"/>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eastAsia" w:ascii="Times New Roman" w:cs="Times New Roman"/>
                <w:snapToGrid w:val="0"/>
                <w:color w:val="auto"/>
                <w:kern w:val="21"/>
                <w:szCs w:val="21"/>
                <w:highlight w:val="none"/>
                <w:lang w:val="en-US" w:eastAsia="zh-CN"/>
              </w:rPr>
              <w:t>+2.9</w:t>
            </w:r>
            <w:r>
              <w:rPr>
                <w:rFonts w:hint="default" w:ascii="Times New Roman" w:hAnsi="Times New Roman" w:cs="Times New Roman"/>
                <w:snapToGrid w:val="0"/>
                <w:color w:val="auto"/>
                <w:kern w:val="21"/>
                <w:szCs w:val="21"/>
                <w:highlight w:val="none"/>
                <w:lang w:val="en-US" w:eastAsia="zh-CN"/>
              </w:rPr>
              <w:t>万t/a</w:t>
            </w:r>
          </w:p>
        </w:tc>
      </w:tr>
      <w:tr w14:paraId="726B3AC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1133" w:type="dxa"/>
            <w:vMerge w:val="continue"/>
            <w:noWrap w:val="0"/>
            <w:vAlign w:val="center"/>
          </w:tcPr>
          <w:p w14:paraId="0C996603">
            <w:pPr>
              <w:pStyle w:val="45"/>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p>
        </w:tc>
        <w:tc>
          <w:tcPr>
            <w:tcW w:w="1011" w:type="dxa"/>
            <w:noWrap w:val="0"/>
            <w:vAlign w:val="center"/>
          </w:tcPr>
          <w:p w14:paraId="61DC1306">
            <w:pPr>
              <w:pStyle w:val="45"/>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eastAsia"/>
                <w:b w:val="0"/>
                <w:bCs w:val="0"/>
                <w:color w:val="auto"/>
                <w:highlight w:val="none"/>
                <w:lang w:val="en-US" w:eastAsia="zh-CN"/>
              </w:rPr>
              <w:t>废脱硫石膏</w:t>
            </w:r>
          </w:p>
        </w:tc>
        <w:tc>
          <w:tcPr>
            <w:tcW w:w="1029" w:type="dxa"/>
            <w:noWrap w:val="0"/>
            <w:vAlign w:val="center"/>
          </w:tcPr>
          <w:p w14:paraId="4686441C">
            <w:pPr>
              <w:pStyle w:val="45"/>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eastAsia" w:ascii="Times New Roman" w:hAnsi="Times New Roman" w:eastAsia="宋体" w:cs="Times New Roman"/>
                <w:color w:val="auto"/>
                <w:sz w:val="21"/>
                <w:szCs w:val="21"/>
                <w:highlight w:val="none"/>
                <w:lang w:val="en-US" w:eastAsia="zh-CN"/>
              </w:rPr>
              <w:t>/</w:t>
            </w:r>
          </w:p>
        </w:tc>
        <w:tc>
          <w:tcPr>
            <w:tcW w:w="759" w:type="dxa"/>
            <w:noWrap w:val="0"/>
            <w:vAlign w:val="center"/>
          </w:tcPr>
          <w:p w14:paraId="21D803C4">
            <w:pPr>
              <w:pStyle w:val="45"/>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eastAsia" w:ascii="Times New Roman" w:hAnsi="Times New Roman" w:eastAsia="宋体" w:cs="Times New Roman"/>
                <w:color w:val="auto"/>
                <w:sz w:val="21"/>
                <w:szCs w:val="21"/>
                <w:highlight w:val="none"/>
                <w:lang w:val="en-US" w:eastAsia="zh-CN"/>
              </w:rPr>
              <w:t>/</w:t>
            </w:r>
          </w:p>
        </w:tc>
        <w:tc>
          <w:tcPr>
            <w:tcW w:w="899" w:type="dxa"/>
            <w:noWrap w:val="0"/>
            <w:vAlign w:val="center"/>
          </w:tcPr>
          <w:p w14:paraId="6CC0A0C6">
            <w:pPr>
              <w:pStyle w:val="45"/>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eastAsia" w:ascii="Times New Roman" w:hAnsi="Times New Roman" w:eastAsia="宋体" w:cs="Times New Roman"/>
                <w:color w:val="auto"/>
                <w:sz w:val="21"/>
                <w:szCs w:val="21"/>
                <w:highlight w:val="none"/>
                <w:lang w:val="en-US" w:eastAsia="zh-CN"/>
              </w:rPr>
              <w:t>/</w:t>
            </w:r>
          </w:p>
        </w:tc>
        <w:tc>
          <w:tcPr>
            <w:tcW w:w="1006" w:type="dxa"/>
            <w:noWrap w:val="0"/>
            <w:vAlign w:val="center"/>
          </w:tcPr>
          <w:p w14:paraId="3DE75A5B">
            <w:pPr>
              <w:pStyle w:val="45"/>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eastAsia" w:ascii="Times New Roman" w:cs="Times New Roman"/>
                <w:snapToGrid w:val="0"/>
                <w:color w:val="auto"/>
                <w:kern w:val="21"/>
                <w:szCs w:val="21"/>
                <w:highlight w:val="none"/>
                <w:lang w:val="en-US" w:eastAsia="zh-CN"/>
              </w:rPr>
              <w:t>+</w:t>
            </w:r>
            <w:r>
              <w:rPr>
                <w:rFonts w:hint="default" w:ascii="Times New Roman" w:hAnsi="Times New Roman" w:cs="Times New Roman"/>
                <w:snapToGrid w:val="0"/>
                <w:color w:val="auto"/>
                <w:kern w:val="21"/>
                <w:szCs w:val="21"/>
                <w:highlight w:val="none"/>
                <w:lang w:val="en-US" w:eastAsia="zh-CN"/>
              </w:rPr>
              <w:t>1398.42t/a</w:t>
            </w:r>
          </w:p>
        </w:tc>
        <w:tc>
          <w:tcPr>
            <w:tcW w:w="1251" w:type="dxa"/>
            <w:noWrap w:val="0"/>
            <w:vAlign w:val="center"/>
          </w:tcPr>
          <w:p w14:paraId="72C0C7D9">
            <w:pPr>
              <w:pStyle w:val="45"/>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eastAsia" w:ascii="Times New Roman" w:hAnsi="Times New Roman" w:eastAsia="宋体" w:cs="Times New Roman"/>
                <w:color w:val="auto"/>
                <w:sz w:val="21"/>
                <w:szCs w:val="21"/>
                <w:highlight w:val="none"/>
                <w:lang w:val="en-US" w:eastAsia="zh-CN"/>
              </w:rPr>
              <w:t>/</w:t>
            </w:r>
          </w:p>
        </w:tc>
        <w:tc>
          <w:tcPr>
            <w:tcW w:w="1515" w:type="dxa"/>
            <w:noWrap w:val="0"/>
            <w:vAlign w:val="center"/>
          </w:tcPr>
          <w:p w14:paraId="55D584A8">
            <w:pPr>
              <w:pStyle w:val="45"/>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eastAsia" w:ascii="Times New Roman" w:cs="Times New Roman"/>
                <w:snapToGrid w:val="0"/>
                <w:color w:val="auto"/>
                <w:kern w:val="21"/>
                <w:szCs w:val="21"/>
                <w:highlight w:val="none"/>
                <w:lang w:val="en-US" w:eastAsia="zh-CN"/>
              </w:rPr>
              <w:t>+</w:t>
            </w:r>
            <w:r>
              <w:rPr>
                <w:rFonts w:hint="default" w:ascii="Times New Roman" w:hAnsi="Times New Roman" w:cs="Times New Roman"/>
                <w:snapToGrid w:val="0"/>
                <w:color w:val="auto"/>
                <w:kern w:val="21"/>
                <w:szCs w:val="21"/>
                <w:highlight w:val="none"/>
                <w:lang w:val="en-US" w:eastAsia="zh-CN"/>
              </w:rPr>
              <w:t>1398.42t/a</w:t>
            </w:r>
          </w:p>
        </w:tc>
        <w:tc>
          <w:tcPr>
            <w:tcW w:w="1233" w:type="dxa"/>
            <w:noWrap w:val="0"/>
            <w:vAlign w:val="center"/>
          </w:tcPr>
          <w:p w14:paraId="4F22D533">
            <w:pPr>
              <w:pStyle w:val="45"/>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eastAsia" w:ascii="Times New Roman" w:cs="Times New Roman"/>
                <w:snapToGrid w:val="0"/>
                <w:color w:val="auto"/>
                <w:kern w:val="21"/>
                <w:szCs w:val="21"/>
                <w:highlight w:val="none"/>
                <w:lang w:val="en-US" w:eastAsia="zh-CN"/>
              </w:rPr>
              <w:t>+</w:t>
            </w:r>
            <w:r>
              <w:rPr>
                <w:rFonts w:hint="default" w:ascii="Times New Roman" w:hAnsi="Times New Roman" w:cs="Times New Roman"/>
                <w:snapToGrid w:val="0"/>
                <w:color w:val="auto"/>
                <w:kern w:val="21"/>
                <w:szCs w:val="21"/>
                <w:highlight w:val="none"/>
                <w:lang w:val="en-US" w:eastAsia="zh-CN"/>
              </w:rPr>
              <w:t>1398.42t/a</w:t>
            </w:r>
          </w:p>
        </w:tc>
      </w:tr>
      <w:tr w14:paraId="6BB97AF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1133" w:type="dxa"/>
            <w:vMerge w:val="continue"/>
            <w:noWrap w:val="0"/>
            <w:vAlign w:val="center"/>
          </w:tcPr>
          <w:p w14:paraId="2191F01B">
            <w:pPr>
              <w:pStyle w:val="45"/>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p>
        </w:tc>
        <w:tc>
          <w:tcPr>
            <w:tcW w:w="1011" w:type="dxa"/>
            <w:noWrap w:val="0"/>
            <w:vAlign w:val="center"/>
          </w:tcPr>
          <w:p w14:paraId="074FFE8F">
            <w:pPr>
              <w:pStyle w:val="45"/>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textAlignment w:val="auto"/>
              <w:rPr>
                <w:rFonts w:hint="eastAsia"/>
                <w:b w:val="0"/>
                <w:bCs w:val="0"/>
                <w:color w:val="auto"/>
                <w:highlight w:val="none"/>
                <w:lang w:val="en-US" w:eastAsia="zh-CN"/>
              </w:rPr>
            </w:pPr>
            <w:r>
              <w:rPr>
                <w:rFonts w:hint="default"/>
                <w:b w:val="0"/>
                <w:bCs w:val="0"/>
                <w:color w:val="auto"/>
                <w:highlight w:val="none"/>
                <w:lang w:val="en-US" w:eastAsia="zh-CN"/>
              </w:rPr>
              <w:t>除尘灰</w:t>
            </w:r>
          </w:p>
        </w:tc>
        <w:tc>
          <w:tcPr>
            <w:tcW w:w="1029" w:type="dxa"/>
            <w:noWrap w:val="0"/>
            <w:vAlign w:val="center"/>
          </w:tcPr>
          <w:p w14:paraId="704BF71D">
            <w:pPr>
              <w:pStyle w:val="45"/>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eastAsia" w:ascii="Times New Roman" w:hAnsi="Times New Roman" w:eastAsia="宋体" w:cs="Times New Roman"/>
                <w:color w:val="auto"/>
                <w:sz w:val="21"/>
                <w:szCs w:val="21"/>
                <w:highlight w:val="none"/>
                <w:lang w:val="en-US" w:eastAsia="zh-CN"/>
              </w:rPr>
              <w:t>/</w:t>
            </w:r>
          </w:p>
        </w:tc>
        <w:tc>
          <w:tcPr>
            <w:tcW w:w="759" w:type="dxa"/>
            <w:noWrap w:val="0"/>
            <w:vAlign w:val="center"/>
          </w:tcPr>
          <w:p w14:paraId="7DB286A7">
            <w:pPr>
              <w:pStyle w:val="45"/>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eastAsia" w:ascii="Times New Roman" w:hAnsi="Times New Roman" w:eastAsia="宋体" w:cs="Times New Roman"/>
                <w:color w:val="auto"/>
                <w:sz w:val="21"/>
                <w:szCs w:val="21"/>
                <w:highlight w:val="none"/>
                <w:lang w:val="en-US" w:eastAsia="zh-CN"/>
              </w:rPr>
              <w:t>/</w:t>
            </w:r>
          </w:p>
        </w:tc>
        <w:tc>
          <w:tcPr>
            <w:tcW w:w="899" w:type="dxa"/>
            <w:noWrap w:val="0"/>
            <w:vAlign w:val="center"/>
          </w:tcPr>
          <w:p w14:paraId="46A92A61">
            <w:pPr>
              <w:pStyle w:val="45"/>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eastAsia" w:ascii="Times New Roman" w:hAnsi="Times New Roman" w:eastAsia="宋体" w:cs="Times New Roman"/>
                <w:color w:val="auto"/>
                <w:sz w:val="21"/>
                <w:szCs w:val="21"/>
                <w:highlight w:val="none"/>
                <w:lang w:val="en-US" w:eastAsia="zh-CN"/>
              </w:rPr>
              <w:t>/</w:t>
            </w:r>
          </w:p>
        </w:tc>
        <w:tc>
          <w:tcPr>
            <w:tcW w:w="1006" w:type="dxa"/>
            <w:noWrap w:val="0"/>
            <w:vAlign w:val="center"/>
          </w:tcPr>
          <w:p w14:paraId="0C48591F">
            <w:pPr>
              <w:pStyle w:val="45"/>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textAlignment w:val="auto"/>
              <w:rPr>
                <w:rFonts w:hint="eastAsia" w:ascii="Times New Roman"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+299.9t/a</w:t>
            </w:r>
          </w:p>
        </w:tc>
        <w:tc>
          <w:tcPr>
            <w:tcW w:w="1251" w:type="dxa"/>
            <w:noWrap w:val="0"/>
            <w:vAlign w:val="center"/>
          </w:tcPr>
          <w:p w14:paraId="2FF67E8C">
            <w:pPr>
              <w:pStyle w:val="45"/>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eastAsia" w:ascii="Times New Roman" w:hAnsi="Times New Roman" w:eastAsia="宋体" w:cs="Times New Roman"/>
                <w:color w:val="auto"/>
                <w:sz w:val="21"/>
                <w:szCs w:val="21"/>
                <w:highlight w:val="none"/>
                <w:lang w:val="en-US" w:eastAsia="zh-CN"/>
              </w:rPr>
              <w:t>/</w:t>
            </w:r>
          </w:p>
        </w:tc>
        <w:tc>
          <w:tcPr>
            <w:tcW w:w="1515" w:type="dxa"/>
            <w:noWrap w:val="0"/>
            <w:vAlign w:val="center"/>
          </w:tcPr>
          <w:p w14:paraId="2607F3F7">
            <w:pPr>
              <w:pStyle w:val="45"/>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textAlignment w:val="auto"/>
              <w:rPr>
                <w:rFonts w:hint="eastAsia" w:ascii="Times New Roman"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+299.97t/a</w:t>
            </w:r>
          </w:p>
        </w:tc>
        <w:tc>
          <w:tcPr>
            <w:tcW w:w="1233" w:type="dxa"/>
            <w:noWrap w:val="0"/>
            <w:vAlign w:val="center"/>
          </w:tcPr>
          <w:p w14:paraId="4F96EC28">
            <w:pPr>
              <w:pStyle w:val="45"/>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textAlignment w:val="auto"/>
              <w:rPr>
                <w:rFonts w:hint="eastAsia" w:ascii="Times New Roman"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+299.9t/a</w:t>
            </w:r>
          </w:p>
        </w:tc>
      </w:tr>
      <w:tr w14:paraId="7AD80DF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1133" w:type="dxa"/>
            <w:noWrap w:val="0"/>
            <w:vAlign w:val="center"/>
          </w:tcPr>
          <w:p w14:paraId="5443165F">
            <w:pPr>
              <w:pStyle w:val="45"/>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textAlignment w:val="auto"/>
              <w:rPr>
                <w:rFonts w:hint="eastAsia" w:ascii="Times New Roman" w:hAnsi="Times New Roman" w:eastAsia="宋体"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危险废物</w:t>
            </w:r>
          </w:p>
        </w:tc>
        <w:tc>
          <w:tcPr>
            <w:tcW w:w="1011" w:type="dxa"/>
            <w:noWrap w:val="0"/>
            <w:vAlign w:val="center"/>
          </w:tcPr>
          <w:p w14:paraId="15CB5821">
            <w:pPr>
              <w:pStyle w:val="45"/>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textAlignment w:val="auto"/>
              <w:rPr>
                <w:rFonts w:hint="default"/>
                <w:b w:val="0"/>
                <w:bCs w:val="0"/>
                <w:color w:val="auto"/>
                <w:highlight w:val="none"/>
                <w:lang w:val="en-US" w:eastAsia="zh-CN"/>
              </w:rPr>
            </w:pPr>
            <w:r>
              <w:rPr>
                <w:rFonts w:hint="eastAsia"/>
                <w:b w:val="0"/>
                <w:bCs w:val="0"/>
                <w:color w:val="auto"/>
                <w:highlight w:val="none"/>
                <w:lang w:val="en-US" w:eastAsia="zh-CN"/>
              </w:rPr>
              <w:t>废催化剂</w:t>
            </w:r>
          </w:p>
        </w:tc>
        <w:tc>
          <w:tcPr>
            <w:tcW w:w="1029" w:type="dxa"/>
            <w:noWrap w:val="0"/>
            <w:vAlign w:val="center"/>
          </w:tcPr>
          <w:p w14:paraId="7FF247BA">
            <w:pPr>
              <w:pStyle w:val="45"/>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eastAsia" w:ascii="Times New Roman" w:hAnsi="Times New Roman" w:eastAsia="宋体" w:cs="Times New Roman"/>
                <w:color w:val="auto"/>
                <w:sz w:val="21"/>
                <w:szCs w:val="21"/>
                <w:highlight w:val="none"/>
                <w:lang w:val="en-US" w:eastAsia="zh-CN"/>
              </w:rPr>
              <w:t>/</w:t>
            </w:r>
          </w:p>
        </w:tc>
        <w:tc>
          <w:tcPr>
            <w:tcW w:w="759" w:type="dxa"/>
            <w:noWrap w:val="0"/>
            <w:vAlign w:val="center"/>
          </w:tcPr>
          <w:p w14:paraId="2EA28D9F">
            <w:pPr>
              <w:pStyle w:val="45"/>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eastAsia" w:ascii="Times New Roman" w:hAnsi="Times New Roman" w:eastAsia="宋体" w:cs="Times New Roman"/>
                <w:color w:val="auto"/>
                <w:sz w:val="21"/>
                <w:szCs w:val="21"/>
                <w:highlight w:val="none"/>
                <w:lang w:val="en-US" w:eastAsia="zh-CN"/>
              </w:rPr>
              <w:t>/</w:t>
            </w:r>
          </w:p>
        </w:tc>
        <w:tc>
          <w:tcPr>
            <w:tcW w:w="899" w:type="dxa"/>
            <w:noWrap w:val="0"/>
            <w:vAlign w:val="center"/>
          </w:tcPr>
          <w:p w14:paraId="4CA819B1">
            <w:pPr>
              <w:pStyle w:val="45"/>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eastAsia" w:ascii="Times New Roman" w:hAnsi="Times New Roman" w:eastAsia="宋体" w:cs="Times New Roman"/>
                <w:color w:val="auto"/>
                <w:sz w:val="21"/>
                <w:szCs w:val="21"/>
                <w:highlight w:val="none"/>
                <w:lang w:val="en-US" w:eastAsia="zh-CN"/>
              </w:rPr>
              <w:t>/</w:t>
            </w:r>
          </w:p>
        </w:tc>
        <w:tc>
          <w:tcPr>
            <w:tcW w:w="1006" w:type="dxa"/>
            <w:noWrap w:val="0"/>
            <w:vAlign w:val="center"/>
          </w:tcPr>
          <w:p w14:paraId="523F847E">
            <w:pPr>
              <w:pStyle w:val="45"/>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textAlignment w:val="auto"/>
              <w:rPr>
                <w:rFonts w:hint="default" w:ascii="Times New Roman"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+1.0t/a</w:t>
            </w:r>
          </w:p>
        </w:tc>
        <w:tc>
          <w:tcPr>
            <w:tcW w:w="1251" w:type="dxa"/>
            <w:noWrap w:val="0"/>
            <w:vAlign w:val="center"/>
          </w:tcPr>
          <w:p w14:paraId="014D5EEE">
            <w:pPr>
              <w:pStyle w:val="45"/>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eastAsia" w:ascii="Times New Roman" w:hAnsi="Times New Roman" w:eastAsia="宋体" w:cs="Times New Roman"/>
                <w:color w:val="auto"/>
                <w:sz w:val="21"/>
                <w:szCs w:val="21"/>
                <w:highlight w:val="none"/>
                <w:lang w:val="en-US" w:eastAsia="zh-CN"/>
              </w:rPr>
              <w:t>/</w:t>
            </w:r>
          </w:p>
        </w:tc>
        <w:tc>
          <w:tcPr>
            <w:tcW w:w="1515" w:type="dxa"/>
            <w:noWrap w:val="0"/>
            <w:vAlign w:val="center"/>
          </w:tcPr>
          <w:p w14:paraId="2666A538">
            <w:pPr>
              <w:pStyle w:val="45"/>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textAlignment w:val="auto"/>
              <w:rPr>
                <w:rFonts w:hint="eastAsia" w:ascii="Times New Roman"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+1.0t/a</w:t>
            </w:r>
          </w:p>
        </w:tc>
        <w:tc>
          <w:tcPr>
            <w:tcW w:w="1233" w:type="dxa"/>
            <w:noWrap w:val="0"/>
            <w:vAlign w:val="center"/>
          </w:tcPr>
          <w:p w14:paraId="6A532334">
            <w:pPr>
              <w:pStyle w:val="45"/>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textAlignment w:val="auto"/>
              <w:rPr>
                <w:rFonts w:hint="eastAsia" w:ascii="Times New Roman"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+1.0t/a</w:t>
            </w:r>
          </w:p>
        </w:tc>
      </w:tr>
      <w:tr w14:paraId="1F1E9FC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26" w:hRule="atLeast"/>
        </w:trPr>
        <w:tc>
          <w:tcPr>
            <w:tcW w:w="2144" w:type="dxa"/>
            <w:gridSpan w:val="2"/>
            <w:noWrap w:val="0"/>
            <w:vAlign w:val="center"/>
          </w:tcPr>
          <w:p w14:paraId="066CA7B6">
            <w:pPr>
              <w:pStyle w:val="45"/>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eastAsia" w:ascii="Times New Roman" w:cs="Times New Roman"/>
                <w:snapToGrid w:val="0"/>
                <w:color w:val="auto"/>
                <w:kern w:val="21"/>
                <w:szCs w:val="21"/>
                <w:highlight w:val="none"/>
                <w:lang w:eastAsia="zh-CN"/>
              </w:rPr>
              <w:t>生活垃圾</w:t>
            </w:r>
          </w:p>
        </w:tc>
        <w:tc>
          <w:tcPr>
            <w:tcW w:w="1029" w:type="dxa"/>
            <w:noWrap w:val="0"/>
            <w:vAlign w:val="center"/>
          </w:tcPr>
          <w:p w14:paraId="0885F71D">
            <w:pPr>
              <w:pStyle w:val="45"/>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eastAsia" w:ascii="Times New Roman" w:hAnsi="Times New Roman" w:eastAsia="宋体" w:cs="Times New Roman"/>
                <w:color w:val="auto"/>
                <w:sz w:val="21"/>
                <w:szCs w:val="21"/>
                <w:highlight w:val="none"/>
                <w:lang w:val="en-US" w:eastAsia="zh-CN"/>
              </w:rPr>
              <w:t>/</w:t>
            </w:r>
          </w:p>
        </w:tc>
        <w:tc>
          <w:tcPr>
            <w:tcW w:w="759" w:type="dxa"/>
            <w:noWrap w:val="0"/>
            <w:vAlign w:val="center"/>
          </w:tcPr>
          <w:p w14:paraId="6AFD9980">
            <w:pPr>
              <w:pStyle w:val="45"/>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eastAsia" w:ascii="Times New Roman" w:hAnsi="Times New Roman" w:eastAsia="宋体" w:cs="Times New Roman"/>
                <w:color w:val="auto"/>
                <w:sz w:val="21"/>
                <w:szCs w:val="21"/>
                <w:highlight w:val="none"/>
                <w:lang w:val="en-US" w:eastAsia="zh-CN"/>
              </w:rPr>
              <w:t>/</w:t>
            </w:r>
          </w:p>
        </w:tc>
        <w:tc>
          <w:tcPr>
            <w:tcW w:w="899" w:type="dxa"/>
            <w:noWrap w:val="0"/>
            <w:vAlign w:val="center"/>
          </w:tcPr>
          <w:p w14:paraId="22A87760">
            <w:pPr>
              <w:pStyle w:val="45"/>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eastAsia" w:ascii="Times New Roman" w:hAnsi="Times New Roman" w:eastAsia="宋体" w:cs="Times New Roman"/>
                <w:color w:val="auto"/>
                <w:sz w:val="21"/>
                <w:szCs w:val="21"/>
                <w:highlight w:val="none"/>
                <w:lang w:val="en-US" w:eastAsia="zh-CN"/>
              </w:rPr>
              <w:t>/</w:t>
            </w:r>
          </w:p>
        </w:tc>
        <w:tc>
          <w:tcPr>
            <w:tcW w:w="1006" w:type="dxa"/>
            <w:noWrap w:val="0"/>
            <w:vAlign w:val="center"/>
          </w:tcPr>
          <w:p w14:paraId="6BA6D147">
            <w:pPr>
              <w:pStyle w:val="45"/>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eastAsia" w:cs="Times New Roman"/>
                <w:color w:val="auto"/>
                <w:kern w:val="2"/>
                <w:sz w:val="21"/>
                <w:szCs w:val="21"/>
                <w:highlight w:val="none"/>
                <w:vertAlign w:val="baseline"/>
                <w:lang w:val="en-US" w:eastAsia="zh-CN" w:bidi="ar-SA"/>
              </w:rPr>
              <w:t>+33.47t/a</w:t>
            </w:r>
          </w:p>
        </w:tc>
        <w:tc>
          <w:tcPr>
            <w:tcW w:w="1251" w:type="dxa"/>
            <w:noWrap w:val="0"/>
            <w:vAlign w:val="center"/>
          </w:tcPr>
          <w:p w14:paraId="32A58D58">
            <w:pPr>
              <w:pStyle w:val="45"/>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eastAsia" w:ascii="Times New Roman" w:hAnsi="Times New Roman" w:eastAsia="宋体" w:cs="Times New Roman"/>
                <w:color w:val="auto"/>
                <w:sz w:val="21"/>
                <w:szCs w:val="21"/>
                <w:highlight w:val="none"/>
                <w:lang w:val="en-US" w:eastAsia="zh-CN"/>
              </w:rPr>
              <w:t>/</w:t>
            </w:r>
          </w:p>
        </w:tc>
        <w:tc>
          <w:tcPr>
            <w:tcW w:w="1515" w:type="dxa"/>
            <w:noWrap w:val="0"/>
            <w:vAlign w:val="center"/>
          </w:tcPr>
          <w:p w14:paraId="31ADE0AC">
            <w:pPr>
              <w:pStyle w:val="45"/>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eastAsia" w:cs="Times New Roman"/>
                <w:color w:val="auto"/>
                <w:kern w:val="2"/>
                <w:sz w:val="21"/>
                <w:szCs w:val="21"/>
                <w:highlight w:val="none"/>
                <w:vertAlign w:val="baseline"/>
                <w:lang w:val="en-US" w:eastAsia="zh-CN" w:bidi="ar-SA"/>
              </w:rPr>
              <w:t>+33.47t/a</w:t>
            </w:r>
          </w:p>
        </w:tc>
        <w:tc>
          <w:tcPr>
            <w:tcW w:w="1233" w:type="dxa"/>
            <w:noWrap w:val="0"/>
            <w:vAlign w:val="center"/>
          </w:tcPr>
          <w:p w14:paraId="700E74B3">
            <w:pPr>
              <w:pStyle w:val="45"/>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eastAsia" w:cs="Times New Roman"/>
                <w:color w:val="auto"/>
                <w:kern w:val="2"/>
                <w:sz w:val="21"/>
                <w:szCs w:val="21"/>
                <w:highlight w:val="none"/>
                <w:vertAlign w:val="baseline"/>
                <w:lang w:val="en-US" w:eastAsia="zh-CN" w:bidi="ar-SA"/>
              </w:rPr>
              <w:t>+33.47t/a</w:t>
            </w:r>
          </w:p>
        </w:tc>
      </w:tr>
    </w:tbl>
    <w:p w14:paraId="51F6F92A">
      <w:pPr>
        <w:pStyle w:val="45"/>
        <w:spacing w:before="192" w:beforeLines="80" w:after="24"/>
        <w:jc w:val="left"/>
        <w:rPr>
          <w:rFonts w:hint="eastAsia" w:eastAsia="宋体"/>
          <w:lang w:eastAsia="zh-CN"/>
        </w:rPr>
        <w:sectPr>
          <w:footerReference r:id="rId11" w:type="default"/>
          <w:pgSz w:w="11906" w:h="16838"/>
          <w:pgMar w:top="1440" w:right="1800" w:bottom="1440" w:left="1800" w:header="851" w:footer="851" w:gutter="0"/>
          <w:pgBorders>
            <w:top w:val="none" w:sz="0" w:space="0"/>
            <w:left w:val="none" w:sz="0" w:space="0"/>
            <w:bottom w:val="none" w:sz="0" w:space="0"/>
            <w:right w:val="none" w:sz="0" w:space="0"/>
          </w:pgBorders>
          <w:pgNumType w:fmt="numberInDash"/>
          <w:cols w:space="720" w:num="1"/>
          <w:docGrid w:linePitch="312" w:charSpace="0"/>
        </w:sectPr>
      </w:pPr>
      <w:r>
        <w:rPr>
          <w:rFonts w:hint="default" w:ascii="Times New Roman" w:hAnsi="Times New Roman" w:cs="Times New Roman"/>
          <w:snapToGrid w:val="0"/>
          <w:color w:val="auto"/>
          <w:kern w:val="21"/>
          <w:szCs w:val="21"/>
          <w:highlight w:val="none"/>
        </w:rPr>
        <w:t>注：</w:t>
      </w:r>
      <w:r>
        <w:rPr>
          <w:rFonts w:hint="default" w:ascii="Times New Roman" w:hAnsi="Times New Roman" w:cs="Times New Roman"/>
          <w:snapToGrid w:val="0"/>
          <w:color w:val="auto"/>
          <w:spacing w:val="-16"/>
          <w:kern w:val="21"/>
          <w:szCs w:val="21"/>
          <w:highlight w:val="none"/>
        </w:rPr>
        <w:fldChar w:fldCharType="begin"/>
      </w:r>
      <w:r>
        <w:rPr>
          <w:rFonts w:hint="default" w:ascii="Times New Roman" w:hAnsi="Times New Roman" w:cs="Times New Roman"/>
          <w:snapToGrid w:val="0"/>
          <w:color w:val="auto"/>
          <w:spacing w:val="-16"/>
          <w:kern w:val="21"/>
          <w:szCs w:val="21"/>
          <w:highlight w:val="none"/>
        </w:rPr>
        <w:instrText xml:space="preserve"> = 6 \* GB3 \* MERGEFORMAT </w:instrText>
      </w:r>
      <w:r>
        <w:rPr>
          <w:rFonts w:hint="default" w:ascii="Times New Roman" w:hAnsi="Times New Roman" w:cs="Times New Roman"/>
          <w:snapToGrid w:val="0"/>
          <w:color w:val="auto"/>
          <w:spacing w:val="-16"/>
          <w:kern w:val="21"/>
          <w:szCs w:val="21"/>
          <w:highlight w:val="none"/>
        </w:rPr>
        <w:fldChar w:fldCharType="separate"/>
      </w:r>
      <w:r>
        <w:rPr>
          <w:rFonts w:hint="default" w:ascii="Times New Roman" w:hAnsi="Times New Roman" w:cs="Times New Roman"/>
          <w:color w:val="auto"/>
          <w:szCs w:val="21"/>
          <w:highlight w:val="none"/>
        </w:rPr>
        <w:t>⑥</w:t>
      </w:r>
      <w:r>
        <w:rPr>
          <w:rFonts w:hint="default" w:ascii="Times New Roman" w:hAnsi="Times New Roman" w:cs="Times New Roman"/>
          <w:snapToGrid w:val="0"/>
          <w:color w:val="auto"/>
          <w:spacing w:val="-16"/>
          <w:kern w:val="21"/>
          <w:szCs w:val="21"/>
          <w:highlight w:val="none"/>
        </w:rPr>
        <w:fldChar w:fldCharType="end"/>
      </w:r>
      <w:r>
        <w:rPr>
          <w:rFonts w:hint="default" w:ascii="Times New Roman" w:hAnsi="Times New Roman" w:cs="Times New Roman"/>
          <w:snapToGrid w:val="0"/>
          <w:color w:val="auto"/>
          <w:spacing w:val="-16"/>
          <w:kern w:val="21"/>
          <w:szCs w:val="21"/>
          <w:highlight w:val="none"/>
        </w:rPr>
        <w:t>=</w:t>
      </w:r>
      <w:r>
        <w:rPr>
          <w:rFonts w:hint="default" w:ascii="Times New Roman" w:hAnsi="Times New Roman" w:cs="Times New Roman"/>
          <w:snapToGrid w:val="0"/>
          <w:color w:val="auto"/>
          <w:spacing w:val="-6"/>
          <w:kern w:val="21"/>
          <w:szCs w:val="21"/>
          <w:highlight w:val="none"/>
        </w:rPr>
        <w:fldChar w:fldCharType="begin"/>
      </w:r>
      <w:r>
        <w:rPr>
          <w:rFonts w:hint="default" w:ascii="Times New Roman" w:hAnsi="Times New Roman" w:cs="Times New Roman"/>
          <w:snapToGrid w:val="0"/>
          <w:color w:val="auto"/>
          <w:spacing w:val="-6"/>
          <w:kern w:val="21"/>
          <w:szCs w:val="21"/>
          <w:highlight w:val="none"/>
        </w:rPr>
        <w:instrText xml:space="preserve"> = 1 \* GB3 \* MERGEFORMAT </w:instrText>
      </w:r>
      <w:r>
        <w:rPr>
          <w:rFonts w:hint="default" w:ascii="Times New Roman" w:hAnsi="Times New Roman" w:cs="Times New Roman"/>
          <w:snapToGrid w:val="0"/>
          <w:color w:val="auto"/>
          <w:spacing w:val="-6"/>
          <w:kern w:val="21"/>
          <w:szCs w:val="21"/>
          <w:highlight w:val="none"/>
        </w:rPr>
        <w:fldChar w:fldCharType="separate"/>
      </w:r>
      <w:r>
        <w:rPr>
          <w:rFonts w:hint="default" w:ascii="Times New Roman" w:hAnsi="Times New Roman" w:cs="Times New Roman"/>
          <w:color w:val="auto"/>
          <w:szCs w:val="21"/>
          <w:highlight w:val="none"/>
        </w:rPr>
        <w:t>①</w:t>
      </w:r>
      <w:r>
        <w:rPr>
          <w:rFonts w:hint="default" w:ascii="Times New Roman" w:hAnsi="Times New Roman" w:cs="Times New Roman"/>
          <w:snapToGrid w:val="0"/>
          <w:color w:val="auto"/>
          <w:spacing w:val="-6"/>
          <w:kern w:val="21"/>
          <w:szCs w:val="21"/>
          <w:highlight w:val="none"/>
        </w:rPr>
        <w:fldChar w:fldCharType="end"/>
      </w:r>
      <w:r>
        <w:rPr>
          <w:rFonts w:hint="default" w:ascii="Times New Roman" w:hAnsi="Times New Roman" w:cs="Times New Roman"/>
          <w:snapToGrid w:val="0"/>
          <w:color w:val="auto"/>
          <w:spacing w:val="-6"/>
          <w:kern w:val="21"/>
          <w:szCs w:val="21"/>
          <w:highlight w:val="none"/>
        </w:rPr>
        <w:t>+</w:t>
      </w:r>
      <w:r>
        <w:rPr>
          <w:rFonts w:hint="default" w:ascii="Times New Roman" w:hAnsi="Times New Roman" w:cs="Times New Roman"/>
          <w:snapToGrid w:val="0"/>
          <w:color w:val="auto"/>
          <w:spacing w:val="-6"/>
          <w:kern w:val="21"/>
          <w:szCs w:val="21"/>
          <w:highlight w:val="none"/>
        </w:rPr>
        <w:fldChar w:fldCharType="begin"/>
      </w:r>
      <w:r>
        <w:rPr>
          <w:rFonts w:hint="default" w:ascii="Times New Roman" w:hAnsi="Times New Roman" w:cs="Times New Roman"/>
          <w:snapToGrid w:val="0"/>
          <w:color w:val="auto"/>
          <w:spacing w:val="-6"/>
          <w:kern w:val="21"/>
          <w:szCs w:val="21"/>
          <w:highlight w:val="none"/>
        </w:rPr>
        <w:instrText xml:space="preserve"> = 3 \* GB3 \* MERGEFORMAT </w:instrText>
      </w:r>
      <w:r>
        <w:rPr>
          <w:rFonts w:hint="default" w:ascii="Times New Roman" w:hAnsi="Times New Roman" w:cs="Times New Roman"/>
          <w:snapToGrid w:val="0"/>
          <w:color w:val="auto"/>
          <w:spacing w:val="-6"/>
          <w:kern w:val="21"/>
          <w:szCs w:val="21"/>
          <w:highlight w:val="none"/>
        </w:rPr>
        <w:fldChar w:fldCharType="separate"/>
      </w:r>
      <w:r>
        <w:rPr>
          <w:rFonts w:hint="default" w:ascii="Times New Roman" w:hAnsi="Times New Roman" w:cs="Times New Roman"/>
          <w:color w:val="auto"/>
          <w:szCs w:val="21"/>
          <w:highlight w:val="none"/>
        </w:rPr>
        <w:t>③</w:t>
      </w:r>
      <w:r>
        <w:rPr>
          <w:rFonts w:hint="default" w:ascii="Times New Roman" w:hAnsi="Times New Roman" w:cs="Times New Roman"/>
          <w:snapToGrid w:val="0"/>
          <w:color w:val="auto"/>
          <w:spacing w:val="-6"/>
          <w:kern w:val="21"/>
          <w:szCs w:val="21"/>
          <w:highlight w:val="none"/>
        </w:rPr>
        <w:fldChar w:fldCharType="end"/>
      </w:r>
      <w:r>
        <w:rPr>
          <w:rFonts w:hint="default" w:ascii="Times New Roman" w:hAnsi="Times New Roman" w:cs="Times New Roman"/>
          <w:snapToGrid w:val="0"/>
          <w:color w:val="auto"/>
          <w:spacing w:val="-6"/>
          <w:kern w:val="21"/>
          <w:szCs w:val="21"/>
          <w:highlight w:val="none"/>
        </w:rPr>
        <w:t>+</w:t>
      </w:r>
      <w:r>
        <w:rPr>
          <w:rFonts w:hint="default" w:ascii="Times New Roman" w:hAnsi="Times New Roman" w:cs="Times New Roman"/>
          <w:snapToGrid w:val="0"/>
          <w:color w:val="auto"/>
          <w:spacing w:val="-6"/>
          <w:kern w:val="21"/>
          <w:szCs w:val="21"/>
          <w:highlight w:val="none"/>
        </w:rPr>
        <w:fldChar w:fldCharType="begin"/>
      </w:r>
      <w:r>
        <w:rPr>
          <w:rFonts w:hint="default" w:ascii="Times New Roman" w:hAnsi="Times New Roman" w:cs="Times New Roman"/>
          <w:snapToGrid w:val="0"/>
          <w:color w:val="auto"/>
          <w:spacing w:val="-6"/>
          <w:kern w:val="21"/>
          <w:szCs w:val="21"/>
          <w:highlight w:val="none"/>
        </w:rPr>
        <w:instrText xml:space="preserve"> = 4 \* GB3 \* MERGEFORMAT </w:instrText>
      </w:r>
      <w:r>
        <w:rPr>
          <w:rFonts w:hint="default" w:ascii="Times New Roman" w:hAnsi="Times New Roman" w:cs="Times New Roman"/>
          <w:snapToGrid w:val="0"/>
          <w:color w:val="auto"/>
          <w:spacing w:val="-6"/>
          <w:kern w:val="21"/>
          <w:szCs w:val="21"/>
          <w:highlight w:val="none"/>
        </w:rPr>
        <w:fldChar w:fldCharType="separate"/>
      </w:r>
      <w:r>
        <w:rPr>
          <w:rFonts w:hint="default" w:ascii="Times New Roman" w:hAnsi="Times New Roman" w:cs="Times New Roman"/>
          <w:color w:val="auto"/>
          <w:szCs w:val="21"/>
          <w:highlight w:val="none"/>
        </w:rPr>
        <w:t>④</w:t>
      </w:r>
      <w:r>
        <w:rPr>
          <w:rFonts w:hint="default" w:ascii="Times New Roman" w:hAnsi="Times New Roman" w:cs="Times New Roman"/>
          <w:snapToGrid w:val="0"/>
          <w:color w:val="auto"/>
          <w:spacing w:val="-6"/>
          <w:kern w:val="21"/>
          <w:szCs w:val="21"/>
          <w:highlight w:val="none"/>
        </w:rPr>
        <w:fldChar w:fldCharType="end"/>
      </w:r>
      <w:r>
        <w:rPr>
          <w:rFonts w:hint="default" w:ascii="Times New Roman" w:hAnsi="Times New Roman" w:cs="Times New Roman"/>
          <w:snapToGrid w:val="0"/>
          <w:color w:val="auto"/>
          <w:spacing w:val="-6"/>
          <w:kern w:val="21"/>
          <w:szCs w:val="21"/>
          <w:highlight w:val="none"/>
        </w:rPr>
        <w:t>-</w:t>
      </w:r>
      <w:r>
        <w:rPr>
          <w:rFonts w:hint="default" w:ascii="Times New Roman" w:hAnsi="Times New Roman" w:cs="Times New Roman"/>
          <w:snapToGrid w:val="0"/>
          <w:color w:val="auto"/>
          <w:spacing w:val="-16"/>
          <w:kern w:val="21"/>
          <w:szCs w:val="21"/>
          <w:highlight w:val="none"/>
        </w:rPr>
        <w:fldChar w:fldCharType="begin"/>
      </w:r>
      <w:r>
        <w:rPr>
          <w:rFonts w:hint="default" w:ascii="Times New Roman" w:hAnsi="Times New Roman" w:cs="Times New Roman"/>
          <w:snapToGrid w:val="0"/>
          <w:color w:val="auto"/>
          <w:spacing w:val="-16"/>
          <w:kern w:val="21"/>
          <w:szCs w:val="21"/>
          <w:highlight w:val="none"/>
        </w:rPr>
        <w:instrText xml:space="preserve"> = 5 \* GB3 \* MERGEFORMAT </w:instrText>
      </w:r>
      <w:r>
        <w:rPr>
          <w:rFonts w:hint="default" w:ascii="Times New Roman" w:hAnsi="Times New Roman" w:cs="Times New Roman"/>
          <w:snapToGrid w:val="0"/>
          <w:color w:val="auto"/>
          <w:spacing w:val="-16"/>
          <w:kern w:val="21"/>
          <w:szCs w:val="21"/>
          <w:highlight w:val="none"/>
        </w:rPr>
        <w:fldChar w:fldCharType="separate"/>
      </w:r>
      <w:r>
        <w:rPr>
          <w:rFonts w:hint="default" w:ascii="Times New Roman" w:hAnsi="Times New Roman" w:cs="Times New Roman"/>
          <w:color w:val="auto"/>
          <w:szCs w:val="21"/>
          <w:highlight w:val="none"/>
        </w:rPr>
        <w:t>⑤</w:t>
      </w:r>
      <w:r>
        <w:rPr>
          <w:rFonts w:hint="default" w:ascii="Times New Roman" w:hAnsi="Times New Roman" w:cs="Times New Roman"/>
          <w:snapToGrid w:val="0"/>
          <w:color w:val="auto"/>
          <w:spacing w:val="-16"/>
          <w:kern w:val="21"/>
          <w:szCs w:val="21"/>
          <w:highlight w:val="none"/>
        </w:rPr>
        <w:fldChar w:fldCharType="end"/>
      </w:r>
      <w:r>
        <w:rPr>
          <w:rFonts w:hint="default" w:ascii="Times New Roman" w:hAnsi="Times New Roman" w:cs="Times New Roman"/>
          <w:snapToGrid w:val="0"/>
          <w:color w:val="auto"/>
          <w:spacing w:val="-16"/>
          <w:kern w:val="21"/>
          <w:szCs w:val="21"/>
          <w:highlight w:val="none"/>
        </w:rPr>
        <w:t>；</w:t>
      </w:r>
      <w:r>
        <w:rPr>
          <w:rFonts w:hint="default" w:ascii="Times New Roman" w:hAnsi="Times New Roman" w:cs="Times New Roman"/>
          <w:snapToGrid w:val="0"/>
          <w:color w:val="auto"/>
          <w:spacing w:val="-6"/>
          <w:kern w:val="21"/>
          <w:szCs w:val="21"/>
          <w:highlight w:val="none"/>
        </w:rPr>
        <w:fldChar w:fldCharType="begin"/>
      </w:r>
      <w:r>
        <w:rPr>
          <w:rFonts w:hint="default" w:ascii="Times New Roman" w:hAnsi="Times New Roman" w:cs="Times New Roman"/>
          <w:snapToGrid w:val="0"/>
          <w:color w:val="auto"/>
          <w:spacing w:val="-6"/>
          <w:kern w:val="21"/>
          <w:szCs w:val="21"/>
          <w:highlight w:val="none"/>
        </w:rPr>
        <w:instrText xml:space="preserve"> = 7 \* GB3 \* MERGEFORMAT </w:instrText>
      </w:r>
      <w:r>
        <w:rPr>
          <w:rFonts w:hint="default" w:ascii="Times New Roman" w:hAnsi="Times New Roman" w:cs="Times New Roman"/>
          <w:snapToGrid w:val="0"/>
          <w:color w:val="auto"/>
          <w:spacing w:val="-6"/>
          <w:kern w:val="21"/>
          <w:szCs w:val="21"/>
          <w:highlight w:val="none"/>
        </w:rPr>
        <w:fldChar w:fldCharType="separate"/>
      </w:r>
      <w:r>
        <w:rPr>
          <w:rFonts w:hint="default" w:ascii="Times New Roman" w:hAnsi="Times New Roman" w:cs="Times New Roman"/>
          <w:color w:val="auto"/>
          <w:szCs w:val="21"/>
          <w:highlight w:val="none"/>
        </w:rPr>
        <w:t>⑦</w:t>
      </w:r>
      <w:r>
        <w:rPr>
          <w:rFonts w:hint="default" w:ascii="Times New Roman" w:hAnsi="Times New Roman" w:cs="Times New Roman"/>
          <w:snapToGrid w:val="0"/>
          <w:color w:val="auto"/>
          <w:spacing w:val="-6"/>
          <w:kern w:val="21"/>
          <w:szCs w:val="21"/>
          <w:highlight w:val="none"/>
        </w:rPr>
        <w:fldChar w:fldCharType="end"/>
      </w:r>
      <w:r>
        <w:rPr>
          <w:rFonts w:hint="default" w:ascii="Times New Roman" w:hAnsi="Times New Roman" w:cs="Times New Roman"/>
          <w:snapToGrid w:val="0"/>
          <w:color w:val="auto"/>
          <w:spacing w:val="-6"/>
          <w:kern w:val="21"/>
          <w:szCs w:val="21"/>
          <w:highlight w:val="none"/>
        </w:rPr>
        <w:t>=</w:t>
      </w:r>
      <w:r>
        <w:rPr>
          <w:rFonts w:hint="default" w:ascii="Times New Roman" w:hAnsi="Times New Roman" w:cs="Times New Roman"/>
          <w:snapToGrid w:val="0"/>
          <w:color w:val="auto"/>
          <w:spacing w:val="-16"/>
          <w:kern w:val="21"/>
          <w:szCs w:val="21"/>
          <w:highlight w:val="none"/>
        </w:rPr>
        <w:fldChar w:fldCharType="begin"/>
      </w:r>
      <w:r>
        <w:rPr>
          <w:rFonts w:hint="default" w:ascii="Times New Roman" w:hAnsi="Times New Roman" w:cs="Times New Roman"/>
          <w:snapToGrid w:val="0"/>
          <w:color w:val="auto"/>
          <w:spacing w:val="-16"/>
          <w:kern w:val="21"/>
          <w:szCs w:val="21"/>
          <w:highlight w:val="none"/>
        </w:rPr>
        <w:instrText xml:space="preserve"> = 6 \* GB3 \* MERGEFORMAT </w:instrText>
      </w:r>
      <w:r>
        <w:rPr>
          <w:rFonts w:hint="default" w:ascii="Times New Roman" w:hAnsi="Times New Roman" w:cs="Times New Roman"/>
          <w:snapToGrid w:val="0"/>
          <w:color w:val="auto"/>
          <w:spacing w:val="-16"/>
          <w:kern w:val="21"/>
          <w:szCs w:val="21"/>
          <w:highlight w:val="none"/>
        </w:rPr>
        <w:fldChar w:fldCharType="separate"/>
      </w:r>
      <w:r>
        <w:rPr>
          <w:rFonts w:hint="default" w:ascii="Times New Roman" w:hAnsi="Times New Roman" w:cs="Times New Roman"/>
          <w:color w:val="auto"/>
          <w:szCs w:val="21"/>
          <w:highlight w:val="none"/>
        </w:rPr>
        <w:t>⑥</w:t>
      </w:r>
      <w:r>
        <w:rPr>
          <w:rFonts w:hint="default" w:ascii="Times New Roman" w:hAnsi="Times New Roman" w:cs="Times New Roman"/>
          <w:snapToGrid w:val="0"/>
          <w:color w:val="auto"/>
          <w:spacing w:val="-16"/>
          <w:kern w:val="21"/>
          <w:szCs w:val="21"/>
          <w:highlight w:val="none"/>
        </w:rPr>
        <w:fldChar w:fldCharType="end"/>
      </w:r>
      <w:r>
        <w:rPr>
          <w:rFonts w:hint="default" w:ascii="Times New Roman" w:hAnsi="Times New Roman" w:cs="Times New Roman"/>
          <w:snapToGrid w:val="0"/>
          <w:color w:val="auto"/>
          <w:spacing w:val="-16"/>
          <w:kern w:val="21"/>
          <w:szCs w:val="21"/>
          <w:highlight w:val="none"/>
        </w:rPr>
        <w:t>-</w:t>
      </w:r>
      <w:r>
        <w:rPr>
          <w:rFonts w:hint="default" w:ascii="Times New Roman" w:hAnsi="Times New Roman" w:cs="Times New Roman"/>
          <w:snapToGrid w:val="0"/>
          <w:color w:val="auto"/>
          <w:spacing w:val="-6"/>
          <w:kern w:val="21"/>
          <w:szCs w:val="21"/>
          <w:highlight w:val="none"/>
        </w:rPr>
        <w:fldChar w:fldCharType="begin"/>
      </w:r>
      <w:r>
        <w:rPr>
          <w:rFonts w:hint="default" w:ascii="Times New Roman" w:hAnsi="Times New Roman" w:cs="Times New Roman"/>
          <w:snapToGrid w:val="0"/>
          <w:color w:val="auto"/>
          <w:spacing w:val="-6"/>
          <w:kern w:val="21"/>
          <w:szCs w:val="21"/>
          <w:highlight w:val="none"/>
        </w:rPr>
        <w:instrText xml:space="preserve"> = 1 \* GB3 \* MERGEFORMAT </w:instrText>
      </w:r>
      <w:r>
        <w:rPr>
          <w:rFonts w:hint="default" w:ascii="Times New Roman" w:hAnsi="Times New Roman" w:cs="Times New Roman"/>
          <w:snapToGrid w:val="0"/>
          <w:color w:val="auto"/>
          <w:spacing w:val="-6"/>
          <w:kern w:val="21"/>
          <w:szCs w:val="21"/>
          <w:highlight w:val="none"/>
        </w:rPr>
        <w:fldChar w:fldCharType="separate"/>
      </w:r>
      <w:r>
        <w:rPr>
          <w:rFonts w:hint="default" w:ascii="Times New Roman" w:hAnsi="Times New Roman" w:cs="Times New Roman"/>
          <w:color w:val="auto"/>
          <w:szCs w:val="21"/>
          <w:highlight w:val="none"/>
        </w:rPr>
        <w:t>①</w:t>
      </w:r>
      <w:r>
        <w:rPr>
          <w:rFonts w:hint="default" w:ascii="Times New Roman" w:hAnsi="Times New Roman" w:cs="Times New Roman"/>
          <w:snapToGrid w:val="0"/>
          <w:color w:val="auto"/>
          <w:spacing w:val="-6"/>
          <w:kern w:val="21"/>
          <w:szCs w:val="21"/>
          <w:highlight w:val="none"/>
        </w:rPr>
        <w:fldChar w:fldCharType="end"/>
      </w:r>
    </w:p>
    <w:p w14:paraId="14246DAC">
      <w:pPr>
        <w:pStyle w:val="31"/>
        <w:ind w:left="0" w:leftChars="0" w:firstLine="0" w:firstLineChars="0"/>
        <w:jc w:val="both"/>
        <w:rPr>
          <w:rFonts w:hint="default"/>
          <w:color w:val="auto"/>
          <w:highlight w:val="none"/>
          <w:lang w:val="en-US" w:eastAsia="zh-CN"/>
        </w:rPr>
        <w:sectPr>
          <w:pgSz w:w="11906" w:h="16838"/>
          <w:pgMar w:top="1440" w:right="1800" w:bottom="1440" w:left="1800" w:header="851" w:footer="851" w:gutter="0"/>
          <w:pgBorders>
            <w:top w:val="none" w:sz="0" w:space="0"/>
            <w:left w:val="none" w:sz="0" w:space="0"/>
            <w:bottom w:val="none" w:sz="0" w:space="0"/>
            <w:right w:val="none" w:sz="0" w:space="0"/>
          </w:pgBorders>
          <w:pgNumType w:fmt="numberInDash"/>
          <w:cols w:space="720" w:num="1"/>
          <w:docGrid w:linePitch="312" w:charSpace="0"/>
        </w:sectPr>
      </w:pPr>
    </w:p>
    <w:p w14:paraId="6DE8088A">
      <w:pPr>
        <w:pStyle w:val="3"/>
        <w:bidi w:val="0"/>
        <w:rPr>
          <w:rFonts w:hint="default"/>
          <w:color w:val="auto"/>
          <w:highlight w:val="none"/>
          <w:lang w:val="en-US" w:eastAsia="zh-CN"/>
        </w:rPr>
      </w:pPr>
      <w:r>
        <w:rPr>
          <w:rFonts w:hint="default"/>
          <w:color w:val="auto"/>
          <w:highlight w:val="none"/>
          <w:lang w:val="en-US" w:eastAsia="zh-CN"/>
        </w:rPr>
        <w:t>附图1杭锦旗开发区产业布局图</w:t>
      </w:r>
    </w:p>
    <w:p w14:paraId="1D972C86">
      <w:pPr>
        <w:pStyle w:val="31"/>
        <w:ind w:left="0" w:leftChars="0" w:firstLine="0" w:firstLineChars="0"/>
        <w:rPr>
          <w:rFonts w:hint="default" w:ascii="Times New Roman" w:hAnsi="Times New Roman" w:cs="Times New Roman"/>
          <w:color w:val="auto"/>
          <w:highlight w:val="none"/>
        </w:rPr>
      </w:pPr>
      <w:r>
        <w:rPr>
          <w:rFonts w:hint="default" w:ascii="Times New Roman" w:hAnsi="Times New Roman" w:cs="Times New Roman"/>
          <w:color w:val="auto"/>
          <w:highlight w:val="none"/>
        </w:rPr>
        <w:drawing>
          <wp:inline distT="0" distB="0" distL="114300" distR="114300">
            <wp:extent cx="8507730" cy="5260340"/>
            <wp:effectExtent l="0" t="0" r="7620" b="16510"/>
            <wp:docPr id="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3"/>
                    <pic:cNvPicPr>
                      <a:picLocks noChangeAspect="1"/>
                    </pic:cNvPicPr>
                  </pic:nvPicPr>
                  <pic:blipFill>
                    <a:blip r:embed="rId21"/>
                    <a:stretch>
                      <a:fillRect/>
                    </a:stretch>
                  </pic:blipFill>
                  <pic:spPr>
                    <a:xfrm>
                      <a:off x="0" y="0"/>
                      <a:ext cx="8507730" cy="5260340"/>
                    </a:xfrm>
                    <a:prstGeom prst="rect">
                      <a:avLst/>
                    </a:prstGeom>
                    <a:noFill/>
                    <a:ln>
                      <a:noFill/>
                    </a:ln>
                  </pic:spPr>
                </pic:pic>
              </a:graphicData>
            </a:graphic>
          </wp:inline>
        </w:drawing>
      </w:r>
    </w:p>
    <w:p w14:paraId="1F093FB8">
      <w:pPr>
        <w:pStyle w:val="31"/>
        <w:ind w:left="0" w:leftChars="0" w:firstLine="0" w:firstLineChars="0"/>
        <w:rPr>
          <w:rFonts w:hint="default" w:ascii="Times New Roman" w:hAnsi="Times New Roman" w:cs="Times New Roman"/>
          <w:color w:val="auto"/>
          <w:highlight w:val="none"/>
          <w:lang w:val="en-US" w:eastAsia="zh-CN"/>
        </w:rPr>
        <w:sectPr>
          <w:pgSz w:w="16838" w:h="11906" w:orient="landscape"/>
          <w:pgMar w:top="1440" w:right="1800" w:bottom="1440" w:left="1800" w:header="851" w:footer="851" w:gutter="0"/>
          <w:pgBorders>
            <w:top w:val="none" w:sz="0" w:space="0"/>
            <w:left w:val="none" w:sz="0" w:space="0"/>
            <w:bottom w:val="none" w:sz="0" w:space="0"/>
            <w:right w:val="none" w:sz="0" w:space="0"/>
          </w:pgBorders>
          <w:pgNumType w:fmt="numberInDash"/>
          <w:cols w:space="720" w:num="1"/>
          <w:docGrid w:linePitch="312" w:charSpace="0"/>
        </w:sectPr>
      </w:pPr>
    </w:p>
    <w:p w14:paraId="10F0CEED">
      <w:pPr>
        <w:pStyle w:val="3"/>
        <w:bidi w:val="0"/>
        <w:rPr>
          <w:rFonts w:hint="eastAsia"/>
          <w:color w:val="auto"/>
          <w:highlight w:val="none"/>
          <w:lang w:val="en-US" w:eastAsia="zh-CN"/>
        </w:rPr>
      </w:pPr>
      <w:r>
        <w:rPr>
          <w:rFonts w:hint="eastAsia"/>
          <w:color w:val="auto"/>
          <w:highlight w:val="none"/>
          <w:lang w:val="en-US" w:eastAsia="zh-CN"/>
        </w:rPr>
        <w:t>附图2</w:t>
      </w:r>
      <w:r>
        <w:rPr>
          <w:rFonts w:hint="default"/>
          <w:color w:val="auto"/>
          <w:highlight w:val="none"/>
          <w:lang w:val="en-US" w:eastAsia="zh-CN"/>
        </w:rPr>
        <w:t>新能源产业园空间布局图</w:t>
      </w:r>
    </w:p>
    <w:p w14:paraId="6C3679BF">
      <w:pPr>
        <w:pStyle w:val="31"/>
        <w:ind w:left="0" w:leftChars="0" w:firstLine="0" w:firstLineChars="0"/>
        <w:jc w:val="center"/>
        <w:rPr>
          <w:rFonts w:hint="default" w:ascii="Times New Roman" w:hAnsi="Times New Roman" w:cs="Times New Roman"/>
          <w:color w:val="auto"/>
          <w:highlight w:val="none"/>
          <w:lang w:val="en-US" w:eastAsia="zh-CN"/>
        </w:rPr>
      </w:pPr>
      <w:r>
        <w:rPr>
          <w:color w:val="auto"/>
          <w:highlight w:val="none"/>
        </w:rPr>
        <w:drawing>
          <wp:inline distT="0" distB="0" distL="114300" distR="114300">
            <wp:extent cx="6729095" cy="5477510"/>
            <wp:effectExtent l="0" t="0" r="14605" b="8890"/>
            <wp:docPr id="34"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8"/>
                    <pic:cNvPicPr>
                      <a:picLocks noChangeAspect="1"/>
                    </pic:cNvPicPr>
                  </pic:nvPicPr>
                  <pic:blipFill>
                    <a:blip r:embed="rId22"/>
                    <a:stretch>
                      <a:fillRect/>
                    </a:stretch>
                  </pic:blipFill>
                  <pic:spPr>
                    <a:xfrm>
                      <a:off x="0" y="0"/>
                      <a:ext cx="6729095" cy="5477510"/>
                    </a:xfrm>
                    <a:prstGeom prst="rect">
                      <a:avLst/>
                    </a:prstGeom>
                    <a:noFill/>
                    <a:ln>
                      <a:noFill/>
                    </a:ln>
                  </pic:spPr>
                </pic:pic>
              </a:graphicData>
            </a:graphic>
          </wp:inline>
        </w:drawing>
      </w:r>
    </w:p>
    <w:p w14:paraId="2E214EE3">
      <w:pPr>
        <w:pStyle w:val="3"/>
        <w:bidi w:val="0"/>
        <w:rPr>
          <w:rFonts w:hint="default"/>
          <w:color w:val="auto"/>
          <w:highlight w:val="none"/>
          <w:lang w:val="en-US" w:eastAsia="zh-CN"/>
        </w:rPr>
      </w:pPr>
      <w:r>
        <w:rPr>
          <w:rFonts w:hint="default"/>
          <w:color w:val="auto"/>
          <w:highlight w:val="none"/>
          <w:lang w:val="en-US" w:eastAsia="zh-CN"/>
        </w:rPr>
        <w:t>附图</w:t>
      </w:r>
      <w:r>
        <w:rPr>
          <w:rFonts w:hint="eastAsia"/>
          <w:color w:val="auto"/>
          <w:highlight w:val="none"/>
          <w:lang w:val="en-US" w:eastAsia="zh-CN"/>
        </w:rPr>
        <w:t>3</w:t>
      </w:r>
      <w:r>
        <w:rPr>
          <w:rFonts w:hint="default"/>
          <w:color w:val="auto"/>
          <w:highlight w:val="none"/>
          <w:lang w:val="en-US" w:eastAsia="zh-CN"/>
        </w:rPr>
        <w:t>新能源产业园规划图</w:t>
      </w:r>
    </w:p>
    <w:p w14:paraId="399A564E">
      <w:pPr>
        <w:pStyle w:val="31"/>
        <w:ind w:left="0" w:leftChars="0" w:firstLine="0" w:firstLineChars="0"/>
        <w:rPr>
          <w:rFonts w:hint="default" w:ascii="Times New Roman" w:hAnsi="Times New Roman" w:cs="Times New Roman"/>
          <w:color w:val="auto"/>
          <w:highlight w:val="none"/>
        </w:rPr>
        <w:sectPr>
          <w:pgSz w:w="16838" w:h="11906" w:orient="landscape"/>
          <w:pgMar w:top="1440" w:right="1800" w:bottom="1440" w:left="1800" w:header="851" w:footer="851" w:gutter="0"/>
          <w:pgBorders>
            <w:top w:val="none" w:sz="0" w:space="0"/>
            <w:left w:val="none" w:sz="0" w:space="0"/>
            <w:bottom w:val="none" w:sz="0" w:space="0"/>
            <w:right w:val="none" w:sz="0" w:space="0"/>
          </w:pgBorders>
          <w:pgNumType w:fmt="numberInDash"/>
          <w:cols w:space="720" w:num="1"/>
          <w:docGrid w:linePitch="312" w:charSpace="0"/>
        </w:sectPr>
      </w:pPr>
      <w:r>
        <w:rPr>
          <w:color w:val="auto"/>
          <w:highlight w:val="none"/>
        </w:rPr>
        <w:drawing>
          <wp:inline distT="0" distB="0" distL="114300" distR="114300">
            <wp:extent cx="8091805" cy="5306695"/>
            <wp:effectExtent l="0" t="0" r="4445" b="8255"/>
            <wp:docPr id="35"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9"/>
                    <pic:cNvPicPr>
                      <a:picLocks noChangeAspect="1"/>
                    </pic:cNvPicPr>
                  </pic:nvPicPr>
                  <pic:blipFill>
                    <a:blip r:embed="rId23"/>
                    <a:stretch>
                      <a:fillRect/>
                    </a:stretch>
                  </pic:blipFill>
                  <pic:spPr>
                    <a:xfrm>
                      <a:off x="0" y="0"/>
                      <a:ext cx="8091805" cy="5306695"/>
                    </a:xfrm>
                    <a:prstGeom prst="rect">
                      <a:avLst/>
                    </a:prstGeom>
                    <a:noFill/>
                    <a:ln>
                      <a:noFill/>
                    </a:ln>
                  </pic:spPr>
                </pic:pic>
              </a:graphicData>
            </a:graphic>
          </wp:inline>
        </w:drawing>
      </w:r>
    </w:p>
    <w:p w14:paraId="2788A392">
      <w:pPr>
        <w:pStyle w:val="3"/>
        <w:bidi w:val="0"/>
        <w:rPr>
          <w:rFonts w:hint="default"/>
          <w:color w:val="auto"/>
          <w:highlight w:val="none"/>
          <w:lang w:val="en-US" w:eastAsia="zh-CN"/>
        </w:rPr>
      </w:pPr>
      <w:r>
        <w:rPr>
          <w:rFonts w:hint="default"/>
          <w:color w:val="auto"/>
          <w:highlight w:val="none"/>
          <w:lang w:val="en-US" w:eastAsia="zh-CN"/>
        </w:rPr>
        <w:t>附图</w:t>
      </w:r>
      <w:r>
        <w:rPr>
          <w:rFonts w:hint="eastAsia"/>
          <w:color w:val="auto"/>
          <w:highlight w:val="none"/>
          <w:lang w:val="en-US" w:eastAsia="zh-CN"/>
        </w:rPr>
        <w:t>4鄂尔多斯环境管控单元图</w:t>
      </w:r>
    </w:p>
    <w:p w14:paraId="70F8FD47">
      <w:pPr>
        <w:pStyle w:val="31"/>
        <w:ind w:left="0" w:leftChars="0" w:firstLine="0" w:firstLineChars="0"/>
        <w:jc w:val="center"/>
        <w:rPr>
          <w:rFonts w:hint="default" w:ascii="Times New Roman" w:hAnsi="Times New Roman" w:eastAsia="宋体" w:cs="Times New Roman"/>
          <w:b/>
          <w:bCs/>
          <w:color w:val="auto"/>
          <w:highlight w:val="none"/>
          <w:lang w:val="en-US" w:eastAsia="zh-CN"/>
        </w:rPr>
      </w:pPr>
      <w:r>
        <w:rPr>
          <w:color w:val="auto"/>
          <w:highlight w:val="none"/>
        </w:rPr>
        <w:drawing>
          <wp:inline distT="0" distB="0" distL="114300" distR="114300">
            <wp:extent cx="7048500" cy="5238750"/>
            <wp:effectExtent l="0" t="0" r="0" b="0"/>
            <wp:docPr id="4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0"/>
                    <pic:cNvPicPr>
                      <a:picLocks noChangeAspect="1"/>
                    </pic:cNvPicPr>
                  </pic:nvPicPr>
                  <pic:blipFill>
                    <a:blip r:embed="rId24"/>
                    <a:stretch>
                      <a:fillRect/>
                    </a:stretch>
                  </pic:blipFill>
                  <pic:spPr>
                    <a:xfrm>
                      <a:off x="0" y="0"/>
                      <a:ext cx="7048500" cy="5238750"/>
                    </a:xfrm>
                    <a:prstGeom prst="rect">
                      <a:avLst/>
                    </a:prstGeom>
                    <a:noFill/>
                    <a:ln>
                      <a:noFill/>
                    </a:ln>
                  </pic:spPr>
                </pic:pic>
              </a:graphicData>
            </a:graphic>
          </wp:inline>
        </w:drawing>
      </w:r>
    </w:p>
    <w:p w14:paraId="644141AC">
      <w:pPr>
        <w:pStyle w:val="31"/>
        <w:ind w:left="0" w:leftChars="0" w:firstLine="0" w:firstLineChars="0"/>
        <w:rPr>
          <w:rFonts w:hint="default" w:ascii="Times New Roman" w:hAnsi="Times New Roman" w:cs="Times New Roman"/>
          <w:color w:val="auto"/>
          <w:highlight w:val="none"/>
        </w:rPr>
      </w:pPr>
    </w:p>
    <w:p w14:paraId="193E1CA9">
      <w:pPr>
        <w:pStyle w:val="31"/>
        <w:ind w:left="0" w:leftChars="0" w:firstLine="0" w:firstLineChars="0"/>
        <w:rPr>
          <w:rFonts w:hint="default" w:ascii="Times New Roman" w:hAnsi="Times New Roman" w:cs="Times New Roman"/>
          <w:color w:val="auto"/>
          <w:highlight w:val="none"/>
        </w:rPr>
        <w:sectPr>
          <w:pgSz w:w="16838" w:h="11906" w:orient="landscape"/>
          <w:pgMar w:top="1440" w:right="1800" w:bottom="1440" w:left="1800" w:header="851" w:footer="851" w:gutter="0"/>
          <w:pgBorders>
            <w:top w:val="none" w:sz="0" w:space="0"/>
            <w:left w:val="none" w:sz="0" w:space="0"/>
            <w:bottom w:val="none" w:sz="0" w:space="0"/>
            <w:right w:val="none" w:sz="0" w:space="0"/>
          </w:pgBorders>
          <w:pgNumType w:fmt="numberInDash"/>
          <w:cols w:space="720" w:num="1"/>
          <w:docGrid w:linePitch="312" w:charSpace="0"/>
        </w:sectPr>
      </w:pPr>
    </w:p>
    <w:p w14:paraId="51CF1DE8">
      <w:pPr>
        <w:pStyle w:val="3"/>
        <w:bidi w:val="0"/>
        <w:rPr>
          <w:rFonts w:hint="default"/>
          <w:color w:val="auto"/>
          <w:highlight w:val="none"/>
          <w:lang w:val="en-US" w:eastAsia="zh-CN"/>
        </w:rPr>
      </w:pPr>
      <w:r>
        <w:rPr>
          <w:rFonts w:hint="default"/>
          <w:color w:val="auto"/>
          <w:highlight w:val="none"/>
          <w:lang w:val="en-US" w:eastAsia="zh-CN"/>
        </w:rPr>
        <w:t>附图</w:t>
      </w:r>
      <w:r>
        <w:rPr>
          <w:rFonts w:hint="eastAsia"/>
          <w:color w:val="auto"/>
          <w:highlight w:val="none"/>
          <w:lang w:val="en-US" w:eastAsia="zh-CN"/>
        </w:rPr>
        <w:t>5</w:t>
      </w:r>
      <w:r>
        <w:rPr>
          <w:rFonts w:hint="default"/>
          <w:color w:val="auto"/>
          <w:highlight w:val="none"/>
          <w:lang w:val="en-US" w:eastAsia="zh-CN"/>
        </w:rPr>
        <w:t>项目地理位置图</w:t>
      </w:r>
    </w:p>
    <w:p w14:paraId="36D2F461">
      <w:pPr>
        <w:pStyle w:val="31"/>
        <w:ind w:left="0" w:leftChars="0" w:firstLine="0" w:firstLineChars="0"/>
        <w:rPr>
          <w:rFonts w:hint="default" w:ascii="Times New Roman" w:hAnsi="Times New Roman" w:cs="Times New Roman"/>
          <w:color w:val="auto"/>
          <w:highlight w:val="none"/>
        </w:rPr>
      </w:pPr>
      <w:r>
        <w:rPr>
          <w:color w:val="auto"/>
          <w:highlight w:val="none"/>
        </w:rPr>
        <w:drawing>
          <wp:inline distT="0" distB="0" distL="114300" distR="114300">
            <wp:extent cx="8404225" cy="5154930"/>
            <wp:effectExtent l="0" t="0" r="15875" b="7620"/>
            <wp:docPr id="1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7"/>
                    <pic:cNvPicPr>
                      <a:picLocks noChangeAspect="1"/>
                    </pic:cNvPicPr>
                  </pic:nvPicPr>
                  <pic:blipFill>
                    <a:blip r:embed="rId25"/>
                    <a:stretch>
                      <a:fillRect/>
                    </a:stretch>
                  </pic:blipFill>
                  <pic:spPr>
                    <a:xfrm>
                      <a:off x="0" y="0"/>
                      <a:ext cx="8404225" cy="5154930"/>
                    </a:xfrm>
                    <a:prstGeom prst="rect">
                      <a:avLst/>
                    </a:prstGeom>
                    <a:noFill/>
                    <a:ln>
                      <a:noFill/>
                    </a:ln>
                  </pic:spPr>
                </pic:pic>
              </a:graphicData>
            </a:graphic>
          </wp:inline>
        </w:drawing>
      </w:r>
    </w:p>
    <w:p w14:paraId="7C33763F">
      <w:pPr>
        <w:pStyle w:val="3"/>
        <w:bidi w:val="0"/>
        <w:jc w:val="both"/>
        <w:rPr>
          <w:rFonts w:hint="default"/>
          <w:color w:val="auto"/>
          <w:highlight w:val="none"/>
          <w:lang w:val="en-US" w:eastAsia="zh-CN"/>
        </w:rPr>
      </w:pPr>
      <w:r>
        <w:rPr>
          <w:rFonts w:hint="default"/>
          <w:color w:val="auto"/>
          <w:highlight w:val="none"/>
          <w:lang w:val="en-US" w:eastAsia="zh-CN"/>
        </w:rPr>
        <w:t>附图</w:t>
      </w:r>
      <w:r>
        <w:rPr>
          <w:rFonts w:hint="eastAsia"/>
          <w:color w:val="auto"/>
          <w:highlight w:val="none"/>
          <w:lang w:val="en-US" w:eastAsia="zh-CN"/>
        </w:rPr>
        <w:t>6</w:t>
      </w:r>
      <w:r>
        <w:rPr>
          <w:rFonts w:hint="default"/>
          <w:color w:val="auto"/>
          <w:highlight w:val="none"/>
          <w:lang w:val="en-US" w:eastAsia="zh-CN"/>
        </w:rPr>
        <w:t>平面布置图</w:t>
      </w:r>
    </w:p>
    <w:p w14:paraId="386305EC">
      <w:pPr>
        <w:pStyle w:val="31"/>
        <w:ind w:left="0" w:leftChars="0" w:firstLine="0" w:firstLineChars="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drawing>
          <wp:inline distT="0" distB="0" distL="114300" distR="114300">
            <wp:extent cx="8453120" cy="5215890"/>
            <wp:effectExtent l="0" t="0" r="5080" b="3810"/>
            <wp:docPr id="6" name="图片 6" descr="总图12.18-Model(1)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总图12.18-Model(1)_00"/>
                    <pic:cNvPicPr>
                      <a:picLocks noChangeAspect="1"/>
                    </pic:cNvPicPr>
                  </pic:nvPicPr>
                  <pic:blipFill>
                    <a:blip r:embed="rId26"/>
                    <a:stretch>
                      <a:fillRect/>
                    </a:stretch>
                  </pic:blipFill>
                  <pic:spPr>
                    <a:xfrm>
                      <a:off x="0" y="0"/>
                      <a:ext cx="8453120" cy="5215890"/>
                    </a:xfrm>
                    <a:prstGeom prst="rect">
                      <a:avLst/>
                    </a:prstGeom>
                  </pic:spPr>
                </pic:pic>
              </a:graphicData>
            </a:graphic>
          </wp:inline>
        </w:drawing>
      </w:r>
    </w:p>
    <w:p w14:paraId="719791AF">
      <w:pPr>
        <w:pStyle w:val="3"/>
        <w:bidi w:val="0"/>
        <w:rPr>
          <w:rFonts w:hint="eastAsia"/>
          <w:color w:val="auto"/>
          <w:highlight w:val="none"/>
          <w:lang w:val="en-US" w:eastAsia="zh-CN"/>
        </w:rPr>
      </w:pPr>
      <w:r>
        <w:rPr>
          <w:rFonts w:hint="eastAsia"/>
          <w:color w:val="auto"/>
          <w:highlight w:val="none"/>
          <w:lang w:val="en-US" w:eastAsia="zh-CN"/>
        </w:rPr>
        <w:t>附图7引用数据监测点与本项目位置关系图</w:t>
      </w:r>
    </w:p>
    <w:p w14:paraId="5F77746A">
      <w:pPr>
        <w:pStyle w:val="31"/>
        <w:ind w:left="0" w:leftChars="0" w:firstLine="0" w:firstLineChars="0"/>
        <w:rPr>
          <w:rFonts w:hint="default" w:cs="Times New Roman"/>
          <w:color w:val="auto"/>
          <w:highlight w:val="none"/>
          <w:lang w:val="en-US" w:eastAsia="zh-CN"/>
        </w:rPr>
      </w:pPr>
      <w:r>
        <w:rPr>
          <w:color w:val="auto"/>
          <w:highlight w:val="none"/>
        </w:rPr>
        <w:drawing>
          <wp:inline distT="0" distB="0" distL="114300" distR="114300">
            <wp:extent cx="8096250" cy="5334000"/>
            <wp:effectExtent l="0" t="0" r="0" b="0"/>
            <wp:docPr id="28"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10"/>
                    <pic:cNvPicPr>
                      <a:picLocks noChangeAspect="1"/>
                    </pic:cNvPicPr>
                  </pic:nvPicPr>
                  <pic:blipFill>
                    <a:blip r:embed="rId27"/>
                    <a:stretch>
                      <a:fillRect/>
                    </a:stretch>
                  </pic:blipFill>
                  <pic:spPr>
                    <a:xfrm>
                      <a:off x="0" y="0"/>
                      <a:ext cx="8096250" cy="5334000"/>
                    </a:xfrm>
                    <a:prstGeom prst="rect">
                      <a:avLst/>
                    </a:prstGeom>
                    <a:noFill/>
                    <a:ln>
                      <a:noFill/>
                    </a:ln>
                  </pic:spPr>
                </pic:pic>
              </a:graphicData>
            </a:graphic>
          </wp:inline>
        </w:drawing>
      </w:r>
    </w:p>
    <w:sectPr>
      <w:pgSz w:w="16838" w:h="11906" w:orient="landscape"/>
      <w:pgMar w:top="1440" w:right="1800" w:bottom="1440" w:left="1800" w:header="851" w:footer="851" w:gutter="0"/>
      <w:pgBorders>
        <w:top w:val="none" w:sz="0" w:space="0"/>
        <w:left w:val="none" w:sz="0" w:space="0"/>
        <w:bottom w:val="none" w:sz="0" w:space="0"/>
        <w:right w:val="none" w:sz="0" w:space="0"/>
      </w:pgBorders>
      <w:pgNumType w:fmt="numberInDash"/>
      <w:cols w:space="720" w:num="1"/>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4982C95-1695-4777-A828-17CD53D8560C}"/>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embedRegular r:id="rId2" w:fontKey="{4B98D809-772C-42E7-A43C-B9CF810E3F78}"/>
  </w:font>
  <w:font w:name="MingLiU">
    <w:panose1 w:val="02020509000000000000"/>
    <w:charset w:val="88"/>
    <w:family w:val="modern"/>
    <w:pitch w:val="default"/>
    <w:sig w:usb0="A00002FF" w:usb1="28CFFCFA" w:usb2="00000016" w:usb3="00000000" w:csb0="00100001" w:csb1="00000000"/>
  </w:font>
  <w:font w:name="仿宋_GB2312">
    <w:panose1 w:val="02010609030101010101"/>
    <w:charset w:val="86"/>
    <w:family w:val="modern"/>
    <w:pitch w:val="default"/>
    <w:sig w:usb0="00000001" w:usb1="080E0000" w:usb2="00000000" w:usb3="00000000" w:csb0="00040000" w:csb1="00000000"/>
    <w:embedRegular r:id="rId3" w:fontKey="{D72B4E0C-FC36-49EE-AB9B-8833562775E7}"/>
  </w:font>
  <w:font w:name="方正小标宋_GBK">
    <w:panose1 w:val="02000000000000000000"/>
    <w:charset w:val="86"/>
    <w:family w:val="script"/>
    <w:pitch w:val="default"/>
    <w:sig w:usb0="A00002BF" w:usb1="38CF7CFA" w:usb2="00082016" w:usb3="00000000" w:csb0="00040001" w:csb1="00000000"/>
    <w:embedRegular r:id="rId4" w:fontKey="{4D237BED-418D-41A8-B015-E75AE48A0497}"/>
  </w:font>
  <w:font w:name="楷体_GB2312">
    <w:panose1 w:val="02010609030101010101"/>
    <w:charset w:val="86"/>
    <w:family w:val="modern"/>
    <w:pitch w:val="default"/>
    <w:sig w:usb0="00000001" w:usb1="080E0000" w:usb2="00000000" w:usb3="00000000" w:csb0="00040000" w:csb1="00000000"/>
    <w:embedRegular r:id="rId5" w:fontKey="{0DDEBF65-DD26-4168-B5B9-80323CF8007F}"/>
  </w:font>
  <w:font w:name="华文仿宋">
    <w:panose1 w:val="02010600040101010101"/>
    <w:charset w:val="86"/>
    <w:family w:val="auto"/>
    <w:pitch w:val="default"/>
    <w:sig w:usb0="00000287" w:usb1="080F0000" w:usb2="00000000" w:usb3="00000000" w:csb0="0004009F" w:csb1="DFD70000"/>
    <w:embedRegular r:id="rId6" w:fontKey="{408EAED0-4097-48B1-BBE7-A4FD7EDA2CBA}"/>
  </w:font>
  <w:font w:name="微软雅黑">
    <w:panose1 w:val="020B0503020204020204"/>
    <w:charset w:val="86"/>
    <w:family w:val="auto"/>
    <w:pitch w:val="default"/>
    <w:sig w:usb0="80000287" w:usb1="280F3C52" w:usb2="00000016" w:usb3="00000000" w:csb0="0004001F" w:csb1="00000000"/>
    <w:embedRegular r:id="rId7" w:fontKey="{0D5CCF6E-A3C8-4414-94DB-323FB0BD143B}"/>
  </w:font>
  <w:font w:name="WPSEMBED2">
    <w:panose1 w:val="02010609030101010101"/>
    <w:charset w:val="86"/>
    <w:family w:val="auto"/>
    <w:pitch w:val="default"/>
    <w:sig w:usb0="00000001" w:usb1="080E0000" w:usb2="00000000" w:usb3="00000000" w:csb0="00040000" w:csb1="00000000"/>
  </w:font>
  <w:font w:name="WPSEMBED1">
    <w:panose1 w:val="02010609030101010101"/>
    <w:charset w:val="86"/>
    <w:family w:val="auto"/>
    <w:pitch w:val="default"/>
    <w:sig w:usb0="00000001" w:usb1="080E0000" w:usb2="00000000" w:usb3="00000000" w:csb0="00040000" w:csb1="00000000"/>
  </w:font>
  <w:font w:name="WPSEMBED3">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DC369B">
    <w:pPr>
      <w:pStyle w:val="13"/>
      <w:ind w:right="360" w:firstLine="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8BD9EB">
    <w:pPr>
      <w:pStyle w:val="13"/>
      <w:framePr w:wrap="around" w:vAnchor="text" w:hAnchor="margin" w:xAlign="center" w:y="1"/>
      <w:rPr>
        <w:rStyle w:val="26"/>
      </w:rPr>
    </w:pPr>
    <w:r>
      <w:fldChar w:fldCharType="begin"/>
    </w:r>
    <w:r>
      <w:rPr>
        <w:rStyle w:val="26"/>
      </w:rPr>
      <w:instrText xml:space="preserve">PAGE  </w:instrText>
    </w:r>
    <w:r>
      <w:fldChar w:fldCharType="end"/>
    </w:r>
  </w:p>
  <w:p w14:paraId="1C865A14">
    <w:pPr>
      <w:pStyle w:val="13"/>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3250B4">
    <w:pPr>
      <w:pStyle w:val="13"/>
      <w:ind w:right="360" w:firstLine="360"/>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0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F719F28">
                          <w:pPr>
                            <w:pStyle w:val="13"/>
                            <w:keepNext w:val="0"/>
                            <w:keepLines w:val="0"/>
                            <w:pageBreakBefore w:val="0"/>
                            <w:widowControl w:val="0"/>
                            <w:kinsoku/>
                            <w:wordWrap/>
                            <w:overflowPunct/>
                            <w:topLinePunct w:val="0"/>
                            <w:bidi w:val="0"/>
                            <w:adjustRightInd/>
                            <w:snapToGrid w:val="0"/>
                            <w:ind w:firstLine="0" w:firstLineChars="0"/>
                            <w:textAlignment w:val="auto"/>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id="文本框 103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zql5uc8AAAAFAQAADwAAAAAAAAAB&#10;ACAAAAAiAAAAZHJzL2Rvd25yZXYueG1sUEsBAhQAFAAAAAgAh07iQLsTz5zgAQAAwQMAAA4AAAAA&#10;AAAAAQAgAAAAHgEAAGRycy9lMm9Eb2MueG1sUEsFBgAAAAAGAAYAWQEAAHAFAAAAAA==&#10;">
              <v:fill on="f" focussize="0,0"/>
              <v:stroke on="f"/>
              <v:imagedata o:title=""/>
              <o:lock v:ext="edit" aspectratio="f"/>
              <v:textbox inset="0mm,0mm,0mm,0mm" style="mso-fit-shape-to-text:t;">
                <w:txbxContent>
                  <w:p w14:paraId="5F719F28">
                    <w:pPr>
                      <w:pStyle w:val="13"/>
                      <w:keepNext w:val="0"/>
                      <w:keepLines w:val="0"/>
                      <w:pageBreakBefore w:val="0"/>
                      <w:widowControl w:val="0"/>
                      <w:kinsoku/>
                      <w:wordWrap/>
                      <w:overflowPunct/>
                      <w:topLinePunct w:val="0"/>
                      <w:bidi w:val="0"/>
                      <w:adjustRightInd/>
                      <w:snapToGrid w:val="0"/>
                      <w:ind w:firstLine="0" w:firstLineChars="0"/>
                      <w:textAlignment w:val="auto"/>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E47396">
    <w:pPr>
      <w:pStyle w:val="13"/>
      <w:ind w:right="360" w:firstLine="360"/>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0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949DA90">
                          <w:pPr>
                            <w:pStyle w:val="13"/>
                          </w:pPr>
                          <w:r>
                            <w:fldChar w:fldCharType="begin"/>
                          </w:r>
                          <w:r>
                            <w:instrText xml:space="preserve"> PAGE  \* MERGEFORMAT </w:instrText>
                          </w:r>
                          <w:r>
                            <w:fldChar w:fldCharType="separate"/>
                          </w:r>
                          <w:r>
                            <w:t>2</w:t>
                          </w:r>
                          <w:r>
                            <w:fldChar w:fldCharType="end"/>
                          </w:r>
                        </w:p>
                      </w:txbxContent>
                    </wps:txbx>
                    <wps:bodyPr vert="horz" wrap="none" lIns="0" tIns="0" rIns="0" bIns="0" anchor="t" anchorCtr="0" upright="0">
                      <a:spAutoFit/>
                    </wps:bodyPr>
                  </wps:wsp>
                </a:graphicData>
              </a:graphic>
            </wp:anchor>
          </w:drawing>
        </mc:Choice>
        <mc:Fallback>
          <w:pict>
            <v:shape id="文本框 1033"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zql5uc8AAAAFAQAADwAAAAAAAAAB&#10;ACAAAAAiAAAAZHJzL2Rvd25yZXYueG1sUEsBAhQAFAAAAAgAh07iQI3Cw+zgAQAAwQMAAA4AAAAA&#10;AAAAAQAgAAAAHgEAAGRycy9lMm9Eb2MueG1sUEsFBgAAAAAGAAYAWQEAAHAFAAAAAA==&#10;">
              <v:fill on="f" focussize="0,0"/>
              <v:stroke on="f"/>
              <v:imagedata o:title=""/>
              <o:lock v:ext="edit" aspectratio="f"/>
              <v:textbox inset="0mm,0mm,0mm,0mm" style="mso-fit-shape-to-text:t;">
                <w:txbxContent>
                  <w:p w14:paraId="0949DA90">
                    <w:pPr>
                      <w:pStyle w:val="13"/>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554A5F">
    <w:pPr>
      <w:pStyle w:val="13"/>
      <w:ind w:right="360" w:firstLine="360"/>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103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9E5737F">
                          <w:pPr>
                            <w:pStyle w:val="13"/>
                            <w:keepNext w:val="0"/>
                            <w:keepLines w:val="0"/>
                            <w:pageBreakBefore w:val="0"/>
                            <w:widowControl w:val="0"/>
                            <w:kinsoku/>
                            <w:wordWrap/>
                            <w:overflowPunct/>
                            <w:topLinePunct w:val="0"/>
                            <w:bidi w:val="0"/>
                            <w:adjustRightInd/>
                            <w:snapToGrid w:val="0"/>
                            <w:ind w:firstLine="0" w:firstLineChars="0"/>
                            <w:textAlignment w:val="auto"/>
                          </w:pPr>
                          <w:r>
                            <w:fldChar w:fldCharType="begin"/>
                          </w:r>
                          <w:r>
                            <w:instrText xml:space="preserve"> PAGE  \* MERGEFORMAT </w:instrText>
                          </w:r>
                          <w:r>
                            <w:fldChar w:fldCharType="separate"/>
                          </w:r>
                          <w:r>
                            <w:t>8</w:t>
                          </w:r>
                          <w:r>
                            <w:fldChar w:fldCharType="end"/>
                          </w:r>
                        </w:p>
                      </w:txbxContent>
                    </wps:txbx>
                    <wps:bodyPr vert="horz" wrap="none" lIns="0" tIns="0" rIns="0" bIns="0" anchor="t" anchorCtr="0" upright="0">
                      <a:spAutoFit/>
                    </wps:bodyPr>
                  </wps:wsp>
                </a:graphicData>
              </a:graphic>
            </wp:anchor>
          </w:drawing>
        </mc:Choice>
        <mc:Fallback>
          <w:pict>
            <v:shape id="文本框 1035"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M6pebnPAAAABQEAAA8AAAAAAAAA&#10;AQAgAAAAIgAAAGRycy9kb3ducmV2LnhtbFBLAQIUABQAAAAIAIdO4kB4IpgX4QEAAMEDAAAOAAAA&#10;AAAAAAEAIAAAAB4BAABkcnMvZTJvRG9jLnhtbFBLBQYAAAAABgAGAFkBAABxBQAAAAA=&#10;">
              <v:fill on="f" focussize="0,0"/>
              <v:stroke on="f"/>
              <v:imagedata o:title=""/>
              <o:lock v:ext="edit" aspectratio="f"/>
              <v:textbox inset="0mm,0mm,0mm,0mm" style="mso-fit-shape-to-text:t;">
                <w:txbxContent>
                  <w:p w14:paraId="69E5737F">
                    <w:pPr>
                      <w:pStyle w:val="13"/>
                      <w:keepNext w:val="0"/>
                      <w:keepLines w:val="0"/>
                      <w:pageBreakBefore w:val="0"/>
                      <w:widowControl w:val="0"/>
                      <w:kinsoku/>
                      <w:wordWrap/>
                      <w:overflowPunct/>
                      <w:topLinePunct w:val="0"/>
                      <w:bidi w:val="0"/>
                      <w:adjustRightInd/>
                      <w:snapToGrid w:val="0"/>
                      <w:ind w:firstLine="0" w:firstLineChars="0"/>
                      <w:textAlignment w:val="auto"/>
                    </w:pPr>
                    <w:r>
                      <w:fldChar w:fldCharType="begin"/>
                    </w:r>
                    <w:r>
                      <w:instrText xml:space="preserve"> PAGE  \* MERGEFORMAT </w:instrText>
                    </w:r>
                    <w:r>
                      <w:fldChar w:fldCharType="separate"/>
                    </w:r>
                    <w:r>
                      <w:t>8</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20"/>
      </w:pPr>
      <w:r>
        <w:separator/>
      </w:r>
    </w:p>
  </w:footnote>
  <w:footnote w:type="continuationSeparator" w:id="1">
    <w:p>
      <w:pPr>
        <w:spacing w:line="36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4C38ED">
    <w:pPr>
      <w:pStyle w:val="18"/>
      <w:pBdr>
        <w:top w:val="none" w:color="auto" w:sz="0" w:space="0"/>
        <w:left w:val="none" w:color="auto" w:sz="0" w:space="0"/>
        <w:bottom w:val="none" w:color="auto" w:sz="0" w:space="1"/>
        <w:right w:val="none" w:color="auto" w:sz="0" w:space="0"/>
        <w:between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95AC8E">
    <w:pPr>
      <w:pStyle w:val="18"/>
      <w:keepNext w:val="0"/>
      <w:keepLines w:val="0"/>
      <w:pageBreakBefore w:val="0"/>
      <w:widowControl w:val="0"/>
      <w:pBdr>
        <w:top w:val="none" w:color="auto" w:sz="0" w:space="1"/>
        <w:left w:val="none" w:color="auto" w:sz="0" w:space="4"/>
        <w:bottom w:val="thinThickSmallGap" w:color="auto" w:sz="18" w:space="1"/>
        <w:right w:val="none" w:color="auto" w:sz="0" w:space="4"/>
        <w:between w:val="none" w:color="auto" w:sz="0" w:space="0"/>
      </w:pBdr>
      <w:kinsoku/>
      <w:wordWrap/>
      <w:overflowPunct/>
      <w:topLinePunct w:val="0"/>
      <w:bidi w:val="0"/>
      <w:adjustRightInd/>
      <w:snapToGrid w:val="0"/>
      <w:spacing w:line="240" w:lineRule="auto"/>
      <w:ind w:left="0" w:leftChars="0" w:firstLine="0" w:firstLineChars="0"/>
      <w:jc w:val="both"/>
      <w:textAlignment w:val="auto"/>
    </w:pPr>
    <w:r>
      <w:rPr>
        <w:rFonts w:hint="eastAsia"/>
        <w:lang w:val="en-US" w:eastAsia="zh-CN"/>
      </w:rPr>
      <w:t>鄂尔多斯市兴元胜业年处理25万吨煤系高岭土项目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dit="trackedChanges" w:enforcement="0"/>
  <w:defaultTabStop w:val="420"/>
  <w:hyphenationZone w:val="360"/>
  <w:doNotHyphenateCaps/>
  <w:drawingGridVerticalSpacing w:val="156"/>
  <w:displayHorizontalDrawingGridEvery w:val="1"/>
  <w:displayVerticalDrawingGridEvery w:val="1"/>
  <w:noPunctuationKerning w:val="1"/>
  <w:characterSpacingControl w:val="compressPunctuation"/>
  <w:noLineBreaksAfter w:lang="zh-CN" w:val="([{·‘“〈《「『【〔〖（．［｛￡￥"/>
  <w:noLineBreaksBefore w:lang="zh-CN" w:val="!),.:;?]}¨·ˇˉ―‖’”…∶、。〃々〉》」』】〕〗！＂＇），．：；？］｀｜｝～￠"/>
  <w:doNotValidateAgainstSchema/>
  <w:doNotDemarcateInvalidXml/>
  <w:hdrShapeDefaults>
    <o:shapelayout v:ext="edit">
      <o:idmap v:ext="edit" data="3"/>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g0OTRiMzkxOTU3MDQ3YjAzOWQxYmNhMzkzNmNhNWEifQ=="/>
  </w:docVars>
  <w:rsids>
    <w:rsidRoot w:val="00A14947"/>
    <w:rsid w:val="000060B3"/>
    <w:rsid w:val="0004364B"/>
    <w:rsid w:val="00061B1F"/>
    <w:rsid w:val="000733C4"/>
    <w:rsid w:val="00074783"/>
    <w:rsid w:val="0008070B"/>
    <w:rsid w:val="000810AC"/>
    <w:rsid w:val="00081A02"/>
    <w:rsid w:val="00082231"/>
    <w:rsid w:val="00092D38"/>
    <w:rsid w:val="0009377B"/>
    <w:rsid w:val="000A20C9"/>
    <w:rsid w:val="000B058F"/>
    <w:rsid w:val="000B4467"/>
    <w:rsid w:val="000B4DB9"/>
    <w:rsid w:val="000C09AC"/>
    <w:rsid w:val="000C767F"/>
    <w:rsid w:val="000D5A44"/>
    <w:rsid w:val="000E3ED2"/>
    <w:rsid w:val="00131F42"/>
    <w:rsid w:val="001357F1"/>
    <w:rsid w:val="00140FA8"/>
    <w:rsid w:val="00142FEB"/>
    <w:rsid w:val="00143A2D"/>
    <w:rsid w:val="00145A41"/>
    <w:rsid w:val="00151675"/>
    <w:rsid w:val="00157435"/>
    <w:rsid w:val="0017504D"/>
    <w:rsid w:val="0017671A"/>
    <w:rsid w:val="00177422"/>
    <w:rsid w:val="00184590"/>
    <w:rsid w:val="001870D1"/>
    <w:rsid w:val="0018781E"/>
    <w:rsid w:val="0019262D"/>
    <w:rsid w:val="001A1B35"/>
    <w:rsid w:val="001A48A2"/>
    <w:rsid w:val="001A6F61"/>
    <w:rsid w:val="001B72B8"/>
    <w:rsid w:val="001C69B3"/>
    <w:rsid w:val="001D5595"/>
    <w:rsid w:val="001D7874"/>
    <w:rsid w:val="001D7F22"/>
    <w:rsid w:val="001F0F17"/>
    <w:rsid w:val="001F3347"/>
    <w:rsid w:val="001F69E4"/>
    <w:rsid w:val="002125B4"/>
    <w:rsid w:val="002155B8"/>
    <w:rsid w:val="00224839"/>
    <w:rsid w:val="002249B2"/>
    <w:rsid w:val="00226574"/>
    <w:rsid w:val="002278EC"/>
    <w:rsid w:val="0023280E"/>
    <w:rsid w:val="002377D1"/>
    <w:rsid w:val="002506BC"/>
    <w:rsid w:val="00254345"/>
    <w:rsid w:val="00264557"/>
    <w:rsid w:val="002805AB"/>
    <w:rsid w:val="00284204"/>
    <w:rsid w:val="00291773"/>
    <w:rsid w:val="002A168C"/>
    <w:rsid w:val="002A3DC7"/>
    <w:rsid w:val="002B49E2"/>
    <w:rsid w:val="002B7B00"/>
    <w:rsid w:val="002B7C44"/>
    <w:rsid w:val="002C2B17"/>
    <w:rsid w:val="002D3DD0"/>
    <w:rsid w:val="002E1F3A"/>
    <w:rsid w:val="002E298A"/>
    <w:rsid w:val="00301978"/>
    <w:rsid w:val="0030332C"/>
    <w:rsid w:val="003051C2"/>
    <w:rsid w:val="00312296"/>
    <w:rsid w:val="00314F0E"/>
    <w:rsid w:val="00321D8E"/>
    <w:rsid w:val="00325928"/>
    <w:rsid w:val="00332863"/>
    <w:rsid w:val="0033684D"/>
    <w:rsid w:val="00337B42"/>
    <w:rsid w:val="00341B42"/>
    <w:rsid w:val="0034348F"/>
    <w:rsid w:val="00356653"/>
    <w:rsid w:val="0035743F"/>
    <w:rsid w:val="00357BE2"/>
    <w:rsid w:val="0036170C"/>
    <w:rsid w:val="00366E0F"/>
    <w:rsid w:val="00381A72"/>
    <w:rsid w:val="00384676"/>
    <w:rsid w:val="00390857"/>
    <w:rsid w:val="003A4BF3"/>
    <w:rsid w:val="003B420D"/>
    <w:rsid w:val="003C6C16"/>
    <w:rsid w:val="003D794D"/>
    <w:rsid w:val="003E3058"/>
    <w:rsid w:val="003E76A9"/>
    <w:rsid w:val="003F0809"/>
    <w:rsid w:val="003F6A8C"/>
    <w:rsid w:val="003F755C"/>
    <w:rsid w:val="00406F01"/>
    <w:rsid w:val="00416D50"/>
    <w:rsid w:val="00416FD5"/>
    <w:rsid w:val="00417772"/>
    <w:rsid w:val="00420E6A"/>
    <w:rsid w:val="00425A9E"/>
    <w:rsid w:val="00426D6B"/>
    <w:rsid w:val="00431E6C"/>
    <w:rsid w:val="00433CE7"/>
    <w:rsid w:val="00452738"/>
    <w:rsid w:val="00456091"/>
    <w:rsid w:val="00466321"/>
    <w:rsid w:val="00484B9B"/>
    <w:rsid w:val="004855F6"/>
    <w:rsid w:val="0048661E"/>
    <w:rsid w:val="00494670"/>
    <w:rsid w:val="004A3823"/>
    <w:rsid w:val="004E6946"/>
    <w:rsid w:val="004F1AD8"/>
    <w:rsid w:val="005039CB"/>
    <w:rsid w:val="0050558F"/>
    <w:rsid w:val="00506286"/>
    <w:rsid w:val="00510813"/>
    <w:rsid w:val="00511990"/>
    <w:rsid w:val="00511DE0"/>
    <w:rsid w:val="00514870"/>
    <w:rsid w:val="00514B9B"/>
    <w:rsid w:val="00517F02"/>
    <w:rsid w:val="00524303"/>
    <w:rsid w:val="005258A2"/>
    <w:rsid w:val="005401AE"/>
    <w:rsid w:val="00542E07"/>
    <w:rsid w:val="00545424"/>
    <w:rsid w:val="00554A7B"/>
    <w:rsid w:val="0055572C"/>
    <w:rsid w:val="0056106A"/>
    <w:rsid w:val="005720AE"/>
    <w:rsid w:val="00594D77"/>
    <w:rsid w:val="005969E4"/>
    <w:rsid w:val="005A06B7"/>
    <w:rsid w:val="005A1759"/>
    <w:rsid w:val="005A68A7"/>
    <w:rsid w:val="005D36AB"/>
    <w:rsid w:val="00617CC3"/>
    <w:rsid w:val="006377A6"/>
    <w:rsid w:val="00637A3D"/>
    <w:rsid w:val="006411EF"/>
    <w:rsid w:val="006748B8"/>
    <w:rsid w:val="006775C3"/>
    <w:rsid w:val="0069290A"/>
    <w:rsid w:val="0069775A"/>
    <w:rsid w:val="00697813"/>
    <w:rsid w:val="006A3EE8"/>
    <w:rsid w:val="006A72BF"/>
    <w:rsid w:val="006B03F2"/>
    <w:rsid w:val="006B37DC"/>
    <w:rsid w:val="006B4F68"/>
    <w:rsid w:val="006C0592"/>
    <w:rsid w:val="006C272E"/>
    <w:rsid w:val="006C5479"/>
    <w:rsid w:val="006D13B5"/>
    <w:rsid w:val="006E12FF"/>
    <w:rsid w:val="006E607E"/>
    <w:rsid w:val="00706C5D"/>
    <w:rsid w:val="00732922"/>
    <w:rsid w:val="0075162E"/>
    <w:rsid w:val="00754034"/>
    <w:rsid w:val="00756556"/>
    <w:rsid w:val="007618C4"/>
    <w:rsid w:val="00767980"/>
    <w:rsid w:val="00770B19"/>
    <w:rsid w:val="0077463F"/>
    <w:rsid w:val="007836EA"/>
    <w:rsid w:val="00784CDA"/>
    <w:rsid w:val="007906C4"/>
    <w:rsid w:val="007940EA"/>
    <w:rsid w:val="007967E8"/>
    <w:rsid w:val="007A2170"/>
    <w:rsid w:val="007A22BF"/>
    <w:rsid w:val="007A3323"/>
    <w:rsid w:val="007B72B8"/>
    <w:rsid w:val="007B7A58"/>
    <w:rsid w:val="007C21B5"/>
    <w:rsid w:val="007E4BD2"/>
    <w:rsid w:val="00801393"/>
    <w:rsid w:val="00802F88"/>
    <w:rsid w:val="0081293E"/>
    <w:rsid w:val="00815465"/>
    <w:rsid w:val="00817E9A"/>
    <w:rsid w:val="008306BD"/>
    <w:rsid w:val="00831A80"/>
    <w:rsid w:val="00833743"/>
    <w:rsid w:val="008340A4"/>
    <w:rsid w:val="0087135F"/>
    <w:rsid w:val="00872D94"/>
    <w:rsid w:val="00880364"/>
    <w:rsid w:val="00891592"/>
    <w:rsid w:val="00891E9E"/>
    <w:rsid w:val="008A2F68"/>
    <w:rsid w:val="008B4FA6"/>
    <w:rsid w:val="008B5282"/>
    <w:rsid w:val="008B7C17"/>
    <w:rsid w:val="008C2D01"/>
    <w:rsid w:val="008C40E6"/>
    <w:rsid w:val="008D0F7A"/>
    <w:rsid w:val="008D68E4"/>
    <w:rsid w:val="008E0506"/>
    <w:rsid w:val="008E0CFF"/>
    <w:rsid w:val="008E5D6B"/>
    <w:rsid w:val="008E76F0"/>
    <w:rsid w:val="008F15FE"/>
    <w:rsid w:val="008F2D29"/>
    <w:rsid w:val="008F5187"/>
    <w:rsid w:val="008F60D8"/>
    <w:rsid w:val="00902727"/>
    <w:rsid w:val="0090312B"/>
    <w:rsid w:val="0091736D"/>
    <w:rsid w:val="0093037A"/>
    <w:rsid w:val="0094154D"/>
    <w:rsid w:val="0095155F"/>
    <w:rsid w:val="00954429"/>
    <w:rsid w:val="009563CE"/>
    <w:rsid w:val="00976328"/>
    <w:rsid w:val="0097680D"/>
    <w:rsid w:val="00982438"/>
    <w:rsid w:val="0098404C"/>
    <w:rsid w:val="00985283"/>
    <w:rsid w:val="00995992"/>
    <w:rsid w:val="009A03E5"/>
    <w:rsid w:val="009A0F3B"/>
    <w:rsid w:val="009A1BB4"/>
    <w:rsid w:val="009A2628"/>
    <w:rsid w:val="009A3200"/>
    <w:rsid w:val="009B0897"/>
    <w:rsid w:val="009B7BD9"/>
    <w:rsid w:val="009C7DD5"/>
    <w:rsid w:val="009E227D"/>
    <w:rsid w:val="009E5019"/>
    <w:rsid w:val="00A04F1B"/>
    <w:rsid w:val="00A0501B"/>
    <w:rsid w:val="00A14947"/>
    <w:rsid w:val="00A32A83"/>
    <w:rsid w:val="00A368DB"/>
    <w:rsid w:val="00A423AA"/>
    <w:rsid w:val="00A53EC6"/>
    <w:rsid w:val="00A55C0F"/>
    <w:rsid w:val="00A8713F"/>
    <w:rsid w:val="00A90BA1"/>
    <w:rsid w:val="00A97A9A"/>
    <w:rsid w:val="00AA0671"/>
    <w:rsid w:val="00AA2531"/>
    <w:rsid w:val="00AB1E09"/>
    <w:rsid w:val="00AB5330"/>
    <w:rsid w:val="00AB7747"/>
    <w:rsid w:val="00AC14CE"/>
    <w:rsid w:val="00AC2A56"/>
    <w:rsid w:val="00AD055E"/>
    <w:rsid w:val="00AD47A7"/>
    <w:rsid w:val="00AF0CBF"/>
    <w:rsid w:val="00AF257F"/>
    <w:rsid w:val="00AF33CF"/>
    <w:rsid w:val="00AF4D50"/>
    <w:rsid w:val="00AF6179"/>
    <w:rsid w:val="00B1295A"/>
    <w:rsid w:val="00B20A45"/>
    <w:rsid w:val="00B22C5C"/>
    <w:rsid w:val="00B24F30"/>
    <w:rsid w:val="00B31ABF"/>
    <w:rsid w:val="00B33BE3"/>
    <w:rsid w:val="00B53B5D"/>
    <w:rsid w:val="00B6055E"/>
    <w:rsid w:val="00B6317D"/>
    <w:rsid w:val="00B7723F"/>
    <w:rsid w:val="00B80534"/>
    <w:rsid w:val="00B8433C"/>
    <w:rsid w:val="00B87491"/>
    <w:rsid w:val="00BA29E9"/>
    <w:rsid w:val="00BA7142"/>
    <w:rsid w:val="00BB237C"/>
    <w:rsid w:val="00BB41A3"/>
    <w:rsid w:val="00BC32DC"/>
    <w:rsid w:val="00BC35B6"/>
    <w:rsid w:val="00BD1B51"/>
    <w:rsid w:val="00BD4596"/>
    <w:rsid w:val="00BE1405"/>
    <w:rsid w:val="00BE312D"/>
    <w:rsid w:val="00BF1C20"/>
    <w:rsid w:val="00C10578"/>
    <w:rsid w:val="00C135BC"/>
    <w:rsid w:val="00C15C95"/>
    <w:rsid w:val="00C2596A"/>
    <w:rsid w:val="00C27537"/>
    <w:rsid w:val="00C328FE"/>
    <w:rsid w:val="00C33507"/>
    <w:rsid w:val="00C4409D"/>
    <w:rsid w:val="00C44E72"/>
    <w:rsid w:val="00C45A06"/>
    <w:rsid w:val="00C47E5B"/>
    <w:rsid w:val="00C61E4B"/>
    <w:rsid w:val="00C64BFF"/>
    <w:rsid w:val="00C704E9"/>
    <w:rsid w:val="00C763C9"/>
    <w:rsid w:val="00C80057"/>
    <w:rsid w:val="00C82232"/>
    <w:rsid w:val="00C82913"/>
    <w:rsid w:val="00C972B1"/>
    <w:rsid w:val="00CA2CCE"/>
    <w:rsid w:val="00CA43FD"/>
    <w:rsid w:val="00CA7EF8"/>
    <w:rsid w:val="00CC489B"/>
    <w:rsid w:val="00CD2BCD"/>
    <w:rsid w:val="00CD3A4C"/>
    <w:rsid w:val="00CE10E9"/>
    <w:rsid w:val="00CE2910"/>
    <w:rsid w:val="00CE5393"/>
    <w:rsid w:val="00CF36BE"/>
    <w:rsid w:val="00CF6000"/>
    <w:rsid w:val="00D003F3"/>
    <w:rsid w:val="00D0364F"/>
    <w:rsid w:val="00D06834"/>
    <w:rsid w:val="00D308ED"/>
    <w:rsid w:val="00D36D86"/>
    <w:rsid w:val="00D428AA"/>
    <w:rsid w:val="00D50A34"/>
    <w:rsid w:val="00D53EFA"/>
    <w:rsid w:val="00D94A7C"/>
    <w:rsid w:val="00D95896"/>
    <w:rsid w:val="00DB2983"/>
    <w:rsid w:val="00DC1257"/>
    <w:rsid w:val="00DC3DC0"/>
    <w:rsid w:val="00DC5B2B"/>
    <w:rsid w:val="00DD318D"/>
    <w:rsid w:val="00DF2E12"/>
    <w:rsid w:val="00DF514A"/>
    <w:rsid w:val="00DF6690"/>
    <w:rsid w:val="00DF6804"/>
    <w:rsid w:val="00E0358D"/>
    <w:rsid w:val="00E04323"/>
    <w:rsid w:val="00E070A2"/>
    <w:rsid w:val="00E2656A"/>
    <w:rsid w:val="00E412D0"/>
    <w:rsid w:val="00E56322"/>
    <w:rsid w:val="00E60982"/>
    <w:rsid w:val="00E62C62"/>
    <w:rsid w:val="00E654C1"/>
    <w:rsid w:val="00E65D97"/>
    <w:rsid w:val="00E72A5A"/>
    <w:rsid w:val="00E73354"/>
    <w:rsid w:val="00E9242D"/>
    <w:rsid w:val="00EB5255"/>
    <w:rsid w:val="00EB5C47"/>
    <w:rsid w:val="00ED0639"/>
    <w:rsid w:val="00EF4755"/>
    <w:rsid w:val="00EF7135"/>
    <w:rsid w:val="00F027DB"/>
    <w:rsid w:val="00F14A7A"/>
    <w:rsid w:val="00F22985"/>
    <w:rsid w:val="00F3383E"/>
    <w:rsid w:val="00F465A7"/>
    <w:rsid w:val="00F50B7C"/>
    <w:rsid w:val="00F550E6"/>
    <w:rsid w:val="00F74345"/>
    <w:rsid w:val="00F80A0A"/>
    <w:rsid w:val="00F82B19"/>
    <w:rsid w:val="00F9212D"/>
    <w:rsid w:val="00F965DA"/>
    <w:rsid w:val="00FA406A"/>
    <w:rsid w:val="00FB503A"/>
    <w:rsid w:val="00FB516C"/>
    <w:rsid w:val="00FD0236"/>
    <w:rsid w:val="00FD18F4"/>
    <w:rsid w:val="00FD54DB"/>
    <w:rsid w:val="00FD619F"/>
    <w:rsid w:val="01290F7E"/>
    <w:rsid w:val="015D1E09"/>
    <w:rsid w:val="02697903"/>
    <w:rsid w:val="02A05A0A"/>
    <w:rsid w:val="02F96569"/>
    <w:rsid w:val="03D251BA"/>
    <w:rsid w:val="03EA7B21"/>
    <w:rsid w:val="052B0DAF"/>
    <w:rsid w:val="056F255D"/>
    <w:rsid w:val="05F83EAE"/>
    <w:rsid w:val="063E7D85"/>
    <w:rsid w:val="06BD7860"/>
    <w:rsid w:val="07293586"/>
    <w:rsid w:val="07295285"/>
    <w:rsid w:val="074F100F"/>
    <w:rsid w:val="07636392"/>
    <w:rsid w:val="076E3F95"/>
    <w:rsid w:val="07770C56"/>
    <w:rsid w:val="092217DD"/>
    <w:rsid w:val="093A7294"/>
    <w:rsid w:val="0A263993"/>
    <w:rsid w:val="0A2D3AC2"/>
    <w:rsid w:val="0AA755DF"/>
    <w:rsid w:val="0B120D44"/>
    <w:rsid w:val="0B854A94"/>
    <w:rsid w:val="0BD27BF6"/>
    <w:rsid w:val="0C3B3C7D"/>
    <w:rsid w:val="0CAB2EAE"/>
    <w:rsid w:val="0D5279EB"/>
    <w:rsid w:val="0D621C7D"/>
    <w:rsid w:val="0DE6245C"/>
    <w:rsid w:val="0DFC4600"/>
    <w:rsid w:val="0E73034D"/>
    <w:rsid w:val="0F13775A"/>
    <w:rsid w:val="0F5F45FE"/>
    <w:rsid w:val="0F9A112B"/>
    <w:rsid w:val="0FD3531E"/>
    <w:rsid w:val="106D2F64"/>
    <w:rsid w:val="10B63710"/>
    <w:rsid w:val="10F10820"/>
    <w:rsid w:val="111C2F7A"/>
    <w:rsid w:val="11665CA1"/>
    <w:rsid w:val="121E025D"/>
    <w:rsid w:val="127B6720"/>
    <w:rsid w:val="12844C68"/>
    <w:rsid w:val="13005753"/>
    <w:rsid w:val="13951726"/>
    <w:rsid w:val="140F7BDB"/>
    <w:rsid w:val="14396509"/>
    <w:rsid w:val="14667D20"/>
    <w:rsid w:val="14DD2C3C"/>
    <w:rsid w:val="16087E1D"/>
    <w:rsid w:val="16F816AF"/>
    <w:rsid w:val="17701D14"/>
    <w:rsid w:val="17735226"/>
    <w:rsid w:val="17D2387C"/>
    <w:rsid w:val="189F624C"/>
    <w:rsid w:val="18C42B76"/>
    <w:rsid w:val="1A1C66C0"/>
    <w:rsid w:val="1A42393B"/>
    <w:rsid w:val="1AAD45DE"/>
    <w:rsid w:val="1B046F80"/>
    <w:rsid w:val="1B3267B5"/>
    <w:rsid w:val="1B40161D"/>
    <w:rsid w:val="1B441859"/>
    <w:rsid w:val="1B6606B1"/>
    <w:rsid w:val="1C5E7925"/>
    <w:rsid w:val="1CFD070F"/>
    <w:rsid w:val="1D5F6196"/>
    <w:rsid w:val="1D6132A5"/>
    <w:rsid w:val="1D8E56D5"/>
    <w:rsid w:val="1E7A43DA"/>
    <w:rsid w:val="1F094882"/>
    <w:rsid w:val="1F4A0F65"/>
    <w:rsid w:val="1FE7539E"/>
    <w:rsid w:val="20264DF3"/>
    <w:rsid w:val="20671BE0"/>
    <w:rsid w:val="20963CB8"/>
    <w:rsid w:val="20A81A1B"/>
    <w:rsid w:val="20B07FB6"/>
    <w:rsid w:val="20B646FB"/>
    <w:rsid w:val="213B74B1"/>
    <w:rsid w:val="215A2310"/>
    <w:rsid w:val="21822675"/>
    <w:rsid w:val="21BE0C76"/>
    <w:rsid w:val="21DE318A"/>
    <w:rsid w:val="21EF5B80"/>
    <w:rsid w:val="22576990"/>
    <w:rsid w:val="22F47480"/>
    <w:rsid w:val="234C3825"/>
    <w:rsid w:val="23DE1C48"/>
    <w:rsid w:val="240210CD"/>
    <w:rsid w:val="24BF09F7"/>
    <w:rsid w:val="252D53FE"/>
    <w:rsid w:val="25EC2D81"/>
    <w:rsid w:val="277057A2"/>
    <w:rsid w:val="28E026ED"/>
    <w:rsid w:val="29206EB8"/>
    <w:rsid w:val="29595666"/>
    <w:rsid w:val="297B4508"/>
    <w:rsid w:val="29874881"/>
    <w:rsid w:val="29E325E0"/>
    <w:rsid w:val="2A172D9D"/>
    <w:rsid w:val="2A452503"/>
    <w:rsid w:val="2B0A3E06"/>
    <w:rsid w:val="2BA936A8"/>
    <w:rsid w:val="2C315A5A"/>
    <w:rsid w:val="2C4B1C25"/>
    <w:rsid w:val="2D0959E6"/>
    <w:rsid w:val="2D9E56F5"/>
    <w:rsid w:val="2E667F96"/>
    <w:rsid w:val="2E8226AB"/>
    <w:rsid w:val="2FD065E6"/>
    <w:rsid w:val="2FD96870"/>
    <w:rsid w:val="30580BC9"/>
    <w:rsid w:val="311E2ED7"/>
    <w:rsid w:val="315619EE"/>
    <w:rsid w:val="315C449C"/>
    <w:rsid w:val="31B82709"/>
    <w:rsid w:val="31D05482"/>
    <w:rsid w:val="31EF5C99"/>
    <w:rsid w:val="32400B34"/>
    <w:rsid w:val="329E6876"/>
    <w:rsid w:val="32D56385"/>
    <w:rsid w:val="32F3657D"/>
    <w:rsid w:val="333015F2"/>
    <w:rsid w:val="334B6320"/>
    <w:rsid w:val="33D934D4"/>
    <w:rsid w:val="33FE2F6A"/>
    <w:rsid w:val="340E07E5"/>
    <w:rsid w:val="34235BF7"/>
    <w:rsid w:val="348B19FB"/>
    <w:rsid w:val="34A40966"/>
    <w:rsid w:val="35566C29"/>
    <w:rsid w:val="358C5FA8"/>
    <w:rsid w:val="35C15DF1"/>
    <w:rsid w:val="36074A7F"/>
    <w:rsid w:val="36923549"/>
    <w:rsid w:val="36B75FBF"/>
    <w:rsid w:val="36BD0C45"/>
    <w:rsid w:val="37580ADC"/>
    <w:rsid w:val="37E00298"/>
    <w:rsid w:val="38B302F9"/>
    <w:rsid w:val="38F12CD3"/>
    <w:rsid w:val="38F94775"/>
    <w:rsid w:val="392971ED"/>
    <w:rsid w:val="39325651"/>
    <w:rsid w:val="3A872856"/>
    <w:rsid w:val="3B3763D1"/>
    <w:rsid w:val="3BCD2229"/>
    <w:rsid w:val="3BDE24FE"/>
    <w:rsid w:val="3C2F6E1E"/>
    <w:rsid w:val="3C4F64BA"/>
    <w:rsid w:val="3C897955"/>
    <w:rsid w:val="3CDA245A"/>
    <w:rsid w:val="3D1E06B7"/>
    <w:rsid w:val="3D3C7375"/>
    <w:rsid w:val="3EDA0523"/>
    <w:rsid w:val="3F0B7F55"/>
    <w:rsid w:val="3F7A121F"/>
    <w:rsid w:val="407A6407"/>
    <w:rsid w:val="41BE1C2F"/>
    <w:rsid w:val="4200449D"/>
    <w:rsid w:val="423A3BCC"/>
    <w:rsid w:val="424E57D2"/>
    <w:rsid w:val="42B26C49"/>
    <w:rsid w:val="433A6FE6"/>
    <w:rsid w:val="433E08BF"/>
    <w:rsid w:val="43480868"/>
    <w:rsid w:val="4350713C"/>
    <w:rsid w:val="436653E0"/>
    <w:rsid w:val="43C4431A"/>
    <w:rsid w:val="44B951CC"/>
    <w:rsid w:val="44CD14E0"/>
    <w:rsid w:val="44F20B0B"/>
    <w:rsid w:val="452E5F4C"/>
    <w:rsid w:val="45612018"/>
    <w:rsid w:val="458946E9"/>
    <w:rsid w:val="45A47C0E"/>
    <w:rsid w:val="46577FD6"/>
    <w:rsid w:val="46D955A7"/>
    <w:rsid w:val="47133957"/>
    <w:rsid w:val="47182731"/>
    <w:rsid w:val="47A07E0C"/>
    <w:rsid w:val="47AA1CA0"/>
    <w:rsid w:val="47E35B09"/>
    <w:rsid w:val="481655F8"/>
    <w:rsid w:val="4870272E"/>
    <w:rsid w:val="487813F3"/>
    <w:rsid w:val="49DC7715"/>
    <w:rsid w:val="4A023139"/>
    <w:rsid w:val="4A7B576F"/>
    <w:rsid w:val="4A904EC4"/>
    <w:rsid w:val="4AF561A9"/>
    <w:rsid w:val="4C4A0649"/>
    <w:rsid w:val="4C7E5ECA"/>
    <w:rsid w:val="4C876AA5"/>
    <w:rsid w:val="4D0E00FB"/>
    <w:rsid w:val="4D176606"/>
    <w:rsid w:val="4D1D2091"/>
    <w:rsid w:val="4DA34FB8"/>
    <w:rsid w:val="4DEC4FB0"/>
    <w:rsid w:val="4E075D8A"/>
    <w:rsid w:val="4E6E0CC4"/>
    <w:rsid w:val="4EA47C70"/>
    <w:rsid w:val="4EC00FAD"/>
    <w:rsid w:val="4F9843DC"/>
    <w:rsid w:val="4FC62A8C"/>
    <w:rsid w:val="4FE20F0D"/>
    <w:rsid w:val="4FE51552"/>
    <w:rsid w:val="5015370F"/>
    <w:rsid w:val="50504C4B"/>
    <w:rsid w:val="505F22A9"/>
    <w:rsid w:val="509C6E7C"/>
    <w:rsid w:val="5162104E"/>
    <w:rsid w:val="52193315"/>
    <w:rsid w:val="53A039CC"/>
    <w:rsid w:val="53A1505A"/>
    <w:rsid w:val="53CE5004"/>
    <w:rsid w:val="54063E08"/>
    <w:rsid w:val="543437E8"/>
    <w:rsid w:val="54F73313"/>
    <w:rsid w:val="54F80955"/>
    <w:rsid w:val="55303CD0"/>
    <w:rsid w:val="555170A7"/>
    <w:rsid w:val="5587536D"/>
    <w:rsid w:val="559B174B"/>
    <w:rsid w:val="55CE0CF4"/>
    <w:rsid w:val="56B22A9C"/>
    <w:rsid w:val="57B72A76"/>
    <w:rsid w:val="57C3426C"/>
    <w:rsid w:val="57CE1F93"/>
    <w:rsid w:val="588743D1"/>
    <w:rsid w:val="5887701A"/>
    <w:rsid w:val="58B1058C"/>
    <w:rsid w:val="59C0439F"/>
    <w:rsid w:val="5ABE2233"/>
    <w:rsid w:val="5BDF5D95"/>
    <w:rsid w:val="5BFE7528"/>
    <w:rsid w:val="5DDF304B"/>
    <w:rsid w:val="5E2467F1"/>
    <w:rsid w:val="5EA20CD3"/>
    <w:rsid w:val="5F1A2B43"/>
    <w:rsid w:val="5F5C5FB8"/>
    <w:rsid w:val="5FB837BB"/>
    <w:rsid w:val="60C43123"/>
    <w:rsid w:val="60CC405A"/>
    <w:rsid w:val="61E215D8"/>
    <w:rsid w:val="621B3775"/>
    <w:rsid w:val="62364782"/>
    <w:rsid w:val="62694795"/>
    <w:rsid w:val="6394356A"/>
    <w:rsid w:val="63C61B2C"/>
    <w:rsid w:val="63D40BE9"/>
    <w:rsid w:val="64102431"/>
    <w:rsid w:val="64A5243A"/>
    <w:rsid w:val="64F531DE"/>
    <w:rsid w:val="65373578"/>
    <w:rsid w:val="65BC061A"/>
    <w:rsid w:val="66E3254C"/>
    <w:rsid w:val="671F124A"/>
    <w:rsid w:val="677A33C6"/>
    <w:rsid w:val="68160877"/>
    <w:rsid w:val="681F6961"/>
    <w:rsid w:val="68610A2F"/>
    <w:rsid w:val="68805514"/>
    <w:rsid w:val="68907FBE"/>
    <w:rsid w:val="69316E2F"/>
    <w:rsid w:val="694E2071"/>
    <w:rsid w:val="69766163"/>
    <w:rsid w:val="697A3B33"/>
    <w:rsid w:val="69D44760"/>
    <w:rsid w:val="6A520EC7"/>
    <w:rsid w:val="6AF87E20"/>
    <w:rsid w:val="6B322639"/>
    <w:rsid w:val="6BD04D00"/>
    <w:rsid w:val="6C636C38"/>
    <w:rsid w:val="6DB34098"/>
    <w:rsid w:val="6DB545B6"/>
    <w:rsid w:val="6DCA05AF"/>
    <w:rsid w:val="6DD472AA"/>
    <w:rsid w:val="6DE02FB4"/>
    <w:rsid w:val="6E514CED"/>
    <w:rsid w:val="6EB563D5"/>
    <w:rsid w:val="6ED92677"/>
    <w:rsid w:val="6F225983"/>
    <w:rsid w:val="6FFC5590"/>
    <w:rsid w:val="70645439"/>
    <w:rsid w:val="706D1DD0"/>
    <w:rsid w:val="70856B87"/>
    <w:rsid w:val="70D527EE"/>
    <w:rsid w:val="7105767E"/>
    <w:rsid w:val="715B5300"/>
    <w:rsid w:val="715E7720"/>
    <w:rsid w:val="71D27F8A"/>
    <w:rsid w:val="72553024"/>
    <w:rsid w:val="73122968"/>
    <w:rsid w:val="731F5D5E"/>
    <w:rsid w:val="73AA4CC1"/>
    <w:rsid w:val="73C51AD5"/>
    <w:rsid w:val="741E793C"/>
    <w:rsid w:val="745E3944"/>
    <w:rsid w:val="75A23115"/>
    <w:rsid w:val="75AD6502"/>
    <w:rsid w:val="7635099D"/>
    <w:rsid w:val="77762421"/>
    <w:rsid w:val="77B56B1F"/>
    <w:rsid w:val="780F09F4"/>
    <w:rsid w:val="784716C3"/>
    <w:rsid w:val="78A90480"/>
    <w:rsid w:val="79F77A5C"/>
    <w:rsid w:val="7A364017"/>
    <w:rsid w:val="7A8265E1"/>
    <w:rsid w:val="7AAF0B2D"/>
    <w:rsid w:val="7B686D42"/>
    <w:rsid w:val="7B841746"/>
    <w:rsid w:val="7C6C5AC7"/>
    <w:rsid w:val="7C8F3F07"/>
    <w:rsid w:val="7CC6544B"/>
    <w:rsid w:val="7D0239FF"/>
    <w:rsid w:val="7D5E40CD"/>
    <w:rsid w:val="7DCD56F2"/>
    <w:rsid w:val="7EB4296F"/>
    <w:rsid w:val="7F001CE7"/>
    <w:rsid w:val="7FE47E50"/>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ocked="1"/>
    <w:lsdException w:qFormat="1" w:uiPriority="0" w:semiHidden="0" w:name="heading 2" w:locked="1"/>
    <w:lsdException w:qFormat="1" w:uiPriority="0" w:semiHidden="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nhideWhenUsed="0" w:uiPriority="0" w:semiHidden="0" w:name="index 1" w:locked="1"/>
    <w:lsdException w:unhideWhenUsed="0" w:uiPriority="0" w:semiHidden="0" w:name="index 2" w:locked="1"/>
    <w:lsdException w:unhideWhenUsed="0" w:uiPriority="0" w:semiHidden="0" w:name="index 3" w:locked="1"/>
    <w:lsdException w:unhideWhenUsed="0" w:uiPriority="0" w:semiHidden="0" w:name="index 4" w:locked="1"/>
    <w:lsdException w:unhideWhenUsed="0" w:uiPriority="0" w:semiHidden="0" w:name="index 5" w:locked="1"/>
    <w:lsdException w:unhideWhenUsed="0" w:uiPriority="0" w:semiHidden="0" w:name="index 6" w:locked="1"/>
    <w:lsdException w:unhideWhenUsed="0" w:uiPriority="0" w:semiHidden="0" w:name="index 7" w:locked="1"/>
    <w:lsdException w:unhideWhenUsed="0" w:uiPriority="0" w:semiHidden="0" w:name="index 8" w:locked="1"/>
    <w:lsdException w:unhideWhenUsed="0" w:uiPriority="0" w:semiHidden="0" w:name="index 9" w:locked="1"/>
    <w:lsdException w:qFormat="1" w:unhideWhenUsed="0" w:uiPriority="39"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qFormat="1" w:unhideWhenUsed="0" w:uiPriority="0" w:semiHidden="0" w:name="Normal Indent" w:locked="1"/>
    <w:lsdException w:unhideWhenUsed="0" w:uiPriority="0" w:semiHidden="0" w:name="footnote text" w:locked="1"/>
    <w:lsdException w:qFormat="1" w:unhideWhenUsed="0" w:uiPriority="0" w:name="annotation text"/>
    <w:lsdException w:qFormat="1" w:unhideWhenUsed="0" w:uiPriority="0" w:semiHidden="0" w:name="header"/>
    <w:lsdException w:qFormat="1" w:unhideWhenUsed="0" w:uiPriority="99" w:semiHidden="0" w:name="footer"/>
    <w:lsdException w:unhideWhenUsed="0" w:uiPriority="0" w:semiHidden="0" w:name="index heading" w:locked="1"/>
    <w:lsdException w:qFormat="1" w:uiPriority="0" w:name="caption" w:locked="1"/>
    <w:lsdException w:unhideWhenUsed="0" w:uiPriority="0" w:semiHidden="0" w:name="table of figures" w:locked="1"/>
    <w:lsdException w:unhideWhenUsed="0" w:uiPriority="0" w:semiHidden="0" w:name="envelope address" w:locked="1"/>
    <w:lsdException w:unhideWhenUsed="0" w:uiPriority="0" w:semiHidden="0" w:name="envelope return" w:locked="1"/>
    <w:lsdException w:unhideWhenUsed="0" w:uiPriority="0" w:semiHidden="0" w:name="footnote reference" w:locked="1"/>
    <w:lsdException w:qFormat="1" w:unhideWhenUsed="0" w:uiPriority="0" w:name="annotation reference"/>
    <w:lsdException w:unhideWhenUsed="0" w:uiPriority="0" w:semiHidden="0" w:name="line number" w:locked="1"/>
    <w:lsdException w:qFormat="1" w:unhideWhenUsed="0" w:uiPriority="0" w:semiHidden="0" w:name="page number" w:locked="1"/>
    <w:lsdException w:unhideWhenUsed="0" w:uiPriority="0" w:semiHidden="0" w:name="endnote reference" w:locked="1"/>
    <w:lsdException w:unhideWhenUsed="0" w:uiPriority="0" w:semiHidden="0" w:name="endnote text" w:locked="1"/>
    <w:lsdException w:unhideWhenUsed="0" w:uiPriority="0" w:semiHidden="0" w:name="table of authorities" w:locked="1"/>
    <w:lsdException w:unhideWhenUsed="0" w:uiPriority="0" w:semiHidden="0" w:name="macro" w:locked="1"/>
    <w:lsdException w:unhideWhenUsed="0" w:uiPriority="0" w:semiHidden="0" w:name="toa heading" w:locked="1"/>
    <w:lsdException w:unhideWhenUsed="0" w:uiPriority="0" w:semiHidden="0" w:name="List" w:locked="1"/>
    <w:lsdException w:unhideWhenUsed="0" w:uiPriority="0" w:semiHidden="0" w:name="List Bullet" w:locked="1"/>
    <w:lsdException w:unhideWhenUsed="0" w:uiPriority="0" w:semiHidden="0" w:name="List Number" w:locked="1"/>
    <w:lsdException w:unhideWhenUsed="0" w:uiPriority="0" w:semiHidden="0" w:name="List 2" w:locked="1"/>
    <w:lsdException w:unhideWhenUsed="0" w:uiPriority="0" w:semiHidden="0" w:name="List 3" w:locked="1"/>
    <w:lsdException w:unhideWhenUsed="0" w:uiPriority="0" w:semiHidden="0" w:name="List 4" w:locked="1"/>
    <w:lsdException w:unhideWhenUsed="0" w:uiPriority="0" w:semiHidden="0" w:name="List 5" w:locked="1"/>
    <w:lsdException w:unhideWhenUsed="0" w:uiPriority="0" w:semiHidden="0" w:name="List Bullet 2" w:locked="1"/>
    <w:lsdException w:unhideWhenUsed="0" w:uiPriority="0" w:semiHidden="0" w:name="List Bullet 3" w:locked="1"/>
    <w:lsdException w:unhideWhenUsed="0" w:uiPriority="0" w:semiHidden="0" w:name="List Bullet 4" w:locked="1"/>
    <w:lsdException w:unhideWhenUsed="0" w:uiPriority="0" w:semiHidden="0" w:name="List Bullet 5" w:locked="1"/>
    <w:lsdException w:unhideWhenUsed="0" w:uiPriority="0" w:semiHidden="0" w:name="List Number 2" w:locked="1"/>
    <w:lsdException w:unhideWhenUsed="0" w:uiPriority="0" w:semiHidden="0" w:name="List Number 3" w:locked="1"/>
    <w:lsdException w:unhideWhenUsed="0" w:uiPriority="0" w:semiHidden="0" w:name="List Number 4" w:locked="1"/>
    <w:lsdException w:unhideWhenUsed="0" w:uiPriority="0" w:semiHidden="0" w:name="List Number 5" w:locked="1"/>
    <w:lsdException w:qFormat="1" w:unhideWhenUsed="0" w:uiPriority="0" w:semiHidden="0" w:name="Title" w:locked="1"/>
    <w:lsdException w:unhideWhenUsed="0" w:uiPriority="0" w:semiHidden="0" w:name="Closing" w:locked="1"/>
    <w:lsdException w:unhideWhenUsed="0" w:uiPriority="0" w:semiHidden="0" w:name="Signature" w:locked="1"/>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ocked="1"/>
    <w:lsdException w:unhideWhenUsed="0" w:uiPriority="0" w:semiHidden="0" w:name="List Continue 2" w:locked="1"/>
    <w:lsdException w:unhideWhenUsed="0" w:uiPriority="0" w:semiHidden="0" w:name="List Continue 3" w:locked="1"/>
    <w:lsdException w:unhideWhenUsed="0" w:uiPriority="0" w:semiHidden="0" w:name="List Continue 4" w:locked="1"/>
    <w:lsdException w:unhideWhenUsed="0" w:uiPriority="0" w:semiHidden="0" w:name="List Continue 5" w:locked="1"/>
    <w:lsdException w:unhideWhenUsed="0" w:uiPriority="0" w:semiHidden="0" w:name="Message Header" w:locked="1"/>
    <w:lsdException w:qFormat="1" w:unhideWhenUsed="0" w:uiPriority="0" w:semiHidden="0" w:name="Subtitle" w:locked="1"/>
    <w:lsdException w:unhideWhenUsed="0" w:uiPriority="0" w:semiHidden="0" w:name="Salutation" w:locked="1"/>
    <w:lsdException w:qFormat="1" w:unhideWhenUsed="0" w:uiPriority="0" w:semiHidden="0" w:name="Date"/>
    <w:lsdException w:qFormat="1" w:unhideWhenUsed="0" w:uiPriority="0" w:semiHidden="0" w:name="Body Text First Indent" w:locked="1"/>
    <w:lsdException w:qFormat="1" w:unhideWhenUsed="0" w:uiPriority="0" w:semiHidden="0" w:name="Body Text First Indent 2" w:locked="1"/>
    <w:lsdException w:unhideWhenUsed="0" w:uiPriority="0" w:semiHidden="0" w:name="Note Heading" w:locked="1"/>
    <w:lsdException w:qFormat="1" w:unhideWhenUsed="0" w:uiPriority="0" w:semiHidden="0" w:name="Body Text 2" w:locked="1"/>
    <w:lsdException w:unhideWhenUsed="0" w:uiPriority="0" w:semiHidden="0" w:name="Body Text 3" w:locked="1"/>
    <w:lsdException w:qFormat="1" w:unhideWhenUsed="0" w:uiPriority="0" w:semiHidden="0" w:name="Body Text Indent 2" w:locked="1"/>
    <w:lsdException w:unhideWhenUsed="0" w:uiPriority="0" w:semiHidden="0" w:name="Body Text Indent 3" w:locked="1"/>
    <w:lsdException w:unhideWhenUsed="0" w:uiPriority="0" w:semiHidden="0" w:name="Block Text" w:locked="1"/>
    <w:lsdException w:qFormat="1" w:unhideWhenUsed="0" w:uiPriority="0" w:semiHidden="0" w:name="Hyperlink" w:locked="1"/>
    <w:lsdException w:unhideWhenUsed="0" w:uiPriority="0" w:semiHidden="0" w:name="FollowedHyperlink" w:locked="1"/>
    <w:lsdException w:qFormat="1" w:unhideWhenUsed="0" w:uiPriority="0" w:semiHidden="0" w:name="Strong" w:locked="1"/>
    <w:lsdException w:qFormat="1" w:unhideWhenUsed="0" w:uiPriority="0" w:semiHidden="0" w:name="Emphasis" w:locked="1"/>
    <w:lsdException w:unhideWhenUsed="0" w:uiPriority="0" w:semiHidden="0" w:name="Document Map" w:locked="1"/>
    <w:lsdException w:qFormat="1" w:unhideWhenUsed="0" w:uiPriority="0" w:semiHidden="0" w:name="Plain Text" w:locked="1"/>
    <w:lsdException w:unhideWhenUsed="0" w:uiPriority="0" w:semiHidden="0" w:name="E-mail Signature" w:locked="1"/>
    <w:lsdException w:qFormat="1" w:unhideWhenUsed="0" w:uiPriority="0" w:semiHidden="0" w:name="Normal (Web)"/>
    <w:lsdException w:unhideWhenUsed="0" w:uiPriority="0" w:semiHidden="0" w:name="HTML Acronym" w:locked="1"/>
    <w:lsdException w:unhideWhenUsed="0" w:uiPriority="0" w:semiHidden="0" w:name="HTML Address" w:locked="1"/>
    <w:lsdException w:unhideWhenUsed="0" w:uiPriority="0" w:semiHidden="0" w:name="HTML Cite" w:locked="1"/>
    <w:lsdException w:unhideWhenUsed="0" w:uiPriority="0" w:semiHidden="0" w:name="HTML Code" w:locked="1"/>
    <w:lsdException w:unhideWhenUsed="0" w:uiPriority="0" w:semiHidden="0" w:name="HTML Definition" w:locked="1"/>
    <w:lsdException w:unhideWhenUsed="0" w:uiPriority="0" w:semiHidden="0" w:name="HTML Keyboard" w:locked="1"/>
    <w:lsdException w:unhideWhenUsed="0" w:uiPriority="0" w:semiHidden="0" w:name="HTML Preformatted" w:locked="1"/>
    <w:lsdException w:unhideWhenUsed="0" w:uiPriority="0" w:semiHidden="0" w:name="HTML Sample" w:locked="1"/>
    <w:lsdException w:unhideWhenUsed="0" w:uiPriority="0" w:semiHidden="0" w:name="HTML Typewriter" w:locked="1"/>
    <w:lsdException w:unhideWhenUsed="0" w:uiPriority="0" w:semiHidden="0" w:name="HTML Variable" w:locked="1"/>
    <w:lsdException w:qFormat="1" w:unhideWhenUsed="0" w:uiPriority="0" w:name="Normal Table"/>
    <w:lsdException w:qFormat="1" w:unhideWhenUsed="0" w:uiPriority="0" w:name="annotation subject"/>
    <w:lsdException w:unhideWhenUsed="0" w:uiPriority="0" w:semiHidden="0" w:name="Table Simple 1" w:locked="1"/>
    <w:lsdException w:unhideWhenUsed="0" w:uiPriority="0" w:semiHidden="0" w:name="Table Simple 2" w:locked="1"/>
    <w:lsdException w:unhideWhenUsed="0" w:uiPriority="0" w:semiHidden="0" w:name="Table Simple 3" w:locked="1"/>
    <w:lsdException w:unhideWhenUsed="0" w:uiPriority="0" w:semiHidden="0" w:name="Table Classic 1" w:locked="1"/>
    <w:lsdException w:unhideWhenUsed="0" w:uiPriority="0" w:semiHidden="0" w:name="Table Classic 2" w:locked="1"/>
    <w:lsdException w:unhideWhenUsed="0" w:uiPriority="0" w:semiHidden="0" w:name="Table Classic 3" w:locked="1"/>
    <w:lsdException w:unhideWhenUsed="0" w:uiPriority="0" w:semiHidden="0" w:name="Table Classic 4" w:locked="1"/>
    <w:lsdException w:unhideWhenUsed="0" w:uiPriority="0" w:semiHidden="0" w:name="Table Colorful 1" w:locked="1"/>
    <w:lsdException w:unhideWhenUsed="0" w:uiPriority="0" w:semiHidden="0" w:name="Table Colorful 2" w:locked="1"/>
    <w:lsdException w:unhideWhenUsed="0" w:uiPriority="0" w:semiHidden="0" w:name="Table Colorful 3" w:locked="1"/>
    <w:lsdException w:unhideWhenUsed="0" w:uiPriority="0" w:semiHidden="0" w:name="Table Columns 1" w:locked="1"/>
    <w:lsdException w:unhideWhenUsed="0" w:uiPriority="0" w:semiHidden="0" w:name="Table Columns 2" w:locked="1"/>
    <w:lsdException w:unhideWhenUsed="0" w:uiPriority="0" w:semiHidden="0" w:name="Table Columns 3" w:locked="1"/>
    <w:lsdException w:unhideWhenUsed="0" w:uiPriority="0" w:semiHidden="0" w:name="Table Columns 4" w:locked="1"/>
    <w:lsdException w:unhideWhenUsed="0" w:uiPriority="0" w:semiHidden="0" w:name="Table Columns 5" w:locked="1"/>
    <w:lsdException w:unhideWhenUsed="0" w:uiPriority="0" w:semiHidden="0" w:name="Table Grid 1" w:locked="1"/>
    <w:lsdException w:unhideWhenUsed="0" w:uiPriority="0" w:semiHidden="0" w:name="Table Grid 2" w:locked="1"/>
    <w:lsdException w:unhideWhenUsed="0" w:uiPriority="0" w:semiHidden="0" w:name="Table Grid 3" w:locked="1"/>
    <w:lsdException w:unhideWhenUsed="0" w:uiPriority="0" w:semiHidden="0" w:name="Table Grid 4" w:locked="1"/>
    <w:lsdException w:unhideWhenUsed="0" w:uiPriority="0" w:semiHidden="0" w:name="Table Grid 5" w:locked="1"/>
    <w:lsdException w:unhideWhenUsed="0" w:uiPriority="0" w:semiHidden="0" w:name="Table Grid 6" w:locked="1"/>
    <w:lsdException w:unhideWhenUsed="0" w:uiPriority="0" w:semiHidden="0" w:name="Table Grid 7" w:locked="1"/>
    <w:lsdException w:unhideWhenUsed="0" w:uiPriority="0" w:semiHidden="0" w:name="Table Grid 8" w:locked="1"/>
    <w:lsdException w:unhideWhenUsed="0" w:uiPriority="0" w:semiHidden="0" w:name="Table List 1" w:locked="1"/>
    <w:lsdException w:unhideWhenUsed="0" w:uiPriority="0" w:semiHidden="0" w:name="Table List 2" w:locked="1"/>
    <w:lsdException w:unhideWhenUsed="0" w:uiPriority="0" w:semiHidden="0" w:name="Table List 3" w:locked="1"/>
    <w:lsdException w:unhideWhenUsed="0" w:uiPriority="0" w:semiHidden="0" w:name="Table List 4" w:locked="1"/>
    <w:lsdException w:unhideWhenUsed="0" w:uiPriority="0" w:semiHidden="0" w:name="Table List 5" w:locked="1"/>
    <w:lsdException w:unhideWhenUsed="0" w:uiPriority="0" w:semiHidden="0" w:name="Table List 6" w:locked="1"/>
    <w:lsdException w:unhideWhenUsed="0" w:uiPriority="0" w:semiHidden="0" w:name="Table List 7" w:locked="1"/>
    <w:lsdException w:unhideWhenUsed="0" w:uiPriority="0" w:semiHidden="0" w:name="Table List 8" w:locked="1"/>
    <w:lsdException w:unhideWhenUsed="0" w:uiPriority="0" w:semiHidden="0" w:name="Table 3D effects 1" w:locked="1"/>
    <w:lsdException w:unhideWhenUsed="0" w:uiPriority="0" w:semiHidden="0" w:name="Table 3D effects 2" w:locked="1"/>
    <w:lsdException w:unhideWhenUsed="0" w:uiPriority="0" w:semiHidden="0" w:name="Table 3D effects 3" w:locked="1"/>
    <w:lsdException w:unhideWhenUsed="0" w:uiPriority="0" w:semiHidden="0" w:name="Table Contemporary" w:locked="1"/>
    <w:lsdException w:unhideWhenUsed="0" w:uiPriority="0" w:semiHidden="0" w:name="Table Elegant" w:locked="1"/>
    <w:lsdException w:unhideWhenUsed="0" w:uiPriority="0" w:semiHidden="0" w:name="Table Professional" w:locked="1"/>
    <w:lsdException w:unhideWhenUsed="0" w:uiPriority="0" w:semiHidden="0" w:name="Table Subtle 1" w:locked="1"/>
    <w:lsdException w:unhideWhenUsed="0" w:uiPriority="0" w:semiHidden="0" w:name="Table Subtle 2" w:locked="1"/>
    <w:lsdException w:unhideWhenUsed="0" w:uiPriority="0" w:semiHidden="0" w:name="Table Web 1" w:locked="1"/>
    <w:lsdException w:unhideWhenUsed="0" w:uiPriority="0" w:semiHidden="0" w:name="Table Web 2" w:locked="1"/>
    <w:lsdException w:unhideWhenUsed="0" w:uiPriority="0" w:semiHidden="0" w:name="Table Web 3" w:locked="1"/>
    <w:lsdException w:qFormat="1" w:unhideWhenUsed="0" w:uiPriority="0" w:name="Balloon Text"/>
    <w:lsdException w:qFormat="1" w:unhideWhenUsed="0" w:uiPriority="0" w:semiHidden="0" w:name="Table Grid"/>
    <w:lsdException w:unhideWhenUsed="0" w:uiPriority="0" w:semiHidden="0"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autoSpaceDE w:val="0"/>
      <w:autoSpaceDN w:val="0"/>
      <w:spacing w:line="360" w:lineRule="auto"/>
      <w:ind w:firstLine="720" w:firstLineChars="200"/>
      <w:jc w:val="both"/>
    </w:pPr>
    <w:rPr>
      <w:rFonts w:ascii="Times New Roman" w:hAnsi="Times New Roman" w:eastAsia="宋体" w:cs="Times New Roman"/>
      <w:kern w:val="2"/>
      <w:sz w:val="21"/>
      <w:szCs w:val="24"/>
      <w:lang w:val="en-US" w:eastAsia="zh-CN" w:bidi="ar-SA"/>
    </w:rPr>
  </w:style>
  <w:style w:type="paragraph" w:styleId="3">
    <w:name w:val="heading 1"/>
    <w:basedOn w:val="1"/>
    <w:next w:val="1"/>
    <w:autoRedefine/>
    <w:qFormat/>
    <w:locked/>
    <w:uiPriority w:val="99"/>
    <w:pPr>
      <w:keepNext/>
      <w:overflowPunct w:val="0"/>
      <w:snapToGrid w:val="0"/>
      <w:spacing w:line="240" w:lineRule="auto"/>
      <w:ind w:left="0" w:firstLine="0" w:firstLineChars="0"/>
      <w:jc w:val="left"/>
      <w:outlineLvl w:val="0"/>
    </w:pPr>
    <w:rPr>
      <w:rFonts w:ascii="Times New Roman" w:hAnsi="Times New Roman" w:eastAsia="黑体"/>
      <w:b/>
      <w:bCs/>
      <w:color w:val="000000"/>
      <w:kern w:val="44"/>
      <w:sz w:val="21"/>
      <w:szCs w:val="30"/>
    </w:rPr>
  </w:style>
  <w:style w:type="paragraph" w:styleId="4">
    <w:name w:val="heading 2"/>
    <w:basedOn w:val="1"/>
    <w:next w:val="1"/>
    <w:autoRedefine/>
    <w:unhideWhenUsed/>
    <w:qFormat/>
    <w:locked/>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5">
    <w:name w:val="heading 3"/>
    <w:basedOn w:val="1"/>
    <w:next w:val="6"/>
    <w:autoRedefine/>
    <w:unhideWhenUsed/>
    <w:qFormat/>
    <w:locked/>
    <w:uiPriority w:val="0"/>
    <w:pPr>
      <w:keepNext/>
      <w:keepLines/>
      <w:ind w:firstLine="0" w:firstLineChars="0"/>
      <w:jc w:val="left"/>
      <w:outlineLvl w:val="2"/>
    </w:pPr>
    <w:rPr>
      <w:b/>
    </w:rPr>
  </w:style>
  <w:style w:type="character" w:default="1" w:styleId="25">
    <w:name w:val="Default Paragraph Font"/>
    <w:autoRedefine/>
    <w:semiHidden/>
    <w:qFormat/>
    <w:uiPriority w:val="0"/>
  </w:style>
  <w:style w:type="table" w:default="1" w:styleId="23">
    <w:name w:val="Normal Table"/>
    <w:autoRedefine/>
    <w:semiHidden/>
    <w:qFormat/>
    <w:uiPriority w:val="0"/>
    <w:tblPr>
      <w:tblCellMar>
        <w:top w:w="0" w:type="dxa"/>
        <w:left w:w="108" w:type="dxa"/>
        <w:bottom w:w="0" w:type="dxa"/>
        <w:right w:w="108" w:type="dxa"/>
      </w:tblCellMar>
    </w:tblPr>
  </w:style>
  <w:style w:type="paragraph" w:styleId="2">
    <w:name w:val="Body Text 2"/>
    <w:basedOn w:val="1"/>
    <w:next w:val="1"/>
    <w:autoRedefine/>
    <w:qFormat/>
    <w:locked/>
    <w:uiPriority w:val="0"/>
    <w:pPr>
      <w:spacing w:after="120" w:line="480" w:lineRule="auto"/>
    </w:pPr>
  </w:style>
  <w:style w:type="paragraph" w:customStyle="1" w:styleId="6">
    <w:name w:val="报告正文"/>
    <w:autoRedefine/>
    <w:qFormat/>
    <w:uiPriority w:val="1"/>
    <w:pPr>
      <w:widowControl w:val="0"/>
      <w:spacing w:line="360" w:lineRule="auto"/>
      <w:ind w:firstLine="200" w:firstLineChars="200"/>
      <w:jc w:val="both"/>
    </w:pPr>
    <w:rPr>
      <w:rFonts w:ascii="Times New Roman" w:hAnsi="Times New Roman" w:eastAsia="宋体" w:cs="Times New Roman"/>
      <w:kern w:val="2"/>
      <w:sz w:val="24"/>
      <w:szCs w:val="22"/>
      <w:lang w:val="en-US" w:eastAsia="zh-CN" w:bidi="ar-SA"/>
    </w:rPr>
  </w:style>
  <w:style w:type="paragraph" w:styleId="7">
    <w:name w:val="Normal Indent"/>
    <w:basedOn w:val="1"/>
    <w:next w:val="8"/>
    <w:autoRedefine/>
    <w:qFormat/>
    <w:locked/>
    <w:uiPriority w:val="0"/>
    <w:pPr>
      <w:ind w:firstLine="420" w:firstLineChars="200"/>
    </w:pPr>
  </w:style>
  <w:style w:type="paragraph" w:styleId="8">
    <w:name w:val="Body Text First Indent 2"/>
    <w:basedOn w:val="1"/>
    <w:next w:val="1"/>
    <w:autoRedefine/>
    <w:qFormat/>
    <w:locked/>
    <w:uiPriority w:val="0"/>
    <w:pPr>
      <w:spacing w:after="120" w:afterLines="0" w:line="240" w:lineRule="auto"/>
      <w:ind w:left="420" w:leftChars="200" w:firstLine="420" w:firstLineChars="200"/>
    </w:pPr>
    <w:rPr>
      <w:sz w:val="21"/>
      <w:szCs w:val="24"/>
    </w:rPr>
  </w:style>
  <w:style w:type="paragraph" w:styleId="9">
    <w:name w:val="annotation text"/>
    <w:basedOn w:val="1"/>
    <w:link w:val="33"/>
    <w:autoRedefine/>
    <w:semiHidden/>
    <w:qFormat/>
    <w:uiPriority w:val="0"/>
    <w:pPr>
      <w:jc w:val="left"/>
    </w:pPr>
    <w:rPr>
      <w:kern w:val="0"/>
      <w:sz w:val="24"/>
      <w:szCs w:val="20"/>
    </w:rPr>
  </w:style>
  <w:style w:type="paragraph" w:styleId="10">
    <w:name w:val="Body Text"/>
    <w:basedOn w:val="1"/>
    <w:link w:val="34"/>
    <w:autoRedefine/>
    <w:qFormat/>
    <w:uiPriority w:val="0"/>
    <w:pPr>
      <w:widowControl/>
      <w:snapToGrid w:val="0"/>
      <w:spacing w:before="60" w:after="160" w:line="259" w:lineRule="auto"/>
      <w:ind w:right="113"/>
    </w:pPr>
    <w:rPr>
      <w:kern w:val="0"/>
      <w:sz w:val="18"/>
      <w:szCs w:val="20"/>
    </w:rPr>
  </w:style>
  <w:style w:type="paragraph" w:styleId="11">
    <w:name w:val="Body Text Indent"/>
    <w:basedOn w:val="1"/>
    <w:next w:val="1"/>
    <w:link w:val="35"/>
    <w:autoRedefine/>
    <w:qFormat/>
    <w:uiPriority w:val="0"/>
    <w:pPr>
      <w:spacing w:after="120"/>
      <w:ind w:left="420" w:leftChars="200"/>
    </w:pPr>
    <w:rPr>
      <w:kern w:val="0"/>
      <w:sz w:val="24"/>
      <w:szCs w:val="20"/>
    </w:rPr>
  </w:style>
  <w:style w:type="paragraph" w:styleId="12">
    <w:name w:val="Plain Text"/>
    <w:basedOn w:val="1"/>
    <w:next w:val="13"/>
    <w:autoRedefine/>
    <w:qFormat/>
    <w:locked/>
    <w:uiPriority w:val="0"/>
    <w:pPr>
      <w:widowControl w:val="0"/>
      <w:adjustRightInd w:val="0"/>
      <w:snapToGrid w:val="0"/>
      <w:spacing w:after="0" w:line="360" w:lineRule="auto"/>
      <w:ind w:left="0" w:right="0" w:firstLine="0"/>
      <w:jc w:val="both"/>
    </w:pPr>
    <w:rPr>
      <w:rFonts w:ascii="Times New Roman" w:hAnsi="Times New Roman" w:eastAsia="仿宋" w:cs="Times New Roman"/>
      <w:color w:val="auto"/>
      <w:szCs w:val="20"/>
    </w:rPr>
  </w:style>
  <w:style w:type="paragraph" w:styleId="13">
    <w:name w:val="footer"/>
    <w:basedOn w:val="1"/>
    <w:next w:val="1"/>
    <w:link w:val="38"/>
    <w:autoRedefine/>
    <w:qFormat/>
    <w:uiPriority w:val="99"/>
    <w:pPr>
      <w:tabs>
        <w:tab w:val="center" w:pos="4153"/>
        <w:tab w:val="right" w:pos="8306"/>
      </w:tabs>
      <w:snapToGrid w:val="0"/>
      <w:jc w:val="left"/>
    </w:pPr>
    <w:rPr>
      <w:kern w:val="0"/>
      <w:sz w:val="18"/>
      <w:szCs w:val="20"/>
    </w:rPr>
  </w:style>
  <w:style w:type="paragraph" w:styleId="14">
    <w:name w:val="Date"/>
    <w:basedOn w:val="1"/>
    <w:next w:val="1"/>
    <w:link w:val="36"/>
    <w:autoRedefine/>
    <w:qFormat/>
    <w:uiPriority w:val="0"/>
    <w:pPr>
      <w:ind w:left="100" w:leftChars="2500"/>
    </w:pPr>
    <w:rPr>
      <w:kern w:val="0"/>
      <w:sz w:val="24"/>
      <w:szCs w:val="20"/>
    </w:rPr>
  </w:style>
  <w:style w:type="paragraph" w:styleId="15">
    <w:name w:val="Body Text Indent 2"/>
    <w:basedOn w:val="1"/>
    <w:next w:val="16"/>
    <w:autoRedefine/>
    <w:qFormat/>
    <w:locked/>
    <w:uiPriority w:val="0"/>
    <w:pPr>
      <w:spacing w:after="120" w:line="480" w:lineRule="auto"/>
      <w:ind w:left="420" w:leftChars="200"/>
    </w:pPr>
  </w:style>
  <w:style w:type="paragraph" w:customStyle="1" w:styleId="16">
    <w:name w:val="表格文字"/>
    <w:basedOn w:val="7"/>
    <w:next w:val="1"/>
    <w:autoRedefine/>
    <w:qFormat/>
    <w:uiPriority w:val="0"/>
    <w:pPr>
      <w:adjustRightInd w:val="0"/>
      <w:spacing w:before="50" w:beforeLines="50" w:after="50" w:afterLines="50" w:line="420" w:lineRule="atLeast"/>
      <w:ind w:firstLine="640"/>
      <w:jc w:val="left"/>
      <w:textAlignment w:val="baseline"/>
    </w:pPr>
    <w:rPr>
      <w:rFonts w:eastAsia="Calibri"/>
      <w:kern w:val="0"/>
      <w:sz w:val="28"/>
    </w:rPr>
  </w:style>
  <w:style w:type="paragraph" w:styleId="17">
    <w:name w:val="Balloon Text"/>
    <w:basedOn w:val="1"/>
    <w:link w:val="37"/>
    <w:autoRedefine/>
    <w:semiHidden/>
    <w:qFormat/>
    <w:uiPriority w:val="0"/>
    <w:rPr>
      <w:kern w:val="0"/>
      <w:sz w:val="18"/>
      <w:szCs w:val="20"/>
    </w:rPr>
  </w:style>
  <w:style w:type="paragraph" w:styleId="18">
    <w:name w:val="header"/>
    <w:basedOn w:val="1"/>
    <w:link w:val="39"/>
    <w:autoRedefine/>
    <w:qFormat/>
    <w:uiPriority w:val="0"/>
    <w:pPr>
      <w:pBdr>
        <w:bottom w:val="single" w:color="auto" w:sz="6" w:space="1"/>
      </w:pBdr>
      <w:tabs>
        <w:tab w:val="center" w:pos="4153"/>
        <w:tab w:val="right" w:pos="8306"/>
      </w:tabs>
      <w:snapToGrid w:val="0"/>
      <w:jc w:val="center"/>
    </w:pPr>
    <w:rPr>
      <w:kern w:val="0"/>
      <w:sz w:val="18"/>
      <w:szCs w:val="20"/>
    </w:rPr>
  </w:style>
  <w:style w:type="paragraph" w:styleId="19">
    <w:name w:val="toc 1"/>
    <w:basedOn w:val="1"/>
    <w:next w:val="1"/>
    <w:autoRedefine/>
    <w:qFormat/>
    <w:locked/>
    <w:uiPriority w:val="39"/>
    <w:pPr>
      <w:widowControl w:val="0"/>
      <w:spacing w:before="240" w:after="120" w:line="360" w:lineRule="auto"/>
      <w:ind w:left="0" w:right="0" w:firstLine="0"/>
    </w:pPr>
    <w:rPr>
      <w:rFonts w:ascii="Times New Roman" w:hAnsi="Times New Roman" w:eastAsia="仿宋" w:cs="Times New Roman"/>
      <w:b/>
      <w:bCs/>
      <w:caps/>
      <w:color w:val="auto"/>
      <w:szCs w:val="20"/>
    </w:rPr>
  </w:style>
  <w:style w:type="paragraph" w:styleId="20">
    <w:name w:val="Normal (Web)"/>
    <w:basedOn w:val="1"/>
    <w:link w:val="40"/>
    <w:autoRedefine/>
    <w:qFormat/>
    <w:uiPriority w:val="0"/>
    <w:pPr>
      <w:widowControl/>
      <w:spacing w:before="100" w:beforeAutospacing="1" w:after="100" w:afterAutospacing="1"/>
      <w:jc w:val="left"/>
    </w:pPr>
    <w:rPr>
      <w:rFonts w:ascii="宋体" w:hAnsi="宋体"/>
      <w:kern w:val="0"/>
      <w:sz w:val="24"/>
      <w:szCs w:val="20"/>
    </w:rPr>
  </w:style>
  <w:style w:type="paragraph" w:styleId="21">
    <w:name w:val="annotation subject"/>
    <w:basedOn w:val="9"/>
    <w:next w:val="9"/>
    <w:link w:val="41"/>
    <w:autoRedefine/>
    <w:semiHidden/>
    <w:qFormat/>
    <w:uiPriority w:val="0"/>
    <w:rPr>
      <w:b/>
      <w:sz w:val="24"/>
      <w:szCs w:val="20"/>
    </w:rPr>
  </w:style>
  <w:style w:type="paragraph" w:styleId="22">
    <w:name w:val="Body Text First Indent"/>
    <w:basedOn w:val="10"/>
    <w:next w:val="1"/>
    <w:autoRedefine/>
    <w:qFormat/>
    <w:locked/>
    <w:uiPriority w:val="0"/>
    <w:pPr>
      <w:ind w:firstLine="420" w:firstLineChars="100"/>
    </w:pPr>
  </w:style>
  <w:style w:type="table" w:styleId="24">
    <w:name w:val="Table Grid"/>
    <w:basedOn w:val="23"/>
    <w:autoRedefine/>
    <w:qFormat/>
    <w:uiPriority w:val="0"/>
    <w:rPr>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6">
    <w:name w:val="page number"/>
    <w:basedOn w:val="25"/>
    <w:autoRedefine/>
    <w:qFormat/>
    <w:locked/>
    <w:uiPriority w:val="0"/>
  </w:style>
  <w:style w:type="character" w:styleId="27">
    <w:name w:val="Hyperlink"/>
    <w:basedOn w:val="25"/>
    <w:autoRedefine/>
    <w:qFormat/>
    <w:locked/>
    <w:uiPriority w:val="0"/>
    <w:rPr>
      <w:color w:val="0000FF"/>
      <w:u w:val="single"/>
    </w:rPr>
  </w:style>
  <w:style w:type="character" w:styleId="28">
    <w:name w:val="annotation reference"/>
    <w:autoRedefine/>
    <w:semiHidden/>
    <w:qFormat/>
    <w:uiPriority w:val="0"/>
    <w:rPr>
      <w:sz w:val="21"/>
    </w:rPr>
  </w:style>
  <w:style w:type="paragraph" w:customStyle="1" w:styleId="29">
    <w:name w:val="Default"/>
    <w:basedOn w:val="30"/>
    <w:autoRedefine/>
    <w:unhideWhenUsed/>
    <w:qFormat/>
    <w:uiPriority w:val="0"/>
    <w:pPr>
      <w:autoSpaceDE w:val="0"/>
      <w:autoSpaceDN w:val="0"/>
      <w:adjustRightInd w:val="0"/>
      <w:textAlignment w:val="baseline"/>
    </w:pPr>
    <w:rPr>
      <w:rFonts w:ascii="宋体" w:hAnsi="宋体"/>
      <w:color w:val="000000"/>
      <w:sz w:val="24"/>
      <w:szCs w:val="20"/>
    </w:rPr>
  </w:style>
  <w:style w:type="paragraph" w:customStyle="1" w:styleId="30">
    <w:name w:val="纯文本1"/>
    <w:basedOn w:val="1"/>
    <w:autoRedefine/>
    <w:qFormat/>
    <w:uiPriority w:val="0"/>
    <w:rPr>
      <w:rFonts w:hint="eastAsia" w:ascii="宋体" w:hAnsi="Courier New"/>
      <w:szCs w:val="22"/>
    </w:rPr>
  </w:style>
  <w:style w:type="paragraph" w:customStyle="1" w:styleId="31">
    <w:name w:val="A样式 小四 行距: 1.5 倍行距 首行缩进:  2 字符"/>
    <w:basedOn w:val="1"/>
    <w:autoRedefine/>
    <w:qFormat/>
    <w:uiPriority w:val="0"/>
    <w:pPr>
      <w:ind w:firstLine="480"/>
    </w:pPr>
    <w:rPr>
      <w:rFonts w:cs="宋体"/>
      <w:szCs w:val="22"/>
    </w:rPr>
  </w:style>
  <w:style w:type="paragraph" w:customStyle="1" w:styleId="32">
    <w:name w:val="样式 正文文本缩进 + 行距: 1.5 倍行距"/>
    <w:basedOn w:val="1"/>
    <w:autoRedefine/>
    <w:qFormat/>
    <w:uiPriority w:val="0"/>
    <w:pPr>
      <w:spacing w:after="120" w:line="360" w:lineRule="auto"/>
      <w:ind w:left="90" w:leftChars="32" w:firstLine="560" w:firstLineChars="200"/>
    </w:pPr>
    <w:rPr>
      <w:rFonts w:cs="宋体"/>
      <w:sz w:val="24"/>
    </w:rPr>
  </w:style>
  <w:style w:type="character" w:customStyle="1" w:styleId="33">
    <w:name w:val="批注文字 Char"/>
    <w:link w:val="9"/>
    <w:autoRedefine/>
    <w:qFormat/>
    <w:locked/>
    <w:uiPriority w:val="0"/>
    <w:rPr>
      <w:rFonts w:ascii="Times New Roman" w:hAnsi="Times New Roman" w:eastAsia="宋体"/>
      <w:sz w:val="24"/>
    </w:rPr>
  </w:style>
  <w:style w:type="character" w:customStyle="1" w:styleId="34">
    <w:name w:val="正文文本 Char"/>
    <w:link w:val="10"/>
    <w:autoRedefine/>
    <w:qFormat/>
    <w:locked/>
    <w:uiPriority w:val="0"/>
    <w:rPr>
      <w:sz w:val="18"/>
    </w:rPr>
  </w:style>
  <w:style w:type="character" w:customStyle="1" w:styleId="35">
    <w:name w:val="正文文本缩进 Char"/>
    <w:link w:val="11"/>
    <w:autoRedefine/>
    <w:semiHidden/>
    <w:qFormat/>
    <w:locked/>
    <w:uiPriority w:val="0"/>
    <w:rPr>
      <w:rFonts w:ascii="Times New Roman" w:hAnsi="Times New Roman" w:eastAsia="宋体"/>
      <w:sz w:val="24"/>
    </w:rPr>
  </w:style>
  <w:style w:type="character" w:customStyle="1" w:styleId="36">
    <w:name w:val="日期 Char"/>
    <w:link w:val="14"/>
    <w:autoRedefine/>
    <w:qFormat/>
    <w:locked/>
    <w:uiPriority w:val="0"/>
    <w:rPr>
      <w:rFonts w:ascii="Times New Roman" w:hAnsi="Times New Roman" w:eastAsia="宋体"/>
      <w:sz w:val="24"/>
    </w:rPr>
  </w:style>
  <w:style w:type="character" w:customStyle="1" w:styleId="37">
    <w:name w:val="批注框文本 Char"/>
    <w:link w:val="17"/>
    <w:autoRedefine/>
    <w:semiHidden/>
    <w:qFormat/>
    <w:locked/>
    <w:uiPriority w:val="0"/>
    <w:rPr>
      <w:rFonts w:ascii="Times New Roman" w:hAnsi="Times New Roman" w:eastAsia="宋体"/>
      <w:sz w:val="18"/>
    </w:rPr>
  </w:style>
  <w:style w:type="character" w:customStyle="1" w:styleId="38">
    <w:name w:val="页脚 Char"/>
    <w:link w:val="13"/>
    <w:autoRedefine/>
    <w:qFormat/>
    <w:locked/>
    <w:uiPriority w:val="99"/>
    <w:rPr>
      <w:sz w:val="18"/>
    </w:rPr>
  </w:style>
  <w:style w:type="character" w:customStyle="1" w:styleId="39">
    <w:name w:val="页眉 Char"/>
    <w:link w:val="18"/>
    <w:autoRedefine/>
    <w:qFormat/>
    <w:locked/>
    <w:uiPriority w:val="0"/>
    <w:rPr>
      <w:sz w:val="18"/>
    </w:rPr>
  </w:style>
  <w:style w:type="character" w:customStyle="1" w:styleId="40">
    <w:name w:val="普通(网站) Char"/>
    <w:link w:val="20"/>
    <w:autoRedefine/>
    <w:qFormat/>
    <w:locked/>
    <w:uiPriority w:val="0"/>
    <w:rPr>
      <w:rFonts w:ascii="宋体" w:hAnsi="宋体" w:eastAsia="宋体"/>
      <w:sz w:val="24"/>
    </w:rPr>
  </w:style>
  <w:style w:type="character" w:customStyle="1" w:styleId="41">
    <w:name w:val="批注主题 Char"/>
    <w:link w:val="21"/>
    <w:autoRedefine/>
    <w:semiHidden/>
    <w:qFormat/>
    <w:locked/>
    <w:uiPriority w:val="0"/>
    <w:rPr>
      <w:rFonts w:ascii="Times New Roman" w:hAnsi="Times New Roman" w:eastAsia="宋体"/>
      <w:b/>
      <w:kern w:val="2"/>
      <w:sz w:val="24"/>
    </w:rPr>
  </w:style>
  <w:style w:type="character" w:customStyle="1" w:styleId="42">
    <w:name w:val="页脚 字符"/>
    <w:basedOn w:val="25"/>
    <w:autoRedefine/>
    <w:qFormat/>
    <w:uiPriority w:val="99"/>
  </w:style>
  <w:style w:type="character" w:customStyle="1" w:styleId="43">
    <w:name w:val="正文文本 字符1"/>
    <w:autoRedefine/>
    <w:semiHidden/>
    <w:qFormat/>
    <w:uiPriority w:val="0"/>
    <w:rPr>
      <w:rFonts w:ascii="Times New Roman" w:hAnsi="Times New Roman" w:eastAsia="宋体"/>
      <w:sz w:val="24"/>
    </w:rPr>
  </w:style>
  <w:style w:type="character" w:customStyle="1" w:styleId="44">
    <w:name w:val="表格 Char"/>
    <w:link w:val="45"/>
    <w:autoRedefine/>
    <w:qFormat/>
    <w:locked/>
    <w:uiPriority w:val="0"/>
    <w:rPr>
      <w:rFonts w:ascii="宋体"/>
      <w:sz w:val="21"/>
    </w:rPr>
  </w:style>
  <w:style w:type="paragraph" w:customStyle="1" w:styleId="45">
    <w:name w:val="表格"/>
    <w:basedOn w:val="1"/>
    <w:next w:val="1"/>
    <w:link w:val="44"/>
    <w:autoRedefine/>
    <w:qFormat/>
    <w:uiPriority w:val="0"/>
    <w:pPr>
      <w:adjustRightInd w:val="0"/>
      <w:snapToGrid w:val="0"/>
      <w:spacing w:beforeLines="10" w:afterLines="10" w:line="259" w:lineRule="auto"/>
      <w:jc w:val="center"/>
    </w:pPr>
    <w:rPr>
      <w:rFonts w:ascii="宋体"/>
      <w:kern w:val="0"/>
      <w:szCs w:val="20"/>
    </w:rPr>
  </w:style>
  <w:style w:type="character" w:customStyle="1" w:styleId="46">
    <w:name w:val="日期 字符"/>
    <w:autoRedefine/>
    <w:semiHidden/>
    <w:qFormat/>
    <w:uiPriority w:val="0"/>
    <w:rPr>
      <w:rFonts w:ascii="Times New Roman" w:hAnsi="Times New Roman" w:eastAsia="宋体"/>
      <w:sz w:val="24"/>
    </w:rPr>
  </w:style>
  <w:style w:type="character" w:customStyle="1" w:styleId="47">
    <w:name w:val="批注文字 字符1"/>
    <w:autoRedefine/>
    <w:semiHidden/>
    <w:qFormat/>
    <w:uiPriority w:val="0"/>
    <w:rPr>
      <w:rFonts w:ascii="Times New Roman" w:hAnsi="Times New Roman" w:eastAsia="宋体"/>
      <w:sz w:val="24"/>
    </w:rPr>
  </w:style>
  <w:style w:type="paragraph" w:customStyle="1" w:styleId="48">
    <w:name w:val="正文_10"/>
    <w:autoRedefine/>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9">
    <w:name w:val="普通(网站)2"/>
    <w:basedOn w:val="1"/>
    <w:autoRedefine/>
    <w:qFormat/>
    <w:uiPriority w:val="0"/>
    <w:pPr>
      <w:widowControl/>
      <w:spacing w:before="100" w:beforeAutospacing="1" w:after="100" w:afterAutospacing="1"/>
      <w:jc w:val="left"/>
    </w:pPr>
    <w:rPr>
      <w:rFonts w:ascii="宋体" w:hAnsi="宋体"/>
      <w:sz w:val="24"/>
      <w:szCs w:val="20"/>
    </w:rPr>
  </w:style>
  <w:style w:type="paragraph" w:customStyle="1" w:styleId="50">
    <w:name w:val="Table Text"/>
    <w:basedOn w:val="1"/>
    <w:autoRedefine/>
    <w:semiHidden/>
    <w:qFormat/>
    <w:uiPriority w:val="0"/>
    <w:rPr>
      <w:rFonts w:ascii="宋体" w:hAnsi="宋体" w:eastAsia="宋体" w:cs="宋体"/>
      <w:sz w:val="24"/>
      <w:szCs w:val="24"/>
      <w:lang w:val="en-US" w:eastAsia="en-US" w:bidi="ar-SA"/>
    </w:rPr>
  </w:style>
  <w:style w:type="table" w:customStyle="1" w:styleId="51">
    <w:name w:val="Table Normal"/>
    <w:autoRedefine/>
    <w:semiHidden/>
    <w:unhideWhenUsed/>
    <w:qFormat/>
    <w:uiPriority w:val="0"/>
    <w:tblPr>
      <w:tblCellMar>
        <w:top w:w="0" w:type="dxa"/>
        <w:left w:w="0" w:type="dxa"/>
        <w:bottom w:w="0" w:type="dxa"/>
        <w:right w:w="0" w:type="dxa"/>
      </w:tblCellMar>
    </w:tblPr>
  </w:style>
  <w:style w:type="paragraph" w:customStyle="1" w:styleId="52">
    <w:name w:val="样式 样式 样式 四号 左侧:  1.53 厘米 + 首行缩进:  2 字符 + 居中 左侧:  2 字符 首行缩进:  2..."/>
    <w:basedOn w:val="53"/>
    <w:autoRedefine/>
    <w:qFormat/>
    <w:uiPriority w:val="0"/>
    <w:pPr>
      <w:jc w:val="center"/>
    </w:pPr>
  </w:style>
  <w:style w:type="paragraph" w:customStyle="1" w:styleId="53">
    <w:name w:val="样式 样式 四号 左侧:  1.53 厘米 + 首行缩进:  2 字符"/>
    <w:basedOn w:val="54"/>
    <w:autoRedefine/>
    <w:qFormat/>
    <w:uiPriority w:val="0"/>
    <w:pPr>
      <w:ind w:left="200" w:leftChars="200"/>
    </w:pPr>
    <w:rPr>
      <w:szCs w:val="20"/>
    </w:rPr>
  </w:style>
  <w:style w:type="paragraph" w:customStyle="1" w:styleId="54">
    <w:name w:val="样式 四号 左侧:  1.53 厘米"/>
    <w:basedOn w:val="1"/>
    <w:autoRedefine/>
    <w:qFormat/>
    <w:uiPriority w:val="0"/>
    <w:pPr>
      <w:adjustRightInd w:val="0"/>
    </w:pPr>
    <w:rPr>
      <w:w w:val="90"/>
      <w:sz w:val="28"/>
      <w:szCs w:val="28"/>
    </w:rPr>
  </w:style>
  <w:style w:type="paragraph" w:customStyle="1" w:styleId="55">
    <w:name w:val="Table Paragraph"/>
    <w:basedOn w:val="1"/>
    <w:autoRedefine/>
    <w:qFormat/>
    <w:uiPriority w:val="1"/>
    <w:rPr>
      <w:rFonts w:ascii="Times New Roman" w:hAnsi="Times New Roman" w:eastAsia="Times New Roman" w:cs="Times New Roman"/>
      <w:lang w:val="en-US" w:eastAsia="zh-CN" w:bidi="ar-SA"/>
    </w:rPr>
  </w:style>
  <w:style w:type="paragraph" w:customStyle="1" w:styleId="56">
    <w:name w:val="正文缩进1"/>
    <w:basedOn w:val="1"/>
    <w:autoRedefine/>
    <w:qFormat/>
    <w:uiPriority w:val="0"/>
    <w:pPr>
      <w:ind w:firstLine="420"/>
    </w:pPr>
    <w:rPr>
      <w:szCs w:val="20"/>
    </w:rPr>
  </w:style>
  <w:style w:type="paragraph" w:customStyle="1" w:styleId="57">
    <w:name w:val="+正文"/>
    <w:basedOn w:val="1"/>
    <w:autoRedefine/>
    <w:qFormat/>
    <w:uiPriority w:val="0"/>
    <w:pPr>
      <w:spacing w:line="360" w:lineRule="auto"/>
      <w:ind w:firstLine="200" w:firstLineChars="200"/>
    </w:pPr>
    <w:rPr>
      <w:szCs w:val="28"/>
    </w:rPr>
  </w:style>
  <w:style w:type="paragraph" w:customStyle="1" w:styleId="58">
    <w:name w:val="正文文本 (17)"/>
    <w:basedOn w:val="1"/>
    <w:autoRedefine/>
    <w:qFormat/>
    <w:uiPriority w:val="0"/>
    <w:pPr>
      <w:shd w:val="clear" w:color="auto" w:fill="FFFFFF"/>
      <w:spacing w:after="120" w:line="510" w:lineRule="exact"/>
      <w:ind w:firstLine="620"/>
      <w:jc w:val="distribute"/>
    </w:pPr>
    <w:rPr>
      <w:rFonts w:ascii="MingLiU" w:hAnsi="MingLiU" w:eastAsia="MingLiU" w:cs="MingLiU"/>
      <w:sz w:val="30"/>
      <w:szCs w:val="30"/>
    </w:rPr>
  </w:style>
  <w:style w:type="paragraph" w:customStyle="1" w:styleId="59">
    <w:name w:val="列出段落1"/>
    <w:basedOn w:val="1"/>
    <w:autoRedefine/>
    <w:qFormat/>
    <w:uiPriority w:val="0"/>
    <w:pPr>
      <w:autoSpaceDE w:val="0"/>
      <w:autoSpaceDN w:val="0"/>
      <w:ind w:left="213" w:hanging="602"/>
      <w:jc w:val="left"/>
    </w:pPr>
    <w:rPr>
      <w:rFonts w:ascii="宋体" w:hAnsi="宋体"/>
      <w:kern w:val="0"/>
      <w:sz w:val="22"/>
      <w:szCs w:val="22"/>
    </w:rPr>
  </w:style>
  <w:style w:type="paragraph" w:customStyle="1" w:styleId="60">
    <w:name w:val="样式 首行缩进:  2 字符"/>
    <w:basedOn w:val="1"/>
    <w:autoRedefine/>
    <w:qFormat/>
    <w:uiPriority w:val="0"/>
    <w:pPr>
      <w:spacing w:line="440" w:lineRule="exact"/>
      <w:ind w:firstLine="200"/>
    </w:pPr>
    <w:rPr>
      <w:rFonts w:cs="宋体"/>
    </w:rPr>
  </w:style>
  <w:style w:type="paragraph" w:customStyle="1" w:styleId="61">
    <w:name w:val="表文字"/>
    <w:autoRedefine/>
    <w:qFormat/>
    <w:uiPriority w:val="0"/>
    <w:pPr>
      <w:widowControl w:val="0"/>
      <w:adjustRightInd w:val="0"/>
      <w:snapToGrid w:val="0"/>
      <w:spacing w:line="270" w:lineRule="exact"/>
      <w:ind w:left="57" w:right="57"/>
      <w:jc w:val="center"/>
    </w:pPr>
    <w:rPr>
      <w:rFonts w:ascii="Times New Roman" w:hAnsi="Times New Roman" w:eastAsia="宋体" w:cs="Times New Roman"/>
      <w:kern w:val="18"/>
      <w:sz w:val="18"/>
      <w:szCs w:val="20"/>
      <w:lang w:val="en-GB"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9" Type="http://schemas.openxmlformats.org/officeDocument/2006/relationships/fontTable" Target="fontTable.xml"/><Relationship Id="rId28" Type="http://schemas.openxmlformats.org/officeDocument/2006/relationships/customXml" Target="../customXml/item1.xml"/><Relationship Id="rId27" Type="http://schemas.openxmlformats.org/officeDocument/2006/relationships/image" Target="media/image12.png"/><Relationship Id="rId26" Type="http://schemas.openxmlformats.org/officeDocument/2006/relationships/image" Target="media/image11.png"/><Relationship Id="rId25" Type="http://schemas.openxmlformats.org/officeDocument/2006/relationships/image" Target="media/image10.png"/><Relationship Id="rId24" Type="http://schemas.openxmlformats.org/officeDocument/2006/relationships/image" Target="media/image9.png"/><Relationship Id="rId23" Type="http://schemas.openxmlformats.org/officeDocument/2006/relationships/image" Target="media/image8.png"/><Relationship Id="rId22" Type="http://schemas.openxmlformats.org/officeDocument/2006/relationships/image" Target="media/image7.png"/><Relationship Id="rId21" Type="http://schemas.openxmlformats.org/officeDocument/2006/relationships/image" Target="media/image6.png"/><Relationship Id="rId20" Type="http://schemas.openxmlformats.org/officeDocument/2006/relationships/image" Target="media/image5.png"/><Relationship Id="rId2" Type="http://schemas.openxmlformats.org/officeDocument/2006/relationships/settings" Target="settings.xml"/><Relationship Id="rId19" Type="http://schemas.openxmlformats.org/officeDocument/2006/relationships/oleObject" Target="embeddings/oleObject3.bin"/><Relationship Id="rId18" Type="http://schemas.openxmlformats.org/officeDocument/2006/relationships/image" Target="media/image4.wmf"/><Relationship Id="rId17" Type="http://schemas.openxmlformats.org/officeDocument/2006/relationships/oleObject" Target="embeddings/oleObject2.bin"/><Relationship Id="rId16" Type="http://schemas.openxmlformats.org/officeDocument/2006/relationships/image" Target="media/image3.png"/><Relationship Id="rId15" Type="http://schemas.openxmlformats.org/officeDocument/2006/relationships/image" Target="media/image2.emf"/><Relationship Id="rId14" Type="http://schemas.openxmlformats.org/officeDocument/2006/relationships/oleObject" Target="embeddings/oleObject1.bin"/><Relationship Id="rId13" Type="http://schemas.openxmlformats.org/officeDocument/2006/relationships/image" Target="media/image1.png"/><Relationship Id="rId12" Type="http://schemas.openxmlformats.org/officeDocument/2006/relationships/theme" Target="theme/theme1.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dsoa\wdzx97.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extobjs>
    <extobj name="ECB019B1-382A-4266-B25C-5B523AA43C14-1">
      <extobjdata type="ECB019B1-382A-4266-B25C-5B523AA43C14" data="ewoJIkZpbGVJZCIgOiAiMjgwMTgzOTU1NzIwIiwKCSJHcm91cElkIiA6ICIxOTY1NTU4NTUiLAoJIkltYWdlIiA6ICJpVkJPUncwS0dnb0FBQUFOU1VoRVVnQUFBMUFBQUFJOUNBWUFBQUEwQnBrQkFBQUFBWE5TUjBJQXJzNGM2UUFBSUFCSlJFRlVlSnpzM1hsNEZFWDZCL0J2ZFU4bWt4T0NYQW9LcmlBUVNETGRXZGRqOGY2cEtLeXJnSXFpQ0I2SXVJSUhxeUt1cUtDSWloY2VJTjQzM2lpZ2lCZUMxMHFtSndPR3d5alJqWUtjZ2R6SmRMKy9Qekl6NXBoY0VraVE3K2Q1ZUdDNnE2dXJRMmVtMzZtcXR3Q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NBbHZ3dlNKcXJGeE5Kd29zQUFBQUFTVVZPUks1Q1lJST0iLAoJIlRoZW1lIiA6ICIiLAoJIlR5cGUiIDogImZsb3ciLAoJIlZlcnNpb24iIDogIiIKfQo="/>
    </extobj>
    <extobj name="ECB019B1-382A-4266-B25C-5B523AA43C14-2">
      <extobjdata type="ECB019B1-382A-4266-B25C-5B523AA43C14" data="ewoJIkZpbGVJZCIgOiAiMjc3NzE2MTU1NTg3IiwKCSJHcm91cElkIiA6ICIxOTY1NTU4NTUiLAoJIkltYWdlIiA6ICJpVkJPUncwS0dnb0FBQUFOU1VoRVVnQUFBZDRBQUFKZkNBWUFBQURSbXJjakFBQUFBWE5TUjBJQXJzNGM2UUFBSUFCSlJFRlVlSnpzM1hsNEZGWGFOdkQ3VkhVV1FoSVdFVlJBb2thRkNFbFhSV2R3VkVSSDNHQndBR2VZR1JBM1ZBVEVCUlhVMTBGMDFHRkVCd1FHY1JkUVVjRlJ4SjFoR1hIQjkwMVZKWUVBZmtFajRNSWVJVnVudSt2NS9pQWRrNUFBMmFxSnVYL1h4VVhYcVZQblBOVTB1Vk5MZHdO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M0U3Z3dkEwdnNJcTdNN0FNQUFBQUFTVVZPUks1Q1lJST0iLAoJIlRoZW1lIiA6ICIiLAoJIlR5cGUiIDogImZsb3ciLAoJIlZlcnNpb24iIDogIiIKfQo="/>
    </extobj>
  </extobj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wdzx97</Template>
  <Company>微软中国</Company>
  <Pages>54</Pages>
  <Words>31975</Words>
  <Characters>36402</Characters>
  <Lines>13</Lines>
  <Paragraphs>3</Paragraphs>
  <TotalTime>10</TotalTime>
  <ScaleCrop>false</ScaleCrop>
  <LinksUpToDate>false</LinksUpToDate>
  <CharactersWithSpaces>36402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2020-12-24T01:29:00Z</dcterms:created>
  <dc:creator>lhj</dc:creator>
  <cp:lastModifiedBy>唯有你</cp:lastModifiedBy>
  <cp:lastPrinted>2024-03-14T09:57:00Z</cp:lastPrinted>
  <dcterms:modified xsi:type="dcterms:W3CDTF">2026-07-27T08:27:54Z</dcterms:modified>
  <dc:title>附件2</dc:title>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8591075725A94A228206F870BEFB4BB5_13</vt:lpwstr>
  </property>
  <property fmtid="{D5CDD505-2E9C-101B-9397-08002B2CF9AE}" pid="4" name="KSOTemplateDocerSaveRecord">
    <vt:lpwstr>eyJoZGlkIjoiM2M1MzQ5YjJjYTY4ZmZjN2I1YmFhNzM4MjFjYTdlY2IiLCJ1c2VySWQiOiI2MDEyMTE3NDEifQ==</vt:lpwstr>
  </property>
</Properties>
</file>