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outlineLvl w:val="0"/>
        <w:rPr>
          <w:rFonts w:hint="eastAsia" w:ascii="方正小标宋_GBK" w:eastAsia="方正小标宋_GBK"/>
          <w:bCs/>
          <w:sz w:val="72"/>
          <w:szCs w:val="72"/>
        </w:rPr>
      </w:pPr>
    </w:p>
    <w:p>
      <w:pPr>
        <w:adjustRightInd w:val="0"/>
        <w:snapToGrid w:val="0"/>
        <w:jc w:val="center"/>
        <w:outlineLvl w:val="0"/>
        <w:rPr>
          <w:rFonts w:hint="eastAsia" w:ascii="方正小标宋_GBK" w:eastAsia="方正小标宋_GBK"/>
          <w:bCs/>
          <w:sz w:val="72"/>
          <w:szCs w:val="72"/>
        </w:rPr>
      </w:pPr>
      <w:r>
        <w:rPr>
          <w:rFonts w:hint="eastAsia" w:ascii="方正小标宋_GBK" w:eastAsia="方正小标宋_GBK"/>
          <w:bCs/>
          <w:sz w:val="72"/>
          <w:szCs w:val="72"/>
        </w:rPr>
        <w:t>建设项目环境影响报告表</w:t>
      </w:r>
    </w:p>
    <w:p>
      <w:pPr>
        <w:adjustRightInd w:val="0"/>
        <w:snapToGrid w:val="0"/>
        <w:spacing w:before="192" w:beforeLines="80"/>
        <w:jc w:val="center"/>
        <w:rPr>
          <w:rFonts w:hint="eastAsia" w:ascii="楷体_GB2312" w:eastAsia="楷体_GB2312"/>
          <w:bCs/>
          <w:sz w:val="48"/>
          <w:szCs w:val="48"/>
        </w:rPr>
      </w:pPr>
      <w:r>
        <w:rPr>
          <w:rFonts w:hint="eastAsia" w:ascii="楷体_GB2312" w:eastAsia="楷体_GB2312"/>
          <w:bCs/>
          <w:sz w:val="48"/>
          <w:szCs w:val="48"/>
          <w:lang w:eastAsia="zh-CN"/>
        </w:rPr>
        <w:t>（</w:t>
      </w:r>
      <w:r>
        <w:rPr>
          <w:rFonts w:hint="eastAsia" w:ascii="楷体_GB2312" w:eastAsia="楷体_GB2312"/>
          <w:bCs/>
          <w:sz w:val="48"/>
          <w:szCs w:val="48"/>
        </w:rPr>
        <w:t>生态影响类）</w:t>
      </w:r>
    </w:p>
    <w:p>
      <w:pPr>
        <w:adjustRightInd w:val="0"/>
        <w:snapToGrid w:val="0"/>
        <w:spacing w:line="288" w:lineRule="auto"/>
        <w:jc w:val="center"/>
        <w:outlineLvl w:val="9"/>
        <w:rPr>
          <w:rFonts w:ascii="华文仿宋" w:hAnsi="华文仿宋" w:eastAsia="华文仿宋" w:cs="华文仿宋"/>
          <w:color w:val="000000"/>
          <w:kern w:val="44"/>
          <w:sz w:val="44"/>
          <w:szCs w:val="44"/>
        </w:rPr>
      </w:pPr>
      <w:bookmarkStart w:id="0" w:name="_Hlk57883728"/>
    </w:p>
    <w:p>
      <w:pPr>
        <w:jc w:val="center"/>
        <w:rPr>
          <w:rFonts w:eastAsia="仿宋"/>
          <w:sz w:val="52"/>
          <w:szCs w:val="52"/>
        </w:rPr>
      </w:pPr>
    </w:p>
    <w:p>
      <w:pPr>
        <w:ind w:firstLine="1040"/>
        <w:rPr>
          <w:rFonts w:eastAsia="仿宋"/>
          <w:sz w:val="44"/>
          <w:szCs w:val="44"/>
        </w:rPr>
      </w:pPr>
    </w:p>
    <w:p>
      <w:pPr>
        <w:ind w:firstLine="1040"/>
        <w:rPr>
          <w:rFonts w:eastAsia="仿宋"/>
          <w:sz w:val="44"/>
          <w:szCs w:val="44"/>
        </w:rPr>
      </w:pPr>
    </w:p>
    <w:p>
      <w:pPr>
        <w:ind w:firstLine="1040"/>
        <w:rPr>
          <w:rFonts w:eastAsia="仿宋"/>
          <w:sz w:val="44"/>
          <w:szCs w:val="44"/>
        </w:rPr>
      </w:pPr>
    </w:p>
    <w:p>
      <w:pPr>
        <w:ind w:firstLine="1040"/>
        <w:rPr>
          <w:rFonts w:eastAsia="仿宋"/>
          <w:sz w:val="44"/>
          <w:szCs w:val="44"/>
        </w:rPr>
      </w:pPr>
    </w:p>
    <w:bookmarkEnd w:id="0"/>
    <w:p>
      <w:pPr>
        <w:adjustRightInd w:val="0"/>
        <w:snapToGrid w:val="0"/>
        <w:spacing w:line="288" w:lineRule="auto"/>
        <w:ind w:firstLine="1040"/>
        <w:rPr>
          <w:rFonts w:hint="eastAsia" w:ascii="仿宋_GB2312" w:eastAsia="仿宋_GB2312"/>
          <w:sz w:val="36"/>
          <w:szCs w:val="36"/>
          <w:u w:val="single"/>
        </w:rPr>
      </w:pPr>
      <w:r>
        <w:rPr>
          <w:rFonts w:hint="eastAsia" w:ascii="仿宋_GB2312" w:eastAsia="仿宋_GB2312"/>
          <w:sz w:val="36"/>
          <w:szCs w:val="36"/>
        </w:rPr>
        <w:t>项目名称：</w:t>
      </w:r>
      <w:r>
        <w:rPr>
          <w:rFonts w:hint="eastAsia" w:ascii="仿宋_GB2312" w:eastAsia="仿宋_GB2312"/>
          <w:sz w:val="36"/>
          <w:szCs w:val="36"/>
          <w:u w:val="single"/>
          <w:lang w:val="en-US" w:eastAsia="zh-CN"/>
        </w:rPr>
        <w:t>塔然高勒煤矿项目北部风井场地</w:t>
      </w:r>
    </w:p>
    <w:p>
      <w:pPr>
        <w:adjustRightInd w:val="0"/>
        <w:snapToGrid w:val="0"/>
        <w:spacing w:line="288" w:lineRule="auto"/>
        <w:ind w:firstLine="1040"/>
        <w:rPr>
          <w:rFonts w:hint="eastAsia" w:ascii="仿宋_GB2312" w:eastAsia="仿宋_GB2312"/>
          <w:sz w:val="36"/>
          <w:szCs w:val="36"/>
          <w:u w:val="single"/>
          <w:lang w:val="en-US" w:eastAsia="zh-CN"/>
        </w:rPr>
      </w:pPr>
      <w:r>
        <w:rPr>
          <w:rFonts w:hint="eastAsia" w:ascii="仿宋_GB2312" w:eastAsia="仿宋_GB2312"/>
          <w:sz w:val="36"/>
          <w:szCs w:val="36"/>
        </w:rPr>
        <w:t>建设单位</w:t>
      </w:r>
      <w:r>
        <w:rPr>
          <w:rFonts w:hint="eastAsia" w:ascii="仿宋_GB2312" w:eastAsia="仿宋_GB2312"/>
          <w:sz w:val="36"/>
          <w:szCs w:val="36"/>
          <w:lang w:eastAsia="zh-CN"/>
        </w:rPr>
        <w:t>（</w:t>
      </w:r>
      <w:r>
        <w:rPr>
          <w:rFonts w:hint="eastAsia" w:ascii="仿宋_GB2312" w:eastAsia="仿宋_GB2312"/>
          <w:sz w:val="36"/>
          <w:szCs w:val="36"/>
        </w:rPr>
        <w:t>盖章）：</w:t>
      </w:r>
      <w:r>
        <w:rPr>
          <w:rFonts w:hint="eastAsia" w:ascii="仿宋_GB2312" w:eastAsia="仿宋_GB2312"/>
          <w:sz w:val="36"/>
          <w:szCs w:val="36"/>
          <w:u w:val="single"/>
          <w:lang w:val="en-US" w:eastAsia="zh-CN"/>
        </w:rPr>
        <w:t>国家能源集团杭锦能源有限责</w:t>
      </w:r>
    </w:p>
    <w:p>
      <w:pPr>
        <w:adjustRightInd w:val="0"/>
        <w:snapToGrid w:val="0"/>
        <w:spacing w:line="288" w:lineRule="auto"/>
        <w:ind w:firstLine="4294" w:firstLineChars="1193"/>
        <w:rPr>
          <w:rFonts w:ascii="仿宋_GB2312" w:eastAsia="仿宋_GB2312"/>
          <w:sz w:val="36"/>
          <w:szCs w:val="36"/>
          <w:u w:val="single"/>
        </w:rPr>
      </w:pPr>
      <w:r>
        <w:rPr>
          <w:rFonts w:hint="eastAsia" w:ascii="仿宋_GB2312" w:eastAsia="仿宋_GB2312"/>
          <w:sz w:val="36"/>
          <w:szCs w:val="36"/>
          <w:u w:val="single"/>
          <w:lang w:val="en-US" w:eastAsia="zh-CN"/>
        </w:rPr>
        <w:t>任公司</w:t>
      </w:r>
    </w:p>
    <w:p>
      <w:pPr>
        <w:adjustRightInd w:val="0"/>
        <w:snapToGrid w:val="0"/>
        <w:spacing w:line="288" w:lineRule="auto"/>
        <w:ind w:firstLine="1040"/>
        <w:rPr>
          <w:rFonts w:hint="eastAsia" w:ascii="仿宋_GB2312" w:eastAsia="仿宋_GB2312"/>
          <w:sz w:val="36"/>
          <w:szCs w:val="36"/>
          <w:u w:val="single"/>
        </w:rPr>
      </w:pPr>
      <w:r>
        <w:rPr>
          <w:rFonts w:hint="eastAsia" w:ascii="仿宋_GB2312" w:eastAsia="仿宋_GB2312"/>
          <w:sz w:val="36"/>
          <w:szCs w:val="36"/>
        </w:rPr>
        <w:t>编制日期：</w:t>
      </w:r>
      <w:r>
        <w:rPr>
          <w:rFonts w:hint="eastAsia" w:ascii="仿宋_GB2312" w:eastAsia="仿宋_GB2312"/>
          <w:sz w:val="36"/>
          <w:szCs w:val="36"/>
          <w:u w:val="single"/>
          <w:lang w:val="en-US" w:eastAsia="zh-CN"/>
        </w:rPr>
        <w:t>2024年5月</w:t>
      </w:r>
    </w:p>
    <w:p>
      <w:pPr>
        <w:adjustRightInd w:val="0"/>
        <w:snapToGrid w:val="0"/>
        <w:spacing w:line="288" w:lineRule="auto"/>
        <w:ind w:firstLine="1040"/>
        <w:rPr>
          <w:rFonts w:ascii="仿宋_GB2312" w:eastAsia="仿宋_GB2312"/>
          <w:sz w:val="36"/>
          <w:szCs w:val="36"/>
          <w:u w:val="single"/>
        </w:rPr>
      </w:pPr>
    </w:p>
    <w:p>
      <w:pPr>
        <w:adjustRightInd w:val="0"/>
        <w:snapToGrid w:val="0"/>
        <w:spacing w:line="288" w:lineRule="auto"/>
        <w:ind w:firstLine="1040"/>
        <w:rPr>
          <w:rFonts w:ascii="仿宋_GB2312" w:eastAsia="仿宋_GB2312"/>
          <w:sz w:val="36"/>
          <w:szCs w:val="36"/>
        </w:rPr>
      </w:pPr>
    </w:p>
    <w:p>
      <w:pPr>
        <w:adjustRightInd w:val="0"/>
        <w:snapToGrid w:val="0"/>
        <w:spacing w:line="288" w:lineRule="auto"/>
        <w:ind w:firstLine="1040"/>
        <w:rPr>
          <w:rFonts w:ascii="仿宋_GB2312" w:eastAsia="仿宋_GB2312"/>
          <w:sz w:val="36"/>
          <w:szCs w:val="36"/>
        </w:rPr>
      </w:pPr>
    </w:p>
    <w:p>
      <w:pPr>
        <w:adjustRightInd w:val="0"/>
        <w:snapToGrid w:val="0"/>
        <w:spacing w:line="288" w:lineRule="auto"/>
        <w:ind w:firstLine="1040"/>
        <w:rPr>
          <w:rFonts w:hint="eastAsia" w:ascii="仿宋_GB2312" w:eastAsia="仿宋_GB2312"/>
          <w:sz w:val="36"/>
          <w:szCs w:val="36"/>
        </w:rPr>
      </w:pPr>
    </w:p>
    <w:p>
      <w:pPr>
        <w:adjustRightInd w:val="0"/>
        <w:snapToGrid w:val="0"/>
        <w:spacing w:line="288" w:lineRule="auto"/>
        <w:ind w:firstLine="1040"/>
        <w:rPr>
          <w:rFonts w:hint="eastAsia" w:ascii="仿宋_GB2312" w:eastAsia="仿宋_GB2312"/>
          <w:sz w:val="36"/>
          <w:szCs w:val="36"/>
        </w:rPr>
      </w:pPr>
    </w:p>
    <w:p>
      <w:pPr>
        <w:adjustRightInd w:val="0"/>
        <w:snapToGrid w:val="0"/>
        <w:spacing w:line="288" w:lineRule="auto"/>
        <w:jc w:val="center"/>
        <w:rPr>
          <w:rFonts w:ascii="仿宋_GB2312" w:eastAsia="仿宋_GB2312"/>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r>
        <w:rPr>
          <w:rFonts w:hint="eastAsia" w:ascii="楷体_GB2312" w:eastAsia="楷体_GB2312"/>
          <w:sz w:val="36"/>
          <w:szCs w:val="36"/>
        </w:rPr>
        <w:t>中华人民共和国生态环境部</w:t>
      </w:r>
    </w:p>
    <w:p>
      <w:pPr>
        <w:pStyle w:val="21"/>
        <w:jc w:val="center"/>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23"/>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226"/>
        <w:gridCol w:w="2043"/>
        <w:gridCol w:w="2074"/>
        <w:gridCol w:w="26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建设项目名称</w:t>
            </w:r>
          </w:p>
        </w:tc>
        <w:tc>
          <w:tcPr>
            <w:tcW w:w="681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塔然高勒煤矿项目北部风井场地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项目代码</w:t>
            </w:r>
          </w:p>
        </w:tc>
        <w:tc>
          <w:tcPr>
            <w:tcW w:w="681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2310</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150625</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04</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05</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497585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建设单位联系人</w:t>
            </w:r>
          </w:p>
        </w:tc>
        <w:tc>
          <w:tcPr>
            <w:tcW w:w="204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吴楠</w:t>
            </w:r>
          </w:p>
        </w:tc>
        <w:tc>
          <w:tcPr>
            <w:tcW w:w="207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联系方式</w:t>
            </w:r>
          </w:p>
        </w:tc>
        <w:tc>
          <w:tcPr>
            <w:tcW w:w="269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0477</w:t>
            </w:r>
            <w:r>
              <w:rPr>
                <w:rFonts w:hint="eastAsia" w:ascii="宋体" w:hAnsi="宋体" w:cs="宋体"/>
                <w:sz w:val="24"/>
                <w:szCs w:val="24"/>
                <w:highlight w:val="none"/>
                <w:lang w:val="en-US" w:eastAsia="zh-CN"/>
              </w:rPr>
              <w:t>-</w:t>
            </w:r>
            <w:r>
              <w:rPr>
                <w:rFonts w:hint="default" w:ascii="宋体" w:hAnsi="宋体" w:eastAsia="宋体" w:cs="宋体"/>
                <w:sz w:val="24"/>
                <w:szCs w:val="24"/>
                <w:highlight w:val="none"/>
                <w:lang w:val="en-US" w:eastAsia="zh-CN"/>
              </w:rPr>
              <w:t>3872061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建设地点</w:t>
            </w:r>
          </w:p>
        </w:tc>
        <w:tc>
          <w:tcPr>
            <w:tcW w:w="681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ascii="宋体" w:hAnsi="宋体" w:cs="宋体"/>
                <w:sz w:val="24"/>
                <w:szCs w:val="24"/>
                <w:highlight w:val="none"/>
                <w:lang w:val="en-US" w:eastAsia="zh-CN"/>
              </w:rPr>
              <w:t>内蒙古自治区鄂尔多斯市杭锦旗独贵塔拉镇乌定补拉格村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4"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地理坐标</w:t>
            </w:r>
          </w:p>
        </w:tc>
        <w:tc>
          <w:tcPr>
            <w:tcW w:w="681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cs="宋体"/>
                <w:sz w:val="24"/>
                <w:szCs w:val="24"/>
                <w:highlight w:val="none"/>
                <w:lang w:val="en-US" w:eastAsia="zh-CN"/>
              </w:rPr>
            </w:pPr>
            <w:r>
              <w:rPr>
                <w:rFonts w:hint="eastAsia" w:ascii="宋体" w:hAnsi="宋体" w:eastAsia="宋体" w:cs="宋体"/>
                <w:kern w:val="0"/>
                <w:sz w:val="24"/>
                <w:szCs w:val="24"/>
                <w:highlight w:val="none"/>
                <w:u w:val="none"/>
                <w:lang w:eastAsia="zh-CN"/>
              </w:rPr>
              <w:t>109°9′59.082″</w:t>
            </w:r>
            <w:r>
              <w:rPr>
                <w:rFonts w:hint="eastAsia" w:ascii="宋体" w:hAnsi="宋体" w:cs="宋体"/>
                <w:kern w:val="0"/>
                <w:sz w:val="24"/>
                <w:szCs w:val="24"/>
                <w:highlight w:val="none"/>
                <w:u w:val="none"/>
                <w:lang w:eastAsia="zh-CN"/>
              </w:rPr>
              <w:t>，</w:t>
            </w:r>
            <w:r>
              <w:rPr>
                <w:rFonts w:hint="eastAsia" w:ascii="宋体" w:hAnsi="宋体" w:eastAsia="宋体" w:cs="宋体"/>
                <w:kern w:val="0"/>
                <w:sz w:val="24"/>
                <w:szCs w:val="24"/>
                <w:highlight w:val="none"/>
                <w:u w:val="none"/>
                <w:lang w:eastAsia="zh-CN"/>
              </w:rPr>
              <w:t>40°3′16.030″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建设项目</w:t>
            </w: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color w:val="000000" w:themeColor="text1"/>
                <w:sz w:val="24"/>
                <w:szCs w:val="24"/>
                <w:highlight w:val="none"/>
                <w14:textFill>
                  <w14:solidFill>
                    <w14:schemeClr w14:val="tx1"/>
                  </w14:solidFill>
                </w14:textFill>
              </w:rPr>
              <w:t>行业类别</w:t>
            </w:r>
          </w:p>
        </w:tc>
        <w:tc>
          <w:tcPr>
            <w:tcW w:w="2043" w:type="dxa"/>
            <w:noWrap w:val="0"/>
            <w:vAlign w:val="center"/>
          </w:tcPr>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“四、</w:t>
            </w:r>
            <w:r>
              <w:rPr>
                <w:rFonts w:hint="default" w:ascii="宋体" w:hAnsi="宋体" w:eastAsia="宋体" w:cs="宋体"/>
                <w:sz w:val="24"/>
                <w:szCs w:val="24"/>
                <w:highlight w:val="none"/>
                <w:lang w:val="en-US" w:eastAsia="zh-CN"/>
              </w:rPr>
              <w:t>煤炭开采和洗选业06</w:t>
            </w:r>
            <w:r>
              <w:rPr>
                <w:rFonts w:hint="eastAsia" w:ascii="宋体" w:hAnsi="宋体" w:cs="宋体"/>
                <w:sz w:val="24"/>
                <w:szCs w:val="24"/>
                <w:highlight w:val="none"/>
                <w:lang w:val="en-US" w:eastAsia="zh-CN"/>
              </w:rPr>
              <w:t>”中的“</w:t>
            </w:r>
            <w:r>
              <w:rPr>
                <w:rFonts w:hint="default" w:ascii="宋体" w:hAnsi="宋体" w:eastAsia="宋体" w:cs="宋体"/>
                <w:sz w:val="24"/>
                <w:szCs w:val="24"/>
                <w:highlight w:val="none"/>
                <w:lang w:val="en-US" w:eastAsia="zh-CN"/>
              </w:rPr>
              <w:t>煤炭洗选、配煤；煤炭储存、集运；风井场地、瓦斯抽放站；矿区修复治理工程</w:t>
            </w:r>
            <w:r>
              <w:rPr>
                <w:rFonts w:hint="eastAsia" w:ascii="宋体" w:hAnsi="宋体" w:cs="宋体"/>
                <w:sz w:val="24"/>
                <w:szCs w:val="24"/>
                <w:highlight w:val="none"/>
                <w:lang w:val="en-US" w:eastAsia="zh-CN"/>
              </w:rPr>
              <w:t>”</w:t>
            </w:r>
          </w:p>
        </w:tc>
        <w:tc>
          <w:tcPr>
            <w:tcW w:w="2074" w:type="dxa"/>
            <w:noWrap w:val="0"/>
            <w:vAlign w:val="center"/>
          </w:tcPr>
          <w:p>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用地面积</w:t>
            </w:r>
            <w:r>
              <w:rPr>
                <w:rFonts w:hint="eastAsia" w:ascii="宋体" w:hAnsi="宋体" w:cs="宋体"/>
                <w:sz w:val="24"/>
                <w:szCs w:val="24"/>
                <w:highlight w:val="none"/>
                <w:lang w:eastAsia="zh-CN"/>
              </w:rPr>
              <w:t>（</w:t>
            </w:r>
            <w:r>
              <w:rPr>
                <w:rFonts w:ascii="宋体" w:hAnsi="宋体" w:cs="宋体"/>
                <w:sz w:val="24"/>
                <w:szCs w:val="24"/>
                <w:highlight w:val="none"/>
              </w:rPr>
              <w:t>m</w:t>
            </w:r>
            <w:r>
              <w:rPr>
                <w:rFonts w:ascii="宋体" w:hAnsi="宋体" w:cs="宋体"/>
                <w:sz w:val="24"/>
                <w:szCs w:val="24"/>
                <w:highlight w:val="none"/>
                <w:vertAlign w:val="superscript"/>
              </w:rPr>
              <w:t>2</w:t>
            </w:r>
            <w:r>
              <w:rPr>
                <w:rFonts w:hint="eastAsia" w:ascii="宋体" w:hAnsi="宋体" w:cs="宋体"/>
                <w:sz w:val="24"/>
                <w:szCs w:val="24"/>
                <w:highlight w:val="none"/>
              </w:rPr>
              <w:t>）</w:t>
            </w:r>
            <w:r>
              <w:rPr>
                <w:rFonts w:ascii="宋体" w:hAnsi="宋体" w:cs="宋体"/>
                <w:sz w:val="24"/>
                <w:szCs w:val="24"/>
                <w:highlight w:val="none"/>
              </w:rPr>
              <w:t>/</w:t>
            </w:r>
            <w:r>
              <w:rPr>
                <w:rFonts w:hint="eastAsia" w:ascii="宋体" w:hAnsi="宋体" w:cs="宋体"/>
                <w:sz w:val="24"/>
                <w:szCs w:val="24"/>
                <w:highlight w:val="none"/>
              </w:rPr>
              <w:t>长度</w:t>
            </w:r>
            <w:r>
              <w:rPr>
                <w:rFonts w:hint="eastAsia" w:ascii="宋体" w:hAnsi="宋体" w:cs="宋体"/>
                <w:sz w:val="24"/>
                <w:szCs w:val="24"/>
                <w:highlight w:val="none"/>
                <w:lang w:eastAsia="zh-CN"/>
              </w:rPr>
              <w:t>（</w:t>
            </w:r>
            <w:r>
              <w:rPr>
                <w:rFonts w:ascii="宋体" w:hAnsi="宋体" w:cs="宋体"/>
                <w:sz w:val="24"/>
                <w:szCs w:val="24"/>
                <w:highlight w:val="none"/>
              </w:rPr>
              <w:t>km</w:t>
            </w:r>
            <w:r>
              <w:rPr>
                <w:rFonts w:hint="eastAsia" w:ascii="宋体" w:hAnsi="宋体" w:cs="宋体"/>
                <w:sz w:val="24"/>
                <w:szCs w:val="24"/>
                <w:highlight w:val="none"/>
              </w:rPr>
              <w:t>）</w:t>
            </w:r>
          </w:p>
        </w:tc>
        <w:tc>
          <w:tcPr>
            <w:tcW w:w="2696" w:type="dxa"/>
            <w:noWrap w:val="0"/>
            <w:vAlign w:val="center"/>
          </w:tcPr>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总用地面积：79386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07"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建设性质</w:t>
            </w:r>
          </w:p>
        </w:tc>
        <w:tc>
          <w:tcPr>
            <w:tcW w:w="2043" w:type="dxa"/>
            <w:noWrap w:val="0"/>
            <w:vAlign w:val="center"/>
          </w:tcPr>
          <w:p>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新建</w:t>
            </w:r>
            <w:r>
              <w:rPr>
                <w:rFonts w:hint="eastAsia" w:ascii="宋体" w:hAnsi="宋体" w:cs="宋体"/>
                <w:sz w:val="24"/>
                <w:szCs w:val="24"/>
                <w:highlight w:val="none"/>
                <w:lang w:eastAsia="zh-CN"/>
              </w:rPr>
              <w:t>（</w:t>
            </w:r>
            <w:r>
              <w:rPr>
                <w:rFonts w:hint="eastAsia" w:ascii="宋体" w:hAnsi="宋体" w:cs="宋体"/>
                <w:sz w:val="24"/>
                <w:szCs w:val="24"/>
                <w:highlight w:val="none"/>
              </w:rPr>
              <w:t>迁建）</w:t>
            </w:r>
          </w:p>
          <w:p>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rPr>
              <w:t>□改建</w:t>
            </w:r>
          </w:p>
          <w:p>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rPr>
              <w:t>□扩建</w:t>
            </w:r>
          </w:p>
          <w:p>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rPr>
              <w:t>□技术改造</w:t>
            </w:r>
          </w:p>
        </w:tc>
        <w:tc>
          <w:tcPr>
            <w:tcW w:w="2074" w:type="dxa"/>
            <w:noWrap w:val="0"/>
            <w:vAlign w:val="center"/>
          </w:tcPr>
          <w:p>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建设项目</w:t>
            </w: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申报情形</w:t>
            </w:r>
          </w:p>
        </w:tc>
        <w:tc>
          <w:tcPr>
            <w:tcW w:w="2696" w:type="dxa"/>
            <w:noWrap w:val="0"/>
            <w:vAlign w:val="center"/>
          </w:tcPr>
          <w:p>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首次申报项目</w:t>
            </w:r>
          </w:p>
          <w:p>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rPr>
              <w:t>□不予批准后再次申报项目</w:t>
            </w:r>
          </w:p>
          <w:p>
            <w:pPr>
              <w:keepNext w:val="0"/>
              <w:keepLines w:val="0"/>
              <w:pageBreakBefore w:val="0"/>
              <w:widowControl w:val="0"/>
              <w:kinsoku/>
              <w:wordWrap/>
              <w:overflowPunct/>
              <w:topLinePunct w:val="0"/>
              <w:bidi w:val="0"/>
              <w:adjustRightInd w:val="0"/>
              <w:snapToGrid w:val="0"/>
              <w:spacing w:line="360" w:lineRule="auto"/>
              <w:jc w:val="left"/>
              <w:textAlignment w:val="auto"/>
              <w:rPr>
                <w:rFonts w:ascii="宋体" w:hAnsi="宋体" w:cs="宋体"/>
                <w:sz w:val="24"/>
                <w:szCs w:val="24"/>
                <w:highlight w:val="none"/>
              </w:rPr>
            </w:pPr>
            <w:r>
              <w:rPr>
                <w:rFonts w:hint="eastAsia" w:ascii="宋体" w:hAnsi="宋体" w:cs="宋体"/>
                <w:sz w:val="24"/>
                <w:szCs w:val="24"/>
                <w:highlight w:val="none"/>
              </w:rPr>
              <w:t>□超五年重新审核项目</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cs="宋体"/>
                <w:sz w:val="24"/>
                <w:szCs w:val="24"/>
                <w:highlight w:val="none"/>
              </w:rPr>
            </w:pPr>
            <w:r>
              <w:rPr>
                <w:rFonts w:hint="eastAsia" w:ascii="宋体" w:hAnsi="宋体" w:cs="宋体"/>
                <w:sz w:val="24"/>
                <w:szCs w:val="24"/>
                <w:highlight w:val="none"/>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项目审批</w:t>
            </w:r>
            <w:r>
              <w:rPr>
                <w:rFonts w:hint="eastAsia" w:ascii="宋体" w:hAnsi="宋体" w:cs="宋体"/>
                <w:sz w:val="24"/>
                <w:szCs w:val="24"/>
                <w:highlight w:val="none"/>
                <w:lang w:eastAsia="zh-CN"/>
              </w:rPr>
              <w:t>（</w:t>
            </w:r>
            <w:r>
              <w:rPr>
                <w:rFonts w:hint="eastAsia" w:ascii="宋体" w:hAnsi="宋体" w:cs="宋体"/>
                <w:sz w:val="24"/>
                <w:szCs w:val="24"/>
                <w:highlight w:val="none"/>
              </w:rPr>
              <w:t>核准</w:t>
            </w:r>
            <w:r>
              <w:rPr>
                <w:rFonts w:ascii="宋体" w:hAnsi="宋体" w:cs="宋体"/>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备案）部门</w:t>
            </w:r>
            <w:r>
              <w:rPr>
                <w:rFonts w:hint="eastAsia" w:ascii="宋体" w:hAnsi="宋体" w:cs="宋体"/>
                <w:sz w:val="24"/>
                <w:szCs w:val="24"/>
                <w:highlight w:val="none"/>
                <w:lang w:eastAsia="zh-CN"/>
              </w:rPr>
              <w:t>（</w:t>
            </w:r>
            <w:r>
              <w:rPr>
                <w:rFonts w:hint="eastAsia" w:ascii="宋体" w:hAnsi="宋体" w:cs="宋体"/>
                <w:sz w:val="24"/>
                <w:szCs w:val="24"/>
                <w:highlight w:val="none"/>
              </w:rPr>
              <w:t>选填）</w:t>
            </w:r>
          </w:p>
        </w:tc>
        <w:tc>
          <w:tcPr>
            <w:tcW w:w="204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杭锦旗发展和改革委员会</w:t>
            </w:r>
          </w:p>
        </w:tc>
        <w:tc>
          <w:tcPr>
            <w:tcW w:w="207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项目审批</w:t>
            </w:r>
            <w:r>
              <w:rPr>
                <w:rFonts w:hint="eastAsia" w:ascii="宋体" w:hAnsi="宋体" w:cs="宋体"/>
                <w:sz w:val="24"/>
                <w:szCs w:val="24"/>
                <w:highlight w:val="none"/>
                <w:lang w:eastAsia="zh-CN"/>
              </w:rPr>
              <w:t>（</w:t>
            </w:r>
            <w:r>
              <w:rPr>
                <w:rFonts w:hint="eastAsia" w:ascii="宋体" w:hAnsi="宋体" w:cs="宋体"/>
                <w:sz w:val="24"/>
                <w:szCs w:val="24"/>
                <w:highlight w:val="none"/>
              </w:rPr>
              <w:t>核准</w:t>
            </w:r>
            <w:r>
              <w:rPr>
                <w:rFonts w:ascii="宋体" w:hAnsi="宋体" w:cs="宋体"/>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备案）文号</w:t>
            </w:r>
            <w:r>
              <w:rPr>
                <w:rFonts w:hint="eastAsia" w:ascii="宋体" w:hAnsi="宋体" w:cs="宋体"/>
                <w:sz w:val="24"/>
                <w:szCs w:val="24"/>
                <w:highlight w:val="none"/>
                <w:lang w:eastAsia="zh-CN"/>
              </w:rPr>
              <w:t>（</w:t>
            </w:r>
            <w:r>
              <w:rPr>
                <w:rFonts w:hint="eastAsia" w:ascii="宋体" w:hAnsi="宋体" w:cs="宋体"/>
                <w:sz w:val="24"/>
                <w:szCs w:val="24"/>
                <w:highlight w:val="none"/>
              </w:rPr>
              <w:t>选填）</w:t>
            </w:r>
          </w:p>
        </w:tc>
        <w:tc>
          <w:tcPr>
            <w:tcW w:w="269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总投资</w:t>
            </w:r>
            <w:r>
              <w:rPr>
                <w:rFonts w:hint="eastAsia" w:ascii="宋体" w:hAnsi="宋体" w:cs="宋体"/>
                <w:sz w:val="24"/>
                <w:szCs w:val="24"/>
                <w:highlight w:val="none"/>
                <w:lang w:eastAsia="zh-CN"/>
              </w:rPr>
              <w:t>（</w:t>
            </w:r>
            <w:r>
              <w:rPr>
                <w:rFonts w:hint="eastAsia" w:ascii="宋体" w:hAnsi="宋体" w:cs="宋体"/>
                <w:sz w:val="24"/>
                <w:szCs w:val="24"/>
                <w:highlight w:val="none"/>
              </w:rPr>
              <w:t>万元）</w:t>
            </w:r>
          </w:p>
        </w:tc>
        <w:tc>
          <w:tcPr>
            <w:tcW w:w="204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22000</w:t>
            </w:r>
          </w:p>
        </w:tc>
        <w:tc>
          <w:tcPr>
            <w:tcW w:w="2074" w:type="dxa"/>
            <w:noWrap w:val="0"/>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环保投资</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万元）</w:t>
            </w:r>
          </w:p>
        </w:tc>
        <w:tc>
          <w:tcPr>
            <w:tcW w:w="269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bCs/>
                <w:sz w:val="24"/>
                <w:szCs w:val="24"/>
                <w:highlight w:val="none"/>
                <w:lang w:val="en-US" w:eastAsia="zh-CN"/>
              </w:rPr>
              <w:t>89.6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 w:val="24"/>
                <w:szCs w:val="24"/>
                <w:highlight w:val="none"/>
              </w:rPr>
            </w:pPr>
            <w:r>
              <w:rPr>
                <w:rFonts w:hint="eastAsia" w:ascii="宋体" w:hAnsi="宋体" w:cs="宋体"/>
                <w:sz w:val="24"/>
                <w:szCs w:val="24"/>
                <w:highlight w:val="none"/>
              </w:rPr>
              <w:t>环保投资占比</w:t>
            </w:r>
            <w:r>
              <w:rPr>
                <w:rFonts w:hint="eastAsia" w:ascii="宋体" w:hAnsi="宋体" w:cs="宋体"/>
                <w:sz w:val="24"/>
                <w:szCs w:val="24"/>
                <w:highlight w:val="none"/>
                <w:lang w:eastAsia="zh-CN"/>
              </w:rPr>
              <w:t>（</w:t>
            </w:r>
            <w:r>
              <w:rPr>
                <w:rFonts w:ascii="宋体" w:hAnsi="宋体" w:cs="宋体"/>
                <w:sz w:val="24"/>
                <w:szCs w:val="24"/>
                <w:highlight w:val="none"/>
              </w:rPr>
              <w:t>%</w:t>
            </w:r>
            <w:r>
              <w:rPr>
                <w:rFonts w:hint="eastAsia" w:ascii="宋体" w:hAnsi="宋体" w:cs="宋体"/>
                <w:sz w:val="24"/>
                <w:szCs w:val="24"/>
                <w:highlight w:val="none"/>
              </w:rPr>
              <w:t>）</w:t>
            </w:r>
          </w:p>
        </w:tc>
        <w:tc>
          <w:tcPr>
            <w:tcW w:w="204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0.41</w:t>
            </w:r>
          </w:p>
        </w:tc>
        <w:tc>
          <w:tcPr>
            <w:tcW w:w="2074" w:type="dxa"/>
            <w:noWrap w:val="0"/>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施工工期</w:t>
            </w:r>
          </w:p>
        </w:tc>
        <w:tc>
          <w:tcPr>
            <w:tcW w:w="269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3</w:t>
            </w:r>
            <w:r>
              <w:rPr>
                <w:rFonts w:hint="default" w:ascii="Times New Roman" w:hAnsi="Times New Roman" w:cs="Times New Roman"/>
                <w:sz w:val="24"/>
                <w:szCs w:val="24"/>
                <w:highlight w:val="none"/>
                <w:lang w:val="en-US" w:eastAsia="zh-CN"/>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是否开工建设</w:t>
            </w:r>
          </w:p>
        </w:tc>
        <w:tc>
          <w:tcPr>
            <w:tcW w:w="6813" w:type="dxa"/>
            <w:gridSpan w:val="3"/>
            <w:noWrap w:val="0"/>
            <w:vAlign w:val="center"/>
          </w:tcPr>
          <w:p>
            <w:pPr>
              <w:keepNext w:val="0"/>
              <w:keepLines w:val="0"/>
              <w:pageBreakBefore w:val="0"/>
              <w:widowControl w:val="0"/>
              <w:kinsoku/>
              <w:wordWrap/>
              <w:overflowPunct/>
              <w:topLinePunct w:val="0"/>
              <w:bidi w:val="0"/>
              <w:adjustRightInd w:val="0"/>
              <w:snapToGrid w:val="0"/>
              <w:spacing w:line="360" w:lineRule="auto"/>
              <w:ind w:firstLine="105"/>
              <w:jc w:val="left"/>
              <w:textAlignment w:val="auto"/>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否</w:t>
            </w:r>
          </w:p>
          <w:p>
            <w:pPr>
              <w:keepNext w:val="0"/>
              <w:keepLines w:val="0"/>
              <w:pageBreakBefore w:val="0"/>
              <w:widowControl w:val="0"/>
              <w:kinsoku/>
              <w:wordWrap/>
              <w:overflowPunct/>
              <w:topLinePunct w:val="0"/>
              <w:bidi w:val="0"/>
              <w:adjustRightInd w:val="0"/>
              <w:snapToGrid w:val="0"/>
              <w:spacing w:line="360" w:lineRule="auto"/>
              <w:ind w:firstLine="92"/>
              <w:jc w:val="left"/>
              <w:textAlignment w:val="auto"/>
              <w:rPr>
                <w:rFonts w:ascii="宋体" w:hAnsi="宋体" w:cs="宋体"/>
                <w:sz w:val="24"/>
                <w:szCs w:val="24"/>
                <w:highlight w:val="none"/>
              </w:rPr>
            </w:pPr>
            <w:r>
              <w:rPr>
                <w:rFonts w:hint="eastAsia" w:ascii="宋体" w:hAnsi="宋体" w:cs="宋体"/>
                <w:sz w:val="24"/>
                <w:szCs w:val="24"/>
                <w:highlight w:val="none"/>
              </w:rPr>
              <w:t>□是：</w:t>
            </w:r>
            <w:r>
              <w:rPr>
                <w:rFonts w:ascii="宋体" w:hAnsi="宋体" w:cs="宋体"/>
                <w:sz w:val="24"/>
                <w:szCs w:val="24"/>
                <w:highlight w:val="none"/>
                <w:u w:val="single"/>
              </w:rPr>
              <w:t xml:space="preserve"> </w:t>
            </w:r>
            <w:r>
              <w:rPr>
                <w:rFonts w:hint="eastAsia" w:ascii="宋体" w:hAnsi="宋体" w:cs="宋体"/>
                <w:sz w:val="24"/>
                <w:szCs w:val="24"/>
                <w:highlight w:val="none"/>
                <w:u w:val="single"/>
              </w:rPr>
              <w:t xml:space="preserve">                     </w:t>
            </w:r>
            <w:r>
              <w:rPr>
                <w:rFonts w:ascii="宋体" w:hAnsi="宋体" w:cs="宋体"/>
                <w:sz w:val="24"/>
                <w:szCs w:val="24"/>
                <w:highlight w:val="none"/>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7"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宋体" w:hAnsi="宋体" w:cs="宋体"/>
                <w:kern w:val="0"/>
                <w:sz w:val="24"/>
                <w:szCs w:val="24"/>
                <w:highlight w:val="none"/>
              </w:rPr>
            </w:pPr>
            <w:r>
              <w:rPr>
                <w:rFonts w:hint="eastAsia" w:ascii="宋体" w:hAnsi="宋体" w:cs="宋体"/>
                <w:kern w:val="0"/>
                <w:sz w:val="24"/>
                <w:szCs w:val="24"/>
                <w:highlight w:val="none"/>
              </w:rPr>
              <w:t>专项评价设置情况</w:t>
            </w:r>
          </w:p>
        </w:tc>
        <w:tc>
          <w:tcPr>
            <w:tcW w:w="6813" w:type="dxa"/>
            <w:gridSpan w:val="3"/>
            <w:noWrap w:val="0"/>
            <w:tcMar>
              <w:top w:w="16" w:type="dxa"/>
              <w:left w:w="16" w:type="dxa"/>
              <w:right w:w="16"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lang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9"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宋体" w:hAnsi="宋体" w:cs="宋体"/>
                <w:kern w:val="0"/>
                <w:sz w:val="24"/>
                <w:szCs w:val="24"/>
                <w:highlight w:val="none"/>
              </w:rPr>
            </w:pPr>
            <w:r>
              <w:rPr>
                <w:rFonts w:hint="eastAsia" w:ascii="宋体" w:hAnsi="宋体" w:cs="宋体"/>
                <w:sz w:val="24"/>
                <w:szCs w:val="24"/>
                <w:highlight w:val="none"/>
              </w:rPr>
              <w:t>规划情况</w:t>
            </w:r>
          </w:p>
        </w:tc>
        <w:tc>
          <w:tcPr>
            <w:tcW w:w="6813" w:type="dxa"/>
            <w:gridSpan w:val="3"/>
            <w:noWrap w:val="0"/>
            <w:tcMar>
              <w:top w:w="16" w:type="dxa"/>
              <w:left w:w="16" w:type="dxa"/>
              <w:right w:w="16"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宋体" w:hAnsi="宋体" w:eastAsia="宋体" w:cs="宋体"/>
                <w:kern w:val="0"/>
                <w:sz w:val="24"/>
                <w:szCs w:val="24"/>
                <w:highlight w:val="none"/>
                <w:lang w:eastAsia="zh-CN"/>
              </w:rPr>
            </w:pPr>
            <w:r>
              <w:rPr>
                <w:rFonts w:hint="default" w:ascii="Times New Roman" w:hAnsi="Times New Roman" w:eastAsia="宋体" w:cs="Times New Roman"/>
                <w:color w:val="000000"/>
                <w:kern w:val="0"/>
                <w:sz w:val="24"/>
                <w:szCs w:val="24"/>
                <w:lang w:val="en-US" w:eastAsia="zh-CN" w:bidi="ar"/>
              </w:rPr>
              <w:t>2007</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月</w:t>
            </w:r>
            <w:r>
              <w:rPr>
                <w:rFonts w:hint="default" w:ascii="Times New Roman" w:hAnsi="Times New Roman" w:eastAsia="宋体" w:cs="Times New Roman"/>
                <w:color w:val="000000"/>
                <w:kern w:val="0"/>
                <w:sz w:val="24"/>
                <w:szCs w:val="24"/>
                <w:lang w:val="en-US" w:eastAsia="zh-CN" w:bidi="ar"/>
              </w:rPr>
              <w:t>25</w:t>
            </w:r>
            <w:r>
              <w:rPr>
                <w:rFonts w:hint="eastAsia" w:ascii="宋体" w:hAnsi="宋体" w:eastAsia="宋体" w:cs="宋体"/>
                <w:color w:val="000000"/>
                <w:kern w:val="0"/>
                <w:sz w:val="24"/>
                <w:szCs w:val="24"/>
                <w:lang w:val="en-US" w:eastAsia="zh-CN" w:bidi="ar"/>
              </w:rPr>
              <w:t>日</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国家发展和改革委员会以</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发改能源〔</w:t>
            </w:r>
            <w:r>
              <w:rPr>
                <w:rFonts w:hint="default" w:ascii="Times New Roman" w:hAnsi="Times New Roman" w:eastAsia="宋体" w:cs="Times New Roman"/>
                <w:color w:val="000000"/>
                <w:kern w:val="0"/>
                <w:sz w:val="24"/>
                <w:szCs w:val="24"/>
                <w:lang w:val="en-US" w:eastAsia="zh-CN" w:bidi="ar"/>
              </w:rPr>
              <w:t>2007</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1388</w:t>
            </w:r>
            <w:r>
              <w:rPr>
                <w:rFonts w:hint="eastAsia" w:ascii="宋体" w:hAnsi="宋体" w:eastAsia="宋体" w:cs="宋体"/>
                <w:color w:val="000000"/>
                <w:kern w:val="0"/>
                <w:sz w:val="24"/>
                <w:szCs w:val="24"/>
                <w:lang w:val="en-US" w:eastAsia="zh-CN" w:bidi="ar"/>
              </w:rPr>
              <w:t>号</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批复</w:t>
            </w:r>
            <w:r>
              <w:rPr>
                <w:rFonts w:hint="eastAsia" w:ascii="宋体" w:hAnsi="宋体" w:cs="宋体"/>
                <w:color w:val="000000"/>
                <w:kern w:val="0"/>
                <w:sz w:val="24"/>
                <w:szCs w:val="24"/>
                <w:lang w:val="en-US" w:eastAsia="zh-CN" w:bidi="ar"/>
              </w:rPr>
              <w:t>了</w:t>
            </w:r>
            <w:r>
              <w:rPr>
                <w:rFonts w:hint="eastAsia" w:ascii="宋体" w:hAnsi="宋体" w:eastAsia="宋体" w:cs="宋体"/>
                <w:color w:val="000000"/>
                <w:kern w:val="0"/>
                <w:sz w:val="24"/>
                <w:szCs w:val="24"/>
                <w:lang w:val="en-US" w:eastAsia="zh-CN" w:bidi="ar"/>
              </w:rPr>
              <w:t>《鄂尔多斯塔然高勒矿区总体规划》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宋体" w:hAnsi="宋体" w:cs="宋体"/>
                <w:sz w:val="24"/>
                <w:szCs w:val="24"/>
                <w:highlight w:val="none"/>
              </w:rPr>
            </w:pPr>
            <w:r>
              <w:rPr>
                <w:rFonts w:hint="eastAsia" w:ascii="宋体" w:hAnsi="宋体" w:cs="宋体"/>
                <w:sz w:val="24"/>
                <w:szCs w:val="24"/>
                <w:highlight w:val="none"/>
              </w:rPr>
              <w:t>规划环境影响</w:t>
            </w:r>
          </w:p>
          <w:p>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宋体" w:hAnsi="宋体" w:cs="宋体"/>
                <w:kern w:val="0"/>
                <w:sz w:val="24"/>
                <w:szCs w:val="24"/>
                <w:highlight w:val="none"/>
              </w:rPr>
            </w:pPr>
            <w:r>
              <w:rPr>
                <w:rFonts w:hint="eastAsia" w:ascii="宋体" w:hAnsi="宋体" w:cs="宋体"/>
                <w:sz w:val="24"/>
                <w:szCs w:val="24"/>
                <w:highlight w:val="none"/>
              </w:rPr>
              <w:t>评价情况</w:t>
            </w:r>
          </w:p>
        </w:tc>
        <w:tc>
          <w:tcPr>
            <w:tcW w:w="6813" w:type="dxa"/>
            <w:gridSpan w:val="3"/>
            <w:noWrap w:val="0"/>
            <w:tcMar>
              <w:top w:w="16" w:type="dxa"/>
              <w:left w:w="16" w:type="dxa"/>
              <w:right w:w="16" w:type="dxa"/>
            </w:tcMar>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kern w:val="0"/>
                <w:sz w:val="24"/>
                <w:szCs w:val="24"/>
                <w:highlight w:val="none"/>
                <w:lang w:val="en-US" w:eastAsia="zh-CN"/>
              </w:rPr>
            </w:pPr>
            <w:r>
              <w:rPr>
                <w:rFonts w:hint="default" w:ascii="Times New Roman" w:hAnsi="Times New Roman" w:eastAsia="宋体" w:cs="Times New Roman"/>
                <w:color w:val="000000"/>
                <w:kern w:val="0"/>
                <w:sz w:val="24"/>
                <w:szCs w:val="24"/>
                <w:lang w:val="en-US" w:eastAsia="zh-CN" w:bidi="ar"/>
              </w:rPr>
              <w:t>2008</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月，原环境保护部以</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环审〔</w:t>
            </w:r>
            <w:r>
              <w:rPr>
                <w:rFonts w:hint="default" w:ascii="Times New Roman" w:hAnsi="Times New Roman" w:eastAsia="宋体" w:cs="Times New Roman"/>
                <w:color w:val="000000"/>
                <w:kern w:val="0"/>
                <w:sz w:val="24"/>
                <w:szCs w:val="24"/>
                <w:lang w:val="en-US" w:eastAsia="zh-CN" w:bidi="ar"/>
              </w:rPr>
              <w:t>2008</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193</w:t>
            </w:r>
            <w:r>
              <w:rPr>
                <w:rFonts w:hint="eastAsia" w:ascii="宋体" w:hAnsi="宋体" w:eastAsia="宋体" w:cs="宋体"/>
                <w:color w:val="000000"/>
                <w:kern w:val="0"/>
                <w:sz w:val="24"/>
                <w:szCs w:val="24"/>
                <w:lang w:val="en-US" w:eastAsia="zh-CN" w:bidi="ar"/>
              </w:rPr>
              <w:t>号</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文出具了对《内蒙古自治区鄂尔多斯塔然高勒矿区总体规划环境影响报告书》的审查意见。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27" w:hRule="atLeast"/>
        </w:trPr>
        <w:tc>
          <w:tcPr>
            <w:tcW w:w="2226" w:type="dxa"/>
            <w:noWrap w:val="0"/>
            <w:tcMar>
              <w:top w:w="16" w:type="dxa"/>
              <w:left w:w="16" w:type="dxa"/>
              <w:right w:w="16"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宋体" w:hAnsi="宋体" w:cs="宋体"/>
                <w:kern w:val="0"/>
                <w:sz w:val="24"/>
                <w:szCs w:val="24"/>
                <w:highlight w:val="none"/>
              </w:rPr>
            </w:pPr>
            <w:r>
              <w:rPr>
                <w:rFonts w:hint="eastAsia" w:ascii="宋体" w:hAnsi="宋体" w:cs="宋体"/>
                <w:kern w:val="0"/>
                <w:sz w:val="24"/>
                <w:szCs w:val="24"/>
                <w:highlight w:val="none"/>
              </w:rPr>
              <w:t>规划及</w:t>
            </w:r>
            <w:r>
              <w:rPr>
                <w:rFonts w:hint="eastAsia" w:ascii="宋体" w:hAnsi="宋体" w:cs="宋体"/>
                <w:sz w:val="24"/>
                <w:szCs w:val="24"/>
                <w:highlight w:val="none"/>
              </w:rPr>
              <w:t>规划环境影响评价</w:t>
            </w:r>
            <w:r>
              <w:rPr>
                <w:rFonts w:hint="eastAsia" w:ascii="宋体" w:hAnsi="宋体" w:cs="宋体"/>
                <w:kern w:val="0"/>
                <w:sz w:val="24"/>
                <w:szCs w:val="24"/>
                <w:highlight w:val="none"/>
              </w:rPr>
              <w:t>符合性分析</w:t>
            </w:r>
          </w:p>
        </w:tc>
        <w:tc>
          <w:tcPr>
            <w:tcW w:w="6813" w:type="dxa"/>
            <w:gridSpan w:val="3"/>
            <w:noWrap w:val="0"/>
            <w:tcMar>
              <w:top w:w="16" w:type="dxa"/>
              <w:left w:w="16" w:type="dxa"/>
              <w:right w:w="16" w:type="dxa"/>
            </w:tcMar>
            <w:vAlign w:val="center"/>
          </w:tcPr>
          <w:p>
            <w:pPr>
              <w:keepNext w:val="0"/>
              <w:keepLines w:val="0"/>
              <w:pageBreakBefore w:val="0"/>
              <w:widowControl/>
              <w:suppressLineNumbers w:val="0"/>
              <w:kinsoku/>
              <w:wordWrap/>
              <w:overflowPunct/>
              <w:topLinePunct w:val="0"/>
              <w:bidi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1</w:t>
            </w:r>
            <w:r>
              <w:rPr>
                <w:rFonts w:hint="eastAsia" w:ascii="宋体" w:hAnsi="宋体" w:cs="宋体"/>
                <w:b w:val="0"/>
                <w:bCs w:val="0"/>
                <w:sz w:val="24"/>
                <w:szCs w:val="24"/>
                <w:highlight w:val="none"/>
                <w:lang w:val="en-US" w:eastAsia="zh-CN"/>
              </w:rPr>
              <w:t>.</w:t>
            </w:r>
            <w:r>
              <w:rPr>
                <w:rFonts w:hint="eastAsia" w:ascii="宋体" w:hAnsi="宋体" w:eastAsia="宋体" w:cs="宋体"/>
                <w:b w:val="0"/>
                <w:bCs w:val="0"/>
                <w:color w:val="000000"/>
                <w:kern w:val="0"/>
                <w:sz w:val="24"/>
                <w:szCs w:val="24"/>
                <w:lang w:val="en-US" w:eastAsia="zh-CN" w:bidi="ar"/>
              </w:rPr>
              <w:t>与《内蒙古自治区鄂尔多斯塔然高勒矿区总体规划》的符合性分析</w:t>
            </w:r>
          </w:p>
          <w:p>
            <w:pPr>
              <w:keepNext w:val="0"/>
              <w:keepLines w:val="0"/>
              <w:pageBreakBefore w:val="0"/>
              <w:widowControl/>
              <w:suppressLineNumbers w:val="0"/>
              <w:kinsoku/>
              <w:wordWrap/>
              <w:overflowPunct/>
              <w:topLinePunct w:val="0"/>
              <w:bidi w:val="0"/>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根据2007年6月25日国家发展和改革委员会以“发改能源〔2007〕1388号”批复的《鄂尔多斯塔然高勒矿区总体规划》，矿区东西长64公里，南北宽约37公里，面积2379平方公里。矿区划分为5个井田和1个勘查区</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建设总规模暂定</w:t>
            </w:r>
            <w:r>
              <w:rPr>
                <w:rFonts w:hint="eastAsia" w:ascii="宋体" w:hAnsi="宋体" w:cs="宋体"/>
                <w:color w:val="000000"/>
                <w:kern w:val="0"/>
                <w:sz w:val="24"/>
                <w:szCs w:val="24"/>
                <w:lang w:val="en-US" w:eastAsia="zh-CN" w:bidi="ar"/>
              </w:rPr>
              <w:t>为</w:t>
            </w:r>
            <w:r>
              <w:rPr>
                <w:rFonts w:hint="eastAsia" w:ascii="宋体" w:hAnsi="宋体" w:eastAsia="宋体" w:cs="宋体"/>
                <w:color w:val="000000"/>
                <w:kern w:val="0"/>
                <w:sz w:val="24"/>
                <w:szCs w:val="24"/>
                <w:lang w:val="en-US" w:eastAsia="zh-CN" w:bidi="ar"/>
              </w:rPr>
              <w:t>2600万吨/年。其中</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塔然高勒1000万吨/年</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呼斯梁400万吨/年</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红庆梁600万吨/年</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油房壕300万吨/年</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泊江海子300万吨/年，西南部勘查区勘查程度低，待进一步勘查后确定开发方式。</w:t>
            </w:r>
          </w:p>
          <w:p>
            <w:pPr>
              <w:keepNext w:val="0"/>
              <w:keepLines w:val="0"/>
              <w:pageBreakBefore w:val="0"/>
              <w:widowControl/>
              <w:suppressLineNumbers w:val="0"/>
              <w:kinsoku/>
              <w:wordWrap/>
              <w:overflowPunct/>
              <w:topLinePunct w:val="0"/>
              <w:bidi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塔然高勒规划建设规模为1000万吨/年，井田范围为不规则多边形，由5个拐点坐标组成，东西长25.2km，南北宽16.0km，面积492.65km</w:t>
            </w:r>
            <w:r>
              <w:rPr>
                <w:rFonts w:hint="eastAsia" w:ascii="宋体" w:hAnsi="宋体" w:eastAsia="宋体" w:cs="宋体"/>
                <w:color w:val="000000"/>
                <w:kern w:val="0"/>
                <w:sz w:val="24"/>
                <w:szCs w:val="24"/>
                <w:vertAlign w:val="superscript"/>
                <w:lang w:val="en-US" w:eastAsia="zh-CN" w:bidi="ar"/>
              </w:rPr>
              <w:t>2</w:t>
            </w:r>
            <w:r>
              <w:rPr>
                <w:rFonts w:hint="eastAsia" w:ascii="宋体" w:hAnsi="宋体" w:eastAsia="宋体" w:cs="宋体"/>
                <w:color w:val="000000"/>
                <w:kern w:val="0"/>
                <w:sz w:val="24"/>
                <w:szCs w:val="24"/>
                <w:lang w:val="en-US" w:eastAsia="zh-CN" w:bidi="ar"/>
              </w:rPr>
              <w:t>；井田北以煤层隐伏露头线为界，南部、西部为勘查区，东南部与油房壕井田相邻，东部为呼斯梁井田。塔然高勒煤矿是塔然高勒矿区规划</w:t>
            </w:r>
            <w:r>
              <w:rPr>
                <w:rFonts w:hint="eastAsia" w:ascii="宋体" w:hAnsi="宋体" w:cs="宋体"/>
                <w:color w:val="000000"/>
                <w:kern w:val="0"/>
                <w:sz w:val="24"/>
                <w:szCs w:val="24"/>
                <w:lang w:val="en-US" w:eastAsia="zh-CN" w:bidi="ar"/>
              </w:rPr>
              <w:t>的</w:t>
            </w:r>
            <w:r>
              <w:rPr>
                <w:rFonts w:hint="eastAsia" w:ascii="宋体" w:hAnsi="宋体" w:eastAsia="宋体" w:cs="宋体"/>
                <w:color w:val="000000"/>
                <w:kern w:val="0"/>
                <w:sz w:val="24"/>
                <w:szCs w:val="24"/>
                <w:lang w:val="en-US" w:eastAsia="zh-CN" w:bidi="ar"/>
              </w:rPr>
              <w:t>矿井之一。塔然高勒煤矿建设规模、开发方式及建设时序均符合矿区总体规划及规划环评要求。本项目是塔然高勒煤矿的</w:t>
            </w:r>
            <w:r>
              <w:rPr>
                <w:rFonts w:hint="eastAsia" w:ascii="宋体" w:hAnsi="宋体" w:cs="宋体"/>
                <w:color w:val="000000"/>
                <w:kern w:val="0"/>
                <w:sz w:val="24"/>
                <w:szCs w:val="24"/>
                <w:lang w:val="en-US" w:eastAsia="zh-CN" w:bidi="ar"/>
              </w:rPr>
              <w:t>一项</w:t>
            </w:r>
            <w:r>
              <w:rPr>
                <w:rFonts w:hint="eastAsia" w:ascii="宋体" w:hAnsi="宋体" w:eastAsia="宋体" w:cs="宋体"/>
                <w:color w:val="000000"/>
                <w:kern w:val="0"/>
                <w:sz w:val="24"/>
                <w:szCs w:val="24"/>
                <w:lang w:val="en-US" w:eastAsia="zh-CN" w:bidi="ar"/>
              </w:rPr>
              <w:t>附属工程，主要建设风井场地、场外道路及其他配套工程，项目建设符合塔然高勒矿区总体规划及批复的要求。</w:t>
            </w:r>
          </w:p>
          <w:p>
            <w:pPr>
              <w:keepNext w:val="0"/>
              <w:keepLines w:val="0"/>
              <w:pageBreakBefore w:val="0"/>
              <w:widowControl/>
              <w:numPr>
                <w:ilvl w:val="0"/>
                <w:numId w:val="0"/>
              </w:numPr>
              <w:suppressLineNumbers w:val="0"/>
              <w:kinsoku/>
              <w:wordWrap/>
              <w:overflowPunct/>
              <w:topLinePunct w:val="0"/>
              <w:bidi w:val="0"/>
              <w:spacing w:line="360" w:lineRule="auto"/>
              <w:ind w:firstLine="480" w:firstLineChars="200"/>
              <w:jc w:val="left"/>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2.</w:t>
            </w:r>
            <w:r>
              <w:rPr>
                <w:rFonts w:hint="eastAsia" w:ascii="宋体" w:hAnsi="宋体" w:eastAsia="宋体" w:cs="宋体"/>
                <w:b w:val="0"/>
                <w:bCs w:val="0"/>
                <w:color w:val="000000"/>
                <w:kern w:val="0"/>
                <w:sz w:val="24"/>
                <w:szCs w:val="24"/>
                <w:lang w:val="en-US" w:eastAsia="zh-CN" w:bidi="ar"/>
              </w:rPr>
              <w:t>与《内蒙古自治区鄂尔多斯塔然高勒矿区总体规划环境影响报告书》的符合性分析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2008年3月，中煤科工集团北京华宇工程有限公司编制完成《内蒙古自治区鄂尔多斯塔然高勒矿区总体规划环境影响报告书》。2008年4月，原环境保护部以“环审〔2008〕193号”文出具了对塔然高勒矿区环境影响报告书的审查意见。具体内容见</w:t>
            </w:r>
            <w:r>
              <w:rPr>
                <w:rFonts w:hint="eastAsia" w:ascii="宋体" w:hAnsi="宋体" w:cs="宋体"/>
                <w:color w:val="000000"/>
                <w:kern w:val="0"/>
                <w:sz w:val="24"/>
                <w:szCs w:val="24"/>
                <w:lang w:val="en-US" w:eastAsia="zh-CN" w:bidi="ar"/>
              </w:rPr>
              <w:t>表1-1</w:t>
            </w:r>
            <w:r>
              <w:rPr>
                <w:rFonts w:hint="eastAsia" w:ascii="宋体" w:hAnsi="宋体" w:eastAsia="宋体" w:cs="宋体"/>
                <w:color w:val="000000"/>
                <w:kern w:val="0"/>
                <w:sz w:val="24"/>
                <w:szCs w:val="24"/>
                <w:lang w:val="en-US" w:eastAsia="zh-CN" w:bidi="ar"/>
              </w:rPr>
              <w:t>。</w:t>
            </w:r>
          </w:p>
          <w:p>
            <w:pPr>
              <w:pStyle w:val="2"/>
              <w:keepNext w:val="0"/>
              <w:keepLines w:val="0"/>
              <w:pageBreakBefore w:val="0"/>
              <w:widowControl/>
              <w:kinsoku/>
              <w:wordWrap/>
              <w:overflowPunct/>
              <w:topLinePunct w:val="0"/>
              <w:autoSpaceDE/>
              <w:autoSpaceDN/>
              <w:bidi w:val="0"/>
              <w:adjustRightInd/>
              <w:snapToGrid w:val="0"/>
              <w:spacing w:before="0" w:after="0" w:line="240" w:lineRule="auto"/>
              <w:ind w:left="0" w:right="0"/>
              <w:jc w:val="center"/>
              <w:textAlignment w:val="auto"/>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表1-1</w:t>
            </w:r>
            <w:r>
              <w:rPr>
                <w:rFonts w:hint="default" w:ascii="Times New Roman" w:hAnsi="Times New Roman" w:eastAsia="宋体" w:cs="Times New Roman"/>
                <w:color w:val="000000"/>
                <w:kern w:val="0"/>
                <w:sz w:val="21"/>
                <w:szCs w:val="21"/>
                <w:lang w:val="en-US" w:eastAsia="zh-CN" w:bidi="ar"/>
              </w:rPr>
              <w:t>项目与规划环评报告及批复的符合性分析</w:t>
            </w:r>
          </w:p>
          <w:p>
            <w:pPr>
              <w:spacing w:line="87" w:lineRule="auto"/>
              <w:rPr>
                <w:rFonts w:ascii="Arial"/>
                <w:sz w:val="2"/>
              </w:rPr>
            </w:pPr>
          </w:p>
          <w:tbl>
            <w:tblPr>
              <w:tblStyle w:val="41"/>
              <w:tblW w:w="65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0"/>
              <w:gridCol w:w="3482"/>
              <w:gridCol w:w="1966"/>
              <w:gridCol w:w="50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630"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项目</w:t>
                  </w:r>
                </w:p>
              </w:tc>
              <w:tc>
                <w:tcPr>
                  <w:tcW w:w="3482"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矿区规划环评及批复中相关要求</w:t>
                  </w:r>
                </w:p>
              </w:tc>
              <w:tc>
                <w:tcPr>
                  <w:tcW w:w="1966"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lang w:eastAsia="zh-CN"/>
                    </w:rPr>
                    <w:t>本</w:t>
                  </w:r>
                  <w:r>
                    <w:rPr>
                      <w:rFonts w:hint="default" w:ascii="Times New Roman" w:hAnsi="Times New Roman" w:eastAsia="宋体" w:cs="Times New Roman"/>
                      <w:spacing w:val="0"/>
                      <w:sz w:val="21"/>
                      <w:szCs w:val="21"/>
                    </w:rPr>
                    <w:t>项目</w:t>
                  </w:r>
                </w:p>
              </w:tc>
              <w:tc>
                <w:tcPr>
                  <w:tcW w:w="501"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符合</w:t>
                  </w:r>
                </w:p>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9" w:hRule="atLeast"/>
                <w:jc w:val="center"/>
              </w:trPr>
              <w:tc>
                <w:tcPr>
                  <w:tcW w:w="630" w:type="dxa"/>
                  <w:vMerge w:val="restart"/>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规划环</w:t>
                  </w:r>
                </w:p>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评审查</w:t>
                  </w:r>
                </w:p>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意见</w:t>
                  </w:r>
                </w:p>
              </w:tc>
              <w:tc>
                <w:tcPr>
                  <w:tcW w:w="3482"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切实做好对遗鸥国家级自然保护区的保护。在保护区北部边界以北留设宽度不低于500米的保护煤柱。油房壕井田与保护区飞地实验区的重合区应划为禁采区，并在实验区周边留设宽度不低于500米的保护煤柱。加强对鸡沟河汇水通道的保护，确保汇水功能不受影响。泊江海子井田在开发过程中首先开采中部和东部煤层，矿区西南部勘察区内的鸡沟河汇水区应暂缓开采。在矿区开发过程中，应通过整治鸡沟河上游淤地坝、增强汇水区水源涵养能力等措施，构建适合遗鸥生存的自然环境。</w:t>
                  </w:r>
                </w:p>
              </w:tc>
              <w:tc>
                <w:tcPr>
                  <w:tcW w:w="1966"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color w:val="000000"/>
                      <w:kern w:val="0"/>
                      <w:sz w:val="21"/>
                      <w:szCs w:val="21"/>
                      <w:lang w:val="en-US" w:eastAsia="zh-CN" w:bidi="ar"/>
                    </w:rPr>
                    <w:t>本项目为</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塔然高勒煤矿附属工程，主要是建设</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风井场地、场外道路及其他配套工程，</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不涉及</w:t>
                  </w:r>
                  <w:r>
                    <w:rPr>
                      <w:rFonts w:hint="default" w:ascii="Times New Roman" w:hAnsi="Times New Roman" w:eastAsia="宋体" w:cs="Times New Roman"/>
                      <w:spacing w:val="0"/>
                      <w:sz w:val="21"/>
                      <w:szCs w:val="21"/>
                    </w:rPr>
                    <w:t>井田开发</w:t>
                  </w:r>
                </w:p>
              </w:tc>
              <w:tc>
                <w:tcPr>
                  <w:tcW w:w="501"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7" w:hRule="atLeast"/>
                <w:jc w:val="center"/>
              </w:trPr>
              <w:tc>
                <w:tcPr>
                  <w:tcW w:w="63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p>
              </w:tc>
              <w:tc>
                <w:tcPr>
                  <w:tcW w:w="3482"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加强矿区生态环境治理。在矿区开发过程中，对南部井田、北部井田和西南部勘查区分别</w:t>
                  </w:r>
                  <w:r>
                    <w:rPr>
                      <w:rFonts w:hint="eastAsia" w:ascii="Times New Roman" w:hAnsi="Times New Roman" w:cs="Times New Roman"/>
                      <w:spacing w:val="0"/>
                      <w:sz w:val="21"/>
                      <w:szCs w:val="21"/>
                      <w:lang w:val="en-US" w:eastAsia="zh-CN"/>
                    </w:rPr>
                    <w:t>制定</w:t>
                  </w:r>
                  <w:r>
                    <w:rPr>
                      <w:rFonts w:hint="default" w:ascii="Times New Roman" w:hAnsi="Times New Roman" w:eastAsia="宋体" w:cs="Times New Roman"/>
                      <w:spacing w:val="0"/>
                      <w:sz w:val="21"/>
                      <w:szCs w:val="21"/>
                    </w:rPr>
                    <w:t>生态环境综合整治方案，落实资金来源和项目安排，并与煤炭资源开发同步实施。规划内所包含</w:t>
                  </w:r>
                  <w:r>
                    <w:rPr>
                      <w:rFonts w:hint="eastAsia" w:ascii="Times New Roman" w:hAnsi="Times New Roman" w:cs="Times New Roman"/>
                      <w:spacing w:val="0"/>
                      <w:sz w:val="21"/>
                      <w:szCs w:val="21"/>
                      <w:lang w:eastAsia="zh-CN"/>
                    </w:rPr>
                    <w:t>的</w:t>
                  </w:r>
                  <w:r>
                    <w:rPr>
                      <w:rFonts w:hint="default" w:ascii="Times New Roman" w:hAnsi="Times New Roman" w:eastAsia="宋体" w:cs="Times New Roman"/>
                      <w:spacing w:val="0"/>
                      <w:sz w:val="21"/>
                      <w:szCs w:val="21"/>
                    </w:rPr>
                    <w:t>建设项目在施工时应尽量缩小施工范围，减少对植被的破坏。</w:t>
                  </w:r>
                </w:p>
              </w:tc>
              <w:tc>
                <w:tcPr>
                  <w:tcW w:w="1966" w:type="dxa"/>
                  <w:vAlign w:val="center"/>
                </w:tcPr>
                <w:p>
                  <w:pPr>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宋体" w:cs="Times New Roman"/>
                      <w:spacing w:val="0"/>
                      <w:sz w:val="21"/>
                      <w:szCs w:val="21"/>
                      <w:lang w:val="en-US"/>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本项目</w:t>
                  </w:r>
                  <w:r>
                    <w:rPr>
                      <w:rFonts w:hint="default" w:ascii="Times New Roman" w:hAnsi="Times New Roman" w:eastAsia="宋体" w:cs="Times New Roman"/>
                      <w:spacing w:val="-1"/>
                      <w:sz w:val="21"/>
                      <w:szCs w:val="21"/>
                    </w:rPr>
                    <w:t>施工期间严格控制施工作业带宽度，</w:t>
                  </w:r>
                  <w:r>
                    <w:rPr>
                      <w:rFonts w:hint="default" w:ascii="Times New Roman" w:hAnsi="Times New Roman" w:eastAsia="宋体" w:cs="Times New Roman"/>
                      <w:b w:val="0"/>
                      <w:bCs w:val="0"/>
                      <w:sz w:val="21"/>
                      <w:szCs w:val="21"/>
                      <w:highlight w:val="none"/>
                    </w:rPr>
                    <w:t>各种施工活动严格控制在施工区域内，</w:t>
                  </w:r>
                  <w:r>
                    <w:rPr>
                      <w:rFonts w:hint="default" w:ascii="Times New Roman" w:hAnsi="Times New Roman" w:eastAsia="宋体" w:cs="Times New Roman"/>
                      <w:spacing w:val="-3"/>
                      <w:sz w:val="21"/>
                      <w:szCs w:val="21"/>
                    </w:rPr>
                    <w:t>风井场地外围采用方格型浆砌片石骨架内撒播草籽护坡</w:t>
                  </w:r>
                  <w:r>
                    <w:rPr>
                      <w:rFonts w:hint="default" w:ascii="Times New Roman" w:hAnsi="Times New Roman" w:eastAsia="宋体" w:cs="Times New Roman"/>
                      <w:spacing w:val="-3"/>
                      <w:sz w:val="21"/>
                      <w:szCs w:val="21"/>
                      <w:lang w:eastAsia="zh-CN"/>
                    </w:rPr>
                    <w:t>，</w:t>
                  </w:r>
                  <w:r>
                    <w:rPr>
                      <w:rFonts w:hint="default" w:ascii="Times New Roman" w:hAnsi="Times New Roman" w:eastAsia="宋体" w:cs="Times New Roman"/>
                      <w:spacing w:val="-3"/>
                      <w:sz w:val="21"/>
                      <w:szCs w:val="21"/>
                      <w:lang w:val="en-US" w:eastAsia="zh-CN"/>
                    </w:rPr>
                    <w:t>风井场地进行植树种草绿化</w:t>
                  </w:r>
                  <w:r>
                    <w:rPr>
                      <w:rFonts w:hint="eastAsia" w:cs="Times New Roman"/>
                      <w:spacing w:val="-3"/>
                      <w:sz w:val="21"/>
                      <w:szCs w:val="21"/>
                      <w:lang w:val="en-US" w:eastAsia="zh-CN"/>
                    </w:rPr>
                    <w:t>，</w:t>
                  </w:r>
                  <w:r>
                    <w:rPr>
                      <w:rFonts w:hint="default" w:ascii="Times New Roman" w:hAnsi="Times New Roman" w:eastAsia="宋体" w:cs="Times New Roman"/>
                      <w:spacing w:val="-3"/>
                      <w:sz w:val="21"/>
                      <w:szCs w:val="21"/>
                      <w:lang w:val="en-US" w:eastAsia="zh-CN"/>
                    </w:rPr>
                    <w:t>绿化面积3370m</w:t>
                  </w:r>
                  <w:r>
                    <w:rPr>
                      <w:rFonts w:hint="default" w:ascii="Times New Roman" w:hAnsi="Times New Roman" w:eastAsia="宋体" w:cs="Times New Roman"/>
                      <w:spacing w:val="-3"/>
                      <w:sz w:val="21"/>
                      <w:szCs w:val="21"/>
                      <w:vertAlign w:val="superscript"/>
                      <w:lang w:val="en-US" w:eastAsia="zh-CN"/>
                    </w:rPr>
                    <w:t>2</w:t>
                  </w:r>
                  <w:r>
                    <w:rPr>
                      <w:rFonts w:hint="default" w:ascii="Times New Roman" w:hAnsi="Times New Roman" w:eastAsia="宋体" w:cs="Times New Roman"/>
                      <w:spacing w:val="-3"/>
                      <w:sz w:val="21"/>
                      <w:szCs w:val="21"/>
                      <w:lang w:val="en-US" w:eastAsia="zh-CN"/>
                    </w:rPr>
                    <w:t>，进场道路两侧采用六边形水泥混凝土空心块植物护坡与种草籽护坡相结合</w:t>
                  </w:r>
                  <w:r>
                    <w:rPr>
                      <w:rFonts w:hint="default" w:ascii="Times New Roman" w:hAnsi="Times New Roman" w:eastAsia="宋体" w:cs="Times New Roman"/>
                      <w:spacing w:val="-3"/>
                      <w:sz w:val="21"/>
                      <w:szCs w:val="21"/>
                    </w:rPr>
                    <w:t>。</w:t>
                  </w:r>
                </w:p>
              </w:tc>
              <w:tc>
                <w:tcPr>
                  <w:tcW w:w="501"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7" w:hRule="atLeast"/>
                <w:jc w:val="center"/>
              </w:trPr>
              <w:tc>
                <w:tcPr>
                  <w:tcW w:w="63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p>
              </w:tc>
              <w:tc>
                <w:tcPr>
                  <w:tcW w:w="3482"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加强对地下水资源的保护。在矿区北部煤炭露头线附近留设一定宽度的缓冲区和足够的防水煤岩柱，确保煤炭开采不对浅部含水层造成影响。建立全矿区地下水长期动态监测计划，合理设置观测井，在地下水位大幅度下降时应立即采取禁采、限采或留设煤柱等措施保护好地下水资源。对泊江海子镇水源地、高头窑乡水源地、杭锦旗锡尼镇水源地的取水井，以及矿区范围内村庄居民沟谷旱井，应设点进行长期观测。针对采煤导致的群众用水困难问题</w:t>
                  </w:r>
                  <w:r>
                    <w:rPr>
                      <w:rFonts w:hint="eastAsia" w:ascii="Times New Roman" w:hAnsi="Times New Roman" w:cs="Times New Roman"/>
                      <w:spacing w:val="0"/>
                      <w:sz w:val="21"/>
                      <w:szCs w:val="21"/>
                      <w:lang w:eastAsia="zh-CN"/>
                    </w:rPr>
                    <w:t>，</w:t>
                  </w:r>
                  <w:r>
                    <w:rPr>
                      <w:rFonts w:hint="default" w:ascii="Times New Roman" w:hAnsi="Times New Roman" w:eastAsia="宋体" w:cs="Times New Roman"/>
                      <w:spacing w:val="0"/>
                      <w:sz w:val="21"/>
                      <w:szCs w:val="21"/>
                    </w:rPr>
                    <w:t>应采取供水等措施</w:t>
                  </w:r>
                  <w:r>
                    <w:rPr>
                      <w:rFonts w:hint="eastAsia" w:ascii="Times New Roman" w:hAnsi="Times New Roman" w:cs="Times New Roman"/>
                      <w:spacing w:val="0"/>
                      <w:sz w:val="21"/>
                      <w:szCs w:val="21"/>
                      <w:lang w:eastAsia="zh-CN"/>
                    </w:rPr>
                    <w:t>保障</w:t>
                  </w:r>
                  <w:r>
                    <w:rPr>
                      <w:rFonts w:hint="default" w:ascii="Times New Roman" w:hAnsi="Times New Roman" w:eastAsia="宋体" w:cs="Times New Roman"/>
                      <w:spacing w:val="0"/>
                      <w:sz w:val="21"/>
                      <w:szCs w:val="21"/>
                    </w:rPr>
                    <w:t>群众用水。</w:t>
                  </w:r>
                </w:p>
              </w:tc>
              <w:tc>
                <w:tcPr>
                  <w:tcW w:w="196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color w:val="000000"/>
                      <w:kern w:val="0"/>
                      <w:sz w:val="21"/>
                      <w:szCs w:val="21"/>
                      <w:lang w:val="en-US" w:eastAsia="zh-CN" w:bidi="ar"/>
                    </w:rPr>
                    <w:t>本项目为</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塔然高勒煤矿附属工程，主要是建设</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风井场地、场外道路及其他配套工程，不涉及煤炭开采，本项目建设不涉及地下水利用，进、回风立井井筒建设采用冻结法施工，有效减少穿越层的地下水渗出量</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，不会造成地下水水位大幅度下降</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501"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4" w:hRule="atLeast"/>
                <w:jc w:val="center"/>
              </w:trPr>
              <w:tc>
                <w:tcPr>
                  <w:tcW w:w="63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p>
              </w:tc>
              <w:tc>
                <w:tcPr>
                  <w:tcW w:w="3482" w:type="dxa"/>
                  <w:vAlign w:val="center"/>
                </w:tcPr>
                <w:p>
                  <w:pPr>
                    <w:pStyle w:val="42"/>
                    <w:keepNext w:val="0"/>
                    <w:keepLines w:val="0"/>
                    <w:pageBreakBefore w:val="0"/>
                    <w:widowControl w:val="0"/>
                    <w:kinsoku/>
                    <w:wordWrap/>
                    <w:overflowPunct/>
                    <w:topLinePunct w:val="0"/>
                    <w:autoSpaceDE/>
                    <w:autoSpaceDN/>
                    <w:bidi w:val="0"/>
                    <w:spacing w:line="240" w:lineRule="auto"/>
                    <w:ind w:right="0" w:rightChars="0"/>
                    <w:jc w:val="both"/>
                    <w:textAlignment w:val="auto"/>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spacing w:val="8"/>
                      <w:sz w:val="21"/>
                      <w:szCs w:val="21"/>
                    </w:rPr>
                    <w:t>加强矿井水和污废水的综合利用。在矿区范围内统筹建设矿井水和污废水的处理和综合回用设施，将矿井水和污水处理后全部回用。根据报告书提出的建议，在泊江海子井田和油坊壕井田之间构筑生态蓄水</w:t>
                  </w:r>
                  <w:r>
                    <w:rPr>
                      <w:rFonts w:hint="eastAsia" w:ascii="Times New Roman" w:hAnsi="Times New Roman" w:cs="Times New Roman"/>
                      <w:spacing w:val="8"/>
                      <w:sz w:val="21"/>
                      <w:szCs w:val="21"/>
                      <w:lang w:eastAsia="zh-CN"/>
                    </w:rPr>
                    <w:t>池，</w:t>
                  </w:r>
                  <w:r>
                    <w:rPr>
                      <w:rFonts w:hint="default" w:ascii="Times New Roman" w:hAnsi="Times New Roman" w:eastAsia="宋体" w:cs="Times New Roman"/>
                      <w:spacing w:val="8"/>
                      <w:sz w:val="21"/>
                      <w:szCs w:val="21"/>
                    </w:rPr>
                    <w:t>用于储存富余矿井水，并在征得同意后，通</w:t>
                  </w:r>
                  <w:r>
                    <w:rPr>
                      <w:rFonts w:hint="default" w:ascii="Times New Roman" w:hAnsi="Times New Roman" w:eastAsia="宋体" w:cs="Times New Roman"/>
                      <w:spacing w:val="17"/>
                      <w:sz w:val="21"/>
                      <w:szCs w:val="21"/>
                    </w:rPr>
                    <w:t>过输水明渠</w:t>
                  </w:r>
                  <w:r>
                    <w:rPr>
                      <w:rFonts w:hint="eastAsia" w:ascii="Times New Roman" w:hAnsi="Times New Roman" w:cs="Times New Roman"/>
                      <w:spacing w:val="17"/>
                      <w:sz w:val="21"/>
                      <w:szCs w:val="21"/>
                      <w:lang w:eastAsia="zh-CN"/>
                    </w:rPr>
                    <w:t>将</w:t>
                  </w:r>
                  <w:r>
                    <w:rPr>
                      <w:rFonts w:hint="default" w:ascii="Times New Roman" w:hAnsi="Times New Roman" w:eastAsia="宋体" w:cs="Times New Roman"/>
                      <w:spacing w:val="17"/>
                      <w:sz w:val="21"/>
                      <w:szCs w:val="21"/>
                    </w:rPr>
                    <w:t>符合保护区水质要求的富余矿井水</w:t>
                  </w:r>
                  <w:r>
                    <w:rPr>
                      <w:rFonts w:hint="default" w:ascii="Times New Roman" w:hAnsi="Times New Roman" w:eastAsia="宋体" w:cs="Times New Roman"/>
                      <w:spacing w:val="7"/>
                      <w:sz w:val="21"/>
                      <w:szCs w:val="21"/>
                    </w:rPr>
                    <w:t>补入保护区内</w:t>
                  </w:r>
                  <w:r>
                    <w:rPr>
                      <w:rFonts w:hint="default" w:ascii="Times New Roman" w:hAnsi="Times New Roman" w:eastAsia="宋体" w:cs="Times New Roman"/>
                      <w:spacing w:val="8"/>
                      <w:sz w:val="21"/>
                      <w:szCs w:val="21"/>
                    </w:rPr>
                    <w:t>的</w:t>
                  </w:r>
                  <w:r>
                    <w:rPr>
                      <w:rFonts w:hint="default" w:ascii="Times New Roman" w:hAnsi="Times New Roman" w:eastAsia="宋体" w:cs="Times New Roman"/>
                      <w:spacing w:val="17"/>
                      <w:sz w:val="21"/>
                      <w:szCs w:val="21"/>
                    </w:rPr>
                    <w:t>桃—阿海</w:t>
                  </w:r>
                  <w:r>
                    <w:rPr>
                      <w:rFonts w:hint="default" w:ascii="Times New Roman" w:hAnsi="Times New Roman" w:eastAsia="宋体" w:cs="Times New Roman"/>
                      <w:spacing w:val="7"/>
                      <w:sz w:val="21"/>
                      <w:szCs w:val="21"/>
                    </w:rPr>
                    <w:t>子。</w:t>
                  </w:r>
                </w:p>
              </w:tc>
              <w:tc>
                <w:tcPr>
                  <w:tcW w:w="196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spacing w:val="8"/>
                      <w:kern w:val="2"/>
                      <w:sz w:val="21"/>
                      <w:szCs w:val="21"/>
                      <w:lang w:val="en-US" w:eastAsia="en-US" w:bidi="ar-SA"/>
                    </w:rPr>
                    <w:t>本项目不新增生活污水，乏风取热设施废水、初期雨水池内储存的初期雨水被送至塔然高勒煤矿矿井水处理站进行处理，不外排。</w:t>
                  </w:r>
                </w:p>
              </w:tc>
              <w:tc>
                <w:tcPr>
                  <w:tcW w:w="501" w:type="dxa"/>
                  <w:vAlign w:val="center"/>
                </w:tcPr>
                <w:p>
                  <w:pPr>
                    <w:pStyle w:val="42"/>
                    <w:keepNext w:val="0"/>
                    <w:keepLines w:val="0"/>
                    <w:pageBreakBefore w:val="0"/>
                    <w:widowControl w:val="0"/>
                    <w:kinsoku/>
                    <w:wordWrap/>
                    <w:overflowPunct/>
                    <w:topLinePunct w:val="0"/>
                    <w:autoSpaceDE/>
                    <w:autoSpaceDN/>
                    <w:bidi w:val="0"/>
                    <w:spacing w:line="240" w:lineRule="auto"/>
                    <w:ind w:left="0" w:leftChars="0" w:right="0" w:firstLine="0"/>
                    <w:jc w:val="center"/>
                    <w:textAlignment w:val="auto"/>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spacing w:val="3"/>
                      <w:sz w:val="21"/>
                      <w:szCs w:val="21"/>
                    </w:rPr>
                    <w:t>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3" w:hRule="atLeast"/>
                <w:jc w:val="center"/>
              </w:trPr>
              <w:tc>
                <w:tcPr>
                  <w:tcW w:w="63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p>
              </w:tc>
              <w:tc>
                <w:tcPr>
                  <w:tcW w:w="3482" w:type="dxa"/>
                  <w:vAlign w:val="center"/>
                </w:tcPr>
                <w:p>
                  <w:pPr>
                    <w:pStyle w:val="42"/>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spacing w:val="8"/>
                      <w:sz w:val="21"/>
                      <w:szCs w:val="21"/>
                    </w:rPr>
                    <w:t>泊江海子镇规划控制区边界应划为禁采区，并</w:t>
                  </w:r>
                  <w:r>
                    <w:rPr>
                      <w:rFonts w:hint="default" w:ascii="Times New Roman" w:hAnsi="Times New Roman" w:eastAsia="宋体" w:cs="Times New Roman"/>
                      <w:spacing w:val="7"/>
                      <w:sz w:val="21"/>
                      <w:szCs w:val="21"/>
                    </w:rPr>
                    <w:t>从边</w:t>
                  </w:r>
                  <w:r>
                    <w:rPr>
                      <w:rFonts w:hint="default" w:ascii="Times New Roman" w:hAnsi="Times New Roman" w:eastAsia="宋体" w:cs="Times New Roman"/>
                      <w:spacing w:val="8"/>
                      <w:sz w:val="21"/>
                      <w:szCs w:val="21"/>
                    </w:rPr>
                    <w:t>界向外合理留设保护煤柱。在各井田开发之前，依托现有城镇，将受开采沉陷影响需要搬迁的居民提</w:t>
                  </w:r>
                  <w:r>
                    <w:rPr>
                      <w:rFonts w:hint="default" w:ascii="Times New Roman" w:hAnsi="Times New Roman" w:eastAsia="宋体" w:cs="Times New Roman"/>
                      <w:spacing w:val="6"/>
                      <w:sz w:val="21"/>
                      <w:szCs w:val="21"/>
                    </w:rPr>
                    <w:t>前搬迁安置。</w:t>
                  </w:r>
                </w:p>
              </w:tc>
              <w:tc>
                <w:tcPr>
                  <w:tcW w:w="1966" w:type="dxa"/>
                  <w:vAlign w:val="center"/>
                </w:tcPr>
                <w:p>
                  <w:pPr>
                    <w:pStyle w:val="42"/>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color w:val="000000"/>
                      <w:kern w:val="0"/>
                      <w:sz w:val="21"/>
                      <w:szCs w:val="21"/>
                      <w:lang w:val="en-US" w:eastAsia="zh-CN" w:bidi="ar"/>
                    </w:rPr>
                    <w:t>本项目为</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塔然高勒煤矿附属工程，主要是建设</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风井场地、场外道路及其他配套工程，不涉及煤炭开采。</w:t>
                  </w:r>
                </w:p>
              </w:tc>
              <w:tc>
                <w:tcPr>
                  <w:tcW w:w="501" w:type="dxa"/>
                  <w:vAlign w:val="center"/>
                </w:tcPr>
                <w:p>
                  <w:pPr>
                    <w:pStyle w:val="42"/>
                    <w:keepNext w:val="0"/>
                    <w:keepLines w:val="0"/>
                    <w:pageBreakBefore w:val="0"/>
                    <w:widowControl w:val="0"/>
                    <w:kinsoku/>
                    <w:wordWrap/>
                    <w:overflowPunct/>
                    <w:topLinePunct w:val="0"/>
                    <w:autoSpaceDE/>
                    <w:autoSpaceDN/>
                    <w:bidi w:val="0"/>
                    <w:spacing w:line="240" w:lineRule="auto"/>
                    <w:ind w:left="0" w:leftChars="0" w:right="0" w:firstLine="0"/>
                    <w:jc w:val="center"/>
                    <w:textAlignment w:val="auto"/>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spacing w:val="3"/>
                      <w:sz w:val="21"/>
                      <w:szCs w:val="21"/>
                    </w:rPr>
                    <w:t>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jc w:val="center"/>
              </w:trPr>
              <w:tc>
                <w:tcPr>
                  <w:tcW w:w="63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rPr>
                  </w:pPr>
                </w:p>
              </w:tc>
              <w:tc>
                <w:tcPr>
                  <w:tcW w:w="3482" w:type="dxa"/>
                  <w:vAlign w:val="center"/>
                </w:tcPr>
                <w:p>
                  <w:pPr>
                    <w:pStyle w:val="42"/>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spacing w:val="17"/>
                      <w:sz w:val="21"/>
                      <w:szCs w:val="21"/>
                    </w:rPr>
                    <w:t>污染物排放总量指标应纳入鄂尔多斯市的污染物</w:t>
                  </w:r>
                  <w:r>
                    <w:rPr>
                      <w:rFonts w:hint="default" w:ascii="Times New Roman" w:hAnsi="Times New Roman" w:eastAsia="宋体" w:cs="Times New Roman"/>
                      <w:spacing w:val="7"/>
                      <w:sz w:val="21"/>
                      <w:szCs w:val="21"/>
                    </w:rPr>
                    <w:t>排放总量控制计划。</w:t>
                  </w:r>
                </w:p>
              </w:tc>
              <w:tc>
                <w:tcPr>
                  <w:tcW w:w="1966" w:type="dxa"/>
                  <w:vAlign w:val="center"/>
                </w:tcPr>
                <w:p>
                  <w:pPr>
                    <w:pStyle w:val="42"/>
                    <w:keepNext w:val="0"/>
                    <w:keepLines w:val="0"/>
                    <w:pageBreakBefore w:val="0"/>
                    <w:widowControl w:val="0"/>
                    <w:kinsoku/>
                    <w:wordWrap/>
                    <w:overflowPunct/>
                    <w:topLinePunct w:val="0"/>
                    <w:autoSpaceDE/>
                    <w:autoSpaceDN/>
                    <w:bidi w:val="0"/>
                    <w:spacing w:line="240" w:lineRule="auto"/>
                    <w:ind w:left="0" w:leftChars="0" w:right="0" w:firstLine="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8"/>
                      <w:sz w:val="21"/>
                      <w:szCs w:val="21"/>
                    </w:rPr>
                    <w:t>项目不涉及总量控制指标</w:t>
                  </w:r>
                  <w:r>
                    <w:rPr>
                      <w:rFonts w:hint="eastAsia" w:ascii="Times New Roman" w:hAnsi="Times New Roman" w:cs="Times New Roman"/>
                      <w:spacing w:val="8"/>
                      <w:sz w:val="21"/>
                      <w:szCs w:val="21"/>
                      <w:lang w:eastAsia="zh-CN"/>
                    </w:rPr>
                    <w:t>。</w:t>
                  </w:r>
                </w:p>
              </w:tc>
              <w:tc>
                <w:tcPr>
                  <w:tcW w:w="501" w:type="dxa"/>
                  <w:vAlign w:val="center"/>
                </w:tcPr>
                <w:p>
                  <w:pPr>
                    <w:pStyle w:val="42"/>
                    <w:keepNext w:val="0"/>
                    <w:keepLines w:val="0"/>
                    <w:pageBreakBefore w:val="0"/>
                    <w:widowControl w:val="0"/>
                    <w:kinsoku/>
                    <w:wordWrap/>
                    <w:overflowPunct/>
                    <w:topLinePunct w:val="0"/>
                    <w:autoSpaceDE/>
                    <w:autoSpaceDN/>
                    <w:bidi w:val="0"/>
                    <w:spacing w:line="240" w:lineRule="auto"/>
                    <w:ind w:left="0" w:leftChars="0" w:right="0" w:firstLine="0"/>
                    <w:jc w:val="center"/>
                    <w:textAlignment w:val="auto"/>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spacing w:val="3"/>
                      <w:sz w:val="21"/>
                      <w:szCs w:val="21"/>
                    </w:rPr>
                    <w:t>符合</w:t>
                  </w:r>
                </w:p>
              </w:tc>
            </w:tr>
          </w:tbl>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由上表可知</w:t>
            </w:r>
            <w:r>
              <w:rPr>
                <w:rFonts w:hint="eastAsia" w:ascii="宋体" w:hAnsi="宋体" w:cs="宋体"/>
                <w:color w:val="000000"/>
                <w:kern w:val="0"/>
                <w:sz w:val="24"/>
                <w:szCs w:val="24"/>
                <w:lang w:val="en-US" w:eastAsia="zh-CN" w:bidi="ar"/>
              </w:rPr>
              <w:t>，本</w:t>
            </w:r>
            <w:r>
              <w:rPr>
                <w:rFonts w:hint="eastAsia" w:ascii="宋体" w:hAnsi="宋体" w:eastAsia="宋体" w:cs="宋体"/>
                <w:color w:val="000000"/>
                <w:kern w:val="0"/>
                <w:sz w:val="24"/>
                <w:szCs w:val="24"/>
                <w:lang w:val="en-US" w:eastAsia="zh-CN" w:bidi="ar"/>
              </w:rPr>
              <w:t>项目符合规划环评审查意见的要求</w:t>
            </w:r>
            <w:r>
              <w:rPr>
                <w:rFonts w:hint="eastAsia" w:ascii="宋体" w:hAnsi="宋体" w:cs="宋体"/>
                <w:color w:val="000000"/>
                <w:kern w:val="0"/>
                <w:sz w:val="24"/>
                <w:szCs w:val="24"/>
                <w:lang w:val="en-US" w:eastAsia="zh-CN" w:bidi="ar"/>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31" w:hRule="atLeast"/>
        </w:trPr>
        <w:tc>
          <w:tcPr>
            <w:tcW w:w="2226" w:type="dxa"/>
            <w:noWrap w:val="0"/>
            <w:tcMar>
              <w:top w:w="16" w:type="dxa"/>
              <w:left w:w="16" w:type="dxa"/>
              <w:right w:w="16" w:type="dxa"/>
            </w:tcMar>
            <w:vAlign w:val="center"/>
          </w:tcPr>
          <w:p>
            <w:pPr>
              <w:autoSpaceDE w:val="0"/>
              <w:autoSpaceDN w:val="0"/>
              <w:adjustRightInd w:val="0"/>
              <w:snapToGrid w:val="0"/>
              <w:jc w:val="center"/>
              <w:rPr>
                <w:rFonts w:ascii="宋体" w:hAnsi="宋体" w:cs="宋体"/>
                <w:kern w:val="0"/>
                <w:szCs w:val="21"/>
                <w:highlight w:val="none"/>
              </w:rPr>
            </w:pPr>
            <w:bookmarkStart w:id="1" w:name="_Hlk56690880"/>
            <w:r>
              <w:rPr>
                <w:rFonts w:hint="eastAsia" w:ascii="宋体" w:hAnsi="宋体" w:cs="宋体"/>
                <w:kern w:val="0"/>
                <w:szCs w:val="21"/>
                <w:highlight w:val="none"/>
              </w:rPr>
              <w:t>其他符合性分析</w:t>
            </w:r>
            <w:bookmarkEnd w:id="1"/>
          </w:p>
        </w:tc>
        <w:tc>
          <w:tcPr>
            <w:tcW w:w="6813" w:type="dxa"/>
            <w:gridSpan w:val="3"/>
            <w:noWrap w:val="0"/>
            <w:tcMar>
              <w:top w:w="16" w:type="dxa"/>
              <w:left w:w="16" w:type="dxa"/>
              <w:right w:w="16" w:type="dxa"/>
            </w:tcMar>
            <w:vAlign w:val="center"/>
          </w:tcPr>
          <w:p>
            <w:pPr>
              <w:autoSpaceDE w:val="0"/>
              <w:autoSpaceDN w:val="0"/>
              <w:adjustRightInd w:val="0"/>
              <w:snapToGrid w:val="0"/>
              <w:spacing w:line="36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一、产业政策符合性分析</w:t>
            </w:r>
          </w:p>
          <w:p>
            <w:pPr>
              <w:autoSpaceDE w:val="0"/>
              <w:autoSpaceDN w:val="0"/>
              <w:adjustRightInd w:val="0"/>
              <w:snapToGrid w:val="0"/>
              <w:spacing w:line="360" w:lineRule="auto"/>
              <w:ind w:firstLine="480" w:firstLineChars="200"/>
              <w:jc w:val="both"/>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rPr>
              <w:t>本项目</w:t>
            </w:r>
            <w:r>
              <w:rPr>
                <w:rFonts w:hint="default" w:ascii="Times New Roman" w:hAnsi="Times New Roman" w:cs="Times New Roman"/>
                <w:sz w:val="24"/>
                <w:szCs w:val="24"/>
                <w:highlight w:val="none"/>
                <w:lang w:val="en-US" w:eastAsia="zh-CN"/>
              </w:rPr>
              <w:t>主要是建设风井场地、场外道路及其他配套工程</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val="en-US" w:eastAsia="zh-CN"/>
              </w:rPr>
              <w:t>《产业结构调整指导目录</w:t>
            </w:r>
            <w:r>
              <w:rPr>
                <w:rFonts w:hint="eastAsia" w:cs="Times New Roman"/>
                <w:sz w:val="24"/>
                <w:szCs w:val="24"/>
                <w:highlight w:val="none"/>
                <w:lang w:val="en-US" w:eastAsia="zh-CN"/>
              </w:rPr>
              <w:t>（2024</w:t>
            </w:r>
            <w:r>
              <w:rPr>
                <w:rFonts w:hint="default" w:ascii="Times New Roman" w:hAnsi="Times New Roman" w:cs="Times New Roman"/>
                <w:sz w:val="24"/>
                <w:szCs w:val="24"/>
                <w:highlight w:val="none"/>
                <w:lang w:val="en-US" w:eastAsia="zh-CN"/>
              </w:rPr>
              <w:t>年本）》</w:t>
            </w:r>
            <w:r>
              <w:rPr>
                <w:rFonts w:hint="eastAsia" w:ascii="Times New Roman" w:hAnsi="Times New Roman" w:cs="Times New Roman"/>
                <w:sz w:val="24"/>
                <w:szCs w:val="24"/>
                <w:highlight w:val="none"/>
                <w:lang w:val="en-US" w:eastAsia="zh-CN"/>
              </w:rPr>
              <w:t>由鼓励、限制和淘汰三类目录组成。</w:t>
            </w:r>
            <w:r>
              <w:rPr>
                <w:rFonts w:hint="default" w:ascii="Times New Roman" w:hAnsi="Times New Roman" w:cs="Times New Roman"/>
                <w:sz w:val="24"/>
                <w:szCs w:val="24"/>
                <w:highlight w:val="none"/>
                <w:lang w:val="en-US" w:eastAsia="zh-CN"/>
              </w:rPr>
              <w:t>鼓励类、限制类和淘汰类之外的，且符合国家有关法律、法规和政策规定的属于允许类。本项目不属于鼓励类、限制类、淘汰类项目，本项目已取得杭锦旗发展和改革委员会出具的项目备案告知书，项目代码为2310</w:t>
            </w:r>
            <w:r>
              <w:rPr>
                <w:rFonts w:hint="eastAsia" w:cs="Times New Roman"/>
                <w:sz w:val="24"/>
                <w:szCs w:val="24"/>
                <w:highlight w:val="none"/>
                <w:lang w:val="en-US" w:eastAsia="zh-CN"/>
              </w:rPr>
              <w:t>-</w:t>
            </w:r>
            <w:r>
              <w:rPr>
                <w:rFonts w:hint="default" w:ascii="Times New Roman" w:hAnsi="Times New Roman" w:cs="Times New Roman"/>
                <w:sz w:val="24"/>
                <w:szCs w:val="24"/>
                <w:highlight w:val="none"/>
                <w:lang w:val="en-US" w:eastAsia="zh-CN"/>
              </w:rPr>
              <w:t>150625</w:t>
            </w:r>
            <w:r>
              <w:rPr>
                <w:rFonts w:hint="eastAsia" w:cs="Times New Roman"/>
                <w:sz w:val="24"/>
                <w:szCs w:val="24"/>
                <w:highlight w:val="none"/>
                <w:lang w:val="en-US" w:eastAsia="zh-CN"/>
              </w:rPr>
              <w:t>-</w:t>
            </w:r>
            <w:r>
              <w:rPr>
                <w:rFonts w:hint="default" w:ascii="Times New Roman" w:hAnsi="Times New Roman" w:cs="Times New Roman"/>
                <w:sz w:val="24"/>
                <w:szCs w:val="24"/>
                <w:highlight w:val="none"/>
                <w:lang w:val="en-US" w:eastAsia="zh-CN"/>
              </w:rPr>
              <w:t>04</w:t>
            </w:r>
            <w:r>
              <w:rPr>
                <w:rFonts w:hint="eastAsia" w:cs="Times New Roman"/>
                <w:sz w:val="24"/>
                <w:szCs w:val="24"/>
                <w:highlight w:val="none"/>
                <w:lang w:val="en-US" w:eastAsia="zh-CN"/>
              </w:rPr>
              <w:t>-</w:t>
            </w:r>
            <w:r>
              <w:rPr>
                <w:rFonts w:hint="default" w:ascii="Times New Roman" w:hAnsi="Times New Roman" w:cs="Times New Roman"/>
                <w:sz w:val="24"/>
                <w:szCs w:val="24"/>
                <w:highlight w:val="none"/>
                <w:lang w:val="en-US" w:eastAsia="zh-CN"/>
              </w:rPr>
              <w:t>05</w:t>
            </w:r>
            <w:r>
              <w:rPr>
                <w:rFonts w:hint="eastAsia" w:cs="Times New Roman"/>
                <w:sz w:val="24"/>
                <w:szCs w:val="24"/>
                <w:highlight w:val="none"/>
                <w:lang w:val="en-US" w:eastAsia="zh-CN"/>
              </w:rPr>
              <w:t>-</w:t>
            </w:r>
            <w:r>
              <w:rPr>
                <w:rFonts w:hint="default" w:ascii="Times New Roman" w:hAnsi="Times New Roman" w:cs="Times New Roman"/>
                <w:sz w:val="24"/>
                <w:szCs w:val="24"/>
                <w:highlight w:val="none"/>
                <w:lang w:val="en-US" w:eastAsia="zh-CN"/>
              </w:rPr>
              <w:t>497585，属于允许类项目。项目的建设符合国家现行产业政策要求。</w:t>
            </w:r>
          </w:p>
          <w:p>
            <w:pPr>
              <w:autoSpaceDE w:val="0"/>
              <w:autoSpaceDN w:val="0"/>
              <w:adjustRightInd w:val="0"/>
              <w:snapToGrid w:val="0"/>
              <w:spacing w:line="360" w:lineRule="auto"/>
              <w:ind w:firstLine="480" w:firstLineChars="200"/>
              <w:jc w:val="left"/>
              <w:rPr>
                <w:rFonts w:hint="default" w:ascii="Times New Roman" w:hAnsi="Times New Roman" w:cs="Times New Roman"/>
                <w:sz w:val="24"/>
                <w:szCs w:val="24"/>
                <w:highlight w:val="none"/>
              </w:rPr>
            </w:pPr>
            <w:r>
              <w:rPr>
                <w:rFonts w:hint="eastAsia" w:cs="Times New Roman"/>
                <w:sz w:val="24"/>
                <w:szCs w:val="24"/>
                <w:highlight w:val="none"/>
                <w:lang w:eastAsia="zh-CN"/>
              </w:rPr>
              <w:t>二</w:t>
            </w:r>
            <w:r>
              <w:rPr>
                <w:rFonts w:hint="default" w:ascii="Times New Roman" w:hAnsi="Times New Roman" w:cs="Times New Roman"/>
                <w:sz w:val="24"/>
                <w:szCs w:val="24"/>
                <w:highlight w:val="none"/>
              </w:rPr>
              <w:t>、与“三线一单”的符合性分析</w:t>
            </w:r>
          </w:p>
          <w:p>
            <w:pPr>
              <w:autoSpaceDE w:val="0"/>
              <w:autoSpaceDN w:val="0"/>
              <w:adjustRightInd w:val="0"/>
              <w:snapToGrid w:val="0"/>
              <w:spacing w:line="36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生态保护红线是指在生态空间范围内具有特殊重要生态功能、必须强制性严格保护的区域。这些区域是保障和维护国家生态安全的底线和生命线，通常包括具有重要水源涵养、生物多样性维护、水土保持、防风固沙、海岸生态稳定等功能的生态功能重要区域，以及水土流失、土地沙化、石漠化、盐渍化等生态环境敏感脆弱区域。按照“只能增加、不能减少”的基本要求，实施严格管控。</w:t>
            </w:r>
          </w:p>
          <w:p>
            <w:pPr>
              <w:autoSpaceDE w:val="0"/>
              <w:autoSpaceDN w:val="0"/>
              <w:adjustRightInd w:val="0"/>
              <w:snapToGrid w:val="0"/>
              <w:spacing w:line="360" w:lineRule="auto"/>
              <w:ind w:firstLine="480" w:firstLineChars="200"/>
              <w:jc w:val="left"/>
              <w:rPr>
                <w:rFonts w:hint="eastAsia"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rPr>
              <w:t>按照《鄂尔多斯市人民政府关于实施“三线一单”生态环境分区管控的意见》，全市共划分环境管控单元163个，包括优先保护单元69个、重点管控单元87个、一般管控单元7个，实施分类管控。</w:t>
            </w:r>
            <w:r>
              <w:rPr>
                <w:rFonts w:hint="eastAsia" w:cs="Times New Roman"/>
                <w:sz w:val="24"/>
                <w:szCs w:val="24"/>
                <w:highlight w:val="none"/>
                <w:lang w:val="en-US" w:eastAsia="zh-CN"/>
              </w:rPr>
              <w:t xml:space="preserve"> </w:t>
            </w:r>
          </w:p>
          <w:p>
            <w:pPr>
              <w:numPr>
                <w:ilvl w:val="0"/>
                <w:numId w:val="0"/>
              </w:numPr>
              <w:autoSpaceDE w:val="0"/>
              <w:autoSpaceDN w:val="0"/>
              <w:adjustRightInd w:val="0"/>
              <w:snapToGrid w:val="0"/>
              <w:spacing w:line="360" w:lineRule="auto"/>
              <w:ind w:firstLine="480" w:firstLineChars="200"/>
              <w:jc w:val="both"/>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生态保护红线：本项目位于</w:t>
            </w:r>
            <w:r>
              <w:rPr>
                <w:rFonts w:hint="eastAsia" w:ascii="Times New Roman" w:hAnsi="Times New Roman" w:cs="Times New Roman"/>
                <w:color w:val="auto"/>
                <w:sz w:val="24"/>
                <w:szCs w:val="24"/>
                <w:highlight w:val="none"/>
                <w:lang w:eastAsia="zh-CN"/>
              </w:rPr>
              <w:t>鄂尔多斯市</w:t>
            </w:r>
            <w:r>
              <w:rPr>
                <w:rFonts w:hint="eastAsia" w:ascii="Times New Roman" w:hAnsi="Times New Roman" w:cs="Times New Roman"/>
                <w:color w:val="auto"/>
                <w:sz w:val="24"/>
                <w:szCs w:val="24"/>
                <w:highlight w:val="none"/>
                <w:lang w:val="en-US" w:eastAsia="zh-CN"/>
              </w:rPr>
              <w:t>杭锦旗独贵塔拉镇乌定补拉格村</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环境管控单元</w:t>
            </w:r>
            <w:r>
              <w:rPr>
                <w:rFonts w:hint="eastAsia" w:cs="Times New Roman"/>
                <w:color w:val="auto"/>
                <w:sz w:val="24"/>
                <w:szCs w:val="24"/>
                <w:highlight w:val="none"/>
                <w:lang w:val="en-US" w:eastAsia="zh-CN"/>
              </w:rPr>
              <w:t>为塔然高勒矿区，</w:t>
            </w:r>
            <w:r>
              <w:rPr>
                <w:rFonts w:hint="eastAsia" w:ascii="Times New Roman" w:hAnsi="Times New Roman" w:cs="Times New Roman"/>
                <w:color w:val="auto"/>
                <w:sz w:val="24"/>
                <w:szCs w:val="24"/>
                <w:highlight w:val="none"/>
              </w:rPr>
              <w:t>管控单元</w:t>
            </w:r>
            <w:r>
              <w:rPr>
                <w:rFonts w:hint="eastAsia" w:ascii="Times New Roman" w:hAnsi="Times New Roman" w:cs="Times New Roman"/>
                <w:color w:val="auto"/>
                <w:sz w:val="24"/>
                <w:szCs w:val="24"/>
                <w:highlight w:val="none"/>
                <w:lang w:val="en-US" w:eastAsia="zh-CN"/>
              </w:rPr>
              <w:t>编码：</w:t>
            </w:r>
            <w:r>
              <w:rPr>
                <w:rFonts w:hint="eastAsia" w:cs="Times New Roman"/>
                <w:color w:val="auto"/>
                <w:sz w:val="24"/>
                <w:szCs w:val="24"/>
                <w:highlight w:val="none"/>
                <w:lang w:val="en-US" w:eastAsia="zh-CN"/>
              </w:rPr>
              <w:t>ZH15062520005，</w:t>
            </w:r>
            <w:r>
              <w:rPr>
                <w:rFonts w:hint="default" w:ascii="Times New Roman" w:hAnsi="Times New Roman" w:cs="Times New Roman"/>
                <w:color w:val="auto"/>
                <w:sz w:val="24"/>
                <w:szCs w:val="24"/>
                <w:highlight w:val="none"/>
              </w:rPr>
              <w:t>属于</w:t>
            </w:r>
            <w:r>
              <w:rPr>
                <w:rFonts w:hint="default" w:ascii="Times New Roman" w:hAnsi="Times New Roman" w:cs="Times New Roman"/>
                <w:color w:val="auto"/>
                <w:sz w:val="24"/>
                <w:szCs w:val="24"/>
                <w:highlight w:val="none"/>
                <w:lang w:eastAsia="zh-CN"/>
              </w:rPr>
              <w:t>重点</w:t>
            </w:r>
            <w:r>
              <w:rPr>
                <w:rFonts w:hint="default" w:ascii="Times New Roman" w:hAnsi="Times New Roman" w:cs="Times New Roman"/>
                <w:color w:val="auto"/>
                <w:sz w:val="24"/>
                <w:szCs w:val="24"/>
                <w:highlight w:val="none"/>
              </w:rPr>
              <w:t>管控单元。评价区内无饮用水水源地、自然保护区、风景名胜区等特殊环境敏感区</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本项目不在生态红线范围内</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符合生态保护红线管控要求</w:t>
            </w:r>
            <w:r>
              <w:rPr>
                <w:rFonts w:hint="eastAsia" w:cs="Times New Roman"/>
                <w:color w:val="auto"/>
                <w:sz w:val="24"/>
                <w:szCs w:val="24"/>
                <w:highlight w:val="none"/>
                <w:lang w:eastAsia="zh-CN"/>
              </w:rPr>
              <w:t>。</w:t>
            </w:r>
          </w:p>
          <w:p>
            <w:pPr>
              <w:numPr>
                <w:ilvl w:val="0"/>
                <w:numId w:val="0"/>
              </w:numPr>
              <w:autoSpaceDE w:val="0"/>
              <w:autoSpaceDN w:val="0"/>
              <w:adjustRightInd w:val="0"/>
              <w:snapToGrid w:val="0"/>
              <w:spacing w:line="36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2</w:t>
            </w:r>
            <w:r>
              <w:rPr>
                <w:rFonts w:hint="eastAsia" w:cs="Times New Roman"/>
                <w:sz w:val="24"/>
                <w:szCs w:val="24"/>
                <w:highlight w:val="none"/>
                <w:lang w:eastAsia="zh-CN"/>
              </w:rPr>
              <w:t>.</w:t>
            </w:r>
            <w:r>
              <w:rPr>
                <w:rFonts w:hint="default" w:ascii="Times New Roman" w:hAnsi="Times New Roman" w:cs="Times New Roman"/>
                <w:sz w:val="24"/>
                <w:szCs w:val="24"/>
                <w:highlight w:val="none"/>
              </w:rPr>
              <w:t>环境质量底线</w:t>
            </w:r>
          </w:p>
          <w:p>
            <w:pPr>
              <w:autoSpaceDE w:val="0"/>
              <w:autoSpaceDN w:val="0"/>
              <w:adjustRightInd w:val="0"/>
              <w:snapToGrid w:val="0"/>
              <w:spacing w:line="360" w:lineRule="auto"/>
              <w:ind w:firstLine="480" w:firstLineChars="200"/>
              <w:jc w:val="both"/>
              <w:rPr>
                <w:rFonts w:hint="default" w:ascii="Times New Roman" w:hAnsi="Times New Roman" w:cs="Times New Roman"/>
                <w:sz w:val="24"/>
                <w:szCs w:val="24"/>
                <w:highlight w:val="none"/>
              </w:rPr>
            </w:pPr>
            <w:r>
              <w:rPr>
                <w:rFonts w:hint="eastAsia" w:ascii="Times New Roman" w:hAnsi="Times New Roman" w:cs="Times New Roman"/>
                <w:color w:val="000000" w:themeColor="text1"/>
                <w:sz w:val="24"/>
                <w:szCs w:val="24"/>
                <w:highlight w:val="none"/>
                <w:lang w:eastAsia="zh-CN"/>
                <w14:textFill>
                  <w14:solidFill>
                    <w14:schemeClr w14:val="tx1"/>
                  </w14:solidFill>
                </w14:textFill>
              </w:rPr>
              <w:t>根据</w:t>
            </w:r>
            <w:r>
              <w:rPr>
                <w:rFonts w:hint="default" w:ascii="Times New Roman" w:hAnsi="Times New Roman" w:cs="Times New Roman"/>
                <w:color w:val="000000" w:themeColor="text1"/>
                <w:sz w:val="24"/>
                <w:szCs w:val="24"/>
                <w:highlight w:val="none"/>
                <w:lang w:eastAsia="zh-CN"/>
                <w14:textFill>
                  <w14:solidFill>
                    <w14:schemeClr w14:val="tx1"/>
                  </w14:solidFill>
                </w14:textFill>
              </w:rPr>
              <w:t>2022年《内蒙古自治区生态环境状况公报》统计</w:t>
            </w:r>
            <w:r>
              <w:rPr>
                <w:rFonts w:hint="default" w:ascii="Times New Roman" w:hAnsi="Times New Roman" w:cs="Times New Roman"/>
                <w:color w:val="000000" w:themeColor="text1"/>
                <w:sz w:val="24"/>
                <w:highlight w:val="none"/>
                <w14:textFill>
                  <w14:solidFill>
                    <w14:schemeClr w14:val="tx1"/>
                  </w14:solidFill>
                </w14:textFill>
              </w:rPr>
              <w:t>数据</w:t>
            </w:r>
            <w:r>
              <w:rPr>
                <w:rFonts w:hint="default" w:ascii="Times New Roman" w:hAnsi="Times New Roman" w:cs="Times New Roman"/>
                <w:sz w:val="24"/>
                <w:szCs w:val="24"/>
                <w:highlight w:val="none"/>
              </w:rPr>
              <w:t>，鄂尔多斯市202</w:t>
            </w:r>
            <w:r>
              <w:rPr>
                <w:rFonts w:hint="eastAsia" w:cs="Times New Roman"/>
                <w:sz w:val="24"/>
                <w:szCs w:val="24"/>
                <w:highlight w:val="none"/>
                <w:lang w:val="en-US" w:eastAsia="zh-CN"/>
              </w:rPr>
              <w:t>2</w:t>
            </w:r>
            <w:r>
              <w:rPr>
                <w:rFonts w:hint="default" w:ascii="Times New Roman" w:hAnsi="Times New Roman" w:cs="Times New Roman"/>
                <w:sz w:val="24"/>
                <w:szCs w:val="24"/>
                <w:highlight w:val="none"/>
              </w:rPr>
              <w:t>年</w:t>
            </w:r>
            <w:r>
              <w:rPr>
                <w:rFonts w:hint="default" w:ascii="Times New Roman" w:hAnsi="Times New Roman" w:cs="Times New Roman"/>
                <w:sz w:val="24"/>
                <w:szCs w:val="24"/>
                <w:highlight w:val="none"/>
                <w:lang w:val="zh-CN"/>
              </w:rPr>
              <w:t>区域大气污染物年平均浓度均低于《环境空气质量标准》</w:t>
            </w:r>
            <w:r>
              <w:rPr>
                <w:rFonts w:hint="eastAsia" w:cs="Times New Roman"/>
                <w:sz w:val="24"/>
                <w:szCs w:val="24"/>
                <w:highlight w:val="none"/>
                <w:lang w:val="zh-CN"/>
              </w:rPr>
              <w:t>（</w:t>
            </w:r>
            <w:r>
              <w:rPr>
                <w:rFonts w:hint="default" w:ascii="Times New Roman" w:hAnsi="Times New Roman" w:cs="Times New Roman"/>
                <w:sz w:val="24"/>
                <w:szCs w:val="24"/>
                <w:highlight w:val="none"/>
                <w:lang w:val="zh-CN"/>
              </w:rPr>
              <w:t>GB3095－2012）及其修改单二级标准浓度限值要求</w:t>
            </w:r>
            <w:r>
              <w:rPr>
                <w:rFonts w:hint="eastAsia" w:cs="Times New Roman"/>
                <w:sz w:val="24"/>
                <w:szCs w:val="24"/>
                <w:highlight w:val="none"/>
                <w:lang w:val="zh-CN"/>
              </w:rPr>
              <w:t>。</w:t>
            </w:r>
            <w:r>
              <w:rPr>
                <w:rFonts w:hint="default" w:ascii="Times New Roman" w:hAnsi="Times New Roman" w:cs="Times New Roman"/>
                <w:sz w:val="24"/>
                <w:szCs w:val="24"/>
                <w:highlight w:val="none"/>
              </w:rPr>
              <w:t>目前，</w:t>
            </w:r>
            <w:r>
              <w:rPr>
                <w:rFonts w:hint="eastAsia" w:cs="Times New Roman"/>
                <w:sz w:val="24"/>
                <w:szCs w:val="24"/>
                <w:highlight w:val="none"/>
                <w:lang w:eastAsia="zh-CN"/>
              </w:rPr>
              <w:t>该</w:t>
            </w:r>
            <w:r>
              <w:rPr>
                <w:rFonts w:hint="default" w:ascii="Times New Roman" w:hAnsi="Times New Roman" w:cs="Times New Roman"/>
                <w:sz w:val="24"/>
                <w:szCs w:val="24"/>
                <w:highlight w:val="none"/>
              </w:rPr>
              <w:t>项目的声环境质量已经能够满足《声环境质量标准》</w:t>
            </w:r>
            <w:r>
              <w:rPr>
                <w:rFonts w:hint="eastAsia" w:cs="Times New Roman"/>
                <w:sz w:val="24"/>
                <w:szCs w:val="24"/>
                <w:highlight w:val="none"/>
                <w:lang w:eastAsia="zh-CN"/>
              </w:rPr>
              <w:t>（</w:t>
            </w:r>
            <w:r>
              <w:rPr>
                <w:rFonts w:hint="default" w:ascii="Times New Roman" w:hAnsi="Times New Roman" w:cs="Times New Roman"/>
                <w:sz w:val="24"/>
                <w:szCs w:val="24"/>
                <w:highlight w:val="none"/>
              </w:rPr>
              <w:t>GB3096</w:t>
            </w:r>
            <w:r>
              <w:rPr>
                <w:rFonts w:hint="eastAsia" w:cs="Times New Roman"/>
                <w:sz w:val="24"/>
                <w:szCs w:val="24"/>
                <w:highlight w:val="none"/>
                <w:lang w:eastAsia="zh-CN"/>
              </w:rPr>
              <w:t>-</w:t>
            </w:r>
            <w:r>
              <w:rPr>
                <w:rFonts w:hint="default" w:ascii="Times New Roman" w:hAnsi="Times New Roman" w:cs="Times New Roman"/>
                <w:sz w:val="24"/>
                <w:szCs w:val="24"/>
                <w:highlight w:val="none"/>
              </w:rPr>
              <w:t>2008）1类标准。本项目运营过程中会产生一定量的废气、废水、噪声和固体废物，采取相应措施后均可达标排放，不会明显降低区域环境质量现状</w:t>
            </w:r>
            <w:r>
              <w:rPr>
                <w:rFonts w:hint="eastAsia" w:cs="Times New Roman"/>
                <w:sz w:val="24"/>
                <w:szCs w:val="24"/>
                <w:highlight w:val="none"/>
                <w:lang w:val="en-US" w:eastAsia="zh-CN"/>
              </w:rPr>
              <w:t>。</w:t>
            </w:r>
            <w:r>
              <w:rPr>
                <w:rFonts w:hint="default" w:ascii="Times New Roman" w:hAnsi="Times New Roman" w:cs="Times New Roman"/>
                <w:sz w:val="24"/>
                <w:szCs w:val="24"/>
                <w:highlight w:val="none"/>
              </w:rPr>
              <w:t>项目的建设符合鄂尔多斯市的环境质量底线要求。</w:t>
            </w:r>
          </w:p>
          <w:p>
            <w:pPr>
              <w:pStyle w:val="10"/>
              <w:ind w:left="0" w:leftChars="0" w:firstLine="0" w:firstLineChars="0"/>
              <w:rPr>
                <w:rFonts w:hint="default" w:ascii="Times New Roman" w:hAnsi="Times New Roman" w:cs="Times New Roman"/>
                <w:sz w:val="24"/>
                <w:szCs w:val="24"/>
                <w:highlight w:val="none"/>
              </w:rPr>
            </w:pPr>
            <w:r>
              <w:rPr>
                <w:sz w:val="24"/>
                <w:highlight w:val="none"/>
              </w:rPr>
              <mc:AlternateContent>
                <mc:Choice Requires="wps">
                  <w:drawing>
                    <wp:anchor distT="0" distB="0" distL="114300" distR="114300" simplePos="0" relativeHeight="251661312" behindDoc="0" locked="0" layoutInCell="1" allowOverlap="1">
                      <wp:simplePos x="0" y="0"/>
                      <wp:positionH relativeFrom="column">
                        <wp:posOffset>2005330</wp:posOffset>
                      </wp:positionH>
                      <wp:positionV relativeFrom="paragraph">
                        <wp:posOffset>1316355</wp:posOffset>
                      </wp:positionV>
                      <wp:extent cx="861695" cy="269875"/>
                      <wp:effectExtent l="5080" t="339725" r="17145" b="15240"/>
                      <wp:wrapNone/>
                      <wp:docPr id="39" name="矩形标注 39"/>
                      <wp:cNvGraphicFramePr/>
                      <a:graphic xmlns:a="http://schemas.openxmlformats.org/drawingml/2006/main">
                        <a:graphicData uri="http://schemas.microsoft.com/office/word/2010/wordprocessingShape">
                          <wps:wsp>
                            <wps:cNvSpPr/>
                            <wps:spPr>
                              <a:xfrm>
                                <a:off x="5005070" y="7175500"/>
                                <a:ext cx="861695" cy="269875"/>
                              </a:xfrm>
                              <a:prstGeom prst="wedgeRectCallout">
                                <a:avLst>
                                  <a:gd name="adj1" fmla="val -41871"/>
                                  <a:gd name="adj2" fmla="val -169529"/>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57.9pt;margin-top:103.65pt;height:21.25pt;width:67.85pt;z-index:251661312;v-text-anchor:middle;mso-width-relative:page;mso-height-relative:page;" filled="f" stroked="t" coordsize="21600,21600" o:gfxdata="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&#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IfE3JLYAAAACwEAAA8AAAAAAAAAAQAgAAAAIgAAAGRy&#10;cy9kb3ducmV2LnhtbFBLAQIUABQAAAAIAIdO4kC667XasAIAAEgFAAAOAAAAAAAAAAEAIAAAACcB&#10;AABkcnMvZTJvRG9jLnhtbFBLBQYAAAAABgAGAFkBAABJBgAAAAA=&#10;" adj="1756,-25818">
                      <v:fill on="f" focussize="0,0"/>
                      <v:stroke color="#000000 [3213]" miterlimit="8" joinstyle="miter"/>
                      <v:imagedata o:title=""/>
                      <o:lock v:ext="edit" aspectratio="f"/>
                      <v:textbox>
                        <w:txbxContent>
                          <w:p>
                            <w:pPr>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本项目位置</w:t>
                            </w:r>
                          </w:p>
                        </w:txbxContent>
                      </v:textbox>
                    </v:shape>
                  </w:pict>
                </mc:Fallback>
              </mc:AlternateContent>
            </w:r>
            <w:r>
              <w:rPr>
                <w:sz w:val="24"/>
                <w:highlight w:val="none"/>
              </w:rPr>
              <mc:AlternateContent>
                <mc:Choice Requires="wps">
                  <w:drawing>
                    <wp:anchor distT="0" distB="0" distL="114300" distR="114300" simplePos="0" relativeHeight="251660288" behindDoc="0" locked="0" layoutInCell="1" allowOverlap="1">
                      <wp:simplePos x="0" y="0"/>
                      <wp:positionH relativeFrom="column">
                        <wp:posOffset>2021205</wp:posOffset>
                      </wp:positionH>
                      <wp:positionV relativeFrom="paragraph">
                        <wp:posOffset>944880</wp:posOffset>
                      </wp:positionV>
                      <wp:extent cx="75565" cy="75565"/>
                      <wp:effectExtent l="19050" t="21590" r="27305" b="24765"/>
                      <wp:wrapNone/>
                      <wp:docPr id="37" name="五角星 37"/>
                      <wp:cNvGraphicFramePr/>
                      <a:graphic xmlns:a="http://schemas.openxmlformats.org/drawingml/2006/main">
                        <a:graphicData uri="http://schemas.microsoft.com/office/word/2010/wordprocessingShape">
                          <wps:wsp>
                            <wps:cNvSpPr/>
                            <wps:spPr>
                              <a:xfrm>
                                <a:off x="5029200" y="6779895"/>
                                <a:ext cx="75565" cy="75565"/>
                              </a:xfrm>
                              <a:prstGeom prst="star5">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59.15pt;margin-top:74.4pt;height:5.95pt;width:5.95pt;z-index:251660288;v-text-anchor:middle;mso-width-relative:page;mso-height-relative:page;" fillcolor="#FF0000" filled="t" stroked="t" coordsize="75565,75565" o:gfxdata="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TZJ/CtoAAAALAQAADwAAAAAAAAABACAA&#10;AAAiAAAAZHJzL2Rvd25yZXYueG1sUEsBAhQAFAAAAAgAh07iQMSqVr99AgAAAwUAAA4AAAAAAAAA&#10;AQAgAAAAKQEAAGRycy9lMm9Eb2MueG1sUEsFBgAAAAAGAAYAWQEAABgGAAAAAA==&#10;" path="m0,28863l28863,28863,37782,0,46701,28863,75564,28863,52213,46701,61133,75564,37782,57726,14431,75564,23351,46701xe">
                      <v:path o:connectlocs="37782,0;0,28863;14431,75564;61133,75564;75564,28863" o:connectangles="247,164,82,82,0"/>
                      <v:fill on="t" focussize="0,0"/>
                      <v:stroke weight="1pt" color="#FF0000 [2404]" miterlimit="8" joinstyle="miter"/>
                      <v:imagedata o:title=""/>
                      <o:lock v:ext="edit" aspectratio="f"/>
                    </v:shape>
                  </w:pict>
                </mc:Fallback>
              </mc:AlternateContent>
            </w:r>
            <w:r>
              <w:rPr>
                <w:rFonts w:ascii="Times New Roman" w:hAnsi="Times New Roman" w:cs="Times New Roman"/>
                <w:color w:val="auto"/>
                <w:sz w:val="24"/>
                <w:szCs w:val="24"/>
                <w:highlight w:val="none"/>
                <w:lang w:val="en-US" w:bidi="ar-SA"/>
              </w:rPr>
              <w:drawing>
                <wp:inline distT="0" distB="0" distL="114300" distR="114300">
                  <wp:extent cx="4274820" cy="2948940"/>
                  <wp:effectExtent l="0" t="0" r="7620" b="7620"/>
                  <wp:docPr id="227" name="图片 22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图片1"/>
                          <pic:cNvPicPr>
                            <a:picLocks noChangeAspect="1"/>
                          </pic:cNvPicPr>
                        </pic:nvPicPr>
                        <pic:blipFill>
                          <a:blip r:embed="rId7" cstate="print"/>
                          <a:stretch>
                            <a:fillRect/>
                          </a:stretch>
                        </pic:blipFill>
                        <pic:spPr>
                          <a:xfrm>
                            <a:off x="0" y="0"/>
                            <a:ext cx="4274820" cy="29489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highlight w:val="none"/>
              </w:rPr>
            </w:pPr>
            <w:r>
              <w:rPr>
                <w:rFonts w:hint="eastAsia" w:cs="Times New Roman"/>
                <w:b w:val="0"/>
                <w:bCs w:val="0"/>
                <w:color w:val="auto"/>
                <w:sz w:val="21"/>
                <w:szCs w:val="21"/>
                <w:highlight w:val="none"/>
                <w:lang w:eastAsia="zh-CN"/>
              </w:rPr>
              <w:t>图1-1</w:t>
            </w:r>
            <w:r>
              <w:rPr>
                <w:rFonts w:hint="eastAsia" w:ascii="Times New Roman" w:hAnsi="Times New Roman" w:cs="Times New Roman"/>
                <w:b w:val="0"/>
                <w:bCs w:val="0"/>
                <w:color w:val="auto"/>
                <w:sz w:val="21"/>
                <w:szCs w:val="21"/>
                <w:highlight w:val="none"/>
                <w:lang w:val="en-US"/>
              </w:rPr>
              <w:t>本项目在鄂尔多斯市环境管控单元图中位置</w:t>
            </w:r>
          </w:p>
          <w:p>
            <w:pPr>
              <w:autoSpaceDE w:val="0"/>
              <w:autoSpaceDN w:val="0"/>
              <w:adjustRightInd w:val="0"/>
              <w:snapToGrid w:val="0"/>
              <w:spacing w:line="36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3</w:t>
            </w:r>
            <w:r>
              <w:rPr>
                <w:rFonts w:hint="eastAsia" w:cs="Times New Roman"/>
                <w:sz w:val="24"/>
                <w:szCs w:val="24"/>
                <w:highlight w:val="none"/>
                <w:lang w:val="en-US" w:eastAsia="zh-CN"/>
              </w:rPr>
              <w:t>.</w:t>
            </w:r>
            <w:r>
              <w:rPr>
                <w:rFonts w:hint="default" w:ascii="Times New Roman" w:hAnsi="Times New Roman" w:cs="Times New Roman"/>
                <w:sz w:val="24"/>
                <w:szCs w:val="24"/>
                <w:highlight w:val="none"/>
              </w:rPr>
              <w:t>资源利用上线</w:t>
            </w:r>
          </w:p>
          <w:p>
            <w:pPr>
              <w:autoSpaceDE w:val="0"/>
              <w:autoSpaceDN w:val="0"/>
              <w:adjustRightInd w:val="0"/>
              <w:snapToGrid w:val="0"/>
              <w:spacing w:line="360" w:lineRule="auto"/>
              <w:ind w:firstLine="480" w:firstLineChars="200"/>
              <w:jc w:val="left"/>
              <w:rPr>
                <w:rFonts w:hint="eastAsia"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rPr>
              <w:t>资源利用上线指按照自然资源资产</w:t>
            </w:r>
            <w:r>
              <w:rPr>
                <w:rFonts w:hint="eastAsia" w:ascii="宋体" w:hAnsi="宋体" w:eastAsia="宋体" w:cs="宋体"/>
                <w:sz w:val="24"/>
                <w:szCs w:val="24"/>
                <w:highlight w:val="none"/>
              </w:rPr>
              <w:t>“</w:t>
            </w:r>
            <w:r>
              <w:rPr>
                <w:rFonts w:hint="default" w:ascii="Times New Roman" w:hAnsi="Times New Roman" w:cs="Times New Roman"/>
                <w:sz w:val="24"/>
                <w:szCs w:val="24"/>
                <w:highlight w:val="none"/>
              </w:rPr>
              <w:t>只能增值、不能贬值</w:t>
            </w:r>
            <w:r>
              <w:rPr>
                <w:rFonts w:hint="eastAsia" w:ascii="宋体" w:hAnsi="宋体" w:eastAsia="宋体" w:cs="宋体"/>
                <w:sz w:val="24"/>
                <w:szCs w:val="24"/>
                <w:highlight w:val="none"/>
              </w:rPr>
              <w:t>”</w:t>
            </w:r>
            <w:r>
              <w:rPr>
                <w:rFonts w:hint="default" w:ascii="Times New Roman" w:hAnsi="Times New Roman" w:cs="Times New Roman"/>
                <w:sz w:val="24"/>
                <w:szCs w:val="24"/>
                <w:highlight w:val="none"/>
              </w:rPr>
              <w:t>的原则，以保障生态安全和改善环境质量为目的，参考自然资源资产负债表，结合自然资源开发利用效率，提出的分区域分阶段的资源开发利用总量、强度、效率等上线管控要求。本项目</w:t>
            </w:r>
            <w:r>
              <w:rPr>
                <w:rFonts w:hint="default" w:ascii="Times New Roman" w:hAnsi="Times New Roman" w:cs="Times New Roman"/>
                <w:sz w:val="24"/>
                <w:szCs w:val="24"/>
                <w:highlight w:val="none"/>
                <w:lang w:val="en-US" w:eastAsia="zh-CN"/>
              </w:rPr>
              <w:t>为</w:t>
            </w:r>
            <w:r>
              <w:rPr>
                <w:rFonts w:hint="eastAsia" w:cs="Times New Roman"/>
                <w:sz w:val="24"/>
                <w:szCs w:val="24"/>
                <w:highlight w:val="none"/>
                <w:lang w:val="en-US" w:eastAsia="zh-CN"/>
              </w:rPr>
              <w:t>塔然高勒</w:t>
            </w:r>
            <w:r>
              <w:rPr>
                <w:rFonts w:hint="default" w:ascii="Times New Roman" w:hAnsi="Times New Roman" w:cs="Times New Roman"/>
                <w:sz w:val="24"/>
                <w:szCs w:val="24"/>
                <w:highlight w:val="none"/>
                <w:lang w:val="en-US" w:eastAsia="zh-CN"/>
              </w:rPr>
              <w:t>煤矿配套项目，项</w:t>
            </w:r>
            <w:r>
              <w:rPr>
                <w:rFonts w:hint="eastAsia" w:cs="Times New Roman"/>
                <w:sz w:val="24"/>
                <w:szCs w:val="24"/>
                <w:highlight w:val="none"/>
                <w:lang w:val="en-US" w:eastAsia="zh-CN"/>
              </w:rPr>
              <w:t>目</w:t>
            </w:r>
            <w:r>
              <w:rPr>
                <w:rFonts w:hint="default" w:ascii="Times New Roman" w:hAnsi="Times New Roman" w:cs="Times New Roman"/>
                <w:sz w:val="24"/>
                <w:szCs w:val="24"/>
                <w:highlight w:val="none"/>
                <w:lang w:val="en-US" w:eastAsia="zh-CN"/>
              </w:rPr>
              <w:t>运行期主要消耗水、电</w:t>
            </w:r>
            <w:r>
              <w:rPr>
                <w:rFonts w:hint="eastAsia" w:cs="Times New Roman"/>
                <w:sz w:val="24"/>
                <w:szCs w:val="24"/>
                <w:highlight w:val="none"/>
                <w:lang w:val="en-US" w:eastAsia="zh-CN"/>
              </w:rPr>
              <w:t>资源</w:t>
            </w:r>
            <w:r>
              <w:rPr>
                <w:rFonts w:hint="default" w:ascii="Times New Roman" w:hAnsi="Times New Roman" w:cs="Times New Roman"/>
                <w:sz w:val="24"/>
                <w:szCs w:val="24"/>
                <w:highlight w:val="none"/>
                <w:lang w:val="en-US" w:eastAsia="zh-CN"/>
              </w:rPr>
              <w:t>，</w:t>
            </w:r>
            <w:r>
              <w:rPr>
                <w:rFonts w:hint="eastAsia" w:ascii="Times New Roman" w:hAnsi="Times New Roman" w:cs="Times New Roman"/>
                <w:sz w:val="24"/>
                <w:szCs w:val="24"/>
                <w:highlight w:val="none"/>
                <w:lang w:val="en-US" w:eastAsia="zh-CN"/>
              </w:rPr>
              <w:t>本</w:t>
            </w:r>
            <w:r>
              <w:rPr>
                <w:rFonts w:hint="default" w:ascii="Times New Roman" w:hAnsi="Times New Roman" w:cs="Times New Roman"/>
                <w:sz w:val="24"/>
                <w:szCs w:val="24"/>
                <w:highlight w:val="none"/>
                <w:lang w:val="en-US" w:eastAsia="zh-CN"/>
              </w:rPr>
              <w:t>项目水</w:t>
            </w:r>
            <w:r>
              <w:rPr>
                <w:rFonts w:hint="eastAsia" w:ascii="Times New Roman" w:hAnsi="Times New Roman" w:cs="Times New Roman"/>
                <w:sz w:val="24"/>
                <w:szCs w:val="24"/>
                <w:highlight w:val="none"/>
                <w:lang w:val="en-US" w:eastAsia="zh-CN"/>
              </w:rPr>
              <w:t>电</w:t>
            </w:r>
            <w:r>
              <w:rPr>
                <w:rFonts w:hint="default" w:ascii="Times New Roman" w:hAnsi="Times New Roman" w:cs="Times New Roman"/>
                <w:sz w:val="24"/>
                <w:szCs w:val="24"/>
                <w:highlight w:val="none"/>
                <w:lang w:val="en-US" w:eastAsia="zh-CN"/>
              </w:rPr>
              <w:t>资源消耗量对区域资源利用总量影响小。</w:t>
            </w:r>
            <w:r>
              <w:rPr>
                <w:rFonts w:hint="eastAsia" w:ascii="Times New Roman" w:hAnsi="Times New Roman" w:cs="Times New Roman"/>
                <w:sz w:val="24"/>
                <w:szCs w:val="24"/>
                <w:highlight w:val="none"/>
                <w:lang w:eastAsia="zh-CN"/>
              </w:rPr>
              <w:t>项目资源利用不会突破地区资源利用上线。</w:t>
            </w:r>
          </w:p>
          <w:p>
            <w:pPr>
              <w:autoSpaceDE w:val="0"/>
              <w:autoSpaceDN w:val="0"/>
              <w:adjustRightInd w:val="0"/>
              <w:snapToGrid w:val="0"/>
              <w:spacing w:line="360" w:lineRule="auto"/>
              <w:ind w:firstLine="480" w:firstLineChars="200"/>
              <w:jc w:val="left"/>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4</w:t>
            </w:r>
            <w:r>
              <w:rPr>
                <w:rFonts w:hint="eastAsia" w:cs="Times New Roman"/>
                <w:kern w:val="0"/>
                <w:sz w:val="24"/>
                <w:szCs w:val="24"/>
                <w:highlight w:val="none"/>
                <w:lang w:eastAsia="zh-CN"/>
              </w:rPr>
              <w:t>.</w:t>
            </w:r>
            <w:r>
              <w:rPr>
                <w:rFonts w:hint="default" w:ascii="Times New Roman" w:hAnsi="Times New Roman" w:cs="Times New Roman"/>
                <w:kern w:val="0"/>
                <w:sz w:val="24"/>
                <w:szCs w:val="24"/>
                <w:highlight w:val="none"/>
                <w:lang w:val="en-US" w:eastAsia="zh-CN"/>
              </w:rPr>
              <w:t>生态环境准入清单</w:t>
            </w:r>
          </w:p>
          <w:p>
            <w:pPr>
              <w:pStyle w:val="30"/>
              <w:adjustRightInd/>
              <w:spacing w:line="360" w:lineRule="auto"/>
              <w:ind w:firstLine="480" w:firstLineChars="200"/>
              <w:jc w:val="both"/>
              <w:rPr>
                <w:rFonts w:hint="default"/>
                <w:color w:val="000000" w:themeColor="text1"/>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根据鄂尔多斯市生态环境局发布《鄂尔多斯市生态环境准入清单》的通知</w:t>
            </w:r>
            <w:r>
              <w:rPr>
                <w:rFonts w:hint="eastAsia" w:asci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鄂环函</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〔202</w:t>
            </w:r>
            <w:r>
              <w:rPr>
                <w:rFonts w:hint="eastAsia" w:ascii="Times New Roman"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95号）及《鄂尔多斯市生态环境准入清单》文本，本项目所在区域为重点管控单元，</w:t>
            </w:r>
            <w:r>
              <w:rPr>
                <w:rFonts w:hint="default" w:ascii="Times New Roman" w:hAnsi="Times New Roman" w:cs="Times New Roman"/>
                <w:color w:val="000000" w:themeColor="text1"/>
                <w:sz w:val="24"/>
                <w:szCs w:val="24"/>
                <w:highlight w:val="none"/>
                <w:lang w:eastAsia="zh-CN"/>
                <w14:textFill>
                  <w14:solidFill>
                    <w14:schemeClr w14:val="tx1"/>
                  </w14:solidFill>
                </w14:textFill>
              </w:rPr>
              <w:t>管控单元</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为塔然高勒矿区</w:t>
            </w:r>
            <w:r>
              <w:rPr>
                <w:rFonts w:hint="eastAsia" w:ascii="Times New Roman" w:cs="Times New Roman"/>
                <w:color w:val="000000" w:themeColor="text1"/>
                <w:sz w:val="24"/>
                <w:szCs w:val="24"/>
                <w:highlight w:val="none"/>
                <w:lang w:val="en-US" w:eastAsia="zh-CN"/>
                <w14:textFill>
                  <w14:solidFill>
                    <w14:schemeClr w14:val="tx1"/>
                  </w14:solidFill>
                </w14:textFill>
              </w:rPr>
              <w:t>，环境管控单元编码：</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ZH15062520005</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本项目与该管控单元的管控要求符合性分析见</w:t>
            </w:r>
            <w:r>
              <w:rPr>
                <w:rFonts w:hint="eastAsia" w:ascii="Times New Roman" w:cs="Times New Roman"/>
                <w:color w:val="000000" w:themeColor="text1"/>
                <w:sz w:val="24"/>
                <w:szCs w:val="24"/>
                <w:highlight w:val="none"/>
                <w:lang w:val="en-US" w:eastAsia="zh-CN"/>
                <w14:textFill>
                  <w14:solidFill>
                    <w14:schemeClr w14:val="tx1"/>
                  </w14:solidFill>
                </w14:textFill>
              </w:rPr>
              <w:t>表1-1</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b w:val="0"/>
                <w:bCs w:val="0"/>
                <w:color w:val="000000" w:themeColor="text1"/>
                <w:sz w:val="21"/>
                <w:szCs w:val="21"/>
                <w:highlight w:val="none"/>
                <w:lang w:val="en-US"/>
                <w14:textFill>
                  <w14:solidFill>
                    <w14:schemeClr w14:val="tx1"/>
                  </w14:solidFill>
                </w14:textFill>
              </w:rPr>
            </w:pPr>
            <w:r>
              <w:rPr>
                <w:rFonts w:hint="eastAsia" w:cs="Times New Roman"/>
                <w:b w:val="0"/>
                <w:bCs w:val="0"/>
                <w:color w:val="000000" w:themeColor="text1"/>
                <w:sz w:val="21"/>
                <w:szCs w:val="21"/>
                <w:highlight w:val="none"/>
                <w:lang w:eastAsia="zh-CN"/>
                <w14:textFill>
                  <w14:solidFill>
                    <w14:schemeClr w14:val="tx1"/>
                  </w14:solidFill>
                </w14:textFill>
              </w:rPr>
              <w:t>表1-1</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本项目与管控单元的管控要求符合性分析一览表</w:t>
            </w:r>
          </w:p>
          <w:tbl>
            <w:tblPr>
              <w:tblStyle w:val="23"/>
              <w:tblW w:w="49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83"/>
              <w:gridCol w:w="3108"/>
              <w:gridCol w:w="2797"/>
              <w:gridCol w:w="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4" w:hRule="atLeast"/>
                <w:jc w:val="center"/>
              </w:trPr>
              <w:tc>
                <w:tcPr>
                  <w:tcW w:w="2613" w:type="pct"/>
                  <w:gridSpan w:val="2"/>
                  <w:noWrap w:val="0"/>
                  <w:tcMar>
                    <w:top w:w="0" w:type="dxa"/>
                    <w:left w:w="108" w:type="dxa"/>
                    <w:bottom w:w="0" w:type="dxa"/>
                    <w:right w:w="108" w:type="dxa"/>
                  </w:tcMar>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管控要求</w:t>
                  </w:r>
                </w:p>
              </w:tc>
              <w:tc>
                <w:tcPr>
                  <w:tcW w:w="2093" w:type="pct"/>
                  <w:noWrap w:val="0"/>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本项目情况</w:t>
                  </w:r>
                </w:p>
              </w:tc>
              <w:tc>
                <w:tcPr>
                  <w:tcW w:w="292" w:type="pct"/>
                  <w:noWrap w:val="0"/>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71" w:hRule="atLeast"/>
                <w:jc w:val="center"/>
              </w:trPr>
              <w:tc>
                <w:tcPr>
                  <w:tcW w:w="286" w:type="pct"/>
                  <w:noWrap w:val="0"/>
                  <w:tcMar>
                    <w:top w:w="0" w:type="dxa"/>
                    <w:left w:w="108" w:type="dxa"/>
                    <w:bottom w:w="0" w:type="dxa"/>
                    <w:right w:w="108" w:type="dxa"/>
                  </w:tcMar>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空间布局约束</w:t>
                  </w:r>
                </w:p>
              </w:tc>
              <w:tc>
                <w:tcPr>
                  <w:tcW w:w="2326" w:type="pct"/>
                  <w:noWrap w:val="0"/>
                  <w:tcMar>
                    <w:top w:w="0" w:type="dxa"/>
                    <w:left w:w="108" w:type="dxa"/>
                    <w:bottom w:w="0" w:type="dxa"/>
                    <w:right w:w="108" w:type="dxa"/>
                  </w:tcMar>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1.未</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经国务院授权的有关主管部门同意，不得在《中华人民共和国矿产资源法</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修正）》中所列的6种地区开采矿产资源。</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禁止新建、扩建《产业结构调整指导目录</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2019年本）》明确的淘汰类项目；严格执行《自治区国家重点生态功能区产业准入负面清单</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试行）》</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内政发〔2018〕11号）中采矿业管控要求。</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3.</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严格控制</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在</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草原上新建矿产资源开发项目。新上矿产资源开发项目在开展前期工作时，应征求林业和草原行政主管部门意见，严格执行国家林草局草原征占用审核审批管理制度，把先预审、再立项、后建设的源头把控原则落到实处。</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4.</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严格规范草原上已建矿产资源开发项</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目。</w:t>
                  </w:r>
                  <w:r>
                    <w:rPr>
                      <w:rFonts w:hint="default" w:ascii="Times New Roman" w:hAnsi="Times New Roman" w:eastAsia="宋体" w:cs="Times New Roman"/>
                      <w:color w:val="000000" w:themeColor="text1"/>
                      <w:sz w:val="21"/>
                      <w:szCs w:val="21"/>
                      <w:highlight w:val="none"/>
                      <w14:textFill>
                        <w14:solidFill>
                          <w14:schemeClr w14:val="tx1"/>
                        </w14:solidFill>
                      </w14:textFill>
                    </w:rPr>
                    <w:t>对于依法批准的草原上已建和在建矿产资源开发项目，必须在依法确定的矿区范围外进行平面增扩，不得未经批准将井工开采变为露天开采。同时，必须严格控制排渣场、排土场、煤矸石堆场、场区道路等占用草原的面积。</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5.</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执行《内蒙古自治区矿产资源总体规划</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2016~2020）》中最低开采规模相关要求。</w:t>
                  </w:r>
                </w:p>
              </w:tc>
              <w:tc>
                <w:tcPr>
                  <w:tcW w:w="2093" w:type="pct"/>
                  <w:noWrap w:val="0"/>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1.</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本项目为塔然高勒煤矿附属工程，主要是建设风井场地、场外道路及其他配套工程，不属于矿产资源开采项目。</w:t>
                  </w:r>
                </w:p>
                <w:p>
                  <w:pPr>
                    <w:pStyle w:val="15"/>
                    <w:keepNext w:val="0"/>
                    <w:keepLines w:val="0"/>
                    <w:pageBreakBefore w:val="0"/>
                    <w:widowControl w:val="0"/>
                    <w:numPr>
                      <w:ilvl w:val="0"/>
                      <w:numId w:val="0"/>
                    </w:numP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yellow"/>
                      <w:vertAlign w:val="baseline"/>
                      <w:lang w:val="en-US" w:eastAsia="zh-CN"/>
                      <w14:textFill>
                        <w14:solidFill>
                          <w14:schemeClr w14:val="tx1"/>
                        </w14:solidFill>
                      </w14:textFill>
                    </w:rPr>
                  </w:pPr>
                  <w:r>
                    <w:rPr>
                      <w:rFonts w:hint="eastAsia" w:ascii="Times New Roman" w:hAnsi="Times New Roman" w:cs="Times New Roman"/>
                      <w:sz w:val="21"/>
                      <w:szCs w:val="21"/>
                      <w:highlight w:val="none"/>
                      <w:lang w:val="en-US" w:eastAsia="zh-CN"/>
                    </w:rPr>
                    <w:t>2.本项目</w:t>
                  </w:r>
                  <w:r>
                    <w:rPr>
                      <w:rFonts w:hint="default" w:ascii="Times New Roman" w:hAnsi="Times New Roman" w:cs="Times New Roman"/>
                      <w:sz w:val="21"/>
                      <w:szCs w:val="21"/>
                      <w:highlight w:val="none"/>
                      <w:lang w:val="en-US" w:eastAsia="zh-CN"/>
                    </w:rPr>
                    <w:t>不属于《产业结构调整指导目录</w:t>
                  </w:r>
                  <w:r>
                    <w:rPr>
                      <w:rFonts w:hint="eastAsia" w:ascii="Times New Roman" w:hAnsi="Times New Roman" w:cs="Times New Roman"/>
                      <w:sz w:val="21"/>
                      <w:szCs w:val="21"/>
                      <w:highlight w:val="none"/>
                      <w:lang w:val="en-US" w:eastAsia="zh-CN"/>
                    </w:rPr>
                    <w:t>（</w:t>
                  </w:r>
                  <w:r>
                    <w:rPr>
                      <w:rFonts w:hint="eastAsia" w:cs="Times New Roman"/>
                      <w:sz w:val="21"/>
                      <w:szCs w:val="21"/>
                      <w:highlight w:val="none"/>
                      <w:lang w:val="en-US" w:eastAsia="zh-CN"/>
                    </w:rPr>
                    <w:t>2024</w:t>
                  </w:r>
                  <w:r>
                    <w:rPr>
                      <w:rFonts w:hint="default" w:ascii="Times New Roman" w:hAnsi="Times New Roman" w:cs="Times New Roman"/>
                      <w:sz w:val="21"/>
                      <w:szCs w:val="21"/>
                      <w:highlight w:val="none"/>
                      <w:lang w:val="en-US" w:eastAsia="zh-CN"/>
                    </w:rPr>
                    <w:t>年本）》淘汰类</w:t>
                  </w:r>
                  <w:r>
                    <w:rPr>
                      <w:rFonts w:hint="eastAsia" w:cs="Times New Roman"/>
                      <w:sz w:val="21"/>
                      <w:szCs w:val="21"/>
                      <w:highlight w:val="none"/>
                      <w:lang w:val="en-US" w:eastAsia="zh-CN"/>
                    </w:rPr>
                    <w:t>项目</w:t>
                  </w:r>
                  <w:r>
                    <w:rPr>
                      <w:rFonts w:hint="default" w:ascii="Times New Roman" w:hAnsi="Times New Roman" w:cs="Times New Roman"/>
                      <w:sz w:val="21"/>
                      <w:szCs w:val="21"/>
                      <w:highlight w:val="none"/>
                      <w:lang w:val="en-US" w:eastAsia="zh-CN"/>
                    </w:rPr>
                    <w:t>。</w:t>
                  </w:r>
                  <w:r>
                    <w:rPr>
                      <w:rFonts w:hint="eastAsia" w:cs="Times New Roman"/>
                      <w:sz w:val="21"/>
                      <w:szCs w:val="21"/>
                      <w:highlight w:val="none"/>
                      <w:lang w:val="en-US" w:eastAsia="zh-CN"/>
                    </w:rPr>
                    <w:t>本项目已备案，项目编号为</w:t>
                  </w:r>
                  <w:r>
                    <w:rPr>
                      <w:rFonts w:hint="default" w:ascii="Times New Roman" w:hAnsi="Times New Roman" w:cs="Times New Roman"/>
                      <w:sz w:val="21"/>
                      <w:szCs w:val="21"/>
                      <w:highlight w:val="none"/>
                      <w:lang w:val="en-US" w:eastAsia="zh-CN"/>
                    </w:rPr>
                    <w:t>2310</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150625</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04</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05</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49758</w:t>
                  </w:r>
                  <w:r>
                    <w:rPr>
                      <w:rFonts w:hint="eastAsia" w:ascii="Times New Roman" w:hAnsi="Times New Roman" w:cs="Times New Roman"/>
                      <w:sz w:val="21"/>
                      <w:szCs w:val="21"/>
                      <w:highlight w:val="none"/>
                      <w:lang w:val="en-US" w:eastAsia="zh-CN"/>
                    </w:rPr>
                    <w:t>，符合国家产业政策要求。符合</w:t>
                  </w:r>
                  <w:r>
                    <w:rPr>
                      <w:rFonts w:hint="default" w:ascii="Times New Roman" w:hAnsi="Times New Roman" w:cs="Times New Roman"/>
                      <w:sz w:val="21"/>
                      <w:szCs w:val="21"/>
                      <w:highlight w:val="none"/>
                      <w:lang w:val="en-US" w:eastAsia="zh-CN"/>
                    </w:rPr>
                    <w:t>《自治区国家重点生态功能区产业准入负面清单</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试行）》</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内政发〔2018〕11号）中采矿业管控要求。</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3.</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本项目主要是建设风井场地、场外道路及其他配套工程，</w:t>
                  </w:r>
                  <w:r>
                    <w:rPr>
                      <w:rFonts w:hint="default" w:ascii="Times New Roman" w:hAnsi="Times New Roman" w:cs="Times New Roman"/>
                      <w:sz w:val="21"/>
                      <w:szCs w:val="21"/>
                      <w:highlight w:val="none"/>
                      <w:lang w:val="en-US" w:eastAsia="zh-CN"/>
                    </w:rPr>
                    <w:t>不属于</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矿产资源开发项目。</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4.本项目位于</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塔然高勒煤矿</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矿区范围内，严格控制厂区道路面积。</w:t>
                  </w:r>
                  <w:r>
                    <w:rPr>
                      <w:rFonts w:hint="default" w:ascii="Times New Roman" w:hAnsi="Times New Roman" w:eastAsia="宋体" w:cs="Times New Roman"/>
                      <w:color w:val="000000" w:themeColor="text1"/>
                      <w:sz w:val="21"/>
                      <w:szCs w:val="21"/>
                      <w:highlight w:val="none"/>
                      <w14:textFill>
                        <w14:solidFill>
                          <w14:schemeClr w14:val="tx1"/>
                        </w14:solidFill>
                      </w14:textFill>
                    </w:rPr>
                    <w:t>北部风井道路</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占地4.03公顷，</w:t>
                  </w:r>
                  <w:r>
                    <w:rPr>
                      <w:rFonts w:hint="default" w:ascii="Times New Roman" w:hAnsi="Times New Roman" w:eastAsia="宋体" w:cs="Times New Roman"/>
                      <w:color w:val="000000" w:themeColor="text1"/>
                      <w:sz w:val="21"/>
                      <w:szCs w:val="21"/>
                      <w:highlight w:val="none"/>
                      <w14:textFill>
                        <w14:solidFill>
                          <w14:schemeClr w14:val="tx1"/>
                        </w14:solidFill>
                      </w14:textFill>
                    </w:rPr>
                    <w:t>连接北部风井场地与既有公路。本道路承担风井场地人员通勤</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用途。</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5.</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本项目为塔然高勒煤矿附属工程，</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不涉及矿产资源开采。</w:t>
                  </w:r>
                </w:p>
              </w:tc>
              <w:tc>
                <w:tcPr>
                  <w:tcW w:w="292" w:type="pct"/>
                  <w:noWrap w:val="0"/>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32" w:hRule="atLeast"/>
                <w:jc w:val="center"/>
              </w:trPr>
              <w:tc>
                <w:tcPr>
                  <w:tcW w:w="286" w:type="pct"/>
                  <w:noWrap w:val="0"/>
                  <w:tcMar>
                    <w:top w:w="0" w:type="dxa"/>
                    <w:left w:w="108" w:type="dxa"/>
                    <w:bottom w:w="0" w:type="dxa"/>
                    <w:right w:w="108" w:type="dxa"/>
                  </w:tcMar>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污染物排放管控</w:t>
                  </w:r>
                </w:p>
              </w:tc>
              <w:tc>
                <w:tcPr>
                  <w:tcW w:w="2326" w:type="pct"/>
                  <w:noWrap w:val="0"/>
                  <w:tcMar>
                    <w:top w:w="0" w:type="dxa"/>
                    <w:left w:w="108" w:type="dxa"/>
                    <w:bottom w:w="0" w:type="dxa"/>
                    <w:right w:w="108" w:type="dxa"/>
                  </w:tcMar>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1.</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矿产资源勘查以及采选过程中排土场、露天采场、尾矿库、矿区专用道路、矿山工业场地、沉陷区、矸石场、矿山污染场地等的生态环境保护与治理恢复工作须满足《矿山生态环境保护与治理恢复技术规范</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试行）》</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HJ651</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2013）要求。落实边开采、边保护、边复垦的要求，使新建、在建矿山损毁土地得到全面复垦。</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生产矿山年度占用土地面积与年度治理面积基本达到平衡，“三废”排放符合环保指标要求。</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3.</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煤矿地面运煤系统、运输设备</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和</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煤炭贮存场所应当全封闭。鼓励有条件的露天矿山采用密闭式皮带运输系统，煤炭企业应当负责矿权范围内和排矸场等着火点灭火工作；提高煤矸石、矿井水的综合利用</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水平</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4.</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对新建硫份大于1.5%的煤矿，应配套建设煤炭洗选设施；对现有硫份大于2%的煤矿，应补建配套煤炭洗选设施。</w:t>
                  </w:r>
                </w:p>
              </w:tc>
              <w:tc>
                <w:tcPr>
                  <w:tcW w:w="2093" w:type="pct"/>
                  <w:noWrap w:val="0"/>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1.</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项目为塔然高勒煤矿附属工程，主要是建设风井场地、场外道路及其他配套工程，</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不涉及</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矿产资源勘查以及采选</w:t>
                  </w:r>
                  <w:r>
                    <w:rPr>
                      <w:rFonts w:hint="default" w:ascii="Times New Roman" w:hAnsi="Times New Roman" w:eastAsia="宋体" w:cs="Times New Roman"/>
                      <w:color w:val="auto"/>
                      <w:sz w:val="21"/>
                      <w:szCs w:val="21"/>
                      <w:highlight w:val="none"/>
                    </w:rPr>
                    <w:t>。</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2.本项目</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“三废”排放符合环保指标要求。</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3.不涉及</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4.不涉及</w:t>
                  </w:r>
                </w:p>
              </w:tc>
              <w:tc>
                <w:tcPr>
                  <w:tcW w:w="292" w:type="pct"/>
                  <w:noWrap w:val="0"/>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32" w:hRule="atLeast"/>
                <w:jc w:val="center"/>
              </w:trPr>
              <w:tc>
                <w:tcPr>
                  <w:tcW w:w="286" w:type="pct"/>
                  <w:noWrap w:val="0"/>
                  <w:tcMar>
                    <w:top w:w="0" w:type="dxa"/>
                    <w:left w:w="108" w:type="dxa"/>
                    <w:bottom w:w="0" w:type="dxa"/>
                    <w:right w:w="108" w:type="dxa"/>
                  </w:tcMar>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环境风险防控</w:t>
                  </w:r>
                </w:p>
              </w:tc>
              <w:tc>
                <w:tcPr>
                  <w:tcW w:w="2326" w:type="pct"/>
                  <w:noWrap w:val="0"/>
                  <w:tcMar>
                    <w:top w:w="0" w:type="dxa"/>
                    <w:left w:w="108" w:type="dxa"/>
                    <w:bottom w:w="0" w:type="dxa"/>
                    <w:right w:w="108" w:type="dxa"/>
                  </w:tcMar>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hAnsi="宋体" w:cs="宋体"/>
                      <w:sz w:val="21"/>
                      <w:szCs w:val="21"/>
                      <w:lang w:val="en-US" w:eastAsia="zh-CN"/>
                    </w:rPr>
                    <w:t>1.</w:t>
                  </w:r>
                  <w:r>
                    <w:rPr>
                      <w:rFonts w:ascii="宋体" w:hAnsi="宋体" w:eastAsia="宋体" w:cs="宋体"/>
                      <w:sz w:val="21"/>
                      <w:szCs w:val="21"/>
                    </w:rPr>
                    <w:t>制定环境风险应急预案，成立应急组织机构，配备必要的应急设施和应急物资，定期开展环境风险应急演练。</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hAnsi="宋体" w:cs="宋体"/>
                      <w:sz w:val="21"/>
                      <w:szCs w:val="21"/>
                      <w:lang w:val="en-US" w:eastAsia="zh-CN"/>
                    </w:rPr>
                    <w:t>2.</w:t>
                  </w:r>
                  <w:r>
                    <w:rPr>
                      <w:rFonts w:ascii="宋体" w:hAnsi="宋体" w:eastAsia="宋体" w:cs="宋体"/>
                      <w:sz w:val="21"/>
                      <w:szCs w:val="21"/>
                    </w:rPr>
                    <w:t>加强采矿引起的滑坡、塌陷等次生地质灾害的防范和治理，及时回填废弃巷道和采空区，要充分利用采矿疏干排出的地下水，最大限度的维持矿区生态平衡。</w:t>
                  </w:r>
                </w:p>
              </w:tc>
              <w:tc>
                <w:tcPr>
                  <w:tcW w:w="2093" w:type="pct"/>
                  <w:noWrap w:val="0"/>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ascii="宋体" w:hAnsi="宋体" w:eastAsia="宋体" w:cs="宋体"/>
                      <w:sz w:val="21"/>
                      <w:szCs w:val="21"/>
                    </w:rPr>
                  </w:pPr>
                  <w:r>
                    <w:rPr>
                      <w:rFonts w:hint="eastAsia" w:ascii="Times New Roman" w:hAnsi="Times New Roman" w:cs="Times New Roman"/>
                      <w:color w:val="000000"/>
                      <w:kern w:val="0"/>
                      <w:sz w:val="21"/>
                      <w:szCs w:val="21"/>
                      <w:highlight w:val="none"/>
                      <w:lang w:val="en-US" w:eastAsia="zh-CN" w:bidi="ar"/>
                    </w:rPr>
                    <w:t>1.</w:t>
                  </w:r>
                  <w:r>
                    <w:rPr>
                      <w:rFonts w:hint="eastAsia" w:ascii="Times New Roman" w:hAnsi="Times New Roman" w:eastAsia="宋体" w:cs="Times New Roman"/>
                      <w:color w:val="000000"/>
                      <w:kern w:val="0"/>
                      <w:sz w:val="21"/>
                      <w:szCs w:val="21"/>
                      <w:highlight w:val="none"/>
                      <w:lang w:val="en-US" w:eastAsia="zh-CN" w:bidi="ar"/>
                    </w:rPr>
                    <w:t>项目</w:t>
                  </w:r>
                  <w:r>
                    <w:rPr>
                      <w:rFonts w:ascii="宋体" w:hAnsi="宋体" w:eastAsia="宋体" w:cs="宋体"/>
                      <w:sz w:val="21"/>
                      <w:szCs w:val="21"/>
                    </w:rPr>
                    <w:t>制定环境风险应急预案，成立应急组织机构，配备必要的应急设施和应急物资，定期开展环境风险应急演练。</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 w:val="21"/>
                      <w:szCs w:val="21"/>
                      <w:lang w:val="en-US" w:eastAsia="zh-CN"/>
                    </w:rPr>
                  </w:pPr>
                  <w:r>
                    <w:rPr>
                      <w:rFonts w:hint="eastAsia" w:cs="Times New Roman"/>
                      <w:bCs/>
                      <w:color w:val="000000" w:themeColor="text1"/>
                      <w:sz w:val="21"/>
                      <w:szCs w:val="21"/>
                      <w:highlight w:val="none"/>
                      <w:vertAlign w:val="baseline"/>
                      <w:lang w:val="en-US" w:eastAsia="zh-CN"/>
                      <w14:textFill>
                        <w14:solidFill>
                          <w14:schemeClr w14:val="tx1"/>
                        </w14:solidFill>
                      </w14:textFill>
                    </w:rPr>
                    <w:t>2.</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本</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项目为塔然高勒煤矿附属工程，主要是建设风井场地、场外道路及其他配套工程，</w:t>
                  </w: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不属于采矿工程，不涉及</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废弃巷道和采空区</w:t>
                  </w: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的回填；风井场地井筒掘进过程中产生的废水运送至塔然高勒煤矿工业场地既有矿井水处理站处理后回用</w:t>
                  </w:r>
                  <w:r>
                    <w:rPr>
                      <w:rFonts w:hint="eastAsia" w:cs="Times New Roman"/>
                      <w:bCs/>
                      <w:color w:val="000000" w:themeColor="text1"/>
                      <w:sz w:val="21"/>
                      <w:szCs w:val="21"/>
                      <w:highlight w:val="none"/>
                      <w:vertAlign w:val="baseline"/>
                      <w:lang w:val="en-US" w:eastAsia="zh-CN"/>
                      <w14:textFill>
                        <w14:solidFill>
                          <w14:schemeClr w14:val="tx1"/>
                        </w14:solidFill>
                      </w14:textFill>
                    </w:rPr>
                    <w:t>。</w:t>
                  </w:r>
                </w:p>
              </w:tc>
              <w:tc>
                <w:tcPr>
                  <w:tcW w:w="292" w:type="pct"/>
                  <w:noWrap w:val="0"/>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230" w:hRule="atLeast"/>
                <w:jc w:val="center"/>
              </w:trPr>
              <w:tc>
                <w:tcPr>
                  <w:tcW w:w="286" w:type="pct"/>
                  <w:noWrap w:val="0"/>
                  <w:tcMar>
                    <w:top w:w="0" w:type="dxa"/>
                    <w:left w:w="108" w:type="dxa"/>
                    <w:bottom w:w="0" w:type="dxa"/>
                    <w:right w:w="108" w:type="dxa"/>
                  </w:tcMar>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资源利用效率要求</w:t>
                  </w:r>
                </w:p>
              </w:tc>
              <w:tc>
                <w:tcPr>
                  <w:tcW w:w="2326" w:type="pct"/>
                  <w:noWrap w:val="0"/>
                  <w:tcMar>
                    <w:top w:w="0" w:type="dxa"/>
                    <w:left w:w="108" w:type="dxa"/>
                    <w:bottom w:w="0" w:type="dxa"/>
                    <w:right w:w="108" w:type="dxa"/>
                  </w:tcMar>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1.</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原煤入选率不低于75%；煤矸石综合利用率应达到75%以上；矿井水、疏干水应采用洁净化、资源化技术和工艺进行合理处置，处置率达到100%。</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2.</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煤矿采区回采率、原煤入选率、煤矸石与共伴生矿产资源综合利用率等三项指标符合自然资源部发布的《煤炭资源合理开发利用“三率”指标要求</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试行）》。</w:t>
                  </w:r>
                </w:p>
              </w:tc>
              <w:tc>
                <w:tcPr>
                  <w:tcW w:w="2093" w:type="pct"/>
                  <w:noWrap w:val="0"/>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1.本项目不涉及</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原煤入选</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与</w:t>
                  </w: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煤矸石综合利用</w:t>
                  </w:r>
                  <w:r>
                    <w:rPr>
                      <w:rFonts w:hint="eastAsia" w:ascii="Times New Roman" w:hAnsi="Times New Roman" w:cs="Times New Roman"/>
                      <w:bCs/>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auto"/>
                      <w:sz w:val="21"/>
                      <w:szCs w:val="21"/>
                      <w:highlight w:val="none"/>
                      <w:lang w:val="en-US" w:eastAsia="zh-CN"/>
                    </w:rPr>
                    <w:t>井筒掘进过程中产生的废水由抽水车定期集中抽排，运送至工业场地既有矿井水处理站处理后回用；乏风取热设施废水、初期雨水池内储存的初期雨水</w:t>
                  </w:r>
                  <w:r>
                    <w:rPr>
                      <w:rFonts w:hint="eastAsia" w:ascii="Times New Roman" w:hAnsi="Times New Roman" w:cs="Times New Roman"/>
                      <w:color w:val="auto"/>
                      <w:sz w:val="21"/>
                      <w:szCs w:val="21"/>
                      <w:highlight w:val="none"/>
                      <w:lang w:val="en-US" w:eastAsia="zh-CN"/>
                    </w:rPr>
                    <w:t>被</w:t>
                  </w:r>
                  <w:r>
                    <w:rPr>
                      <w:rFonts w:hint="default" w:ascii="Times New Roman" w:hAnsi="Times New Roman" w:eastAsia="宋体" w:cs="Times New Roman"/>
                      <w:color w:val="auto"/>
                      <w:sz w:val="21"/>
                      <w:szCs w:val="21"/>
                      <w:highlight w:val="none"/>
                      <w:lang w:val="en-US" w:eastAsia="zh-CN"/>
                    </w:rPr>
                    <w:t>送至塔然高勒煤矿矿井水处理站进行处理。</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auto"/>
                      <w:sz w:val="21"/>
                      <w:szCs w:val="21"/>
                      <w:highlight w:val="none"/>
                      <w:lang w:val="en-US" w:eastAsia="zh-CN"/>
                    </w:rPr>
                    <w:t>2.不涉及</w:t>
                  </w:r>
                  <w:r>
                    <w:rPr>
                      <w:rFonts w:hint="default" w:ascii="Times New Roman" w:hAnsi="Times New Roman" w:eastAsia="宋体" w:cs="Times New Roman"/>
                      <w:color w:val="auto"/>
                      <w:sz w:val="21"/>
                      <w:szCs w:val="21"/>
                      <w:highlight w:val="none"/>
                      <w:lang w:val="en-US" w:eastAsia="zh-CN"/>
                    </w:rPr>
                    <w:t>。</w:t>
                  </w:r>
                </w:p>
              </w:tc>
              <w:tc>
                <w:tcPr>
                  <w:tcW w:w="292" w:type="pct"/>
                  <w:noWrap w:val="0"/>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符合</w:t>
                  </w:r>
                </w:p>
              </w:tc>
            </w:tr>
          </w:tbl>
          <w:p>
            <w:pPr>
              <w:autoSpaceDE w:val="0"/>
              <w:autoSpaceDN w:val="0"/>
              <w:adjustRightInd w:val="0"/>
              <w:snapToGrid w:val="0"/>
              <w:spacing w:line="36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综上所述，本项目能够满足管控单元的管控要求，不属于所在管控单元</w:t>
            </w:r>
            <w:r>
              <w:rPr>
                <w:rFonts w:hint="default" w:ascii="Times New Roman" w:hAnsi="Times New Roman" w:cs="Times New Roman"/>
                <w:color w:val="000000" w:themeColor="text1"/>
                <w:sz w:val="24"/>
                <w:szCs w:val="24"/>
                <w:highlight w:val="none"/>
                <w14:textFill>
                  <w14:solidFill>
                    <w14:schemeClr w14:val="tx1"/>
                  </w14:solidFill>
                </w14:textFill>
              </w:rPr>
              <w:t>中禁止</w:t>
            </w:r>
            <w:r>
              <w:rPr>
                <w:sz w:val="24"/>
                <w:highlight w:val="none"/>
              </w:rPr>
              <w:t>和限制</w:t>
            </w:r>
            <w:r>
              <w:rPr>
                <w:rFonts w:hint="default" w:ascii="Times New Roman" w:hAnsi="Times New Roman" w:cs="Times New Roman"/>
                <w:color w:val="000000" w:themeColor="text1"/>
                <w:sz w:val="24"/>
                <w:szCs w:val="24"/>
                <w:highlight w:val="none"/>
                <w14:textFill>
                  <w14:solidFill>
                    <w14:schemeClr w14:val="tx1"/>
                  </w14:solidFill>
                </w14:textFill>
              </w:rPr>
              <w:t>准入的项目类型。</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因此</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本项目满足区域生态环境准入要求。</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综上所述，本项目符合“三线一单”管控要求。</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三、选址合理性分析</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本项目位于鄂尔多斯市</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杭锦旗独贵塔拉镇乌定补拉格村，项目为塔然高勒煤矿附属工程，主要建设风井场地、场外道路及其他配套工程。</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在依法合规建设塔然高勒煤矿期间</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，中核集团在塔然高勒井田范围内调查发现了沉积砂岩型铀矿。建设单位根据</w:t>
            </w:r>
            <w:r>
              <w:rPr>
                <w:rFonts w:hint="eastAsia" w:cs="Times New Roman"/>
                <w:color w:val="000000" w:themeColor="text1"/>
                <w:sz w:val="24"/>
                <w:szCs w:val="24"/>
                <w:highlight w:val="none"/>
                <w:lang w:val="en-US" w:eastAsia="zh-CN"/>
                <w14:textFill>
                  <w14:solidFill>
                    <w14:schemeClr w14:val="tx1"/>
                  </w14:solidFill>
                </w14:textFill>
              </w:rPr>
              <w:t>煤、铀</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协调开采协议，委托专业单位对初步设计进行了修改，</w:t>
            </w:r>
            <w:r>
              <w:rPr>
                <w:rFonts w:hint="eastAsia" w:cs="Times New Roman"/>
                <w:color w:val="000000" w:themeColor="text1"/>
                <w:sz w:val="24"/>
                <w:szCs w:val="24"/>
                <w:highlight w:val="none"/>
                <w:lang w:val="en-US" w:eastAsia="zh-CN"/>
                <w14:textFill>
                  <w14:solidFill>
                    <w14:schemeClr w14:val="tx1"/>
                  </w14:solidFill>
                </w14:textFill>
              </w:rPr>
              <w:t>于</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2024年2月7日取得了鄂尔多斯市能源局出具的《鄂尔多斯市能源局关于神华集团有限责任公司塔然高勒矿井及选煤厂初步设计</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修改）的批复》</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鄂能局审批发〔2024〕3号）。煤矿拟将首采盘区由原西一盘区和东一盘区调整至西四</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上）盘区，本项目进</w:t>
            </w:r>
            <w:r>
              <w:rPr>
                <w:rFonts w:hint="eastAsia" w:cs="Times New Roman"/>
                <w:color w:val="000000" w:themeColor="text1"/>
                <w:sz w:val="24"/>
                <w:szCs w:val="24"/>
                <w:highlight w:val="none"/>
                <w:lang w:val="en-US" w:eastAsia="zh-CN"/>
                <w14:textFill>
                  <w14:solidFill>
                    <w14:schemeClr w14:val="tx1"/>
                  </w14:solidFill>
                </w14:textFill>
              </w:rPr>
              <w:t>风</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、回风立井承担西四</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上）</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下）及北部后续盘区的主要进回风任务。在位于工业场地西北约7.2km、西三</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上）盘区北部且靠近西四</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上）盘区边界、Q138钻孔南侧360m处，新选择北部风井场地，布置一对北部进、回风立井。现煤矿工业场地已布置有3条立井井筒，即主立井、副立井、中央回风立井；</w:t>
            </w:r>
            <w:r>
              <w:rPr>
                <w:rFonts w:hint="eastAsia" w:cs="Times New Roman"/>
                <w:color w:val="000000" w:themeColor="text1"/>
                <w:sz w:val="24"/>
                <w:szCs w:val="24"/>
                <w:highlight w:val="none"/>
                <w:lang w:val="en-US" w:eastAsia="zh-CN"/>
                <w14:textFill>
                  <w14:solidFill>
                    <w14:schemeClr w14:val="tx1"/>
                  </w14:solidFill>
                </w14:textFill>
              </w:rPr>
              <w:t>在</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北部风井场地新增进、回风立井2条井筒；共5条立井井筒。原初步设计在距离工业场地东侧3.5km处设有刘家渠风井场地，该场地未开工建设，因受铀矿压覆、阻隔影响，先期开采区域发生变化，不再布置刘家渠风井场地。</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本项目占地</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不在杭锦旗已划定的集中式饮用水水源地保护区范围内</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；根据本项目地类占用情况查询结果，本项目占地类型为灌木林地、天然牧草地、农村道路、裸土地、其他草地，</w:t>
            </w:r>
            <w:r>
              <w:rPr>
                <w:rFonts w:hint="default" w:ascii="Times New Roman" w:hAnsi="Times New Roman" w:cs="Times New Roman"/>
                <w:color w:val="000000" w:themeColor="text1"/>
                <w:sz w:val="24"/>
                <w:szCs w:val="24"/>
                <w:highlight w:val="none"/>
                <w14:textFill>
                  <w14:solidFill>
                    <w14:schemeClr w14:val="tx1"/>
                  </w14:solidFill>
                </w14:textFill>
              </w:rPr>
              <w:t>不涉及永久基本农田，不在生态保护红线范围内</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；不涉及自然保护区、风景名胜区、国家公园、天然林等敏感区；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本项目涉及地方公益林0.6009公顷，建设方已于2022年10月21日取得《杭锦旗林业和草原局关于塔然高勒煤矿项目</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北部风井场地</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使用林地的审查意见》</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杭林草审字〔202</w:t>
            </w:r>
            <w:r>
              <w:rPr>
                <w:rFonts w:hint="eastAsia"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〕135号）</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见附件10），并已缴纳森林植被恢复费</w:t>
            </w:r>
            <w:r>
              <w:rPr>
                <w:rFonts w:hint="eastAsia" w:cs="Times New Roman"/>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项目运营期产生的废气、废水、噪声采取相应环保措施后，可实现达标排放，同时固废也得到妥善处置。本项目风井场地周边500m范围内不涉及居民区，场外道路两侧500m范围内涉及有住户，项目场外道路车辆仅为日常通勤及对外联络车辆，车流量极低，对周边环境影响较小。</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综上所述，从环境保护角度分析，项目的选址合理。</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p>
          <w:p>
            <w:pPr>
              <w:autoSpaceDE w:val="0"/>
              <w:autoSpaceDN w:val="0"/>
              <w:adjustRightInd w:val="0"/>
              <w:snapToGrid w:val="0"/>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p>
          <w:p>
            <w:pPr>
              <w:autoSpaceDE w:val="0"/>
              <w:autoSpaceDN w:val="0"/>
              <w:adjustRightInd w:val="0"/>
              <w:snapToGrid w:val="0"/>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p>
          <w:p>
            <w:pPr>
              <w:autoSpaceDE w:val="0"/>
              <w:autoSpaceDN w:val="0"/>
              <w:adjustRightInd w:val="0"/>
              <w:snapToGrid w:val="0"/>
              <w:ind w:firstLine="480" w:firstLineChars="200"/>
              <w:rPr>
                <w:rFonts w:hint="default" w:ascii="Times New Roman" w:hAnsi="Times New Roman" w:cs="Times New Roman"/>
                <w:color w:val="FF0000"/>
                <w:sz w:val="24"/>
                <w:szCs w:val="24"/>
                <w:highlight w:val="none"/>
              </w:rPr>
            </w:pPr>
          </w:p>
          <w:p>
            <w:pPr>
              <w:autoSpaceDE w:val="0"/>
              <w:autoSpaceDN w:val="0"/>
              <w:adjustRightInd w:val="0"/>
              <w:snapToGrid w:val="0"/>
              <w:ind w:firstLine="420" w:firstLineChars="200"/>
              <w:rPr>
                <w:rFonts w:ascii="宋体" w:hAnsi="宋体" w:cs="宋体"/>
                <w:kern w:val="0"/>
                <w:szCs w:val="21"/>
                <w:highlight w:val="none"/>
              </w:rPr>
            </w:pPr>
          </w:p>
        </w:tc>
      </w:tr>
    </w:tbl>
    <w:p>
      <w:pPr>
        <w:pStyle w:val="22"/>
        <w:rPr>
          <w:rFonts w:eastAsia="黑体"/>
          <w:sz w:val="30"/>
        </w:rPr>
      </w:pPr>
    </w:p>
    <w:p>
      <w:pPr>
        <w:pStyle w:val="22"/>
        <w:rPr>
          <w:rFonts w:eastAsia="黑体"/>
          <w:sz w:val="30"/>
        </w:rPr>
      </w:pPr>
    </w:p>
    <w:p>
      <w:pPr>
        <w:rPr>
          <w:rFonts w:eastAsia="黑体"/>
          <w:sz w:val="30"/>
        </w:rPr>
      </w:pPr>
    </w:p>
    <w:p>
      <w:pPr>
        <w:pStyle w:val="22"/>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二、建设内容</w:t>
      </w:r>
    </w:p>
    <w:tbl>
      <w:tblPr>
        <w:tblStyle w:val="23"/>
        <w:tblW w:w="909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0"/>
        <w:gridCol w:w="83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93" w:hRule="atLeast"/>
        </w:trPr>
        <w:tc>
          <w:tcPr>
            <w:tcW w:w="710" w:type="dxa"/>
            <w:noWrap w:val="0"/>
            <w:vAlign w:val="center"/>
          </w:tcPr>
          <w:p>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地理位置</w:t>
            </w:r>
          </w:p>
        </w:tc>
        <w:tc>
          <w:tcPr>
            <w:tcW w:w="8380"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4"/>
                <w:szCs w:val="24"/>
                <w:highlight w:val="none"/>
                <w:lang w:eastAsia="zh-CN"/>
                <w14:textFill>
                  <w14:solidFill>
                    <w14:schemeClr w14:val="tx1"/>
                  </w14:solidFill>
                </w14:textFill>
              </w:rPr>
              <w:t>本项目位于</w:t>
            </w:r>
            <w:r>
              <w:rPr>
                <w:rFonts w:hint="default" w:ascii="Times New Roman" w:hAnsi="Times New Roman" w:cs="Times New Roman"/>
                <w:color w:val="000000" w:themeColor="text1"/>
                <w:kern w:val="0"/>
                <w:sz w:val="24"/>
                <w:szCs w:val="24"/>
                <w:highlight w:val="none"/>
                <w:lang w:val="en-US" w:eastAsia="zh-CN"/>
                <w14:textFill>
                  <w14:solidFill>
                    <w14:schemeClr w14:val="tx1"/>
                  </w14:solidFill>
                </w14:textFill>
              </w:rPr>
              <w:t>内蒙古自治区鄂尔多斯市杭锦旗独贵塔拉镇乌定补拉格村</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。工程建设内容包括风井场地、场外道路及其他配套工程，占地面积79386</w:t>
            </w:r>
            <w:r>
              <w:rPr>
                <w:rFonts w:hint="eastAsia" w:cs="Times New Roman"/>
                <w:color w:val="000000" w:themeColor="text1"/>
                <w:sz w:val="24"/>
                <w:szCs w:val="24"/>
                <w:highlight w:val="none"/>
                <w:lang w:val="en-US" w:eastAsia="zh-CN"/>
                <w14:textFill>
                  <w14:solidFill>
                    <w14:schemeClr w14:val="tx1"/>
                  </w14:solidFill>
                </w14:textFill>
              </w:rPr>
              <w:t>m</w:t>
            </w:r>
            <w:r>
              <w:rPr>
                <w:rFonts w:hint="eastAsia"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textAlignment w:val="auto"/>
              <w:rPr>
                <w:color w:val="000000" w:themeColor="text1"/>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项目地理位置图见附图1。</w:t>
            </w:r>
          </w:p>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表2-1项目坐标</w:t>
            </w:r>
          </w:p>
          <w:tbl>
            <w:tblPr>
              <w:tblStyle w:val="23"/>
              <w:tblW w:w="8097" w:type="dxa"/>
              <w:jc w:val="center"/>
              <w:tblLayout w:type="fixed"/>
              <w:tblCellMar>
                <w:top w:w="0" w:type="dxa"/>
                <w:left w:w="108" w:type="dxa"/>
                <w:bottom w:w="0" w:type="dxa"/>
                <w:right w:w="108" w:type="dxa"/>
              </w:tblCellMar>
            </w:tblPr>
            <w:tblGrid>
              <w:gridCol w:w="670"/>
              <w:gridCol w:w="1533"/>
              <w:gridCol w:w="1627"/>
              <w:gridCol w:w="773"/>
              <w:gridCol w:w="1747"/>
              <w:gridCol w:w="1747"/>
            </w:tblGrid>
            <w:tr>
              <w:tblPrEx>
                <w:tblCellMar>
                  <w:top w:w="0" w:type="dxa"/>
                  <w:left w:w="108" w:type="dxa"/>
                  <w:bottom w:w="0" w:type="dxa"/>
                  <w:right w:w="108" w:type="dxa"/>
                </w:tblCellMar>
              </w:tblPrEx>
              <w:trPr>
                <w:trHeight w:val="283" w:hRule="atLeast"/>
                <w:tblHeader/>
                <w:jc w:val="center"/>
              </w:trPr>
              <w:tc>
                <w:tcPr>
                  <w:tcW w:w="670" w:type="dxa"/>
                  <w:tcBorders>
                    <w:top w:val="single" w:color="auto" w:sz="4" w:space="0"/>
                    <w:left w:val="single" w:color="auto" w:sz="4" w:space="0"/>
                    <w:bottom w:val="single" w:color="auto" w:sz="4" w:space="0"/>
                    <w:right w:val="single" w:color="auto" w:sz="4" w:space="0"/>
                  </w:tcBorders>
                  <w:noWrap/>
                  <w:vAlign w:val="bottom"/>
                </w:tcPr>
                <w:p>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序号</w:t>
                  </w:r>
                </w:p>
              </w:tc>
              <w:tc>
                <w:tcPr>
                  <w:tcW w:w="1533" w:type="dxa"/>
                  <w:tcBorders>
                    <w:top w:val="single" w:color="auto" w:sz="4" w:space="0"/>
                    <w:left w:val="nil"/>
                    <w:bottom w:val="single" w:color="auto" w:sz="4" w:space="0"/>
                    <w:right w:val="single" w:color="auto" w:sz="4" w:space="0"/>
                  </w:tcBorders>
                  <w:noWrap/>
                  <w:vAlign w:val="bottom"/>
                </w:tcPr>
                <w:p>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X</w:t>
                  </w:r>
                </w:p>
              </w:tc>
              <w:tc>
                <w:tcPr>
                  <w:tcW w:w="1627" w:type="dxa"/>
                  <w:tcBorders>
                    <w:top w:val="single" w:color="auto" w:sz="4" w:space="0"/>
                    <w:left w:val="nil"/>
                    <w:bottom w:val="single" w:color="auto" w:sz="4" w:space="0"/>
                    <w:right w:val="single" w:color="auto" w:sz="4" w:space="0"/>
                  </w:tcBorders>
                  <w:noWrap/>
                  <w:vAlign w:val="bottom"/>
                </w:tcPr>
                <w:p>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Y</w:t>
                  </w:r>
                </w:p>
              </w:tc>
              <w:tc>
                <w:tcPr>
                  <w:tcW w:w="773" w:type="dxa"/>
                  <w:tcBorders>
                    <w:top w:val="single" w:color="auto" w:sz="4" w:space="0"/>
                    <w:left w:val="nil"/>
                    <w:bottom w:val="single" w:color="auto" w:sz="4" w:space="0"/>
                    <w:right w:val="single" w:color="auto" w:sz="4" w:space="0"/>
                  </w:tcBorders>
                  <w:noWrap/>
                  <w:vAlign w:val="bottom"/>
                </w:tcPr>
                <w:p>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序号</w:t>
                  </w:r>
                </w:p>
              </w:tc>
              <w:tc>
                <w:tcPr>
                  <w:tcW w:w="1747" w:type="dxa"/>
                  <w:tcBorders>
                    <w:top w:val="single" w:color="auto" w:sz="4" w:space="0"/>
                    <w:left w:val="nil"/>
                    <w:bottom w:val="single" w:color="auto" w:sz="4" w:space="0"/>
                    <w:right w:val="single" w:color="auto" w:sz="4" w:space="0"/>
                  </w:tcBorders>
                  <w:noWrap/>
                  <w:vAlign w:val="bottom"/>
                </w:tcPr>
                <w:p>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X</w:t>
                  </w:r>
                </w:p>
              </w:tc>
              <w:tc>
                <w:tcPr>
                  <w:tcW w:w="1747" w:type="dxa"/>
                  <w:tcBorders>
                    <w:top w:val="single" w:color="auto" w:sz="4" w:space="0"/>
                    <w:left w:val="nil"/>
                    <w:bottom w:val="single" w:color="auto" w:sz="4" w:space="0"/>
                    <w:right w:val="single" w:color="auto" w:sz="4" w:space="0"/>
                  </w:tcBorders>
                  <w:noWrap/>
                  <w:vAlign w:val="bottom"/>
                </w:tcPr>
                <w:p>
                  <w:pPr>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Y</w:t>
                  </w:r>
                </w:p>
              </w:tc>
            </w:tr>
            <w:tr>
              <w:tblPrEx>
                <w:tblCellMar>
                  <w:top w:w="0" w:type="dxa"/>
                  <w:left w:w="108" w:type="dxa"/>
                  <w:bottom w:w="0" w:type="dxa"/>
                  <w:right w:w="108" w:type="dxa"/>
                </w:tblCellMar>
              </w:tblPrEx>
              <w:trPr>
                <w:trHeight w:val="283" w:hRule="atLeast"/>
                <w:tblHeader/>
                <w:jc w:val="center"/>
              </w:trPr>
              <w:tc>
                <w:tcPr>
                  <w:tcW w:w="8097" w:type="dxa"/>
                  <w:gridSpan w:val="6"/>
                  <w:tcBorders>
                    <w:top w:val="single" w:color="auto" w:sz="4" w:space="0"/>
                    <w:left w:val="single" w:color="auto" w:sz="4" w:space="0"/>
                    <w:bottom w:val="single" w:color="auto" w:sz="4" w:space="0"/>
                    <w:right w:val="single" w:color="auto" w:sz="4" w:space="0"/>
                  </w:tcBorders>
                  <w:noWrap/>
                  <w:vAlign w:val="bottom"/>
                </w:tcPr>
                <w:p>
                  <w:pPr>
                    <w:spacing w:line="240" w:lineRule="auto"/>
                    <w:jc w:val="left"/>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北部风井场地厂区</w:t>
                  </w:r>
                </w:p>
              </w:tc>
            </w:tr>
            <w:tr>
              <w:tblPrEx>
                <w:tblCellMar>
                  <w:top w:w="0" w:type="dxa"/>
                  <w:left w:w="108" w:type="dxa"/>
                  <w:bottom w:w="0" w:type="dxa"/>
                  <w:right w:w="108" w:type="dxa"/>
                </w:tblCellMar>
              </w:tblPrEx>
              <w:trPr>
                <w:trHeight w:val="283" w:hRule="atLeast"/>
                <w:tblHeader/>
                <w:jc w:val="center"/>
              </w:trPr>
              <w:tc>
                <w:tcPr>
                  <w:tcW w:w="670" w:type="dxa"/>
                  <w:tcBorders>
                    <w:top w:val="single" w:color="auto" w:sz="4" w:space="0"/>
                    <w:left w:val="single" w:color="auto" w:sz="4" w:space="0"/>
                    <w:bottom w:val="single" w:color="auto" w:sz="4" w:space="0"/>
                    <w:right w:val="single" w:color="auto" w:sz="4" w:space="0"/>
                  </w:tcBorders>
                  <w:noWrap/>
                  <w:vAlign w:val="bottom"/>
                </w:tcPr>
                <w:p>
                  <w:pPr>
                    <w:numPr>
                      <w:ilvl w:val="0"/>
                      <w:numId w:val="2"/>
                    </w:numPr>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3"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4436308.961</w:t>
                  </w:r>
                </w:p>
              </w:tc>
              <w:tc>
                <w:tcPr>
                  <w:tcW w:w="1627"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36599639.827</w:t>
                  </w:r>
                </w:p>
              </w:tc>
              <w:tc>
                <w:tcPr>
                  <w:tcW w:w="773" w:type="dxa"/>
                  <w:tcBorders>
                    <w:top w:val="single" w:color="auto" w:sz="4" w:space="0"/>
                    <w:left w:val="nil"/>
                    <w:bottom w:val="single" w:color="auto" w:sz="4" w:space="0"/>
                    <w:right w:val="single" w:color="auto" w:sz="4" w:space="0"/>
                  </w:tcBorders>
                  <w:noWrap/>
                  <w:vAlign w:val="center"/>
                </w:tcPr>
                <w:p>
                  <w:pPr>
                    <w:keepNext w:val="0"/>
                    <w:keepLines w:val="0"/>
                    <w:widowControl/>
                    <w:numPr>
                      <w:ilvl w:val="0"/>
                      <w:numId w:val="3"/>
                    </w:numPr>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747"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4436078.844</w:t>
                  </w:r>
                </w:p>
              </w:tc>
              <w:tc>
                <w:tcPr>
                  <w:tcW w:w="1747"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36599541.907</w:t>
                  </w:r>
                </w:p>
              </w:tc>
            </w:tr>
            <w:tr>
              <w:tblPrEx>
                <w:tblCellMar>
                  <w:top w:w="0" w:type="dxa"/>
                  <w:left w:w="108" w:type="dxa"/>
                  <w:bottom w:w="0" w:type="dxa"/>
                  <w:right w:w="108" w:type="dxa"/>
                </w:tblCellMar>
              </w:tblPrEx>
              <w:trPr>
                <w:trHeight w:val="283" w:hRule="atLeast"/>
                <w:jc w:val="center"/>
              </w:trPr>
              <w:tc>
                <w:tcPr>
                  <w:tcW w:w="670" w:type="dxa"/>
                  <w:tcBorders>
                    <w:top w:val="single" w:color="auto" w:sz="4" w:space="0"/>
                    <w:left w:val="single" w:color="auto" w:sz="4" w:space="0"/>
                    <w:bottom w:val="single" w:color="auto" w:sz="4" w:space="0"/>
                    <w:right w:val="single" w:color="auto" w:sz="4" w:space="0"/>
                  </w:tcBorders>
                  <w:noWrap/>
                  <w:vAlign w:val="bottom"/>
                </w:tcPr>
                <w:p>
                  <w:pPr>
                    <w:numPr>
                      <w:ilvl w:val="0"/>
                      <w:numId w:val="2"/>
                    </w:numPr>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4436308.961</w:t>
                  </w:r>
                </w:p>
              </w:tc>
              <w:tc>
                <w:tcPr>
                  <w:tcW w:w="162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36599614.317</w:t>
                  </w:r>
                </w:p>
              </w:tc>
              <w:tc>
                <w:tcPr>
                  <w:tcW w:w="773" w:type="dxa"/>
                  <w:tcBorders>
                    <w:top w:val="nil"/>
                    <w:left w:val="nil"/>
                    <w:bottom w:val="single" w:color="auto" w:sz="4" w:space="0"/>
                    <w:right w:val="single" w:color="auto" w:sz="4" w:space="0"/>
                  </w:tcBorders>
                  <w:noWrap/>
                  <w:vAlign w:val="center"/>
                </w:tcPr>
                <w:p>
                  <w:pPr>
                    <w:keepNext w:val="0"/>
                    <w:keepLines w:val="0"/>
                    <w:widowControl/>
                    <w:numPr>
                      <w:ilvl w:val="0"/>
                      <w:numId w:val="3"/>
                    </w:numPr>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4436037.902</w:t>
                  </w: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36599590.429</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numPr>
                      <w:ilvl w:val="0"/>
                      <w:numId w:val="2"/>
                    </w:numPr>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4436301.905</w:t>
                  </w:r>
                </w:p>
              </w:tc>
              <w:tc>
                <w:tcPr>
                  <w:tcW w:w="162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36599514.415</w:t>
                  </w:r>
                </w:p>
              </w:tc>
              <w:tc>
                <w:tcPr>
                  <w:tcW w:w="773" w:type="dxa"/>
                  <w:tcBorders>
                    <w:top w:val="nil"/>
                    <w:left w:val="nil"/>
                    <w:bottom w:val="single" w:color="auto" w:sz="4" w:space="0"/>
                    <w:right w:val="single" w:color="auto" w:sz="4" w:space="0"/>
                  </w:tcBorders>
                  <w:noWrap/>
                  <w:vAlign w:val="center"/>
                </w:tcPr>
                <w:p>
                  <w:pPr>
                    <w:keepNext w:val="0"/>
                    <w:keepLines w:val="0"/>
                    <w:widowControl/>
                    <w:numPr>
                      <w:ilvl w:val="0"/>
                      <w:numId w:val="3"/>
                    </w:numPr>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4436069.922</w:t>
                  </w: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36599597.427</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numPr>
                      <w:ilvl w:val="0"/>
                      <w:numId w:val="2"/>
                    </w:numPr>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4436297.069</w:t>
                  </w:r>
                </w:p>
              </w:tc>
              <w:tc>
                <w:tcPr>
                  <w:tcW w:w="162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36599494.668</w:t>
                  </w:r>
                </w:p>
              </w:tc>
              <w:tc>
                <w:tcPr>
                  <w:tcW w:w="773" w:type="dxa"/>
                  <w:tcBorders>
                    <w:top w:val="nil"/>
                    <w:left w:val="nil"/>
                    <w:bottom w:val="single" w:color="auto" w:sz="4" w:space="0"/>
                    <w:right w:val="single" w:color="auto" w:sz="4" w:space="0"/>
                  </w:tcBorders>
                  <w:noWrap/>
                  <w:vAlign w:val="center"/>
                </w:tcPr>
                <w:p>
                  <w:pPr>
                    <w:keepNext w:val="0"/>
                    <w:keepLines w:val="0"/>
                    <w:widowControl/>
                    <w:numPr>
                      <w:ilvl w:val="0"/>
                      <w:numId w:val="3"/>
                    </w:numPr>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4436104.99</w:t>
                  </w: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36599599.933</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numPr>
                      <w:ilvl w:val="0"/>
                      <w:numId w:val="2"/>
                    </w:numPr>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4436296.79</w:t>
                  </w:r>
                </w:p>
              </w:tc>
              <w:tc>
                <w:tcPr>
                  <w:tcW w:w="162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36599455.279</w:t>
                  </w:r>
                </w:p>
              </w:tc>
              <w:tc>
                <w:tcPr>
                  <w:tcW w:w="773" w:type="dxa"/>
                  <w:tcBorders>
                    <w:top w:val="nil"/>
                    <w:left w:val="nil"/>
                    <w:bottom w:val="single" w:color="auto" w:sz="4" w:space="0"/>
                    <w:right w:val="single" w:color="auto" w:sz="4" w:space="0"/>
                  </w:tcBorders>
                  <w:noWrap/>
                  <w:vAlign w:val="center"/>
                </w:tcPr>
                <w:p>
                  <w:pPr>
                    <w:keepNext w:val="0"/>
                    <w:keepLines w:val="0"/>
                    <w:widowControl/>
                    <w:numPr>
                      <w:ilvl w:val="0"/>
                      <w:numId w:val="3"/>
                    </w:numPr>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4436126.075</w:t>
                  </w: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36599628.7</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numPr>
                      <w:ilvl w:val="0"/>
                      <w:numId w:val="2"/>
                    </w:numPr>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4436301.454</w:t>
                  </w:r>
                </w:p>
              </w:tc>
              <w:tc>
                <w:tcPr>
                  <w:tcW w:w="162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36599382.768</w:t>
                  </w:r>
                </w:p>
              </w:tc>
              <w:tc>
                <w:tcPr>
                  <w:tcW w:w="773" w:type="dxa"/>
                  <w:tcBorders>
                    <w:top w:val="nil"/>
                    <w:left w:val="nil"/>
                    <w:bottom w:val="single" w:color="auto" w:sz="4" w:space="0"/>
                    <w:right w:val="single" w:color="auto" w:sz="4" w:space="0"/>
                  </w:tcBorders>
                  <w:noWrap/>
                  <w:vAlign w:val="center"/>
                </w:tcPr>
                <w:p>
                  <w:pPr>
                    <w:keepNext w:val="0"/>
                    <w:keepLines w:val="0"/>
                    <w:widowControl/>
                    <w:numPr>
                      <w:ilvl w:val="0"/>
                      <w:numId w:val="3"/>
                    </w:numPr>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4436130.923</w:t>
                  </w: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36599631.41</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numPr>
                      <w:ilvl w:val="0"/>
                      <w:numId w:val="2"/>
                    </w:numPr>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4436282.634</w:t>
                  </w:r>
                </w:p>
              </w:tc>
              <w:tc>
                <w:tcPr>
                  <w:tcW w:w="162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36599382.767</w:t>
                  </w:r>
                </w:p>
              </w:tc>
              <w:tc>
                <w:tcPr>
                  <w:tcW w:w="773" w:type="dxa"/>
                  <w:tcBorders>
                    <w:top w:val="nil"/>
                    <w:left w:val="nil"/>
                    <w:bottom w:val="single" w:color="auto" w:sz="4" w:space="0"/>
                    <w:right w:val="single" w:color="auto" w:sz="4" w:space="0"/>
                  </w:tcBorders>
                  <w:noWrap/>
                  <w:vAlign w:val="center"/>
                </w:tcPr>
                <w:p>
                  <w:pPr>
                    <w:keepNext w:val="0"/>
                    <w:keepLines w:val="0"/>
                    <w:widowControl/>
                    <w:numPr>
                      <w:ilvl w:val="0"/>
                      <w:numId w:val="3"/>
                    </w:numPr>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4436148.139</w:t>
                  </w: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36599634.911</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numPr>
                      <w:ilvl w:val="0"/>
                      <w:numId w:val="2"/>
                    </w:numPr>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4436257.558</w:t>
                  </w:r>
                </w:p>
              </w:tc>
              <w:tc>
                <w:tcPr>
                  <w:tcW w:w="162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36599395.772</w:t>
                  </w:r>
                </w:p>
              </w:tc>
              <w:tc>
                <w:tcPr>
                  <w:tcW w:w="773" w:type="dxa"/>
                  <w:tcBorders>
                    <w:top w:val="nil"/>
                    <w:left w:val="nil"/>
                    <w:bottom w:val="single" w:color="auto" w:sz="4" w:space="0"/>
                    <w:right w:val="single" w:color="auto" w:sz="4" w:space="0"/>
                  </w:tcBorders>
                  <w:noWrap/>
                  <w:vAlign w:val="center"/>
                </w:tcPr>
                <w:p>
                  <w:pPr>
                    <w:keepNext w:val="0"/>
                    <w:keepLines w:val="0"/>
                    <w:widowControl/>
                    <w:numPr>
                      <w:ilvl w:val="0"/>
                      <w:numId w:val="3"/>
                    </w:numPr>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4436182.096</w:t>
                  </w: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36599612.421</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numPr>
                      <w:ilvl w:val="0"/>
                      <w:numId w:val="2"/>
                    </w:numPr>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4436232.892</w:t>
                  </w:r>
                </w:p>
              </w:tc>
              <w:tc>
                <w:tcPr>
                  <w:tcW w:w="162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36599388.593</w:t>
                  </w:r>
                </w:p>
              </w:tc>
              <w:tc>
                <w:tcPr>
                  <w:tcW w:w="773" w:type="dxa"/>
                  <w:tcBorders>
                    <w:top w:val="nil"/>
                    <w:left w:val="nil"/>
                    <w:bottom w:val="single" w:color="auto" w:sz="4" w:space="0"/>
                    <w:right w:val="single" w:color="auto" w:sz="4" w:space="0"/>
                  </w:tcBorders>
                  <w:noWrap/>
                  <w:vAlign w:val="center"/>
                </w:tcPr>
                <w:p>
                  <w:pPr>
                    <w:keepNext w:val="0"/>
                    <w:keepLines w:val="0"/>
                    <w:widowControl/>
                    <w:numPr>
                      <w:ilvl w:val="0"/>
                      <w:numId w:val="3"/>
                    </w:numPr>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4436218.346</w:t>
                  </w: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36599590.652</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numPr>
                      <w:ilvl w:val="0"/>
                      <w:numId w:val="2"/>
                    </w:numPr>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4436206.875</w:t>
                  </w:r>
                </w:p>
              </w:tc>
              <w:tc>
                <w:tcPr>
                  <w:tcW w:w="162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36599383.4</w:t>
                  </w:r>
                </w:p>
              </w:tc>
              <w:tc>
                <w:tcPr>
                  <w:tcW w:w="773" w:type="dxa"/>
                  <w:tcBorders>
                    <w:top w:val="nil"/>
                    <w:left w:val="nil"/>
                    <w:bottom w:val="single" w:color="auto" w:sz="4" w:space="0"/>
                    <w:right w:val="single" w:color="auto" w:sz="4" w:space="0"/>
                  </w:tcBorders>
                  <w:noWrap/>
                  <w:vAlign w:val="center"/>
                </w:tcPr>
                <w:p>
                  <w:pPr>
                    <w:keepNext w:val="0"/>
                    <w:keepLines w:val="0"/>
                    <w:widowControl/>
                    <w:numPr>
                      <w:ilvl w:val="0"/>
                      <w:numId w:val="3"/>
                    </w:numPr>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4436228.616</w:t>
                  </w: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36599610.783</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numPr>
                      <w:ilvl w:val="0"/>
                      <w:numId w:val="2"/>
                    </w:numPr>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4436206.874</w:t>
                  </w:r>
                </w:p>
              </w:tc>
              <w:tc>
                <w:tcPr>
                  <w:tcW w:w="162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36599436.855</w:t>
                  </w:r>
                </w:p>
              </w:tc>
              <w:tc>
                <w:tcPr>
                  <w:tcW w:w="773" w:type="dxa"/>
                  <w:tcBorders>
                    <w:top w:val="nil"/>
                    <w:left w:val="nil"/>
                    <w:bottom w:val="single" w:color="auto" w:sz="4" w:space="0"/>
                    <w:right w:val="single" w:color="auto" w:sz="4" w:space="0"/>
                  </w:tcBorders>
                  <w:noWrap/>
                  <w:vAlign w:val="center"/>
                </w:tcPr>
                <w:p>
                  <w:pPr>
                    <w:keepNext w:val="0"/>
                    <w:keepLines w:val="0"/>
                    <w:widowControl/>
                    <w:numPr>
                      <w:ilvl w:val="0"/>
                      <w:numId w:val="0"/>
                    </w:numPr>
                    <w:suppressLineNumbers w:val="0"/>
                    <w:ind w:left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47"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r>
            <w:tr>
              <w:tblPrEx>
                <w:tblCellMar>
                  <w:top w:w="0" w:type="dxa"/>
                  <w:left w:w="108" w:type="dxa"/>
                  <w:bottom w:w="0" w:type="dxa"/>
                  <w:right w:w="108" w:type="dxa"/>
                </w:tblCellMar>
              </w:tblPrEx>
              <w:trPr>
                <w:trHeight w:val="283" w:hRule="atLeast"/>
                <w:jc w:val="center"/>
              </w:trPr>
              <w:tc>
                <w:tcPr>
                  <w:tcW w:w="8097" w:type="dxa"/>
                  <w:gridSpan w:val="6"/>
                  <w:tcBorders>
                    <w:top w:val="nil"/>
                    <w:left w:val="single" w:color="auto" w:sz="4" w:space="0"/>
                    <w:bottom w:val="single" w:color="auto" w:sz="4" w:space="0"/>
                    <w:right w:val="single" w:color="auto" w:sz="4" w:space="0"/>
                  </w:tcBorders>
                  <w:noWrap/>
                  <w:vAlign w:val="bottom"/>
                </w:tcPr>
                <w:p>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1"/>
                      <w:szCs w:val="21"/>
                      <w:u w:val="none"/>
                      <w:lang w:val="en-US" w:eastAsia="zh-CN" w:bidi="ar"/>
                    </w:rPr>
                    <w:t>场外道路</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4434884.957</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36601055.916</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4435760.355</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36600322.848</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4434982.866</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36600934.569</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4435766.964</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36600303.404</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4434997.408</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36600916.546</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4435780.700</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36600288.139</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4435019.328</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36600909.078</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4435848.884</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36600212.363</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4435156.262</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36600862.427</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4435863.814</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36600195.770</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4435176.278</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36600855.607</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4435882.345</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36600183.327</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4435197 341</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36600857.475</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4435927.997</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36600152.672</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4435328.900</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36600869.138</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4435939 224</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36600145.133</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4435376.481</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36600873.356</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4435946.513</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36600133.742</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4435402.765</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36600833.469</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4436031.792</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36600000.459</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4435447.123</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36600766.154</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4436041.998</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36599984.509</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4435456.925</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36600751.280</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4436044.911</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36599965.798</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4435472.111</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36600741.970</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4436050.690</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36599928.682</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4435515.163</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36600715.577</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4436054.212</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36599906.055</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4435532.551</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36600704.917</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4436071.914</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36599891.529</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4435541.492</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36600686.585</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4436168.069</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36599812.625</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4435636.557</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36600491.679</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4436194.803</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36599790.687</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4435644.721</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36600474.941</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4436207.102</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36599758.365</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4435659.437</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36600463.529</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4436236.615</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36599680.809</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4435712.556</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36600422.339</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4436242.500</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36599665.345</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4435731.545</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36600407.614</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4436242.500</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36599648.800</w:t>
                  </w:r>
                </w:p>
              </w:tc>
            </w:tr>
            <w:tr>
              <w:tblPrEx>
                <w:tblCellMar>
                  <w:top w:w="0" w:type="dxa"/>
                  <w:left w:w="108" w:type="dxa"/>
                  <w:bottom w:w="0" w:type="dxa"/>
                  <w:right w:w="108" w:type="dxa"/>
                </w:tblCellMar>
              </w:tblPrEx>
              <w:trPr>
                <w:trHeight w:val="283" w:hRule="atLeast"/>
                <w:jc w:val="center"/>
              </w:trPr>
              <w:tc>
                <w:tcPr>
                  <w:tcW w:w="670" w:type="dxa"/>
                  <w:tcBorders>
                    <w:top w:val="nil"/>
                    <w:left w:val="single" w:color="auto" w:sz="4" w:space="0"/>
                    <w:bottom w:val="single" w:color="auto" w:sz="4" w:space="0"/>
                    <w:right w:val="single" w:color="auto" w:sz="4" w:space="0"/>
                  </w:tcBorders>
                  <w:noWrap/>
                  <w:vAlign w:val="bottom"/>
                </w:tcPr>
                <w:p>
                  <w:pPr>
                    <w:keepNext w:val="0"/>
                    <w:keepLines w:val="0"/>
                    <w:pageBreakBefore w:val="0"/>
                    <w:numPr>
                      <w:ilvl w:val="0"/>
                      <w:numId w:val="4"/>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533"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en-US" w:bidi="ar-SA"/>
                    </w:rPr>
                  </w:pPr>
                  <w:r>
                    <w:rPr>
                      <w:rFonts w:hint="default" w:ascii="Times New Roman" w:hAnsi="Times New Roman" w:eastAsia="宋体" w:cs="Times New Roman"/>
                      <w:i w:val="0"/>
                      <w:iCs w:val="0"/>
                      <w:color w:val="000000"/>
                      <w:kern w:val="0"/>
                      <w:sz w:val="21"/>
                      <w:szCs w:val="21"/>
                      <w:u w:val="none"/>
                      <w:lang w:val="en-US" w:eastAsia="zh-CN" w:bidi="ar"/>
                    </w:rPr>
                    <w:t>4435739 277</w:t>
                  </w:r>
                </w:p>
              </w:tc>
              <w:tc>
                <w:tcPr>
                  <w:tcW w:w="162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36600384.863</w:t>
                  </w:r>
                </w:p>
              </w:tc>
              <w:tc>
                <w:tcPr>
                  <w:tcW w:w="773" w:type="dxa"/>
                  <w:tcBorders>
                    <w:top w:val="nil"/>
                    <w:left w:val="nil"/>
                    <w:bottom w:val="single" w:color="auto" w:sz="4" w:space="0"/>
                    <w:right w:val="single" w:color="auto" w:sz="4" w:space="0"/>
                  </w:tcBorders>
                  <w:noWrap/>
                  <w:vAlign w:val="top"/>
                </w:tcPr>
                <w:p>
                  <w:pPr>
                    <w:pStyle w:val="42"/>
                    <w:keepNext w:val="0"/>
                    <w:keepLines w:val="0"/>
                    <w:pageBreakBefore w:val="0"/>
                    <w:numPr>
                      <w:ilvl w:val="0"/>
                      <w:numId w:val="5"/>
                    </w:numPr>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kern w:val="2"/>
                      <w:sz w:val="21"/>
                      <w:szCs w:val="21"/>
                      <w:highlight w:val="none"/>
                      <w:lang w:val="en-US" w:eastAsia="zh-CN" w:bidi="ar-SA"/>
                    </w:rPr>
                  </w:pP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4436242.500</w:t>
                  </w:r>
                </w:p>
              </w:tc>
              <w:tc>
                <w:tcPr>
                  <w:tcW w:w="1747"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36599605.000</w:t>
                  </w:r>
                </w:p>
              </w:tc>
            </w:tr>
          </w:tbl>
          <w:p>
            <w:pPr>
              <w:adjustRightInd w:val="0"/>
              <w:snapToGrid w:val="0"/>
              <w:jc w:val="center"/>
              <w:rPr>
                <w:rFonts w:ascii="宋体" w:hAnsi="宋体" w:cs="宋体"/>
                <w:color w:val="000000" w:themeColor="text1"/>
                <w:kern w:val="0"/>
                <w:szCs w:val="21"/>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34" w:hRule="atLeast"/>
        </w:trPr>
        <w:tc>
          <w:tcPr>
            <w:tcW w:w="710" w:type="dxa"/>
            <w:noWrap w:val="0"/>
            <w:vAlign w:val="center"/>
          </w:tcPr>
          <w:p>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项目组成及规模</w:t>
            </w:r>
          </w:p>
        </w:tc>
        <w:tc>
          <w:tcPr>
            <w:tcW w:w="8380" w:type="dxa"/>
            <w:noWrap w:val="0"/>
            <w:vAlign w:val="center"/>
          </w:tcPr>
          <w:p>
            <w:pPr>
              <w:keepNext w:val="0"/>
              <w:keepLines w:val="0"/>
              <w:pageBreakBefore w:val="0"/>
              <w:widowControl w:val="0"/>
              <w:numPr>
                <w:ilvl w:val="0"/>
                <w:numId w:val="6"/>
              </w:numPr>
              <w:kinsoku/>
              <w:wordWrap/>
              <w:overflowPunct/>
              <w:topLinePunct w:val="0"/>
              <w:autoSpaceDE w:val="0"/>
              <w:autoSpaceDN w:val="0"/>
              <w:bidi w:val="0"/>
              <w:adjustRightInd w:val="0"/>
              <w:snapToGrid w:val="0"/>
              <w:spacing w:line="360" w:lineRule="auto"/>
              <w:ind w:left="0" w:leftChars="0" w:right="0" w:firstLine="482" w:firstLineChars="200"/>
              <w:jc w:val="left"/>
              <w:textAlignment w:val="auto"/>
              <w:rPr>
                <w:rFonts w:hint="default" w:ascii="Times New Roman" w:hAnsi="Times New Roman" w:cs="Times New Roman"/>
                <w:b/>
                <w:bCs w:val="0"/>
                <w:color w:val="000000" w:themeColor="text1"/>
                <w:sz w:val="24"/>
                <w:szCs w:val="24"/>
                <w:highlight w:val="none"/>
                <w:lang w:eastAsia="zh-CN"/>
                <w14:textFill>
                  <w14:solidFill>
                    <w14:schemeClr w14:val="tx1"/>
                  </w14:solidFill>
                </w14:textFill>
              </w:rPr>
            </w:pPr>
            <w:r>
              <w:rPr>
                <w:rFonts w:hint="default" w:ascii="Times New Roman" w:hAnsi="Times New Roman" w:cs="Times New Roman"/>
                <w:b/>
                <w:bCs w:val="0"/>
                <w:color w:val="000000" w:themeColor="text1"/>
                <w:sz w:val="24"/>
                <w:szCs w:val="24"/>
                <w:highlight w:val="none"/>
                <w:lang w:eastAsia="zh-CN"/>
                <w14:textFill>
                  <w14:solidFill>
                    <w14:schemeClr w14:val="tx1"/>
                  </w14:solidFill>
                </w14:textFill>
              </w:rPr>
              <w:t>工程概况</w:t>
            </w:r>
          </w:p>
          <w:p>
            <w:pPr>
              <w:pStyle w:val="2"/>
              <w:keepNext w:val="0"/>
              <w:keepLines w:val="0"/>
              <w:pageBreakBefore w:val="0"/>
              <w:widowControl w:val="0"/>
              <w:kinsoku/>
              <w:wordWrap/>
              <w:overflowPunct/>
              <w:topLinePunct w:val="0"/>
              <w:bidi w:val="0"/>
              <w:spacing w:before="0" w:after="0" w:line="360" w:lineRule="auto"/>
              <w:ind w:right="0" w:firstLine="482" w:firstLineChars="200"/>
              <w:textAlignment w:val="auto"/>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t>1</w:t>
            </w:r>
            <w:r>
              <w:rPr>
                <w:rFonts w:hint="eastAsia" w:cs="Times New Roman"/>
                <w:b/>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t>项目背景</w:t>
            </w:r>
          </w:p>
          <w:p>
            <w:pPr>
              <w:pStyle w:val="49"/>
              <w:spacing w:line="360" w:lineRule="auto"/>
              <w:ind w:firstLine="48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本项目位于内蒙古自治区鄂尔多斯市杭锦旗独贵塔拉镇乌定补拉格村塔然高勒煤矿矿界内，为塔然高勒煤矿附属工程，塔然高勒矿井设计生产能力为10.00Mt/a，服务年限106.1a，其中先期开采区域〔西一（上）、西一（下）北翼盘区至西四（上）、（下）盘区〕均衡生产约42a。</w:t>
            </w:r>
          </w:p>
          <w:p>
            <w:pPr>
              <w:pStyle w:val="49"/>
              <w:spacing w:line="360" w:lineRule="auto"/>
              <w:ind w:firstLine="48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2006年5月，内蒙古自治区环境科学研究院编制完成《神华集团塔然高勒矿井环境影响报告书》。2006年6月21日，原国家环境保护总局对神华集团塔然高勒矿井进行了批复，批文为《关于神华集团塔然高勒矿井环境影响报告书的批复》（环审〔2006〕287号）。</w:t>
            </w:r>
          </w:p>
          <w:p>
            <w:pPr>
              <w:pStyle w:val="49"/>
              <w:spacing w:line="360" w:lineRule="auto"/>
              <w:ind w:firstLine="480"/>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塔然高勒煤矿于2008年7月开工建设，在依法合规建设期间，中核集团在</w:t>
            </w:r>
            <w:r>
              <w:rPr>
                <w:rFonts w:hint="eastAsia" w:ascii="宋体" w:hAnsi="宋体" w:eastAsia="宋体" w:cs="宋体"/>
                <w:color w:val="000000" w:themeColor="text1"/>
                <w14:textFill>
                  <w14:solidFill>
                    <w14:schemeClr w14:val="tx1"/>
                  </w14:solidFill>
                </w14:textFill>
              </w:rPr>
              <w:t>塔然高勒井田范围内调查发现了沉积砂岩型铀矿。为保护铀矿资源，确保煤矿安全生产，塔然高勒煤矿于2012年5月停止东翼盘区建设，2015年10月全面停止井巷工程施工，并回撤全部采掘设备，2016年初封闭试采工作面，矿井进入维护运行状态。目前，原设计的矿建工程一期已经全部完工，二期工程大部</w:t>
            </w:r>
            <w:r>
              <w:rPr>
                <w:rFonts w:hint="eastAsia" w:ascii="宋体" w:hAnsi="宋体" w:eastAsia="宋体" w:cs="宋体"/>
                <w:color w:val="000000" w:themeColor="text1"/>
                <w:lang w:eastAsia="zh-CN"/>
                <w14:textFill>
                  <w14:solidFill>
                    <w14:schemeClr w14:val="tx1"/>
                  </w14:solidFill>
                </w14:textFill>
              </w:rPr>
              <w:t>分</w:t>
            </w:r>
            <w:r>
              <w:rPr>
                <w:rFonts w:hint="eastAsia" w:ascii="宋体" w:hAnsi="宋体" w:eastAsia="宋体" w:cs="宋体"/>
                <w:color w:val="000000" w:themeColor="text1"/>
                <w:lang w:val="en-US" w:eastAsia="zh-CN"/>
                <w14:textFill>
                  <w14:solidFill>
                    <w14:schemeClr w14:val="tx1"/>
                  </w14:solidFill>
                </w14:textFill>
              </w:rPr>
              <w:t>已经</w:t>
            </w:r>
            <w:r>
              <w:rPr>
                <w:rFonts w:hint="eastAsia" w:ascii="宋体" w:hAnsi="宋体" w:eastAsia="宋体" w:cs="宋体"/>
                <w:color w:val="000000" w:themeColor="text1"/>
                <w14:textFill>
                  <w14:solidFill>
                    <w14:schemeClr w14:val="tx1"/>
                  </w14:solidFill>
                </w14:textFill>
              </w:rPr>
              <w:t>完成。主、副、风井井筒装备，永久提升系统，主要通风机，井下中央变电所和水泵房等机电安装工程全部完成。地面主副井塔、35kV变电所、水处理站、办公楼及职工公寓等生产、生活设施全部建成。矿井的永久提升、通风、运输、排水、压风、供电、通讯、生产生活服务设施等系统运行正常，矿井保持着随时恢复建设的基本条件。</w:t>
            </w:r>
            <w:r>
              <w:rPr>
                <w:rFonts w:hint="eastAsia" w:ascii="宋体" w:hAnsi="宋体" w:eastAsia="宋体" w:cs="宋体"/>
                <w:color w:val="000000" w:themeColor="text1"/>
                <w:lang w:val="en-US" w:eastAsia="zh-CN"/>
                <w14:textFill>
                  <w14:solidFill>
                    <w14:schemeClr w14:val="tx1"/>
                  </w14:solidFill>
                </w14:textFill>
              </w:rPr>
              <w:t>因项目处于基建期，未进行环保验收。</w:t>
            </w:r>
          </w:p>
          <w:p>
            <w:pPr>
              <w:pStyle w:val="49"/>
              <w:spacing w:line="360" w:lineRule="auto"/>
              <w:ind w:firstLine="480"/>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建设单位根据煤、铀协调开采协议，委托专业单位对初步设计进行了修改，2024年2月7日取得了鄂尔多斯市能源局出具的《鄂尔多斯市能源局关于神华集团有限责任公司塔然高勒矿井及选煤厂初步设计（修改）的批复》（鄂能局审批发〔2024〕3号）。</w:t>
            </w:r>
          </w:p>
          <w:p>
            <w:pPr>
              <w:pStyle w:val="49"/>
              <w:spacing w:line="360" w:lineRule="auto"/>
              <w:ind w:firstLine="480"/>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塔然高勒煤矿由于受煤、铀重叠区域的影响，煤矿拟将首采盘区由原西一盘区和东一盘区调整至西四（上）盘区。本次针对修改后的初步设计中先开采的盘区建设风井，后续服务于初步设计（修改）后的煤矿。</w:t>
            </w:r>
            <w:r>
              <w:rPr>
                <w:rFonts w:hint="eastAsia" w:ascii="宋体" w:hAnsi="宋体" w:eastAsia="宋体" w:cs="宋体"/>
                <w:color w:val="000000" w:themeColor="text1"/>
                <w:lang w:eastAsia="zh-CN"/>
                <w14:textFill>
                  <w14:solidFill>
                    <w14:schemeClr w14:val="tx1"/>
                  </w14:solidFill>
                </w14:textFill>
              </w:rPr>
              <w:t>变更初步设计后的</w:t>
            </w:r>
            <w:r>
              <w:rPr>
                <w:rFonts w:hint="eastAsia" w:ascii="宋体" w:hAnsi="宋体" w:eastAsia="宋体" w:cs="宋体"/>
                <w:color w:val="000000" w:themeColor="text1"/>
                <w:lang w:val="en-US" w:eastAsia="zh-CN"/>
                <w14:textFill>
                  <w14:solidFill>
                    <w14:schemeClr w14:val="tx1"/>
                  </w14:solidFill>
                </w14:textFill>
              </w:rPr>
              <w:t>《国家能源集团杭锦能源有限责任公司塔然高勒矿区塔然高勒矿井及选煤厂（1000万吨/年）变更环境影响报告书》</w:t>
            </w:r>
            <w:r>
              <w:rPr>
                <w:rFonts w:hint="eastAsia" w:ascii="宋体" w:hAnsi="宋体" w:eastAsia="宋体" w:cs="宋体"/>
                <w:color w:val="000000" w:themeColor="text1"/>
                <w:lang w:eastAsia="zh-CN"/>
                <w14:textFill>
                  <w14:solidFill>
                    <w14:schemeClr w14:val="tx1"/>
                  </w14:solidFill>
                </w14:textFill>
              </w:rPr>
              <w:t>正在同步编制中</w:t>
            </w:r>
            <w:r>
              <w:rPr>
                <w:rFonts w:hint="eastAsia" w:ascii="宋体" w:hAnsi="宋体" w:eastAsia="宋体" w:cs="宋体"/>
                <w:color w:val="000000" w:themeColor="text1"/>
                <w:lang w:val="en-US" w:eastAsia="zh-CN"/>
                <w14:textFill>
                  <w14:solidFill>
                    <w14:schemeClr w14:val="tx1"/>
                  </w14:solidFill>
                </w14:textFill>
              </w:rPr>
              <w:t>。</w:t>
            </w:r>
          </w:p>
          <w:p>
            <w:pPr>
              <w:pStyle w:val="49"/>
              <w:spacing w:line="360" w:lineRule="auto"/>
              <w:ind w:firstLine="480"/>
              <w:rPr>
                <w:rFonts w:hint="eastAsia" w:hAnsi="黑体"/>
                <w:color w:val="000000" w:themeColor="text1"/>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为缩短先期开采区域的通风、压风、供电、井下</w:t>
            </w:r>
            <w:r>
              <w:rPr>
                <w:rFonts w:hint="eastAsia"/>
                <w:snapToGrid w:val="0"/>
                <w:color w:val="000000" w:themeColor="text1"/>
                <w:highlight w:val="none"/>
                <w14:textFill>
                  <w14:solidFill>
                    <w14:schemeClr w14:val="tx1"/>
                  </w14:solidFill>
                </w14:textFill>
              </w:rPr>
              <w:t>供热</w:t>
            </w:r>
            <w:r>
              <w:rPr>
                <w:rFonts w:hint="eastAsia"/>
                <w:color w:val="000000" w:themeColor="text1"/>
                <w:highlight w:val="none"/>
                <w14:textFill>
                  <w14:solidFill>
                    <w14:schemeClr w14:val="tx1"/>
                  </w14:solidFill>
                </w14:textFill>
              </w:rPr>
              <w:t>等距离，满足矿井通风、缩短建设工期、安全建井与生产等需要，在</w:t>
            </w:r>
            <w:r>
              <w:rPr>
                <w:rFonts w:hint="eastAsia" w:hAnsi="黑体"/>
                <w:color w:val="000000" w:themeColor="text1"/>
                <w:szCs w:val="24"/>
                <w:highlight w:val="none"/>
                <w14:textFill>
                  <w14:solidFill>
                    <w14:schemeClr w14:val="tx1"/>
                  </w14:solidFill>
                </w14:textFill>
              </w:rPr>
              <w:t>位于塔然高勒煤矿工业场地西北约</w:t>
            </w:r>
            <w:r>
              <w:rPr>
                <w:color w:val="000000" w:themeColor="text1"/>
                <w:szCs w:val="24"/>
                <w:highlight w:val="none"/>
                <w14:textFill>
                  <w14:solidFill>
                    <w14:schemeClr w14:val="tx1"/>
                  </w14:solidFill>
                </w14:textFill>
              </w:rPr>
              <w:t>7.2</w:t>
            </w:r>
            <w:r>
              <w:rPr>
                <w:rFonts w:hint="eastAsia"/>
                <w:color w:val="000000" w:themeColor="text1"/>
                <w:szCs w:val="24"/>
                <w:highlight w:val="none"/>
                <w14:textFill>
                  <w14:solidFill>
                    <w14:schemeClr w14:val="tx1"/>
                  </w14:solidFill>
                </w14:textFill>
              </w:rPr>
              <w:t>km</w:t>
            </w:r>
            <w:r>
              <w:rPr>
                <w:rFonts w:hint="eastAsia" w:hAnsi="黑体"/>
                <w:color w:val="000000" w:themeColor="text1"/>
                <w:szCs w:val="24"/>
                <w:highlight w:val="none"/>
                <w14:textFill>
                  <w14:solidFill>
                    <w14:schemeClr w14:val="tx1"/>
                  </w14:solidFill>
                </w14:textFill>
              </w:rPr>
              <w:t>、</w:t>
            </w:r>
            <w:r>
              <w:rPr>
                <w:rFonts w:hint="eastAsia" w:cs="宋体"/>
                <w:snapToGrid w:val="0"/>
                <w:color w:val="000000" w:themeColor="text1"/>
                <w:kern w:val="0"/>
                <w:highlight w:val="none"/>
                <w14:textFill>
                  <w14:solidFill>
                    <w14:schemeClr w14:val="tx1"/>
                  </w14:solidFill>
                </w14:textFill>
              </w:rPr>
              <w:t>西三</w:t>
            </w:r>
            <w:r>
              <w:rPr>
                <w:rFonts w:hint="eastAsia" w:cs="宋体"/>
                <w:snapToGrid w:val="0"/>
                <w:color w:val="000000" w:themeColor="text1"/>
                <w:kern w:val="0"/>
                <w:highlight w:val="none"/>
                <w:lang w:eastAsia="zh-CN"/>
                <w14:textFill>
                  <w14:solidFill>
                    <w14:schemeClr w14:val="tx1"/>
                  </w14:solidFill>
                </w14:textFill>
              </w:rPr>
              <w:t>（</w:t>
            </w:r>
            <w:r>
              <w:rPr>
                <w:rFonts w:hint="eastAsia" w:cs="宋体"/>
                <w:snapToGrid w:val="0"/>
                <w:color w:val="000000" w:themeColor="text1"/>
                <w:kern w:val="0"/>
                <w:highlight w:val="none"/>
                <w14:textFill>
                  <w14:solidFill>
                    <w14:schemeClr w14:val="tx1"/>
                  </w14:solidFill>
                </w14:textFill>
              </w:rPr>
              <w:t>上）盘区北部且靠近西四</w:t>
            </w:r>
            <w:r>
              <w:rPr>
                <w:rFonts w:hint="eastAsia" w:cs="宋体"/>
                <w:snapToGrid w:val="0"/>
                <w:color w:val="000000" w:themeColor="text1"/>
                <w:kern w:val="0"/>
                <w:highlight w:val="none"/>
                <w:lang w:eastAsia="zh-CN"/>
                <w14:textFill>
                  <w14:solidFill>
                    <w14:schemeClr w14:val="tx1"/>
                  </w14:solidFill>
                </w14:textFill>
              </w:rPr>
              <w:t>（</w:t>
            </w:r>
            <w:r>
              <w:rPr>
                <w:rFonts w:hint="eastAsia" w:cs="宋体"/>
                <w:snapToGrid w:val="0"/>
                <w:color w:val="000000" w:themeColor="text1"/>
                <w:kern w:val="0"/>
                <w:highlight w:val="none"/>
                <w14:textFill>
                  <w14:solidFill>
                    <w14:schemeClr w14:val="tx1"/>
                  </w14:solidFill>
                </w14:textFill>
              </w:rPr>
              <w:t>上）盘区边界、</w:t>
            </w:r>
            <w:r>
              <w:rPr>
                <w:rFonts w:hint="eastAsia"/>
                <w:color w:val="000000" w:themeColor="text1"/>
                <w:highlight w:val="none"/>
                <w14:textFill>
                  <w14:solidFill>
                    <w14:schemeClr w14:val="tx1"/>
                  </w14:solidFill>
                </w14:textFill>
              </w:rPr>
              <w:t>Q138钻孔南侧3</w:t>
            </w:r>
            <w:r>
              <w:rPr>
                <w:color w:val="000000" w:themeColor="text1"/>
                <w:highlight w:val="none"/>
                <w14:textFill>
                  <w14:solidFill>
                    <w14:schemeClr w14:val="tx1"/>
                  </w14:solidFill>
                </w14:textFill>
              </w:rPr>
              <w:t>60</w:t>
            </w:r>
            <w:r>
              <w:rPr>
                <w:rFonts w:hint="eastAsia"/>
                <w:color w:val="000000" w:themeColor="text1"/>
                <w:highlight w:val="none"/>
                <w14:textFill>
                  <w14:solidFill>
                    <w14:schemeClr w14:val="tx1"/>
                  </w14:solidFill>
                </w14:textFill>
              </w:rPr>
              <w:t>m处</w:t>
            </w:r>
            <w:r>
              <w:rPr>
                <w:rFonts w:hint="eastAsia" w:cs="宋体"/>
                <w:snapToGrid w:val="0"/>
                <w:color w:val="000000" w:themeColor="text1"/>
                <w:kern w:val="0"/>
                <w:highlight w:val="none"/>
                <w14:textFill>
                  <w14:solidFill>
                    <w14:schemeClr w14:val="tx1"/>
                  </w14:solidFill>
                </w14:textFill>
              </w:rPr>
              <w:t>，</w:t>
            </w:r>
            <w:r>
              <w:rPr>
                <w:rFonts w:hint="eastAsia"/>
                <w:color w:val="000000" w:themeColor="text1"/>
                <w:highlight w:val="none"/>
                <w14:textFill>
                  <w14:solidFill>
                    <w14:schemeClr w14:val="tx1"/>
                  </w14:solidFill>
                </w14:textFill>
              </w:rPr>
              <w:t>新选择</w:t>
            </w:r>
            <w:r>
              <w:rPr>
                <w:rFonts w:hint="eastAsia" w:hAnsi="黑体"/>
                <w:color w:val="000000" w:themeColor="text1"/>
                <w:szCs w:val="24"/>
                <w:highlight w:val="none"/>
                <w14:textFill>
                  <w14:solidFill>
                    <w14:schemeClr w14:val="tx1"/>
                  </w14:solidFill>
                </w14:textFill>
              </w:rPr>
              <w:t>北部风井场地</w:t>
            </w:r>
            <w:r>
              <w:rPr>
                <w:rFonts w:hint="eastAsia"/>
                <w:color w:val="000000" w:themeColor="text1"/>
                <w:highlight w:val="none"/>
                <w14:textFill>
                  <w14:solidFill>
                    <w14:schemeClr w14:val="tx1"/>
                  </w14:solidFill>
                </w14:textFill>
              </w:rPr>
              <w:t>，布置一对北部进、回风立井</w:t>
            </w:r>
            <w:r>
              <w:rPr>
                <w:rFonts w:hint="eastAsia"/>
                <w:lang w:eastAsia="zh-CN"/>
              </w:rPr>
              <w:t>，</w:t>
            </w:r>
            <w:r>
              <w:rPr>
                <w:rFonts w:hint="default" w:hAnsi="黑体"/>
                <w:color w:val="000000" w:themeColor="text1"/>
                <w:szCs w:val="24"/>
                <w:highlight w:val="none"/>
                <w:lang w:val="en-US" w:eastAsia="zh-CN"/>
                <w14:textFill>
                  <w14:solidFill>
                    <w14:schemeClr w14:val="tx1"/>
                  </w14:solidFill>
                </w14:textFill>
              </w:rPr>
              <w:t>服务煤层为3</w:t>
            </w:r>
            <w:r>
              <w:rPr>
                <w:rFonts w:hint="eastAsia" w:hAnsi="黑体"/>
                <w:color w:val="000000" w:themeColor="text1"/>
                <w:szCs w:val="24"/>
                <w:highlight w:val="none"/>
                <w:lang w:val="en-US" w:eastAsia="zh-CN"/>
                <w14:textFill>
                  <w14:solidFill>
                    <w14:schemeClr w14:val="tx1"/>
                  </w14:solidFill>
                </w14:textFill>
              </w:rPr>
              <w:t>-</w:t>
            </w:r>
            <w:r>
              <w:rPr>
                <w:rFonts w:hint="default" w:hAnsi="黑体"/>
                <w:color w:val="000000" w:themeColor="text1"/>
                <w:szCs w:val="24"/>
                <w:highlight w:val="none"/>
                <w:lang w:val="en-US" w:eastAsia="zh-CN"/>
                <w14:textFill>
                  <w14:solidFill>
                    <w14:schemeClr w14:val="tx1"/>
                  </w14:solidFill>
                </w14:textFill>
              </w:rPr>
              <w:t>1、4</w:t>
            </w:r>
            <w:r>
              <w:rPr>
                <w:rFonts w:hint="eastAsia" w:hAnsi="黑体"/>
                <w:color w:val="000000" w:themeColor="text1"/>
                <w:szCs w:val="24"/>
                <w:highlight w:val="none"/>
                <w:lang w:val="en-US" w:eastAsia="zh-CN"/>
                <w14:textFill>
                  <w14:solidFill>
                    <w14:schemeClr w14:val="tx1"/>
                  </w14:solidFill>
                </w14:textFill>
              </w:rPr>
              <w:t>-</w:t>
            </w:r>
            <w:r>
              <w:rPr>
                <w:rFonts w:hint="default" w:hAnsi="黑体"/>
                <w:color w:val="000000" w:themeColor="text1"/>
                <w:szCs w:val="24"/>
                <w:highlight w:val="none"/>
                <w:lang w:val="en-US" w:eastAsia="zh-CN"/>
                <w14:textFill>
                  <w14:solidFill>
                    <w14:schemeClr w14:val="tx1"/>
                  </w14:solidFill>
                </w14:textFill>
              </w:rPr>
              <w:t>1、4</w:t>
            </w:r>
            <w:r>
              <w:rPr>
                <w:rFonts w:hint="eastAsia" w:hAnsi="黑体"/>
                <w:color w:val="000000" w:themeColor="text1"/>
                <w:szCs w:val="24"/>
                <w:highlight w:val="none"/>
                <w:lang w:val="en-US" w:eastAsia="zh-CN"/>
                <w14:textFill>
                  <w14:solidFill>
                    <w14:schemeClr w14:val="tx1"/>
                  </w14:solidFill>
                </w14:textFill>
              </w:rPr>
              <w:t>-</w:t>
            </w:r>
            <w:r>
              <w:rPr>
                <w:rFonts w:hint="default" w:hAnsi="黑体"/>
                <w:color w:val="000000" w:themeColor="text1"/>
                <w:szCs w:val="24"/>
                <w:highlight w:val="none"/>
                <w:lang w:val="en-US" w:eastAsia="zh-CN"/>
                <w14:textFill>
                  <w14:solidFill>
                    <w14:schemeClr w14:val="tx1"/>
                  </w14:solidFill>
                </w14:textFill>
              </w:rPr>
              <w:t>2</w:t>
            </w:r>
            <w:r>
              <w:rPr>
                <w:rFonts w:hint="default" w:hAnsi="黑体"/>
                <w:color w:val="000000" w:themeColor="text1"/>
                <w:szCs w:val="24"/>
                <w:highlight w:val="none"/>
                <w14:textFill>
                  <w14:solidFill>
                    <w14:schemeClr w14:val="tx1"/>
                  </w14:solidFill>
                </w14:textFill>
              </w:rPr>
              <w:t>。</w:t>
            </w:r>
            <w:r>
              <w:rPr>
                <w:rFonts w:hint="default" w:hAnsi="黑体"/>
                <w:color w:val="000000" w:themeColor="text1"/>
                <w:szCs w:val="24"/>
                <w:highlight w:val="none"/>
                <w:lang w:eastAsia="zh-CN"/>
                <w14:textFill>
                  <w14:solidFill>
                    <w14:schemeClr w14:val="tx1"/>
                  </w14:solidFill>
                </w14:textFill>
              </w:rPr>
              <w:t>本</w:t>
            </w:r>
            <w:r>
              <w:rPr>
                <w:rFonts w:hint="default" w:hAnsi="黑体"/>
                <w:color w:val="000000" w:themeColor="text1"/>
                <w:szCs w:val="24"/>
                <w:highlight w:val="none"/>
                <w:lang w:val="en-US" w:eastAsia="zh-CN"/>
                <w14:textFill>
                  <w14:solidFill>
                    <w14:schemeClr w14:val="tx1"/>
                  </w14:solidFill>
                </w14:textFill>
              </w:rPr>
              <w:t>工程建设内容包括风井场地、场外道路及其他配套</w:t>
            </w:r>
            <w:r>
              <w:rPr>
                <w:rFonts w:hint="eastAsia" w:hAnsi="黑体"/>
                <w:color w:val="000000" w:themeColor="text1"/>
                <w:szCs w:val="24"/>
                <w:highlight w:val="none"/>
                <w:lang w:val="en-US" w:eastAsia="zh-CN"/>
                <w14:textFill>
                  <w14:solidFill>
                    <w14:schemeClr w14:val="tx1"/>
                  </w14:solidFill>
                </w14:textFill>
              </w:rPr>
              <w:t>工程。</w:t>
            </w:r>
            <w:r>
              <w:rPr>
                <w:rFonts w:hint="default" w:hAnsi="黑体"/>
                <w:color w:val="000000" w:themeColor="text1"/>
                <w:szCs w:val="24"/>
                <w:highlight w:val="none"/>
                <w:lang w:val="en-US" w:eastAsia="zh-CN"/>
                <w14:textFill>
                  <w14:solidFill>
                    <w14:schemeClr w14:val="tx1"/>
                  </w14:solidFill>
                </w14:textFill>
              </w:rPr>
              <w:t>现塔然高勒煤矿工业场地已布置有3条立井井筒，即主立井、副立井、中央回风立井；</w:t>
            </w:r>
            <w:r>
              <w:rPr>
                <w:rFonts w:hint="eastAsia" w:hAnsi="黑体"/>
                <w:color w:val="000000" w:themeColor="text1"/>
                <w:szCs w:val="24"/>
                <w:highlight w:val="none"/>
                <w:lang w:val="en-US" w:eastAsia="zh-CN"/>
                <w14:textFill>
                  <w14:solidFill>
                    <w14:schemeClr w14:val="tx1"/>
                  </w14:solidFill>
                </w14:textFill>
              </w:rPr>
              <w:t>在</w:t>
            </w:r>
            <w:r>
              <w:rPr>
                <w:rFonts w:hint="default" w:hAnsi="黑体"/>
                <w:color w:val="000000" w:themeColor="text1"/>
                <w:szCs w:val="24"/>
                <w:highlight w:val="none"/>
                <w:lang w:val="en-US" w:eastAsia="zh-CN"/>
                <w14:textFill>
                  <w14:solidFill>
                    <w14:schemeClr w14:val="tx1"/>
                  </w14:solidFill>
                </w14:textFill>
              </w:rPr>
              <w:t>北部风井场地新增进、回风立井2条井筒；共5条立井井筒。</w:t>
            </w:r>
          </w:p>
          <w:p>
            <w:pPr>
              <w:pStyle w:val="30"/>
              <w:keepNext w:val="0"/>
              <w:keepLines w:val="0"/>
              <w:pageBreakBefore w:val="0"/>
              <w:widowControl w:val="0"/>
              <w:kinsoku/>
              <w:wordWrap/>
              <w:overflowPunct/>
              <w:topLinePunct w:val="0"/>
              <w:bidi w:val="0"/>
              <w:snapToGrid/>
              <w:spacing w:line="360" w:lineRule="auto"/>
              <w:ind w:right="0" w:firstLine="480" w:firstLineChars="200"/>
              <w:jc w:val="both"/>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对照</w:t>
            </w:r>
            <w:r>
              <w:rPr>
                <w:rStyle w:val="28"/>
                <w:rFonts w:hint="default" w:ascii="Times New Roman" w:hAnsi="Times New Roman" w:cs="Times New Roman"/>
                <w:color w:val="000000" w:themeColor="text1"/>
                <w:kern w:val="2"/>
                <w:sz w:val="24"/>
                <w:szCs w:val="24"/>
                <w:highlight w:val="none"/>
                <w14:textFill>
                  <w14:solidFill>
                    <w14:schemeClr w14:val="tx1"/>
                  </w14:solidFill>
                </w14:textFill>
              </w:rPr>
              <w:t>《建设项目分类管理名录》</w:t>
            </w:r>
            <w:r>
              <w:rPr>
                <w:rStyle w:val="28"/>
                <w:rFonts w:hint="eastAsia" w:ascii="Times New Roman" w:cs="Times New Roman"/>
                <w:color w:val="000000" w:themeColor="text1"/>
                <w:kern w:val="2"/>
                <w:sz w:val="24"/>
                <w:szCs w:val="24"/>
                <w:highlight w:val="none"/>
                <w:lang w:eastAsia="zh-CN"/>
                <w14:textFill>
                  <w14:solidFill>
                    <w14:schemeClr w14:val="tx1"/>
                  </w14:solidFill>
                </w14:textFill>
              </w:rPr>
              <w:t>（</w:t>
            </w:r>
            <w:r>
              <w:rPr>
                <w:rStyle w:val="28"/>
                <w:rFonts w:hint="default" w:ascii="Times New Roman" w:hAnsi="Times New Roman" w:cs="Times New Roman"/>
                <w:color w:val="000000" w:themeColor="text1"/>
                <w:kern w:val="2"/>
                <w:sz w:val="24"/>
                <w:szCs w:val="24"/>
                <w:highlight w:val="none"/>
                <w14:textFill>
                  <w14:solidFill>
                    <w14:schemeClr w14:val="tx1"/>
                  </w14:solidFill>
                </w14:textFill>
              </w:rPr>
              <w:t>2021版）</w:t>
            </w:r>
            <w:r>
              <w:rPr>
                <w:rStyle w:val="28"/>
                <w:rFonts w:hint="eastAsia" w:ascii="Times New Roman" w:cs="Times New Roman"/>
                <w:color w:val="000000" w:themeColor="text1"/>
                <w:kern w:val="2"/>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本项目属于</w:t>
            </w:r>
            <w:r>
              <w:rPr>
                <w:rFonts w:hint="eastAsia" w:ascii="Times New Roman" w:cs="Times New Roman"/>
                <w:color w:val="000000" w:themeColor="text1"/>
                <w:sz w:val="24"/>
                <w:szCs w:val="24"/>
                <w:highlight w:val="none"/>
                <w:lang w:eastAsia="zh-CN"/>
                <w14:textFill>
                  <w14:solidFill>
                    <w14:schemeClr w14:val="tx1"/>
                  </w14:solidFill>
                </w14:textFill>
              </w:rPr>
              <w:t>“</w:t>
            </w:r>
            <w:r>
              <w:rPr>
                <w:rStyle w:val="28"/>
                <w:rFonts w:hint="default" w:ascii="Times New Roman" w:hAnsi="Times New Roman" w:cs="Times New Roman"/>
                <w:color w:val="000000" w:themeColor="text1"/>
                <w:kern w:val="2"/>
                <w:sz w:val="24"/>
                <w:szCs w:val="24"/>
                <w:highlight w:val="none"/>
                <w:lang w:val="en-US" w:eastAsia="zh-CN"/>
                <w14:textFill>
                  <w14:solidFill>
                    <w14:schemeClr w14:val="tx1"/>
                  </w14:solidFill>
                </w14:textFill>
              </w:rPr>
              <w:t>四、煤炭开采和洗选业06</w:t>
            </w:r>
            <w:r>
              <w:rPr>
                <w:rFonts w:hint="eastAsia" w:ascii="Times New Roman" w:cs="Times New Roman"/>
                <w:color w:val="000000" w:themeColor="text1"/>
                <w:sz w:val="24"/>
                <w:szCs w:val="24"/>
                <w:highlight w:val="none"/>
                <w:lang w:eastAsia="zh-CN"/>
                <w14:textFill>
                  <w14:solidFill>
                    <w14:schemeClr w14:val="tx1"/>
                  </w14:solidFill>
                </w14:textFill>
              </w:rPr>
              <w:t>”中的</w:t>
            </w:r>
            <w:r>
              <w:rPr>
                <w:rStyle w:val="28"/>
                <w:rFonts w:hint="eastAsia" w:ascii="Times New Roman" w:cs="Times New Roman"/>
                <w:color w:val="000000" w:themeColor="text1"/>
                <w:kern w:val="2"/>
                <w:sz w:val="24"/>
                <w:szCs w:val="24"/>
                <w:highlight w:val="none"/>
                <w:lang w:val="en-US" w:eastAsia="zh-CN"/>
                <w14:textFill>
                  <w14:solidFill>
                    <w14:schemeClr w14:val="tx1"/>
                  </w14:solidFill>
                </w14:textFill>
              </w:rPr>
              <w:t>“</w:t>
            </w:r>
            <w:r>
              <w:rPr>
                <w:rStyle w:val="28"/>
                <w:rFonts w:hint="default" w:ascii="Times New Roman" w:hAnsi="Times New Roman" w:cs="Times New Roman"/>
                <w:color w:val="000000" w:themeColor="text1"/>
                <w:kern w:val="2"/>
                <w:sz w:val="24"/>
                <w:szCs w:val="24"/>
                <w:highlight w:val="none"/>
                <w:lang w:val="en-US" w:eastAsia="zh-CN"/>
                <w14:textFill>
                  <w14:solidFill>
                    <w14:schemeClr w14:val="tx1"/>
                  </w14:solidFill>
                </w14:textFill>
              </w:rPr>
              <w:t>煤炭洗选、配煤；煤炭储存、集运；风井场地、瓦斯抽放站；矿区修复治理工程</w:t>
            </w:r>
            <w:r>
              <w:rPr>
                <w:rStyle w:val="28"/>
                <w:rFonts w:hint="eastAsia" w:ascii="Times New Roman" w:cs="Times New Roman"/>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需编制环境影响报告表。建设方委托我公司</w:t>
            </w:r>
            <w:r>
              <w:rPr>
                <w:rFonts w:hint="eastAsia" w:asci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内蒙古金绿环保服务有限公司）进行本次环评工作，我公司根据相关导则、标准及行业规范要求编制了《</w:t>
            </w:r>
            <w:r>
              <w:rPr>
                <w:rFonts w:hint="eastAsia" w:hAnsi="宋体" w:cs="宋体"/>
                <w:color w:val="000000" w:themeColor="text1"/>
                <w:sz w:val="24"/>
                <w:szCs w:val="24"/>
                <w:highlight w:val="none"/>
                <w:lang w:eastAsia="zh-CN"/>
                <w14:textFill>
                  <w14:solidFill>
                    <w14:schemeClr w14:val="tx1"/>
                  </w14:solidFill>
                </w14:textFill>
              </w:rPr>
              <w:t>塔然高勒煤矿项目北部风井场地</w:t>
            </w:r>
            <w:r>
              <w:rPr>
                <w:rFonts w:hint="default" w:ascii="Times New Roman" w:hAnsi="Times New Roman" w:cs="Times New Roman"/>
                <w:color w:val="000000" w:themeColor="text1"/>
                <w:sz w:val="24"/>
                <w:szCs w:val="24"/>
                <w:highlight w:val="none"/>
                <w14:textFill>
                  <w14:solidFill>
                    <w14:schemeClr w14:val="tx1"/>
                  </w14:solidFill>
                </w14:textFill>
              </w:rPr>
              <w:t>环境影响评价报告表》。现报告已编制完成，呈生态环境保护主管部门审查。</w:t>
            </w:r>
          </w:p>
          <w:p>
            <w:pPr>
              <w:pStyle w:val="2"/>
              <w:keepNext w:val="0"/>
              <w:keepLines w:val="0"/>
              <w:pageBreakBefore w:val="0"/>
              <w:kinsoku/>
              <w:wordWrap/>
              <w:overflowPunct/>
              <w:topLinePunct w:val="0"/>
              <w:bidi w:val="0"/>
              <w:spacing w:before="0" w:after="0" w:line="360" w:lineRule="auto"/>
              <w:ind w:right="0" w:firstLine="482" w:firstLineChars="200"/>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2</w:t>
            </w:r>
            <w:r>
              <w:rPr>
                <w:rFonts w:hint="eastAsia" w:cs="Times New Roman"/>
                <w:b/>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b/>
                <w:color w:val="000000" w:themeColor="text1"/>
                <w:sz w:val="24"/>
                <w:szCs w:val="24"/>
                <w:highlight w:val="none"/>
                <w14:textFill>
                  <w14:solidFill>
                    <w14:schemeClr w14:val="tx1"/>
                  </w14:solidFill>
                </w14:textFill>
              </w:rPr>
              <w:t>项目基本情况</w:t>
            </w:r>
          </w:p>
          <w:p>
            <w:pPr>
              <w:keepNext w:val="0"/>
              <w:keepLines w:val="0"/>
              <w:pageBreakBefore w:val="0"/>
              <w:kinsoku/>
              <w:wordWrap/>
              <w:overflowPunct/>
              <w:topLinePunct w:val="0"/>
              <w:bidi w:val="0"/>
              <w:spacing w:line="360" w:lineRule="auto"/>
              <w:ind w:right="0" w:firstLine="480"/>
              <w:textAlignment w:val="auto"/>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项目名称：</w:t>
            </w:r>
            <w:r>
              <w:rPr>
                <w:rFonts w:hint="eastAsia" w:ascii="宋体" w:hAnsi="宋体" w:cs="宋体"/>
                <w:color w:val="000000" w:themeColor="text1"/>
                <w:sz w:val="24"/>
                <w:szCs w:val="24"/>
                <w:highlight w:val="none"/>
                <w:lang w:eastAsia="zh-CN"/>
                <w14:textFill>
                  <w14:solidFill>
                    <w14:schemeClr w14:val="tx1"/>
                  </w14:solidFill>
                </w14:textFill>
              </w:rPr>
              <w:t>塔然高勒煤矿项目北部风井场地</w:t>
            </w:r>
          </w:p>
          <w:p>
            <w:pPr>
              <w:keepNext w:val="0"/>
              <w:keepLines w:val="0"/>
              <w:pageBreakBefore w:val="0"/>
              <w:kinsoku/>
              <w:wordWrap/>
              <w:overflowPunct/>
              <w:topLinePunct w:val="0"/>
              <w:bidi w:val="0"/>
              <w:spacing w:line="360" w:lineRule="auto"/>
              <w:ind w:right="0" w:firstLine="480"/>
              <w:textAlignment w:val="auto"/>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建设单位：</w:t>
            </w:r>
            <w:r>
              <w:rPr>
                <w:rFonts w:hint="eastAsia" w:ascii="宋体" w:hAnsi="宋体" w:cs="宋体"/>
                <w:color w:val="000000" w:themeColor="text1"/>
                <w:sz w:val="24"/>
                <w:szCs w:val="24"/>
                <w:highlight w:val="none"/>
                <w:lang w:eastAsia="zh-CN"/>
                <w14:textFill>
                  <w14:solidFill>
                    <w14:schemeClr w14:val="tx1"/>
                  </w14:solidFill>
                </w14:textFill>
              </w:rPr>
              <w:t>国家能源集团杭锦能源有限责任公司</w:t>
            </w:r>
          </w:p>
          <w:p>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cs="Times New Roman"/>
                <w:bCs/>
                <w:color w:val="000000" w:themeColor="text1"/>
                <w:sz w:val="24"/>
                <w:szCs w:val="24"/>
                <w:highlight w:val="none"/>
                <w:lang w:eastAsia="zh-CN"/>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建设地点：</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内蒙古自治区鄂尔多斯市杭锦旗独贵塔拉镇乌定补拉格村</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Cs/>
                <w:color w:val="000000" w:themeColor="text1"/>
                <w:sz w:val="24"/>
                <w:szCs w:val="24"/>
                <w:highlight w:val="none"/>
                <w14:textFill>
                  <w14:solidFill>
                    <w14:schemeClr w14:val="tx1"/>
                  </w14:solidFill>
                </w14:textFill>
              </w:rPr>
            </w:pPr>
            <w:r>
              <w:rPr>
                <w:rFonts w:hint="eastAsia" w:cs="Times New Roman"/>
                <w:bCs/>
                <w:color w:val="000000" w:themeColor="text1"/>
                <w:sz w:val="24"/>
                <w:szCs w:val="24"/>
                <w:highlight w:val="none"/>
                <w:lang w:val="en-US" w:eastAsia="zh-CN"/>
                <w14:textFill>
                  <w14:solidFill>
                    <w14:schemeClr w14:val="tx1"/>
                  </w14:solidFill>
                </w14:textFill>
              </w:rPr>
              <w:t>占地面积：本项目</w:t>
            </w:r>
            <w:r>
              <w:rPr>
                <w:rFonts w:hint="eastAsia" w:ascii="Times New Roman" w:hAnsi="Times New Roman" w:eastAsia="宋体" w:cs="Times New Roman"/>
                <w:color w:val="000000" w:themeColor="text1"/>
                <w:kern w:val="2"/>
                <w:sz w:val="24"/>
                <w:szCs w:val="24"/>
                <w:highlight w:val="none"/>
                <w:lang w:eastAsia="zh-CN"/>
                <w14:textFill>
                  <w14:solidFill>
                    <w14:schemeClr w14:val="tx1"/>
                  </w14:solidFill>
                </w14:textFill>
              </w:rPr>
              <w:t>占地面积</w:t>
            </w:r>
            <w:r>
              <w:rPr>
                <w:rFonts w:hint="eastAsia" w:cs="Times New Roman"/>
                <w:color w:val="000000" w:themeColor="text1"/>
                <w:sz w:val="24"/>
                <w:szCs w:val="24"/>
                <w:highlight w:val="none"/>
                <w:lang w:val="en-US" w:eastAsia="zh-CN"/>
                <w14:textFill>
                  <w14:solidFill>
                    <w14:schemeClr w14:val="tx1"/>
                  </w14:solidFill>
                </w14:textFill>
              </w:rPr>
              <w:t>79386</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lang w:eastAsia="zh-CN"/>
                <w14:textFill>
                  <w14:solidFill>
                    <w14:schemeClr w14:val="tx1"/>
                  </w14:solidFill>
                </w14:textFill>
              </w:rPr>
              <w:t>，</w:t>
            </w:r>
            <w:r>
              <w:rPr>
                <w:rFonts w:hint="eastAsia" w:cs="Times New Roman"/>
                <w:color w:val="000000" w:themeColor="text1"/>
                <w:kern w:val="2"/>
                <w:sz w:val="24"/>
                <w:szCs w:val="24"/>
                <w:highlight w:val="none"/>
                <w:lang w:eastAsia="zh-CN"/>
                <w14:textFill>
                  <w14:solidFill>
                    <w14:schemeClr w14:val="tx1"/>
                  </w14:solidFill>
                </w14:textFill>
              </w:rPr>
              <w:t>其中北部风井场地占地面积为</w:t>
            </w:r>
            <w:r>
              <w:rPr>
                <w:rFonts w:hint="eastAsia" w:cs="Times New Roman"/>
                <w:color w:val="000000" w:themeColor="text1"/>
                <w:kern w:val="2"/>
                <w:sz w:val="24"/>
                <w:szCs w:val="24"/>
                <w:highlight w:val="none"/>
                <w:lang w:val="en-US" w:eastAsia="zh-CN"/>
                <w14:textFill>
                  <w14:solidFill>
                    <w14:schemeClr w14:val="tx1"/>
                  </w14:solidFill>
                </w14:textFill>
              </w:rPr>
              <w:t>39200</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cs="Times New Roman"/>
                <w:color w:val="000000" w:themeColor="text1"/>
                <w:kern w:val="2"/>
                <w:sz w:val="24"/>
                <w:szCs w:val="24"/>
                <w:highlight w:val="none"/>
                <w:vertAlign w:val="baseline"/>
                <w:lang w:val="en-US" w:eastAsia="zh-CN"/>
                <w14:textFill>
                  <w14:solidFill>
                    <w14:schemeClr w14:val="tx1"/>
                  </w14:solidFill>
                </w14:textFill>
              </w:rPr>
              <w:t>（</w:t>
            </w:r>
            <w:r>
              <w:rPr>
                <w:rFonts w:hint="eastAsia" w:ascii="Times New Roman" w:hAnsi="Times New Roman" w:eastAsia="宋体" w:cs="Times New Roman"/>
                <w:color w:val="000000" w:themeColor="text1"/>
                <w:kern w:val="2"/>
                <w:sz w:val="24"/>
                <w:szCs w:val="24"/>
                <w:highlight w:val="none"/>
                <w:vertAlign w:val="baseline"/>
                <w:lang w:val="en-US" w:eastAsia="zh-CN"/>
                <w14:textFill>
                  <w14:solidFill>
                    <w14:schemeClr w14:val="tx1"/>
                  </w14:solidFill>
                </w14:textFill>
              </w:rPr>
              <w:t>围墙内用地面积为22460m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vertAlign w:val="baseline"/>
                <w:lang w:val="en-US" w:eastAsia="zh-CN"/>
                <w14:textFill>
                  <w14:solidFill>
                    <w14:schemeClr w14:val="tx1"/>
                  </w14:solidFill>
                </w14:textFill>
              </w:rPr>
              <w:t>）</w:t>
            </w:r>
            <w:r>
              <w:rPr>
                <w:rFonts w:hint="eastAsia" w:cs="Times New Roman"/>
                <w:color w:val="000000" w:themeColor="text1"/>
                <w:kern w:val="2"/>
                <w:sz w:val="24"/>
                <w:szCs w:val="24"/>
                <w:highlight w:val="none"/>
                <w:lang w:eastAsia="zh-CN"/>
                <w14:textFill>
                  <w14:solidFill>
                    <w14:schemeClr w14:val="tx1"/>
                  </w14:solidFill>
                </w14:textFill>
              </w:rPr>
              <w:t>，场外道路占地面积</w:t>
            </w:r>
            <w:r>
              <w:rPr>
                <w:rFonts w:hint="eastAsia" w:cs="Times New Roman"/>
                <w:color w:val="000000" w:themeColor="text1"/>
                <w:kern w:val="2"/>
                <w:sz w:val="24"/>
                <w:szCs w:val="24"/>
                <w:highlight w:val="none"/>
                <w:lang w:val="en-US" w:eastAsia="zh-CN"/>
                <w14:textFill>
                  <w14:solidFill>
                    <w14:schemeClr w14:val="tx1"/>
                  </w14:solidFill>
                </w14:textFill>
              </w:rPr>
              <w:t>40186</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cs="Times New Roman"/>
                <w:color w:val="000000" w:themeColor="text1"/>
                <w:kern w:val="2"/>
                <w:sz w:val="24"/>
                <w:szCs w:val="24"/>
                <w:highlight w:val="none"/>
                <w:lang w:eastAsia="zh-CN"/>
                <w14:textFill>
                  <w14:solidFill>
                    <w14:schemeClr w14:val="tx1"/>
                  </w14:solidFill>
                </w14:textFill>
              </w:rPr>
              <w:t>。</w:t>
            </w:r>
          </w:p>
          <w:p>
            <w:pPr>
              <w:keepNext w:val="0"/>
              <w:keepLines w:val="0"/>
              <w:pageBreakBefore w:val="0"/>
              <w:kinsoku/>
              <w:wordWrap/>
              <w:overflowPunct/>
              <w:topLinePunct w:val="0"/>
              <w:bidi w:val="0"/>
              <w:spacing w:line="360" w:lineRule="auto"/>
              <w:ind w:right="0" w:firstLine="480"/>
              <w:textAlignment w:val="auto"/>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建设性质：新建</w:t>
            </w:r>
          </w:p>
          <w:p>
            <w:pPr>
              <w:keepNext w:val="0"/>
              <w:keepLines w:val="0"/>
              <w:pageBreakBefore w:val="0"/>
              <w:kinsoku/>
              <w:wordWrap/>
              <w:overflowPunct/>
              <w:topLinePunct w:val="0"/>
              <w:bidi w:val="0"/>
              <w:spacing w:line="360" w:lineRule="auto"/>
              <w:ind w:right="0" w:firstLine="480"/>
              <w:textAlignment w:val="auto"/>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投资规模</w:t>
            </w:r>
            <w:r>
              <w:rPr>
                <w:rFonts w:hint="eastAsia" w:cs="Times New Roman"/>
                <w:bCs/>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Cs/>
                <w:color w:val="000000" w:themeColor="text1"/>
                <w:sz w:val="24"/>
                <w:szCs w:val="24"/>
                <w:highlight w:val="none"/>
                <w14:textFill>
                  <w14:solidFill>
                    <w14:schemeClr w14:val="tx1"/>
                  </w14:solidFill>
                </w14:textFill>
              </w:rPr>
              <w:t>总投资为</w:t>
            </w:r>
            <w:r>
              <w:rPr>
                <w:rFonts w:hint="eastAsia" w:cs="Times New Roman"/>
                <w:color w:val="000000" w:themeColor="text1"/>
                <w:sz w:val="24"/>
                <w:szCs w:val="24"/>
                <w:highlight w:val="none"/>
                <w:lang w:val="en-US" w:eastAsia="zh-CN"/>
                <w14:textFill>
                  <w14:solidFill>
                    <w14:schemeClr w14:val="tx1"/>
                  </w14:solidFill>
                </w14:textFill>
              </w:rPr>
              <w:t>22000</w:t>
            </w:r>
            <w:r>
              <w:rPr>
                <w:rFonts w:hint="default" w:ascii="Times New Roman" w:hAnsi="Times New Roman" w:cs="Times New Roman"/>
                <w:bCs/>
                <w:color w:val="000000" w:themeColor="text1"/>
                <w:sz w:val="24"/>
                <w:szCs w:val="24"/>
                <w:highlight w:val="none"/>
                <w14:textFill>
                  <w14:solidFill>
                    <w14:schemeClr w14:val="tx1"/>
                  </w14:solidFill>
                </w14:textFill>
              </w:rPr>
              <w:t>万元，其中环保投资</w:t>
            </w:r>
            <w:r>
              <w:rPr>
                <w:rFonts w:hint="eastAsia" w:cs="Times New Roman"/>
                <w:bCs/>
                <w:sz w:val="24"/>
                <w:szCs w:val="24"/>
                <w:highlight w:val="none"/>
                <w:lang w:val="en-US" w:eastAsia="zh-CN"/>
              </w:rPr>
              <w:t>89.6</w:t>
            </w:r>
            <w:r>
              <w:rPr>
                <w:rFonts w:hint="default" w:ascii="Times New Roman" w:hAnsi="Times New Roman" w:cs="Times New Roman"/>
                <w:bCs/>
                <w:color w:val="000000" w:themeColor="text1"/>
                <w:sz w:val="24"/>
                <w:szCs w:val="24"/>
                <w:highlight w:val="none"/>
                <w14:textFill>
                  <w14:solidFill>
                    <w14:schemeClr w14:val="tx1"/>
                  </w14:solidFill>
                </w14:textFill>
              </w:rPr>
              <w:t>万元，占总投资额的</w:t>
            </w:r>
            <w:r>
              <w:rPr>
                <w:rFonts w:hint="eastAsia" w:cs="Times New Roman"/>
                <w:bCs/>
                <w:color w:val="000000" w:themeColor="text1"/>
                <w:sz w:val="24"/>
                <w:szCs w:val="24"/>
                <w:highlight w:val="none"/>
                <w:lang w:val="en-US" w:eastAsia="zh-CN"/>
                <w14:textFill>
                  <w14:solidFill>
                    <w14:schemeClr w14:val="tx1"/>
                  </w14:solidFill>
                </w14:textFill>
              </w:rPr>
              <w:t>0.41</w:t>
            </w:r>
            <w:r>
              <w:rPr>
                <w:rFonts w:hint="default" w:ascii="Times New Roman" w:hAnsi="Times New Roman" w:cs="Times New Roman"/>
                <w:bCs/>
                <w:color w:val="000000" w:themeColor="text1"/>
                <w:sz w:val="24"/>
                <w:szCs w:val="24"/>
                <w:highlight w:val="none"/>
                <w14:textFill>
                  <w14:solidFill>
                    <w14:schemeClr w14:val="tx1"/>
                  </w14:solidFill>
                </w14:textFill>
              </w:rPr>
              <w:t>%。</w:t>
            </w:r>
          </w:p>
          <w:p>
            <w:pPr>
              <w:pStyle w:val="2"/>
              <w:keepNext w:val="0"/>
              <w:keepLines w:val="0"/>
              <w:pageBreakBefore w:val="0"/>
              <w:kinsoku/>
              <w:wordWrap/>
              <w:overflowPunct/>
              <w:topLinePunct w:val="0"/>
              <w:bidi w:val="0"/>
              <w:spacing w:before="0" w:after="0" w:line="360" w:lineRule="auto"/>
              <w:ind w:right="0" w:firstLine="482" w:firstLineChars="200"/>
              <w:textAlignment w:val="auto"/>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t>3</w:t>
            </w:r>
            <w:r>
              <w:rPr>
                <w:rFonts w:hint="eastAsia" w:cs="Times New Roman"/>
                <w:b/>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t>建设内容</w:t>
            </w:r>
            <w:r>
              <w:rPr>
                <w:rFonts w:hint="eastAsia" w:cs="Times New Roman"/>
                <w:b/>
                <w:color w:val="000000" w:themeColor="text1"/>
                <w:sz w:val="24"/>
                <w:szCs w:val="24"/>
                <w:highlight w:val="none"/>
                <w:lang w:val="en-US" w:eastAsia="zh-CN"/>
                <w14:textFill>
                  <w14:solidFill>
                    <w14:schemeClr w14:val="tx1"/>
                  </w14:solidFill>
                </w14:textFill>
              </w:rPr>
              <w:t>及规模</w:t>
            </w:r>
          </w:p>
          <w:p>
            <w:pPr>
              <w:adjustRightInd w:val="0"/>
              <w:snapToGrid w:val="0"/>
              <w:spacing w:line="360" w:lineRule="auto"/>
              <w:ind w:firstLine="480" w:firstLineChars="200"/>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工程建设内容包括风井场地、场外道路及其他配套工程，占地面积79386</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color w:val="000000" w:themeColor="text1"/>
                <w:sz w:val="24"/>
                <w:highlight w:val="none"/>
                <w:lang w:val="en-US" w:eastAsia="zh-CN"/>
                <w14:textFill>
                  <w14:solidFill>
                    <w14:schemeClr w14:val="tx1"/>
                  </w14:solidFill>
                </w14:textFill>
              </w:rPr>
              <w:t>。风井场地主要建设有北部进风立井、北部回风立井、空压机房、空气加热室、乏风取热室、乏风热泵机房、电气集控中心、综合值班室、日用生产消防水池及泵房、初期雨水收集池、凝结水池、场内道路、通风设备等工程。</w:t>
            </w:r>
            <w:r>
              <w:rPr>
                <w:rFonts w:hint="eastAsia"/>
                <w:color w:val="000000" w:themeColor="text1"/>
                <w:sz w:val="24"/>
                <w:highlight w:val="none"/>
                <w14:textFill>
                  <w14:solidFill>
                    <w14:schemeClr w14:val="tx1"/>
                  </w14:solidFill>
                </w14:textFill>
              </w:rPr>
              <w:t>本项目工程组成见</w:t>
            </w:r>
            <w:r>
              <w:rPr>
                <w:rFonts w:hint="eastAsia"/>
                <w:color w:val="000000" w:themeColor="text1"/>
                <w:sz w:val="24"/>
                <w:highlight w:val="none"/>
                <w:lang w:eastAsia="zh-CN"/>
                <w14:textFill>
                  <w14:solidFill>
                    <w14:schemeClr w14:val="tx1"/>
                  </w14:solidFill>
                </w14:textFill>
              </w:rPr>
              <w:t>表2-1</w:t>
            </w:r>
            <w:r>
              <w:rPr>
                <w:rFonts w:hint="eastAsia"/>
                <w:color w:val="000000" w:themeColor="text1"/>
                <w:sz w:val="24"/>
                <w:highlight w:val="none"/>
                <w:lang w:val="en-US" w:eastAsia="zh-CN"/>
                <w14:textFill>
                  <w14:solidFill>
                    <w14:schemeClr w14:val="tx1"/>
                  </w14:solidFill>
                </w14:textFill>
              </w:rPr>
              <w:t>。</w:t>
            </w:r>
          </w:p>
          <w:p>
            <w:pPr>
              <w:jc w:val="center"/>
              <w:rPr>
                <w:rFonts w:hint="eastAsia"/>
                <w:b w:val="0"/>
                <w:bCs w:val="0"/>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lang w:eastAsia="zh-CN"/>
                <w14:textFill>
                  <w14:solidFill>
                    <w14:schemeClr w14:val="tx1"/>
                  </w14:solidFill>
                </w14:textFill>
              </w:rPr>
              <w:t>表2-1</w:t>
            </w:r>
            <w:r>
              <w:rPr>
                <w:b w:val="0"/>
                <w:bCs w:val="0"/>
                <w:color w:val="000000" w:themeColor="text1"/>
                <w:sz w:val="21"/>
                <w:szCs w:val="21"/>
                <w:highlight w:val="none"/>
                <w14:textFill>
                  <w14:solidFill>
                    <w14:schemeClr w14:val="tx1"/>
                  </w14:solidFill>
                </w14:textFill>
              </w:rPr>
              <w:t xml:space="preserve">  工程组成一览表</w:t>
            </w:r>
          </w:p>
          <w:tbl>
            <w:tblPr>
              <w:tblStyle w:val="23"/>
              <w:tblW w:w="813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8"/>
              <w:gridCol w:w="707"/>
              <w:gridCol w:w="6587"/>
              <w:gridCol w:w="4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56" w:type="pct"/>
                  <w:noWrap w:val="0"/>
                  <w:vAlign w:val="center"/>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分类</w:t>
                  </w:r>
                </w:p>
              </w:tc>
              <w:tc>
                <w:tcPr>
                  <w:tcW w:w="434" w:type="pct"/>
                  <w:noWrap w:val="0"/>
                  <w:vAlign w:val="center"/>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工程</w:t>
                  </w:r>
                </w:p>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名称</w:t>
                  </w:r>
                </w:p>
              </w:tc>
              <w:tc>
                <w:tcPr>
                  <w:tcW w:w="4046" w:type="pct"/>
                  <w:noWrap w:val="0"/>
                  <w:vAlign w:val="center"/>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主要建设内容</w:t>
                  </w:r>
                </w:p>
              </w:tc>
              <w:tc>
                <w:tcPr>
                  <w:tcW w:w="262" w:type="pct"/>
                  <w:noWrap w:val="0"/>
                  <w:vAlign w:val="center"/>
                </w:tcPr>
                <w:p>
                  <w:pPr>
                    <w:pStyle w:val="15"/>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6" w:type="pct"/>
                  <w:vMerge w:val="restart"/>
                  <w:noWrap w:val="0"/>
                  <w:vAlign w:val="center"/>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主体</w:t>
                  </w:r>
                </w:p>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工程</w:t>
                  </w:r>
                </w:p>
              </w:tc>
              <w:tc>
                <w:tcPr>
                  <w:tcW w:w="434" w:type="pct"/>
                  <w:noWrap w:val="0"/>
                  <w:vAlign w:val="center"/>
                </w:tcPr>
                <w:p>
                  <w:pPr>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北部进风立井</w:t>
                  </w:r>
                </w:p>
              </w:tc>
              <w:tc>
                <w:tcPr>
                  <w:tcW w:w="4046" w:type="pct"/>
                  <w:noWrap w:val="0"/>
                  <w:vAlign w:val="center"/>
                </w:tcPr>
                <w:p>
                  <w:pPr>
                    <w:pStyle w:val="50"/>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ascii="Times New Roman" w:hAnsi="Times New Roman" w:eastAsia="宋体" w:cs="Times New Roman"/>
                      <w:snapToGrid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在进风井井筒周围建造井口房</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北部进风立井井口标高+1537.500m，井底标高暂定+904.350m，落底于4</w:t>
                  </w:r>
                  <w:r>
                    <w:rPr>
                      <w:rFonts w:hint="eastAsia" w:ascii="Times New Roman" w:hAnsi="Times New Roman" w:eastAsia="宋体" w:cs="Times New Roman"/>
                      <w:snapToGrid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1煤层底板，井窝深度5m，井筒垂深约638m，净直径7.0m</w:t>
                  </w:r>
                  <w:r>
                    <w:rPr>
                      <w:rFonts w:hint="eastAsia" w:ascii="Times New Roman" w:hAnsi="Times New Roman" w:eastAsia="宋体" w:cs="Times New Roman"/>
                      <w:snapToGrid w:val="0"/>
                      <w:color w:val="000000" w:themeColor="text1"/>
                      <w:sz w:val="21"/>
                      <w:szCs w:val="21"/>
                      <w:highlight w:val="none"/>
                      <w:lang w:eastAsia="zh-CN"/>
                      <w14:textFill>
                        <w14:solidFill>
                          <w14:schemeClr w14:val="tx1"/>
                        </w14:solidFill>
                      </w14:textFill>
                    </w:rPr>
                    <w:t>，</w:t>
                  </w:r>
                  <w:r>
                    <w:rPr>
                      <w:rFonts w:hint="eastAsia" w:cs="Times New Roman"/>
                      <w:snapToGrid w:val="0"/>
                      <w:color w:val="000000" w:themeColor="text1"/>
                      <w:sz w:val="21"/>
                      <w:szCs w:val="21"/>
                      <w:highlight w:val="none"/>
                      <w:lang w:eastAsia="zh-CN"/>
                      <w14:textFill>
                        <w14:solidFill>
                          <w14:schemeClr w14:val="tx1"/>
                        </w14:solidFill>
                      </w14:textFill>
                    </w:rPr>
                    <w:t>井口坐标：</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X</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4436265.000</w:t>
                  </w:r>
                  <w:r>
                    <w:rPr>
                      <w:rFonts w:hint="eastAsia" w:ascii="Times New Roman" w:hAnsi="Times New Roman" w:eastAsia="宋体" w:cs="Times New Roman"/>
                      <w:snapToGrid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Y</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36599583.000</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。井筒内装备封闭式玻璃钢梯子间，兼作矿井安全出口。承担西四</w:t>
                  </w:r>
                  <w:r>
                    <w:rPr>
                      <w:rFonts w:hint="eastAsia" w:ascii="Times New Roman" w:hAnsi="Times New Roman" w:eastAsia="宋体" w:cs="Times New Roman"/>
                      <w:snapToGrid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上</w:t>
                  </w:r>
                  <w:r>
                    <w:rPr>
                      <w:rFonts w:hint="eastAsia" w:ascii="Times New Roman" w:hAnsi="Times New Roman" w:eastAsia="宋体" w:cs="Times New Roman"/>
                      <w:snapToGrid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下</w:t>
                  </w:r>
                  <w:r>
                    <w:rPr>
                      <w:rFonts w:hint="eastAsia" w:ascii="Times New Roman" w:hAnsi="Times New Roman" w:eastAsia="宋体" w:cs="Times New Roman"/>
                      <w:snapToGrid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及北部后续盘区的主要进风任务</w:t>
                  </w:r>
                  <w:r>
                    <w:rPr>
                      <w:rFonts w:hint="eastAsia" w:ascii="Times New Roman" w:hAnsi="Times New Roman" w:eastAsia="宋体" w:cs="Times New Roman"/>
                      <w:snapToGrid w:val="0"/>
                      <w:color w:val="000000" w:themeColor="text1"/>
                      <w:sz w:val="21"/>
                      <w:szCs w:val="21"/>
                      <w:highlight w:val="none"/>
                      <w:lang w:eastAsia="zh-CN"/>
                      <w14:textFill>
                        <w14:solidFill>
                          <w14:schemeClr w14:val="tx1"/>
                        </w14:solidFill>
                      </w14:textFill>
                    </w:rPr>
                    <w:t>。</w:t>
                  </w:r>
                </w:p>
                <w:p>
                  <w:pPr>
                    <w:pStyle w:val="50"/>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井筒内布置1</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条</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压风管路、应急排水管路、电力及通讯电缆等。</w:t>
                  </w:r>
                </w:p>
              </w:tc>
              <w:tc>
                <w:tcPr>
                  <w:tcW w:w="262"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56" w:type="pct"/>
                  <w:vMerge w:val="continue"/>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北部回风立井</w:t>
                  </w:r>
                </w:p>
              </w:tc>
              <w:tc>
                <w:tcPr>
                  <w:tcW w:w="4046"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承担西四</w:t>
                  </w:r>
                  <w:r>
                    <w:rPr>
                      <w:rFonts w:hint="eastAsia" w:cs="Times New Roman"/>
                      <w:snapToGrid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上</w:t>
                  </w:r>
                  <w:r>
                    <w:rPr>
                      <w:rFonts w:hint="eastAsia" w:cs="Times New Roman"/>
                      <w:snapToGrid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下</w:t>
                  </w:r>
                  <w:r>
                    <w:rPr>
                      <w:rFonts w:hint="eastAsia" w:cs="Times New Roman"/>
                      <w:snapToGrid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盘区及北部后续盘区的主要回风任务。</w:t>
                  </w:r>
                  <w:r>
                    <w:rPr>
                      <w:rFonts w:hint="eastAsia" w:cs="Times New Roman"/>
                      <w:snapToGrid w:val="0"/>
                      <w:color w:val="000000" w:themeColor="text1"/>
                      <w:sz w:val="21"/>
                      <w:szCs w:val="21"/>
                      <w:highlight w:val="none"/>
                      <w:lang w:eastAsia="zh-CN"/>
                      <w14:textFill>
                        <w14:solidFill>
                          <w14:schemeClr w14:val="tx1"/>
                        </w14:solidFill>
                      </w14:textFill>
                    </w:rPr>
                    <w:t>井口坐标：X=4436120.000、Y=36599575.000，</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北部回风立井井口标高+1538.000m，井底标高暂定+903.850m，落底于4</w:t>
                  </w:r>
                  <w:r>
                    <w:rPr>
                      <w:rFonts w:hint="eastAsia" w:cs="Times New Roman"/>
                      <w:snapToGrid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1煤层底板，井窝深度5m，井筒垂深约639m，净直径7.5m。井筒内装备封闭式玻璃钢梯子间，兼作矿井安全出口。</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56" w:type="pct"/>
                  <w:vMerge w:val="continue"/>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napToGrid w:val="0"/>
                      <w:color w:val="000000" w:themeColor="text1"/>
                      <w:kern w:val="2"/>
                      <w:sz w:val="21"/>
                      <w:szCs w:val="21"/>
                      <w:highlight w:val="green"/>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空压机房</w:t>
                  </w:r>
                </w:p>
              </w:tc>
              <w:tc>
                <w:tcPr>
                  <w:tcW w:w="4046" w:type="pct"/>
                  <w:noWrap w:val="0"/>
                  <w:vAlign w:val="center"/>
                </w:tcPr>
                <w:p>
                  <w:pPr>
                    <w:pStyle w:val="50"/>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平面尺寸24.5m</w:t>
                  </w:r>
                  <w:r>
                    <w:rPr>
                      <w:rFonts w:hint="eastAsia" w:ascii="宋体" w:hAnsi="宋体" w:eastAsia="宋体" w:cs="宋体"/>
                      <w:color w:val="000000" w:themeColor="text1"/>
                      <w:sz w:val="24"/>
                      <w:szCs w:val="24"/>
                      <w:highlight w:val="none"/>
                      <w14:textFill>
                        <w14:solidFill>
                          <w14:schemeClr w14:val="tx1"/>
                        </w14:solidFill>
                      </w14:textFill>
                    </w:rPr>
                    <w:t>x</w:t>
                  </w:r>
                  <w:r>
                    <w:rPr>
                      <w:rFonts w:hint="default" w:ascii="Times New Roman" w:hAnsi="Times New Roman" w:eastAsia="宋体" w:cs="Times New Roman"/>
                      <w:color w:val="000000" w:themeColor="text1"/>
                      <w:sz w:val="21"/>
                      <w:szCs w:val="21"/>
                      <w:highlight w:val="none"/>
                      <w14:textFill>
                        <w14:solidFill>
                          <w14:schemeClr w14:val="tx1"/>
                        </w14:solidFill>
                      </w14:textFill>
                    </w:rPr>
                    <w:t>9.5mm，高9.5m，一层采用钢筋混凝土框架结构，基础为钢筋混凝土独立基础，基础埋深2.0m。</w:t>
                  </w:r>
                </w:p>
                <w:p>
                  <w:pPr>
                    <w:pStyle w:val="50"/>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default" w:ascii="Times New Roman" w:hAnsi="Times New Roman" w:eastAsia="宋体" w:cs="Times New Roman"/>
                      <w:bCs/>
                      <w:color w:val="000000" w:themeColor="text1"/>
                      <w:kern w:val="2"/>
                      <w:sz w:val="21"/>
                      <w:szCs w:val="21"/>
                      <w:highlight w:val="green"/>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新增压风系统，选用U</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8VPM型永磁变频空压机3台，其中2台工作，1台备用，预留1台位置。空压机</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highlight w:val="none"/>
                      <w14:textFill>
                        <w14:solidFill>
                          <w14:schemeClr w14:val="tx1"/>
                        </w14:solidFill>
                      </w14:textFill>
                    </w:rPr>
                    <w:t>排气量</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为</w:t>
                  </w:r>
                  <w:r>
                    <w:rPr>
                      <w:rFonts w:hint="default" w:ascii="Times New Roman" w:hAnsi="Times New Roman" w:eastAsia="宋体" w:cs="Times New Roman"/>
                      <w:color w:val="000000" w:themeColor="text1"/>
                      <w:sz w:val="21"/>
                      <w:szCs w:val="21"/>
                      <w:highlight w:val="none"/>
                      <w14:textFill>
                        <w14:solidFill>
                          <w14:schemeClr w14:val="tx1"/>
                        </w14:solidFill>
                      </w14:textFill>
                    </w:rPr>
                    <w:t>50m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/min，排气压力</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为</w:t>
                  </w:r>
                  <w:r>
                    <w:rPr>
                      <w:rFonts w:hint="default" w:ascii="Times New Roman" w:hAnsi="Times New Roman" w:eastAsia="宋体" w:cs="Times New Roman"/>
                      <w:color w:val="000000" w:themeColor="text1"/>
                      <w:sz w:val="21"/>
                      <w:szCs w:val="21"/>
                      <w:highlight w:val="none"/>
                      <w14:textFill>
                        <w14:solidFill>
                          <w14:schemeClr w14:val="tx1"/>
                        </w14:solidFill>
                      </w14:textFill>
                    </w:rPr>
                    <w:t>0.8MPa，随机</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配备</w:t>
                  </w:r>
                  <w:r>
                    <w:rPr>
                      <w:rFonts w:hint="default" w:ascii="Times New Roman" w:hAnsi="Times New Roman" w:eastAsia="宋体" w:cs="Times New Roman"/>
                      <w:color w:val="000000" w:themeColor="text1"/>
                      <w:sz w:val="21"/>
                      <w:szCs w:val="21"/>
                      <w:highlight w:val="none"/>
                      <w14:textFill>
                        <w14:solidFill>
                          <w14:schemeClr w14:val="tx1"/>
                        </w14:solidFill>
                      </w14:textFill>
                    </w:rPr>
                    <w:t>电动机</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250kW、10kV）。主干管选用Φ273×7矿用带涂层复合钢管将压缩空气沿进风立井送往井下。为便于设备安装和检修，在机房内设有10t手动单梁起重机一台。</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56" w:type="pct"/>
                  <w:vMerge w:val="continue"/>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空气加热室</w:t>
                  </w:r>
                </w:p>
              </w:tc>
              <w:tc>
                <w:tcPr>
                  <w:tcW w:w="4046"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进风立井井口房两侧建造空气加热室</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平面尺寸25.5m</w:t>
                  </w:r>
                  <w:r>
                    <w:rPr>
                      <w:rFonts w:hint="default" w:ascii="Times New Roman" w:hAnsi="Times New Roman" w:eastAsia="宋体" w:cs="Times New Roman"/>
                      <w:color w:val="000000" w:themeColor="text1"/>
                      <w:sz w:val="24"/>
                      <w:szCs w:val="24"/>
                      <w:highlight w:val="none"/>
                      <w14:textFill>
                        <w14:solidFill>
                          <w14:schemeClr w14:val="tx1"/>
                        </w14:solidFill>
                      </w14:textFill>
                    </w:rPr>
                    <w:t>x</w:t>
                  </w:r>
                  <w:r>
                    <w:rPr>
                      <w:rFonts w:hint="default" w:ascii="Times New Roman" w:hAnsi="Times New Roman" w:eastAsia="宋体" w:cs="Times New Roman"/>
                      <w:color w:val="000000" w:themeColor="text1"/>
                      <w:sz w:val="21"/>
                      <w:szCs w:val="21"/>
                      <w:highlight w:val="none"/>
                      <w14:textFill>
                        <w14:solidFill>
                          <w14:schemeClr w14:val="tx1"/>
                        </w14:solidFill>
                      </w14:textFill>
                    </w:rPr>
                    <w:t>5.5m，高5m，一层，采用钢筋混凝土框架结构，基础为钢筋混凝土独立基础，基础埋深2.0m。</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空气加热室热源为乏风余热系统供热。</w:t>
                  </w:r>
                </w:p>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在井口房内设置</w:t>
                  </w:r>
                  <w:r>
                    <w:rPr>
                      <w:rFonts w:hint="eastAsia" w:cs="Times New Roman"/>
                      <w:color w:val="000000" w:themeColor="text1"/>
                      <w:sz w:val="21"/>
                      <w:szCs w:val="21"/>
                      <w:highlight w:val="none"/>
                      <w:lang w:eastAsia="zh-CN"/>
                      <w14:textFill>
                        <w14:solidFill>
                          <w14:schemeClr w14:val="tx1"/>
                        </w14:solidFill>
                      </w14:textFill>
                    </w:rPr>
                    <w:t>了</w:t>
                  </w:r>
                  <w:r>
                    <w:rPr>
                      <w:rFonts w:hint="default" w:ascii="Times New Roman" w:hAnsi="Times New Roman" w:eastAsia="宋体" w:cs="Times New Roman"/>
                      <w:color w:val="000000" w:themeColor="text1"/>
                      <w:sz w:val="21"/>
                      <w:szCs w:val="21"/>
                      <w:highlight w:val="none"/>
                      <w14:textFill>
                        <w14:solidFill>
                          <w14:schemeClr w14:val="tx1"/>
                        </w14:solidFill>
                      </w14:textFill>
                    </w:rPr>
                    <w:t>煤矿专用低温低噪音井口空气加热机组SMEET</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FJ</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1000型12台</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56" w:type="pct"/>
                  <w:vMerge w:val="continue"/>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乏风取热室</w:t>
                  </w:r>
                </w:p>
              </w:tc>
              <w:tc>
                <w:tcPr>
                  <w:tcW w:w="4046"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平面尺寸28.5m</w:t>
                  </w:r>
                  <w:r>
                    <w:rPr>
                      <w:rFonts w:hint="default" w:ascii="Times New Roman" w:hAnsi="Times New Roman" w:eastAsia="宋体" w:cs="Times New Roman"/>
                      <w:color w:val="000000" w:themeColor="text1"/>
                      <w:sz w:val="24"/>
                      <w:szCs w:val="24"/>
                      <w:highlight w:val="none"/>
                      <w14:textFill>
                        <w14:solidFill>
                          <w14:schemeClr w14:val="tx1"/>
                        </w14:solidFill>
                      </w14:textFill>
                    </w:rPr>
                    <w:t>x</w:t>
                  </w:r>
                  <w:r>
                    <w:rPr>
                      <w:rFonts w:hint="default" w:ascii="Times New Roman" w:hAnsi="Times New Roman" w:eastAsia="宋体" w:cs="Times New Roman"/>
                      <w:color w:val="000000" w:themeColor="text1"/>
                      <w:sz w:val="21"/>
                      <w:szCs w:val="21"/>
                      <w:highlight w:val="none"/>
                      <w14:textFill>
                        <w14:solidFill>
                          <w14:schemeClr w14:val="tx1"/>
                        </w14:solidFill>
                      </w14:textFill>
                    </w:rPr>
                    <w:t>19.9m</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高18.5m，三层，采用钢框架结构，基础为钢筋混凝土独立基础，基础埋深2.0m。乏风取热室设置乏风取热箱设备型号SMEET</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FSQ</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390</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数量28台</w:t>
                  </w:r>
                  <w:r>
                    <w:rPr>
                      <w:rFonts w:hint="eastAsia" w:cs="Times New Roman"/>
                      <w:color w:val="000000" w:themeColor="text1"/>
                      <w:sz w:val="21"/>
                      <w:szCs w:val="21"/>
                      <w:highlight w:val="none"/>
                      <w:lang w:eastAsia="zh-CN"/>
                      <w14:textFill>
                        <w14:solidFill>
                          <w14:schemeClr w14:val="tx1"/>
                        </w14:solidFill>
                      </w14:textFill>
                    </w:rPr>
                    <w:t>。</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56" w:type="pct"/>
                  <w:vMerge w:val="continue"/>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yellow"/>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乏风热泵机房</w:t>
                  </w:r>
                </w:p>
              </w:tc>
              <w:tc>
                <w:tcPr>
                  <w:tcW w:w="4046"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000000" w:themeColor="text1"/>
                      <w:kern w:val="2"/>
                      <w:sz w:val="21"/>
                      <w:szCs w:val="21"/>
                      <w:highlight w:val="yellow"/>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平面尺寸36.5mx17m，高6m，一层，采用钢筋混凝土框架结构，基础为钢筋混凝土独立基础，基础埋深2.0m。选取直冷式</w:t>
                  </w:r>
                  <w:r>
                    <w:rPr>
                      <w:rFonts w:hint="eastAsia"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水冷）</w:t>
                  </w:r>
                  <w:r>
                    <w:rPr>
                      <w:rFonts w:hint="default" w:ascii="Times New Roman" w:hAnsi="Times New Roman" w:eastAsia="宋体" w:cs="Times New Roman"/>
                      <w:color w:val="000000" w:themeColor="text1"/>
                      <w:sz w:val="21"/>
                      <w:szCs w:val="21"/>
                      <w:highlight w:val="none"/>
                      <w14:textFill>
                        <w14:solidFill>
                          <w14:schemeClr w14:val="tx1"/>
                        </w14:solidFill>
                      </w14:textFill>
                    </w:rPr>
                    <w:t>乏风热泵机组SMEET</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FS</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R</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2400型5台，机组设置在乏风热泵机房内。</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6" w:type="pct"/>
                  <w:vMerge w:val="restar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辅助工程</w:t>
                  </w: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napToGrid w:val="0"/>
                      <w:color w:val="000000" w:themeColor="text1"/>
                      <w:sz w:val="21"/>
                      <w:szCs w:val="21"/>
                      <w:highlight w:val="green"/>
                      <w:lang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通风</w:t>
                  </w:r>
                  <w:r>
                    <w:rPr>
                      <w:rFonts w:hint="eastAsia" w:ascii="Times New Roman" w:hAnsi="Times New Roman" w:eastAsia="宋体" w:cs="Times New Roman"/>
                      <w:snapToGrid w:val="0"/>
                      <w:color w:val="000000" w:themeColor="text1"/>
                      <w:sz w:val="21"/>
                      <w:szCs w:val="21"/>
                      <w:highlight w:val="none"/>
                      <w:lang w:eastAsia="zh-CN"/>
                      <w14:textFill>
                        <w14:solidFill>
                          <w14:schemeClr w14:val="tx1"/>
                        </w14:solidFill>
                      </w14:textFill>
                    </w:rPr>
                    <w:t>设备</w:t>
                  </w:r>
                </w:p>
              </w:tc>
              <w:tc>
                <w:tcPr>
                  <w:tcW w:w="4046"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设置长度为127</w:t>
                  </w:r>
                  <w:r>
                    <w:rPr>
                      <w:rFonts w:hint="eastAsia"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highlight w:val="none"/>
                      <w14:textFill>
                        <w14:solidFill>
                          <w14:schemeClr w14:val="tx1"/>
                        </w14:solidFill>
                      </w14:textFill>
                    </w:rPr>
                    <w:t>风道</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6.4mx6.4m</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w:t>
                  </w:r>
                </w:p>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lang w:val="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北部回风立井通风机，</w:t>
                  </w:r>
                  <w:r>
                    <w:rPr>
                      <w:rFonts w:hint="default" w:ascii="Times New Roman" w:hAnsi="Times New Roman" w:eastAsia="宋体" w:cs="Times New Roman"/>
                      <w:color w:val="000000" w:themeColor="text1"/>
                      <w:sz w:val="21"/>
                      <w:szCs w:val="21"/>
                      <w:highlight w:val="none"/>
                      <w:lang w:val="zh-CN"/>
                      <w14:textFill>
                        <w14:solidFill>
                          <w14:schemeClr w14:val="tx1"/>
                        </w14:solidFill>
                      </w14:textFill>
                    </w:rPr>
                    <w:t>选用</w:t>
                  </w:r>
                  <w:r>
                    <w:rPr>
                      <w:rFonts w:hint="default" w:ascii="Times New Roman" w:hAnsi="Times New Roman" w:eastAsia="宋体" w:cs="Times New Roman"/>
                      <w:color w:val="000000" w:themeColor="text1"/>
                      <w:sz w:val="21"/>
                      <w:szCs w:val="21"/>
                      <w:highlight w:val="none"/>
                      <w14:textFill>
                        <w14:solidFill>
                          <w14:schemeClr w14:val="tx1"/>
                        </w14:solidFill>
                      </w14:textFill>
                    </w:rPr>
                    <w:t>F</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B</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CZNo33.5/1800</w:t>
                  </w:r>
                  <w:r>
                    <w:rPr>
                      <w:rFonts w:hint="default" w:ascii="Times New Roman" w:hAnsi="Times New Roman" w:eastAsia="宋体" w:cs="Times New Roman"/>
                      <w:color w:val="000000" w:themeColor="text1"/>
                      <w:sz w:val="21"/>
                      <w:szCs w:val="21"/>
                      <w:highlight w:val="none"/>
                      <w:lang w:val="zh-CN"/>
                      <w14:textFill>
                        <w14:solidFill>
                          <w14:schemeClr w14:val="tx1"/>
                        </w14:solidFill>
                      </w14:textFill>
                    </w:rPr>
                    <w:t>型轴流式通风机二台，一台工作，一台备用。每台风机配一台YBFP800</w:t>
                  </w:r>
                  <w:r>
                    <w:rPr>
                      <w:rFonts w:hint="eastAsia" w:cs="Times New Roman"/>
                      <w:color w:val="000000" w:themeColor="text1"/>
                      <w:sz w:val="21"/>
                      <w:szCs w:val="21"/>
                      <w:highlight w:val="none"/>
                      <w:lang w:val="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zh-CN"/>
                      <w14:textFill>
                        <w14:solidFill>
                          <w14:schemeClr w14:val="tx1"/>
                        </w14:solidFill>
                      </w14:textFill>
                    </w:rPr>
                    <w:t>8型</w:t>
                  </w:r>
                  <w:r>
                    <w:rPr>
                      <w:rFonts w:hint="eastAsia" w:cs="Times New Roman"/>
                      <w:color w:val="000000" w:themeColor="text1"/>
                      <w:sz w:val="21"/>
                      <w:szCs w:val="21"/>
                      <w:highlight w:val="none"/>
                      <w:lang w:val="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zh-CN"/>
                      <w14:textFill>
                        <w14:solidFill>
                          <w14:schemeClr w14:val="tx1"/>
                        </w14:solidFill>
                      </w14:textFill>
                    </w:rPr>
                    <w:t>1800kW、740r/min、10kV）变频电动机。</w:t>
                  </w:r>
                </w:p>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snapToGrid w:val="0"/>
                      <w:color w:val="000000" w:themeColor="text1"/>
                      <w:sz w:val="21"/>
                      <w:szCs w:val="21"/>
                      <w:highlight w:val="gree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通风机为露天安装，每台通风机采用两道风门</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可电动、手动两用），一处为悬挂导轨式箱式风门，一处采用自闭式旋叶风门，两套风门互为备用。采用电加热防冻措施。</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6" w:type="pct"/>
                  <w:vMerge w:val="continue"/>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电气集控中心</w:t>
                  </w:r>
                </w:p>
              </w:tc>
              <w:tc>
                <w:tcPr>
                  <w:tcW w:w="4046" w:type="pct"/>
                  <w:noWrap w:val="0"/>
                  <w:vAlign w:val="center"/>
                </w:tcPr>
                <w:p>
                  <w:pPr>
                    <w:pStyle w:val="50"/>
                    <w:keepNext w:val="0"/>
                    <w:keepLines w:val="0"/>
                    <w:pageBreakBefore w:val="0"/>
                    <w:widowControl w:val="0"/>
                    <w:kinsoku/>
                    <w:wordWrap/>
                    <w:overflowPunct/>
                    <w:topLinePunct w:val="0"/>
                    <w:autoSpaceDE/>
                    <w:autoSpaceDN/>
                    <w:bidi w:val="0"/>
                    <w:adjustRightInd w:val="0"/>
                    <w:snapToGrid/>
                    <w:spacing w:line="240" w:lineRule="auto"/>
                    <w:ind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设1个电气集控中心，</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占地</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612.6m</w:t>
                  </w:r>
                  <w:r>
                    <w:rPr>
                      <w:rFonts w:hint="eastAsia"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里面包含通风机配电室、空压机配电室、集控中心10/0.4kV配电室、抗灾潜水电泵配电室和集控室</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6" w:type="pct"/>
                  <w:vMerge w:val="continue"/>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综合值班室</w:t>
                  </w:r>
                </w:p>
              </w:tc>
              <w:tc>
                <w:tcPr>
                  <w:tcW w:w="4046"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位于场地出入口处</w:t>
                  </w:r>
                  <w:r>
                    <w:rPr>
                      <w:rFonts w:hint="eastAsia" w:cs="Times New Roman"/>
                      <w:snapToGrid w:val="0"/>
                      <w:color w:val="000000" w:themeColor="text1"/>
                      <w:sz w:val="21"/>
                      <w:szCs w:val="21"/>
                      <w:highlight w:val="none"/>
                      <w:lang w:eastAsia="zh-CN"/>
                      <w14:textFill>
                        <w14:solidFill>
                          <w14:schemeClr w14:val="tx1"/>
                        </w14:solidFill>
                      </w14:textFill>
                    </w:rPr>
                    <w:t>，占地</w:t>
                  </w:r>
                  <w:r>
                    <w:rPr>
                      <w:rFonts w:hint="default" w:ascii="Times New Roman" w:hAnsi="Times New Roman" w:eastAsia="宋体" w:cs="Times New Roman"/>
                      <w:color w:val="000000" w:themeColor="text1"/>
                      <w:sz w:val="21"/>
                      <w:szCs w:val="21"/>
                      <w:highlight w:val="none"/>
                      <w14:textFill>
                        <w14:solidFill>
                          <w14:schemeClr w14:val="tx1"/>
                        </w14:solidFill>
                      </w14:textFill>
                    </w:rPr>
                    <w:t>120m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，包括值班、休息等功能。</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6" w:type="pct"/>
                  <w:vMerge w:val="continue"/>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yellow"/>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日用</w:t>
                  </w:r>
                  <w:r>
                    <w:rPr>
                      <w:rFonts w:hint="eastAsia" w:cs="Times New Roman"/>
                      <w:color w:val="000000" w:themeColor="text1"/>
                      <w:sz w:val="21"/>
                      <w:szCs w:val="21"/>
                      <w:highlight w:val="none"/>
                      <w:lang w:eastAsia="zh-CN"/>
                      <w14:textFill>
                        <w14:solidFill>
                          <w14:schemeClr w14:val="tx1"/>
                        </w14:solidFill>
                      </w14:textFill>
                    </w:rPr>
                    <w:t>生产</w:t>
                  </w:r>
                  <w:r>
                    <w:rPr>
                      <w:rFonts w:hint="default" w:ascii="Times New Roman" w:hAnsi="Times New Roman" w:eastAsia="宋体" w:cs="Times New Roman"/>
                      <w:color w:val="000000" w:themeColor="text1"/>
                      <w:sz w:val="21"/>
                      <w:szCs w:val="21"/>
                      <w:highlight w:val="none"/>
                      <w14:textFill>
                        <w14:solidFill>
                          <w14:schemeClr w14:val="tx1"/>
                        </w14:solidFill>
                      </w14:textFill>
                    </w:rPr>
                    <w:t>消防水池及泵房</w:t>
                  </w:r>
                </w:p>
              </w:tc>
              <w:tc>
                <w:tcPr>
                  <w:tcW w:w="4046"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风井场地新建日用生产消防水池及泵房1座，泵房内设置生活给水变频机组1套，生产绿化变频供水机组1套，消防给水泵2台，消防稳压设备1套，消毒设备及排水泵等。新建生产消防水池1座，用于储存风井场地生产、绿化和消防用水；生产消防水池吸水井</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L×B×H=10.8×2.0×4.5m）与泵房贴建，工程量在泵房中包含，不单独计量。在吸水井中独立分隔出1座生活水池，水池有效容积10m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。北部风井场地水源由水车从工业场地拉水。</w:t>
                  </w:r>
                </w:p>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生产消防水池</w:t>
                  </w:r>
                  <w:r>
                    <w:rPr>
                      <w:rFonts w:hint="eastAsia" w:cs="Times New Roman"/>
                      <w:color w:val="000000" w:themeColor="text1"/>
                      <w:sz w:val="21"/>
                      <w:szCs w:val="21"/>
                      <w:highlight w:val="none"/>
                      <w:lang w:eastAsia="zh-CN"/>
                      <w14:textFill>
                        <w14:solidFill>
                          <w14:schemeClr w14:val="tx1"/>
                        </w14:solidFill>
                      </w14:textFill>
                    </w:rPr>
                    <w:t>采用</w:t>
                  </w:r>
                  <w:r>
                    <w:rPr>
                      <w:rFonts w:hint="default" w:ascii="Times New Roman" w:hAnsi="Times New Roman" w:eastAsia="宋体" w:cs="Times New Roman"/>
                      <w:color w:val="000000" w:themeColor="text1"/>
                      <w:sz w:val="21"/>
                      <w:szCs w:val="21"/>
                      <w:highlight w:val="none"/>
                      <w14:textFill>
                        <w14:solidFill>
                          <w14:schemeClr w14:val="tx1"/>
                        </w14:solidFill>
                      </w14:textFill>
                    </w:rPr>
                    <w:t>钢砼结构，L×B×H=24×10×5.0m，地下4.0m，</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总有效储水</w:t>
                  </w:r>
                  <w:r>
                    <w:rPr>
                      <w:rFonts w:hint="default" w:ascii="Times New Roman" w:hAnsi="Times New Roman" w:eastAsia="宋体" w:cs="Times New Roman"/>
                      <w:color w:val="000000" w:themeColor="text1"/>
                      <w:sz w:val="21"/>
                      <w:szCs w:val="21"/>
                      <w:highlight w:val="none"/>
                      <w14:textFill>
                        <w14:solidFill>
                          <w14:schemeClr w14:val="tx1"/>
                        </w14:solidFill>
                      </w14:textFill>
                    </w:rPr>
                    <w:t>容积1000m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分两格，</w:t>
                  </w:r>
                  <w:r>
                    <w:rPr>
                      <w:rFonts w:hint="eastAsia" w:cs="Times New Roman"/>
                      <w:color w:val="000000" w:themeColor="text1"/>
                      <w:sz w:val="21"/>
                      <w:szCs w:val="21"/>
                      <w:highlight w:val="none"/>
                      <w:lang w:val="en-US" w:eastAsia="zh-CN"/>
                      <w14:textFill>
                        <w14:solidFill>
                          <w14:schemeClr w14:val="tx1"/>
                        </w14:solidFill>
                      </w14:textFill>
                    </w:rPr>
                    <w:t>可</w:t>
                  </w:r>
                  <w:r>
                    <w:rPr>
                      <w:rFonts w:hint="default" w:ascii="Times New Roman" w:hAnsi="Times New Roman" w:eastAsia="宋体" w:cs="Times New Roman"/>
                      <w:color w:val="000000" w:themeColor="text1"/>
                      <w:sz w:val="21"/>
                      <w:szCs w:val="21"/>
                      <w:highlight w:val="none"/>
                      <w14:textFill>
                        <w14:solidFill>
                          <w14:schemeClr w14:val="tx1"/>
                        </w14:solidFill>
                      </w14:textFill>
                    </w:rPr>
                    <w:t>存储540m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的</w:t>
                  </w:r>
                  <w:r>
                    <w:rPr>
                      <w:rFonts w:hint="default" w:ascii="Times New Roman" w:hAnsi="Times New Roman" w:eastAsia="宋体" w:cs="Times New Roman"/>
                      <w:color w:val="000000" w:themeColor="text1"/>
                      <w:sz w:val="21"/>
                      <w:szCs w:val="21"/>
                      <w:highlight w:val="none"/>
                      <w14:textFill>
                        <w14:solidFill>
                          <w14:schemeClr w14:val="tx1"/>
                        </w14:solidFill>
                      </w14:textFill>
                    </w:rPr>
                    <w:t>消防用水量。</w:t>
                  </w:r>
                </w:p>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生活消防泵房：L×B×H=21×8×8.5m，地下部分高4.0m，地上部分高4.5m；</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6" w:type="pct"/>
                  <w:vMerge w:val="restart"/>
                  <w:noWrap w:val="0"/>
                  <w:vAlign w:val="center"/>
                </w:tcPr>
                <w:p>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储运工程</w:t>
                  </w: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初期雨水收集池</w:t>
                  </w:r>
                </w:p>
              </w:tc>
              <w:tc>
                <w:tcPr>
                  <w:tcW w:w="4046"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尺寸：</w:t>
                  </w:r>
                  <w:r>
                    <w:rPr>
                      <w:rFonts w:hint="default" w:ascii="Times New Roman" w:hAnsi="Times New Roman" w:eastAsia="宋体" w:cs="Times New Roman"/>
                      <w:color w:val="000000" w:themeColor="text1"/>
                      <w:sz w:val="21"/>
                      <w:szCs w:val="21"/>
                      <w:highlight w:val="none"/>
                      <w14:textFill>
                        <w14:solidFill>
                          <w14:schemeClr w14:val="tx1"/>
                        </w14:solidFill>
                      </w14:textFill>
                    </w:rPr>
                    <w:t>L×B×H=16×8×3.5m，</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采用钢砼结构，全地下设计，</w:t>
                  </w:r>
                  <w:r>
                    <w:rPr>
                      <w:rFonts w:hint="default" w:ascii="Times New Roman" w:hAnsi="Times New Roman" w:eastAsia="宋体" w:cs="Times New Roman"/>
                      <w:color w:val="000000" w:themeColor="text1"/>
                      <w:sz w:val="21"/>
                      <w:szCs w:val="21"/>
                      <w:highlight w:val="none"/>
                      <w14:textFill>
                        <w14:solidFill>
                          <w14:schemeClr w14:val="tx1"/>
                        </w14:solidFill>
                      </w14:textFill>
                    </w:rPr>
                    <w:t>池顶埋深2.5m</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有效容积400m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潜水排水泵</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2台，</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Q=200m</w:t>
                  </w:r>
                  <w:r>
                    <w:rPr>
                      <w:rFonts w:hint="default" w:ascii="Times New Roman" w:hAnsi="Times New Roman" w:eastAsia="宋体" w:cs="Times New Roman"/>
                      <w:color w:val="000000" w:themeColor="text1"/>
                      <w:sz w:val="21"/>
                      <w:szCs w:val="21"/>
                      <w:highlight w:val="none"/>
                      <w:vertAlign w:val="superscript"/>
                      <w:lang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/h  H=25m，N=30kW，1用1备</w:t>
                  </w:r>
                  <w:r>
                    <w:rPr>
                      <w:rFonts w:hint="eastAsia" w:cs="Times New Roman"/>
                      <w:color w:val="000000" w:themeColor="text1"/>
                      <w:sz w:val="21"/>
                      <w:szCs w:val="21"/>
                      <w:highlight w:val="none"/>
                      <w:lang w:eastAsia="zh-CN"/>
                      <w14:textFill>
                        <w14:solidFill>
                          <w14:schemeClr w14:val="tx1"/>
                        </w14:solidFill>
                      </w14:textFill>
                    </w:rPr>
                    <w:t>。</w:t>
                  </w:r>
                </w:p>
                <w:p>
                  <w:pPr>
                    <w:pStyle w:val="50"/>
                    <w:keepNext w:val="0"/>
                    <w:keepLines w:val="0"/>
                    <w:pageBreakBefore w:val="0"/>
                    <w:widowControl w:val="0"/>
                    <w:kinsoku/>
                    <w:wordWrap/>
                    <w:overflowPunct/>
                    <w:topLinePunct w:val="0"/>
                    <w:autoSpaceDE/>
                    <w:autoSpaceDN/>
                    <w:bidi w:val="0"/>
                    <w:adjustRightInd w:val="0"/>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场区雨水采用盖板明沟的排水方式。在挖方边坡坡底设一段排水明沟，在道路一侧设盖板明沟，将场区雨水收集至雨水收集池内，经沉淀后用于厂区绿化。明沟采用混凝土矩形明沟，净宽0.4m，平均沟深0.6m，壁厚0.3m，最小纵坡0.5%，最大纵坡3%。</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6" w:type="pct"/>
                  <w:vMerge w:val="continue"/>
                  <w:noWrap w:val="0"/>
                  <w:vAlign w:val="center"/>
                </w:tcPr>
                <w:p>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场外道路</w:t>
                  </w:r>
                </w:p>
              </w:tc>
              <w:tc>
                <w:tcPr>
                  <w:tcW w:w="4046"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bCs/>
                      <w:snapToGrid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新增1条北部风井场外道路，</w:t>
                  </w:r>
                  <w:r>
                    <w:rPr>
                      <w:rFonts w:hint="eastAsia" w:cs="Times New Roman"/>
                      <w:color w:val="000000" w:themeColor="text1"/>
                      <w:sz w:val="21"/>
                      <w:szCs w:val="21"/>
                      <w:highlight w:val="none"/>
                      <w:lang w:eastAsia="zh-CN"/>
                      <w14:textFill>
                        <w14:solidFill>
                          <w14:schemeClr w14:val="tx1"/>
                        </w14:solidFill>
                      </w14:textFill>
                    </w:rPr>
                    <w:t>为</w:t>
                  </w:r>
                  <w:r>
                    <w:rPr>
                      <w:rFonts w:hint="eastAsia" w:cs="Times New Roman"/>
                      <w:color w:val="000000" w:themeColor="text1"/>
                      <w:sz w:val="21"/>
                      <w:szCs w:val="21"/>
                      <w:highlight w:val="none"/>
                      <w:lang w:val="en-US" w:eastAsia="zh-CN"/>
                      <w14:textFill>
                        <w14:solidFill>
                          <w14:schemeClr w14:val="tx1"/>
                        </w14:solidFill>
                      </w14:textFill>
                    </w:rPr>
                    <w:t>沥青混凝土路面结构</w:t>
                  </w:r>
                  <w:r>
                    <w:rPr>
                      <w:rFonts w:hint="eastAsia" w:ascii="Times New Roman" w:hAnsi="Times New Roman" w:eastAsia="宋体" w:cs="Times New Roman"/>
                      <w:bCs/>
                      <w:snapToGrid w:val="0"/>
                      <w:color w:val="000000" w:themeColor="text1"/>
                      <w:kern w:val="2"/>
                      <w:sz w:val="21"/>
                      <w:szCs w:val="21"/>
                      <w:highlight w:val="none"/>
                      <w:lang w:val="en-US" w:eastAsia="zh-CN" w:bidi="ar-SA"/>
                      <w14:textFill>
                        <w14:solidFill>
                          <w14:schemeClr w14:val="tx1"/>
                        </w14:solidFill>
                      </w14:textFill>
                    </w:rPr>
                    <w:t>，道路为</w:t>
                  </w:r>
                  <w:r>
                    <w:rPr>
                      <w:rFonts w:hint="default" w:ascii="Times New Roman" w:hAnsi="Times New Roman" w:eastAsia="宋体" w:cs="Times New Roman"/>
                      <w:bCs/>
                      <w:snapToGrid w:val="0"/>
                      <w:color w:val="000000" w:themeColor="text1"/>
                      <w:kern w:val="2"/>
                      <w:sz w:val="21"/>
                      <w:szCs w:val="21"/>
                      <w:highlight w:val="none"/>
                      <w:lang w:val="en-US" w:eastAsia="zh-CN" w:bidi="ar-SA"/>
                      <w14:textFill>
                        <w14:solidFill>
                          <w14:schemeClr w14:val="tx1"/>
                        </w14:solidFill>
                      </w14:textFill>
                    </w:rPr>
                    <w:t>辅助道路</w:t>
                  </w:r>
                  <w:r>
                    <w:rPr>
                      <w:rFonts w:hint="eastAsia" w:ascii="Times New Roman" w:hAnsi="Times New Roman" w:eastAsia="宋体" w:cs="Times New Roman"/>
                      <w:bCs/>
                      <w:snapToGrid w:val="0"/>
                      <w:color w:val="000000" w:themeColor="text1"/>
                      <w:kern w:val="2"/>
                      <w:sz w:val="21"/>
                      <w:szCs w:val="21"/>
                      <w:highlight w:val="none"/>
                      <w:lang w:val="en-US" w:eastAsia="zh-CN" w:bidi="ar-SA"/>
                      <w14:textFill>
                        <w14:solidFill>
                          <w14:schemeClr w14:val="tx1"/>
                        </w14:solidFill>
                      </w14:textFill>
                    </w:rPr>
                    <w:t>，不属于等级公路；</w:t>
                  </w:r>
                  <w:r>
                    <w:rPr>
                      <w:rFonts w:hint="default" w:ascii="Times New Roman" w:hAnsi="Times New Roman" w:eastAsia="宋体" w:cs="Times New Roman"/>
                      <w:bCs/>
                      <w:snapToGrid w:val="0"/>
                      <w:color w:val="000000" w:themeColor="text1"/>
                      <w:kern w:val="2"/>
                      <w:sz w:val="21"/>
                      <w:szCs w:val="21"/>
                      <w:highlight w:val="none"/>
                      <w:lang w:val="en-US" w:eastAsia="zh-CN" w:bidi="ar-SA"/>
                      <w14:textFill>
                        <w14:solidFill>
                          <w14:schemeClr w14:val="tx1"/>
                        </w14:solidFill>
                      </w14:textFill>
                    </w:rPr>
                    <w:t>全长约2.15km</w:t>
                  </w:r>
                  <w:r>
                    <w:rPr>
                      <w:rFonts w:hint="eastAsia" w:ascii="Times New Roman" w:hAnsi="Times New Roman" w:eastAsia="宋体" w:cs="Times New Roman"/>
                      <w:bCs/>
                      <w:snapToGrid w:val="0"/>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bCs/>
                      <w:snapToGrid w:val="0"/>
                      <w:color w:val="000000" w:themeColor="text1"/>
                      <w:kern w:val="2"/>
                      <w:sz w:val="21"/>
                      <w:szCs w:val="21"/>
                      <w:highlight w:val="none"/>
                      <w:lang w:val="zh-CN" w:eastAsia="zh-CN" w:bidi="ar-SA"/>
                      <w14:textFill>
                        <w14:solidFill>
                          <w14:schemeClr w14:val="tx1"/>
                        </w14:solidFill>
                      </w14:textFill>
                    </w:rPr>
                    <w:t>路基宽度为</w:t>
                  </w:r>
                  <w:r>
                    <w:rPr>
                      <w:rFonts w:hint="eastAsia" w:ascii="Times New Roman" w:hAnsi="Times New Roman" w:eastAsia="宋体" w:cs="Times New Roman"/>
                      <w:bCs/>
                      <w:snapToGrid w:val="0"/>
                      <w:color w:val="000000" w:themeColor="text1"/>
                      <w:kern w:val="2"/>
                      <w:sz w:val="21"/>
                      <w:szCs w:val="21"/>
                      <w:highlight w:val="none"/>
                      <w:lang w:val="en-US" w:eastAsia="zh-CN" w:bidi="ar-SA"/>
                      <w14:textFill>
                        <w14:solidFill>
                          <w14:schemeClr w14:val="tx1"/>
                        </w14:solidFill>
                      </w14:textFill>
                    </w:rPr>
                    <w:t>5</w:t>
                  </w:r>
                  <w:r>
                    <w:rPr>
                      <w:rFonts w:hint="eastAsia" w:ascii="Times New Roman" w:hAnsi="Times New Roman" w:eastAsia="宋体" w:cs="Times New Roman"/>
                      <w:bCs/>
                      <w:snapToGrid w:val="0"/>
                      <w:color w:val="000000" w:themeColor="text1"/>
                      <w:kern w:val="2"/>
                      <w:sz w:val="21"/>
                      <w:szCs w:val="21"/>
                      <w:highlight w:val="none"/>
                      <w:lang w:val="zh-CN" w:eastAsia="zh-CN" w:bidi="ar-SA"/>
                      <w14:textFill>
                        <w14:solidFill>
                          <w14:schemeClr w14:val="tx1"/>
                        </w14:solidFill>
                      </w14:textFill>
                    </w:rPr>
                    <w:t>.0m，进场道路两侧采用六边形水泥混凝土空心块植物护坡与种草籽护坡相结合的防护方式，两侧护坡平均宽度为13.6912m</w:t>
                  </w:r>
                  <w:r>
                    <w:rPr>
                      <w:rFonts w:hint="default" w:ascii="Times New Roman" w:hAnsi="Times New Roman" w:eastAsia="宋体" w:cs="Times New Roman"/>
                      <w:bCs/>
                      <w:snapToGrid w:val="0"/>
                      <w:color w:val="000000" w:themeColor="text1"/>
                      <w:kern w:val="2"/>
                      <w:sz w:val="21"/>
                      <w:szCs w:val="21"/>
                      <w:highlight w:val="none"/>
                      <w:lang w:val="en-US" w:eastAsia="zh-CN" w:bidi="ar-SA"/>
                      <w14:textFill>
                        <w14:solidFill>
                          <w14:schemeClr w14:val="tx1"/>
                        </w14:solidFill>
                      </w14:textFill>
                    </w:rPr>
                    <w:t>。</w:t>
                  </w:r>
                  <w:bookmarkStart w:id="2" w:name="_Hlk130058369"/>
                </w:p>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北部风井道路连接北部风井场地与既有公路。本道路承担风井场地人员通勤，道路自北部风井场地东门起，沿项家沟北侧</w:t>
                  </w:r>
                  <w:r>
                    <w:rPr>
                      <w:rFonts w:hint="eastAsia" w:cs="Times New Roman"/>
                      <w:color w:val="000000" w:themeColor="text1"/>
                      <w:sz w:val="21"/>
                      <w:szCs w:val="21"/>
                      <w:highlight w:val="none"/>
                      <w:lang w:val="en-US" w:eastAsia="zh-CN"/>
                      <w14:textFill>
                        <w14:solidFill>
                          <w14:schemeClr w14:val="tx1"/>
                        </w14:solidFill>
                      </w14:textFill>
                    </w:rPr>
                    <w:t>沟顶</w:t>
                  </w:r>
                  <w:r>
                    <w:rPr>
                      <w:rFonts w:hint="default" w:ascii="Times New Roman" w:hAnsi="Times New Roman" w:eastAsia="宋体" w:cs="Times New Roman"/>
                      <w:color w:val="000000" w:themeColor="text1"/>
                      <w:sz w:val="21"/>
                      <w:szCs w:val="21"/>
                      <w:highlight w:val="none"/>
                      <w14:textFill>
                        <w14:solidFill>
                          <w14:schemeClr w14:val="tx1"/>
                        </w14:solidFill>
                      </w14:textFill>
                    </w:rPr>
                    <w:t>向东南约1.5km，顺山坡向南</w:t>
                  </w:r>
                  <w:r>
                    <w:rPr>
                      <w:rFonts w:hint="eastAsia" w:cs="Times New Roman"/>
                      <w:color w:val="000000" w:themeColor="text1"/>
                      <w:sz w:val="21"/>
                      <w:szCs w:val="21"/>
                      <w:highlight w:val="none"/>
                      <w:lang w:val="en-US" w:eastAsia="zh-CN"/>
                      <w14:textFill>
                        <w14:solidFill>
                          <w14:schemeClr w14:val="tx1"/>
                        </w14:solidFill>
                      </w14:textFill>
                    </w:rPr>
                    <w:t>约</w:t>
                  </w:r>
                  <w:r>
                    <w:rPr>
                      <w:rFonts w:hint="default" w:ascii="Times New Roman" w:hAnsi="Times New Roman" w:eastAsia="宋体" w:cs="Times New Roman"/>
                      <w:color w:val="000000" w:themeColor="text1"/>
                      <w:sz w:val="21"/>
                      <w:szCs w:val="21"/>
                      <w:highlight w:val="none"/>
                      <w14:textFill>
                        <w14:solidFill>
                          <w14:schemeClr w14:val="tx1"/>
                        </w14:solidFill>
                      </w14:textFill>
                    </w:rPr>
                    <w:t>0.5km至沟底，与既有道路相接。</w:t>
                  </w:r>
                  <w:r>
                    <w:rPr>
                      <w:rFonts w:hint="eastAsia" w:cs="Times New Roman"/>
                      <w:color w:val="000000" w:themeColor="text1"/>
                      <w:sz w:val="21"/>
                      <w:szCs w:val="21"/>
                      <w:highlight w:val="none"/>
                      <w:lang w:val="en-US" w:eastAsia="zh-CN"/>
                      <w14:textFill>
                        <w14:solidFill>
                          <w14:schemeClr w14:val="tx1"/>
                        </w14:solidFill>
                      </w14:textFill>
                    </w:rPr>
                    <w:t>根据</w:t>
                  </w:r>
                  <w:r>
                    <w:rPr>
                      <w:rFonts w:hint="default" w:ascii="Times New Roman" w:hAnsi="Times New Roman" w:eastAsia="宋体" w:cs="Times New Roman"/>
                      <w:color w:val="000000" w:themeColor="text1"/>
                      <w:sz w:val="21"/>
                      <w:szCs w:val="21"/>
                      <w:highlight w:val="none"/>
                      <w14:textFill>
                        <w14:solidFill>
                          <w14:schemeClr w14:val="tx1"/>
                        </w14:solidFill>
                      </w14:textFill>
                    </w:rPr>
                    <w:t>《厂矿道路设计规范》</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GBJ22</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87</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规定，本道路采用辅助道路厂外道路标准设计，</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设计速度</w:t>
                  </w:r>
                  <w:r>
                    <w:rPr>
                      <w:rFonts w:hint="eastAsia" w:cs="Times New Roman"/>
                      <w:color w:val="000000" w:themeColor="text1"/>
                      <w:sz w:val="21"/>
                      <w:szCs w:val="21"/>
                      <w:highlight w:val="none"/>
                      <w:lang w:val="en-US" w:eastAsia="zh-CN"/>
                      <w14:textFill>
                        <w14:solidFill>
                          <w14:schemeClr w14:val="tx1"/>
                        </w14:solidFill>
                      </w14:textFill>
                    </w:rPr>
                    <w:t>为</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15km/h</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车行道</w:t>
                  </w:r>
                  <w:r>
                    <w:rPr>
                      <w:rFonts w:hint="eastAsia" w:cs="Times New Roman"/>
                      <w:color w:val="000000" w:themeColor="text1"/>
                      <w:sz w:val="21"/>
                      <w:szCs w:val="21"/>
                      <w:highlight w:val="none"/>
                      <w:lang w:val="en-US" w:eastAsia="zh-CN"/>
                      <w14:textFill>
                        <w14:solidFill>
                          <w14:schemeClr w14:val="tx1"/>
                        </w14:solidFill>
                      </w14:textFill>
                    </w:rPr>
                    <w:t>宽度</w:t>
                  </w:r>
                  <w:r>
                    <w:rPr>
                      <w:rFonts w:hint="default" w:ascii="Times New Roman" w:hAnsi="Times New Roman" w:eastAsia="宋体" w:cs="Times New Roman"/>
                      <w:color w:val="000000" w:themeColor="text1"/>
                      <w:sz w:val="21"/>
                      <w:szCs w:val="21"/>
                      <w:highlight w:val="none"/>
                      <w14:textFill>
                        <w14:solidFill>
                          <w14:schemeClr w14:val="tx1"/>
                        </w14:solidFill>
                      </w14:textFill>
                    </w:rPr>
                    <w:t>为3.5m</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考虑到本道路位于山岭地区，路基加宽为5.0m。</w:t>
                  </w:r>
                  <w:bookmarkEnd w:id="2"/>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北部风井道路设计洪水频率为1/25，设计荷载标准为公路Ⅱ级。场外道路的小桥涵主要采用钢筋混凝土圆管涵和箱涵</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6" w:type="pct"/>
                  <w:vMerge w:val="continue"/>
                  <w:noWrap w:val="0"/>
                  <w:vAlign w:val="center"/>
                </w:tcPr>
                <w:p>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场内道路</w:t>
                  </w:r>
                </w:p>
              </w:tc>
              <w:tc>
                <w:tcPr>
                  <w:tcW w:w="4046"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北部风井场地内道路型式采用城市型，路面宽度为4.0m，长度为820m。路面为20cm厚30号水泥混凝土路面板，基层为15cm厚5%水泥稳定碎石，垫层为15cm厚天然砂砾。</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6" w:type="pct"/>
                  <w:vMerge w:val="continue"/>
                  <w:noWrap w:val="0"/>
                  <w:vAlign w:val="center"/>
                </w:tcPr>
                <w:p>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凝结水池</w:t>
                  </w:r>
                </w:p>
              </w:tc>
              <w:tc>
                <w:tcPr>
                  <w:tcW w:w="4046"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建设凝结水池1座，尺寸为</w:t>
                  </w:r>
                  <w:r>
                    <w:rPr>
                      <w:rFonts w:hint="default" w:ascii="Times New Roman" w:hAnsi="Times New Roman" w:eastAsia="宋体" w:cs="Times New Roman"/>
                      <w:color w:val="000000" w:themeColor="text1"/>
                      <w:sz w:val="21"/>
                      <w:szCs w:val="21"/>
                      <w:highlight w:val="none"/>
                      <w14:textFill>
                        <w14:solidFill>
                          <w14:schemeClr w14:val="tx1"/>
                        </w14:solidFill>
                      </w14:textFill>
                    </w:rPr>
                    <w:t>4.5x10x6m</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设置</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2台DFG50</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160A/2/2.2型号</w:t>
                  </w:r>
                  <w:r>
                    <w:rPr>
                      <w:rFonts w:hint="default" w:ascii="Times New Roman" w:hAnsi="Times New Roman" w:eastAsia="宋体" w:cs="Times New Roman"/>
                      <w:color w:val="000000" w:themeColor="text1"/>
                      <w:sz w:val="21"/>
                      <w:szCs w:val="21"/>
                      <w:highlight w:val="none"/>
                      <w14:textFill>
                        <w14:solidFill>
                          <w14:schemeClr w14:val="tx1"/>
                        </w14:solidFill>
                      </w14:textFill>
                    </w:rPr>
                    <w:t>排水泵</w:t>
                  </w:r>
                  <w:r>
                    <w:rPr>
                      <w:rFonts w:hint="eastAsia"/>
                      <w:lang w:eastAsia="zh-CN"/>
                    </w:rPr>
                    <w:t>，</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用于存储</w:t>
                  </w:r>
                  <w:r>
                    <w:rPr>
                      <w:rFonts w:hint="eastAsia" w:ascii="Times New Roman" w:hAnsi="Times New Roman" w:eastAsia="宋体" w:cs="Times New Roman"/>
                      <w:snapToGrid w:val="0"/>
                      <w:color w:val="000000" w:themeColor="text1"/>
                      <w:sz w:val="21"/>
                      <w:szCs w:val="21"/>
                      <w:highlight w:val="none"/>
                      <w14:textFill>
                        <w14:solidFill>
                          <w14:schemeClr w14:val="tx1"/>
                        </w14:solidFill>
                      </w14:textFill>
                    </w:rPr>
                    <w:t>乏风取热</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系统</w:t>
                  </w:r>
                  <w:r>
                    <w:rPr>
                      <w:rFonts w:hint="eastAsia" w:ascii="Times New Roman" w:hAnsi="Times New Roman" w:eastAsia="宋体" w:cs="Times New Roman"/>
                      <w:snapToGrid w:val="0"/>
                      <w:color w:val="000000" w:themeColor="text1"/>
                      <w:sz w:val="21"/>
                      <w:szCs w:val="21"/>
                      <w:highlight w:val="none"/>
                      <w14:textFill>
                        <w14:solidFill>
                          <w14:schemeClr w14:val="tx1"/>
                        </w14:solidFill>
                      </w14:textFill>
                    </w:rPr>
                    <w:t>析出</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的</w:t>
                  </w:r>
                  <w:r>
                    <w:rPr>
                      <w:rFonts w:hint="eastAsia" w:ascii="Times New Roman" w:hAnsi="Times New Roman" w:eastAsia="宋体" w:cs="Times New Roman"/>
                      <w:snapToGrid w:val="0"/>
                      <w:color w:val="000000" w:themeColor="text1"/>
                      <w:sz w:val="21"/>
                      <w:szCs w:val="21"/>
                      <w:highlight w:val="none"/>
                      <w14:textFill>
                        <w14:solidFill>
                          <w14:schemeClr w14:val="tx1"/>
                        </w14:solidFill>
                      </w14:textFill>
                    </w:rPr>
                    <w:t>冷凝水</w:t>
                  </w:r>
                  <w:r>
                    <w:rPr>
                      <w:rFonts w:hint="eastAsia" w:ascii="Times New Roman" w:hAnsi="Times New Roman" w:eastAsia="宋体" w:cs="Times New Roman"/>
                      <w:snapToGrid w:val="0"/>
                      <w:color w:val="000000" w:themeColor="text1"/>
                      <w:sz w:val="21"/>
                      <w:szCs w:val="21"/>
                      <w:highlight w:val="none"/>
                      <w:lang w:eastAsia="zh-CN"/>
                      <w14:textFill>
                        <w14:solidFill>
                          <w14:schemeClr w14:val="tx1"/>
                        </w14:solidFill>
                      </w14:textFill>
                    </w:rPr>
                    <w:t>。</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256" w:type="pct"/>
                  <w:vMerge w:val="restart"/>
                  <w:noWrap w:val="0"/>
                  <w:vAlign w:val="center"/>
                </w:tcPr>
                <w:p>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临时工程</w:t>
                  </w: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施工生产生活区</w:t>
                  </w:r>
                </w:p>
              </w:tc>
              <w:tc>
                <w:tcPr>
                  <w:tcW w:w="4046"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总面积为0.20hm2；施工生产区设有表土堆场、材料堆场等，总面积为0.60hm2；施工生产生活区在施工结束后作为风井工业场地硬化绿化区。施工生活生产区位于风井工业场地永久占地范围内，不新增临时占地。本项目不设置混凝土</w:t>
                  </w:r>
                  <w:r>
                    <w:rPr>
                      <w:rFonts w:hint="eastAsia" w:cs="Times New Roman"/>
                      <w:snapToGrid w:val="0"/>
                      <w:color w:val="000000" w:themeColor="text1"/>
                      <w:sz w:val="21"/>
                      <w:szCs w:val="21"/>
                      <w:highlight w:val="none"/>
                      <w:lang w:val="en-US" w:eastAsia="zh-CN"/>
                      <w14:textFill>
                        <w14:solidFill>
                          <w14:schemeClr w14:val="tx1"/>
                        </w14:solidFill>
                      </w14:textFill>
                    </w:rPr>
                    <w:t>和</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沥青拌合站。</w:t>
                  </w:r>
                </w:p>
              </w:tc>
              <w:tc>
                <w:tcPr>
                  <w:tcW w:w="262"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256" w:type="pct"/>
                  <w:vMerge w:val="continue"/>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pPr>
                </w:p>
              </w:tc>
              <w:tc>
                <w:tcPr>
                  <w:tcW w:w="434"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施工道路</w:t>
                  </w:r>
                </w:p>
              </w:tc>
              <w:tc>
                <w:tcPr>
                  <w:tcW w:w="4046"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施工期间风井工业场地内道路采用砂石路面，施工结束后改建为永久性道路</w:t>
                  </w:r>
                  <w:r>
                    <w:rPr>
                      <w:rFonts w:hint="eastAsia" w:cs="Times New Roman"/>
                      <w:snapToGrid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碎石基层，混凝土路面）。场外施工道路依托</w:t>
                  </w:r>
                  <w:r>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附近公路、</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乡村道路及</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本项目新建场外</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道路，不再另辟临时施工道路。</w:t>
                  </w:r>
                </w:p>
              </w:tc>
              <w:tc>
                <w:tcPr>
                  <w:tcW w:w="262" w:type="pct"/>
                  <w:vMerge w:val="continue"/>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6" w:hRule="atLeast"/>
              </w:trPr>
              <w:tc>
                <w:tcPr>
                  <w:tcW w:w="256" w:type="pct"/>
                  <w:vMerge w:val="restart"/>
                  <w:noWrap w:val="0"/>
                  <w:vAlign w:val="center"/>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公用工程</w:t>
                  </w:r>
                </w:p>
              </w:tc>
              <w:tc>
                <w:tcPr>
                  <w:tcW w:w="434" w:type="pct"/>
                  <w:noWrap w:val="0"/>
                  <w:vAlign w:val="center"/>
                </w:tcPr>
                <w:p>
                  <w:pPr>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供电工程</w:t>
                  </w:r>
                </w:p>
              </w:tc>
              <w:tc>
                <w:tcPr>
                  <w:tcW w:w="4046" w:type="pct"/>
                  <w:noWrap w:val="0"/>
                  <w:vAlign w:val="center"/>
                </w:tcPr>
                <w:p>
                  <w:pPr>
                    <w:pStyle w:val="31"/>
                    <w:keepNext w:val="0"/>
                    <w:keepLines w:val="0"/>
                    <w:pageBreakBefore w:val="0"/>
                    <w:kinsoku/>
                    <w:wordWrap/>
                    <w:overflowPunct/>
                    <w:topLinePunct w:val="0"/>
                    <w:autoSpaceDE/>
                    <w:autoSpaceDN/>
                    <w:bidi w:val="0"/>
                    <w:adjustRightInd/>
                    <w:spacing w:line="240" w:lineRule="auto"/>
                    <w:ind w:left="0" w:leftChars="0" w:firstLine="420" w:firstLineChars="200"/>
                    <w:jc w:val="both"/>
                    <w:textAlignment w:val="auto"/>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塔然高勒北部风井场地新建35kV预制舱式变电站1座，设主变压器2台，1台工作，1台热备用，其两回35kV电源均引自地区塔然高勒110kV变电站。本变电站以10kV向北部风井场地地面及井下供电。</w:t>
                  </w:r>
                </w:p>
                <w:p>
                  <w:pPr>
                    <w:pStyle w:val="31"/>
                    <w:keepNext w:val="0"/>
                    <w:keepLines w:val="0"/>
                    <w:pageBreakBefore w:val="0"/>
                    <w:kinsoku/>
                    <w:wordWrap/>
                    <w:overflowPunct/>
                    <w:topLinePunct w:val="0"/>
                    <w:autoSpaceDE/>
                    <w:autoSpaceDN/>
                    <w:bidi w:val="0"/>
                    <w:adjustRightInd/>
                    <w:spacing w:line="240" w:lineRule="auto"/>
                    <w:ind w:left="0" w:leftChars="0" w:firstLine="420" w:firstLineChars="20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施工电源考虑架设</w:t>
                  </w:r>
                  <w:r>
                    <w:rPr>
                      <w:rFonts w:hint="default" w:ascii="Times New Roman" w:hAnsi="Times New Roman" w:eastAsia="宋体" w:cs="Times New Roman"/>
                      <w:color w:val="000000" w:themeColor="text1"/>
                      <w:sz w:val="21"/>
                      <w:szCs w:val="21"/>
                      <w:highlight w:val="none"/>
                      <w14:textFill>
                        <w14:solidFill>
                          <w14:schemeClr w14:val="tx1"/>
                        </w14:solidFill>
                      </w14:textFill>
                    </w:rPr>
                    <w:t>塔然高勒110</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kV变电站—塔然</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高勒北部风井场地35kV变电站35kV永久线路，降压10kV运行，</w:t>
                  </w:r>
                  <w:r>
                    <w:rPr>
                      <w:rFonts w:hint="eastAsia" w:cs="Times New Roman"/>
                      <w:snapToGrid w:val="0"/>
                      <w:color w:val="000000" w:themeColor="text1"/>
                      <w:sz w:val="21"/>
                      <w:szCs w:val="21"/>
                      <w:highlight w:val="none"/>
                      <w:lang w:eastAsia="zh-CN"/>
                      <w14:textFill>
                        <w14:solidFill>
                          <w14:schemeClr w14:val="tx1"/>
                        </w14:solidFill>
                      </w14:textFill>
                    </w:rPr>
                    <w:t>并</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接入北部风井场地35KV预制舱式变电站内10kV预制舱。施工单位</w:t>
                  </w:r>
                  <w:r>
                    <w:rPr>
                      <w:rFonts w:hint="eastAsia" w:cs="Times New Roman"/>
                      <w:snapToGrid w:val="0"/>
                      <w:color w:val="000000" w:themeColor="text1"/>
                      <w:sz w:val="21"/>
                      <w:szCs w:val="21"/>
                      <w:highlight w:val="none"/>
                      <w:lang w:eastAsia="zh-CN"/>
                      <w14:textFill>
                        <w14:solidFill>
                          <w14:schemeClr w14:val="tx1"/>
                        </w14:solidFill>
                      </w14:textFill>
                    </w:rPr>
                    <w:t>应</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自备应急电源。</w:t>
                  </w:r>
                </w:p>
              </w:tc>
              <w:tc>
                <w:tcPr>
                  <w:tcW w:w="262" w:type="pct"/>
                  <w:noWrap w:val="0"/>
                  <w:vAlign w:val="center"/>
                </w:tcPr>
                <w:p>
                  <w:pPr>
                    <w:pStyle w:val="31"/>
                    <w:keepNext w:val="0"/>
                    <w:keepLines w:val="0"/>
                    <w:pageBreakBefore w:val="0"/>
                    <w:widowControl w:val="0"/>
                    <w:kinsoku/>
                    <w:wordWrap/>
                    <w:overflowPunct/>
                    <w:topLinePunct w:val="0"/>
                    <w:autoSpaceDE/>
                    <w:autoSpaceDN/>
                    <w:bidi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6" w:type="pct"/>
                  <w:vMerge w:val="continue"/>
                  <w:noWrap w:val="0"/>
                  <w:vAlign w:val="center"/>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pPr>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供水工程</w:t>
                  </w:r>
                </w:p>
              </w:tc>
              <w:tc>
                <w:tcPr>
                  <w:tcW w:w="4046" w:type="pct"/>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生活用水由塔然高勒煤矿用水车</w:t>
                  </w:r>
                  <w:r>
                    <w:rPr>
                      <w:rFonts w:hint="eastAsia" w:cs="Times New Roman"/>
                      <w:color w:val="000000" w:themeColor="text1"/>
                      <w:sz w:val="21"/>
                      <w:szCs w:val="21"/>
                      <w:highlight w:val="none"/>
                      <w:lang w:eastAsia="zh-CN"/>
                      <w14:textFill>
                        <w14:solidFill>
                          <w14:schemeClr w14:val="tx1"/>
                        </w14:solidFill>
                      </w14:textFill>
                    </w:rPr>
                    <w:t>运至本项目区</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生产给水采用塔然高勒煤矿工业场地井下水处理站深度处理后的井下排水，</w:t>
                  </w:r>
                  <w:r>
                    <w:rPr>
                      <w:rFonts w:hint="eastAsia" w:cs="Times New Roman"/>
                      <w:color w:val="000000" w:themeColor="text1"/>
                      <w:sz w:val="21"/>
                      <w:szCs w:val="21"/>
                      <w:highlight w:val="none"/>
                      <w:lang w:eastAsia="zh-CN"/>
                      <w14:textFill>
                        <w14:solidFill>
                          <w14:schemeClr w14:val="tx1"/>
                        </w14:solidFill>
                      </w14:textFill>
                    </w:rPr>
                    <w:t>由</w:t>
                  </w:r>
                  <w:r>
                    <w:rPr>
                      <w:rFonts w:hint="default" w:ascii="Times New Roman" w:hAnsi="Times New Roman" w:eastAsia="宋体" w:cs="Times New Roman"/>
                      <w:color w:val="000000" w:themeColor="text1"/>
                      <w:sz w:val="21"/>
                      <w:szCs w:val="21"/>
                      <w:highlight w:val="none"/>
                      <w14:textFill>
                        <w14:solidFill>
                          <w14:schemeClr w14:val="tx1"/>
                        </w14:solidFill>
                      </w14:textFill>
                    </w:rPr>
                    <w:t>水车从塔然高勒煤矿工业场地拉水</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262"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56" w:type="pct"/>
                  <w:vMerge w:val="continue"/>
                  <w:noWrap w:val="0"/>
                  <w:vAlign w:val="center"/>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pPr>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供暖</w:t>
                  </w:r>
                </w:p>
              </w:tc>
              <w:tc>
                <w:tcPr>
                  <w:tcW w:w="404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yellow"/>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北部风井场地，对于井筒保温热负荷选择乏风余热利用方案，对于地面建筑物的少量供暖通风热负荷采用电暖器解决。</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选取直冷式乏风热泵机组SMEE</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T—FS—R—2400型5台，机</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组设置在乏风热泵机房内；在井口房内设置</w:t>
                  </w:r>
                  <w:r>
                    <w:rPr>
                      <w:rFonts w:hint="eastAsia" w:cs="Times New Roman"/>
                      <w:color w:val="000000" w:themeColor="text1"/>
                      <w:sz w:val="21"/>
                      <w:szCs w:val="21"/>
                      <w:highlight w:val="none"/>
                      <w:lang w:val="en-US" w:eastAsia="zh-CN"/>
                      <w14:textFill>
                        <w14:solidFill>
                          <w14:schemeClr w14:val="tx1"/>
                        </w14:solidFill>
                      </w14:textFill>
                    </w:rPr>
                    <w:t>了</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煤矿专用低温低噪音井口空气加热机组S</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MEET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FJ</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1100型</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12台</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262" w:type="pc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6" w:type="pct"/>
                  <w:vMerge w:val="restart"/>
                  <w:noWrap w:val="0"/>
                  <w:vAlign w:val="center"/>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依托工程</w:t>
                  </w:r>
                </w:p>
              </w:tc>
              <w:tc>
                <w:tcPr>
                  <w:tcW w:w="434" w:type="pct"/>
                  <w:noWrap w:val="0"/>
                  <w:vAlign w:val="center"/>
                </w:tcPr>
                <w:p>
                  <w:pPr>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塔然高勒煤矿工业场地</w:t>
                  </w:r>
                </w:p>
              </w:tc>
              <w:tc>
                <w:tcPr>
                  <w:tcW w:w="404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both"/>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位于井田中部，占地23.5hm</w:t>
                  </w:r>
                  <w:r>
                    <w:rPr>
                      <w:rFonts w:hint="default" w:ascii="Times New Roman" w:hAnsi="Times New Roman" w:eastAsia="宋体" w:cs="Times New Roman"/>
                      <w:color w:val="000000" w:themeColor="text1"/>
                      <w:kern w:val="2"/>
                      <w:sz w:val="21"/>
                      <w:szCs w:val="21"/>
                      <w:highlight w:val="none"/>
                      <w:vertAlign w:val="super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，工业场地设置有选煤厂、</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矿井水处理站</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、生活污水处理站、汽车库、胶轮车保养间、综合库房、矿井修理车间、材料库、材料棚及消防材料库、行政办公楼、任务交待更衣浴室</w:t>
                  </w:r>
                  <w:r>
                    <w:rPr>
                      <w:rFonts w:hint="eastAsia" w:cs="Times New Roman"/>
                      <w:color w:val="000000" w:themeColor="text1"/>
                      <w:kern w:val="2"/>
                      <w:sz w:val="21"/>
                      <w:szCs w:val="21"/>
                      <w:highlight w:val="none"/>
                      <w:lang w:val="en-US" w:eastAsia="zh-CN" w:bidi="ar-SA"/>
                      <w14:textFill>
                        <w14:solidFill>
                          <w14:schemeClr w14:val="tx1"/>
                        </w14:solidFill>
                      </w14:textFill>
                    </w:rPr>
                    <w:t>等</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联合建筑，以及单身职工公寓与职工食堂，消防队和救护队等，食堂的西侧规划了职工培训中心。</w:t>
                  </w:r>
                </w:p>
              </w:tc>
              <w:tc>
                <w:tcPr>
                  <w:tcW w:w="262" w:type="pct"/>
                  <w:vMerge w:val="restart"/>
                  <w:noWrap w:val="0"/>
                  <w:vAlign w:val="center"/>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依托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6"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4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矿井水处理站</w:t>
                  </w:r>
                </w:p>
              </w:tc>
              <w:tc>
                <w:tcPr>
                  <w:tcW w:w="404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矿井水处理站规模为200m</w:t>
                  </w:r>
                  <w:r>
                    <w:rPr>
                      <w:rFonts w:hint="eastAsia" w:ascii="Times New Roman" w:hAnsi="Times New Roman" w:eastAsia="宋体" w:cs="Times New Roman"/>
                      <w:color w:val="000000" w:themeColor="text1"/>
                      <w:kern w:val="2"/>
                      <w:sz w:val="21"/>
                      <w:szCs w:val="21"/>
                      <w:highlight w:val="none"/>
                      <w:vertAlign w:val="super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/h</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4800m</w:t>
                  </w:r>
                  <w:r>
                    <w:rPr>
                      <w:rFonts w:hint="eastAsia" w:ascii="Times New Roman" w:hAnsi="Times New Roman" w:eastAsia="宋体" w:cs="Times New Roman"/>
                      <w:color w:val="000000" w:themeColor="text1"/>
                      <w:kern w:val="2"/>
                      <w:sz w:val="21"/>
                      <w:szCs w:val="21"/>
                      <w:highlight w:val="none"/>
                      <w:vertAlign w:val="super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/d），采用“混凝沉淀</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深度处理</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消毒”处理工艺，深度处理采用“过滤</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活性炭吸附”工艺。矿井水经过处理后，作为井下消防、选煤以及矿井生活用水，回用率应达到80%，其余部分达</w:t>
                  </w:r>
                  <w:r>
                    <w:rPr>
                      <w:rFonts w:hint="eastAsia" w:cs="Times New Roman"/>
                      <w:color w:val="000000" w:themeColor="text1"/>
                      <w:kern w:val="2"/>
                      <w:sz w:val="21"/>
                      <w:szCs w:val="21"/>
                      <w:highlight w:val="none"/>
                      <w:lang w:val="en-US" w:eastAsia="zh-CN" w:bidi="ar-SA"/>
                      <w14:textFill>
                        <w14:solidFill>
                          <w14:schemeClr w14:val="tx1"/>
                        </w14:solidFill>
                      </w14:textFill>
                    </w:rPr>
                    <w:t>到</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《地表水环境质量标准》</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GB3838</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2002</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中Ⅲ类水质要求排入泊什太沟。</w:t>
                  </w:r>
                </w:p>
              </w:tc>
              <w:tc>
                <w:tcPr>
                  <w:tcW w:w="26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256" w:type="pct"/>
                  <w:vMerge w:val="restart"/>
                  <w:noWrap w:val="0"/>
                  <w:vAlign w:val="center"/>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环保</w:t>
                  </w:r>
                </w:p>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工程</w:t>
                  </w:r>
                </w:p>
              </w:tc>
              <w:tc>
                <w:tcPr>
                  <w:tcW w:w="434" w:type="pct"/>
                  <w:noWrap w:val="0"/>
                  <w:vAlign w:val="center"/>
                </w:tcPr>
                <w:p>
                  <w:pPr>
                    <w:pStyle w:val="15"/>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废气</w:t>
                  </w:r>
                </w:p>
              </w:tc>
              <w:tc>
                <w:tcPr>
                  <w:tcW w:w="4046"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000000" w:themeColor="text1"/>
                      <w:spacing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加强道路管理及路面养护，保持道路良好运营状态，保持路面平整和清洁，保证其路面处于完好状态，路面洒水抑尘，道路两旁进行绿化；为控制运输车辆的尾气污染，运输车辆应为新能源或国Ⅵ排放标准的车辆。</w:t>
                  </w:r>
                </w:p>
              </w:tc>
              <w:tc>
                <w:tcPr>
                  <w:tcW w:w="262" w:type="pct"/>
                  <w:noWrap w:val="0"/>
                  <w:vAlign w:val="center"/>
                </w:tcPr>
                <w:p>
                  <w:pPr>
                    <w:pStyle w:val="15"/>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256" w:type="pct"/>
                  <w:vMerge w:val="continue"/>
                  <w:noWrap w:val="0"/>
                  <w:vAlign w:val="center"/>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pPr>
                    <w:pStyle w:val="15"/>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废水</w:t>
                  </w:r>
                </w:p>
              </w:tc>
              <w:tc>
                <w:tcPr>
                  <w:tcW w:w="4046"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000000" w:themeColor="text1"/>
                      <w:spacing w:val="0"/>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本项目不新增生活污水。</w:t>
                  </w:r>
                  <w:r>
                    <w:rPr>
                      <w:rFonts w:hint="default" w:ascii="Times New Roman" w:hAnsi="Times New Roman" w:eastAsia="宋体" w:cs="Times New Roman"/>
                      <w:color w:val="000000" w:themeColor="text1"/>
                      <w:spacing w:val="0"/>
                      <w:sz w:val="21"/>
                      <w:szCs w:val="21"/>
                      <w:highlight w:val="none"/>
                      <w:lang w:val="en-US" w:eastAsia="zh-CN"/>
                      <w14:textFill>
                        <w14:solidFill>
                          <w14:schemeClr w14:val="tx1"/>
                        </w14:solidFill>
                      </w14:textFill>
                    </w:rPr>
                    <w:t>乏风取热设施的废水经过凝结水池收集后进入雨水收集池，最终被送至塔然高勒煤矿矿井水处理站进行处理。初期雨水池内储存的初期雨水被送至塔然高勒煤矿矿井水处理站进行处理，不外排。</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56" w:type="pct"/>
                  <w:vMerge w:val="continue"/>
                  <w:noWrap w:val="0"/>
                  <w:vAlign w:val="center"/>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pPr>
                    <w:pStyle w:val="15"/>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噪声</w:t>
                  </w:r>
                </w:p>
              </w:tc>
              <w:tc>
                <w:tcPr>
                  <w:tcW w:w="4046" w:type="pct"/>
                  <w:noWrap w:val="0"/>
                  <w:vAlign w:val="center"/>
                </w:tcPr>
                <w:p>
                  <w:pPr>
                    <w:keepNext w:val="0"/>
                    <w:keepLines w:val="0"/>
                    <w:pageBreakBefore w:val="0"/>
                    <w:widowControl w:val="0"/>
                    <w:kinsoku/>
                    <w:wordWrap/>
                    <w:overflowPunct/>
                    <w:topLinePunct w:val="0"/>
                    <w:autoSpaceDE/>
                    <w:autoSpaceDN/>
                    <w:bidi w:val="0"/>
                    <w:jc w:val="both"/>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选用低噪声设备，通风机进、出气口安装消声器，设置隔声罩。通风机机座进行</w:t>
                  </w:r>
                  <w:r>
                    <w:rPr>
                      <w:rFonts w:hint="eastAsia" w:cs="Times New Roman"/>
                      <w:color w:val="000000" w:themeColor="text1"/>
                      <w:spacing w:val="0"/>
                      <w:sz w:val="21"/>
                      <w:szCs w:val="21"/>
                      <w:lang w:val="en-US" w:eastAsia="zh-CN"/>
                      <w14:textFill>
                        <w14:solidFill>
                          <w14:schemeClr w14:val="tx1"/>
                        </w14:solidFill>
                      </w14:textFill>
                    </w:rPr>
                    <w:t>了</w:t>
                  </w: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隔震处理。空压机进气口安装消声器；空压机机体加装隔声罩；在压风机房内设置隔声间。对于泵机选用低噪声设备，设置减振机座、隔声门窗，泵机均在出入口设置软接头，并设置减振基础。道路两旁进行绿化、加强路面管理。加强进入本项目区车辆的运输管理，经过敏感点道路段限速，禁止鸣笛</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6" w:type="pct"/>
                  <w:vMerge w:val="continue"/>
                  <w:noWrap w:val="0"/>
                  <w:vAlign w:val="top"/>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pPr>
                    <w:pStyle w:val="15"/>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固废</w:t>
                  </w:r>
                </w:p>
              </w:tc>
              <w:tc>
                <w:tcPr>
                  <w:tcW w:w="4046" w:type="pct"/>
                  <w:noWrap w:val="0"/>
                  <w:vAlign w:val="center"/>
                </w:tcPr>
                <w:p>
                  <w:pPr>
                    <w:keepNext w:val="0"/>
                    <w:keepLines w:val="0"/>
                    <w:pageBreakBefore w:val="0"/>
                    <w:widowControl w:val="0"/>
                    <w:kinsoku/>
                    <w:wordWrap/>
                    <w:overflowPunct/>
                    <w:topLinePunct w:val="0"/>
                    <w:autoSpaceDE/>
                    <w:autoSpaceDN/>
                    <w:bidi w:val="0"/>
                    <w:jc w:val="both"/>
                    <w:textAlignment w:val="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本项目无新增生活垃圾。35kV预制舱式变电站</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产生的铅酸</w:t>
                  </w: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废蓄电池更换时直接由厂家回收处置，不在场内暂存。</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设置1座62.5m</w:t>
                  </w:r>
                  <w:r>
                    <w:rPr>
                      <w:rFonts w:hint="eastAsia" w:ascii="Times New Roman" w:hAnsi="Times New Roman" w:eastAsia="宋体" w:cs="Times New Roman"/>
                      <w:color w:val="000000" w:themeColor="text1"/>
                      <w:spacing w:val="0"/>
                      <w:sz w:val="21"/>
                      <w:szCs w:val="21"/>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的事故油池，</w:t>
                  </w: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主变压器事故时产生的废变压油，暂存于事故油池中</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事故后</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立即</w:t>
                  </w: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交</w:t>
                  </w:r>
                  <w:r>
                    <w:rPr>
                      <w:rFonts w:hint="eastAsia" w:cs="Times New Roman"/>
                      <w:color w:val="000000" w:themeColor="text1"/>
                      <w:spacing w:val="0"/>
                      <w:sz w:val="21"/>
                      <w:szCs w:val="21"/>
                      <w:lang w:val="en-US" w:eastAsia="zh-CN"/>
                      <w14:textFill>
                        <w14:solidFill>
                          <w14:schemeClr w14:val="tx1"/>
                        </w14:solidFill>
                      </w14:textFill>
                    </w:rPr>
                    <w:t>由</w:t>
                  </w: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具有资质单位统一处理。事故油池</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按照《</w:t>
                  </w: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危险废物贮存污染控制标准</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w:t>
                  </w:r>
                  <w:r>
                    <w:rPr>
                      <w:rFonts w:hint="eastAsia" w:cs="Times New Roman"/>
                      <w:color w:val="000000" w:themeColor="text1"/>
                      <w:spacing w:val="0"/>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GB18597</w:t>
                  </w:r>
                  <w:r>
                    <w:rPr>
                      <w:rFonts w:hint="eastAsia" w:cs="Times New Roman"/>
                      <w:color w:val="000000" w:themeColor="text1"/>
                      <w:spacing w:val="0"/>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2023）要求进行建设，渗透系数不大于10</w:t>
                  </w:r>
                  <w:r>
                    <w:rPr>
                      <w:rFonts w:hint="eastAsia" w:cs="Times New Roman"/>
                      <w:color w:val="000000" w:themeColor="text1"/>
                      <w:spacing w:val="0"/>
                      <w:sz w:val="21"/>
                      <w:szCs w:val="21"/>
                      <w:vertAlign w:val="superscript"/>
                      <w:lang w:val="en-US" w:eastAsia="zh-CN"/>
                      <w14:textFill>
                        <w14:solidFill>
                          <w14:schemeClr w14:val="tx1"/>
                        </w14:solidFill>
                      </w14:textFill>
                    </w:rPr>
                    <w:t>-</w:t>
                  </w:r>
                  <w:r>
                    <w:rPr>
                      <w:rFonts w:hint="eastAsia" w:ascii="Times New Roman" w:hAnsi="Times New Roman" w:eastAsia="宋体" w:cs="Times New Roman"/>
                      <w:color w:val="000000" w:themeColor="text1"/>
                      <w:spacing w:val="0"/>
                      <w:sz w:val="21"/>
                      <w:szCs w:val="21"/>
                      <w:vertAlign w:val="superscript"/>
                      <w:lang w:val="en-US" w:eastAsia="zh-CN"/>
                      <w14:textFill>
                        <w14:solidFill>
                          <w14:schemeClr w14:val="tx1"/>
                        </w14:solidFill>
                      </w14:textFill>
                    </w:rPr>
                    <w:t>10</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cm/s。</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56" w:type="pct"/>
                  <w:vMerge w:val="continue"/>
                  <w:noWrap w:val="0"/>
                  <w:vAlign w:val="top"/>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pPr>
                    <w:pStyle w:val="15"/>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14:textFill>
                        <w14:solidFill>
                          <w14:schemeClr w14:val="tx1"/>
                        </w14:solidFill>
                      </w14:textFill>
                    </w:rPr>
                    <w:t>生态环境</w:t>
                  </w:r>
                </w:p>
              </w:tc>
              <w:tc>
                <w:tcPr>
                  <w:tcW w:w="4046" w:type="pct"/>
                  <w:noWrap w:val="0"/>
                  <w:vAlign w:val="center"/>
                </w:tcPr>
                <w:p>
                  <w:pPr>
                    <w:pStyle w:val="15"/>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pacing w:val="0"/>
                      <w:kern w:val="2"/>
                      <w:sz w:val="21"/>
                      <w:szCs w:val="21"/>
                      <w:lang w:val="en-US" w:eastAsia="zh-CN" w:bidi="ar-SA"/>
                      <w14:textFill>
                        <w14:solidFill>
                          <w14:schemeClr w14:val="tx1"/>
                        </w14:solidFill>
                      </w14:textFill>
                    </w:rPr>
                    <w:t>在</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施工前</w:t>
                  </w:r>
                  <w:r>
                    <w:rPr>
                      <w:rFonts w:hint="eastAsia" w:ascii="Times New Roman" w:hAnsi="Times New Roman" w:cs="Times New Roman"/>
                      <w:color w:val="000000" w:themeColor="text1"/>
                      <w:spacing w:val="0"/>
                      <w:kern w:val="2"/>
                      <w:sz w:val="21"/>
                      <w:szCs w:val="21"/>
                      <w:lang w:val="en-US" w:eastAsia="zh-CN" w:bidi="ar-SA"/>
                      <w14:textFill>
                        <w14:solidFill>
                          <w14:schemeClr w14:val="tx1"/>
                        </w14:solidFill>
                      </w14:textFill>
                    </w:rPr>
                    <w:t>进行</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表土剥离</w:t>
                  </w: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，将风井场地剥离的表土就近集中堆放于附近绿化硬化空地，并将场外道路剥离的表土堆放于道路两侧施工区。对于表土堆存，需要采取密目网苫盖防护，并将表土回覆于风井场地以及道路绿化工程使用。</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风井场地外围采用方格型浆砌片石骨架内撒播草籽护坡，护坡面积为6624m</w:t>
                  </w:r>
                  <w:r>
                    <w:rPr>
                      <w:rFonts w:hint="default" w:ascii="Times New Roman" w:hAnsi="Times New Roman" w:eastAsia="宋体" w:cs="Times New Roman"/>
                      <w:color w:val="000000" w:themeColor="text1"/>
                      <w:spacing w:val="0"/>
                      <w:kern w:val="2"/>
                      <w:sz w:val="21"/>
                      <w:szCs w:val="21"/>
                      <w:vertAlign w:val="superscript"/>
                      <w:lang w:val="en-US" w:eastAsia="zh-CN" w:bidi="ar-SA"/>
                      <w14:textFill>
                        <w14:solidFill>
                          <w14:schemeClr w14:val="tx1"/>
                        </w14:solidFill>
                      </w14:textFill>
                    </w:rPr>
                    <w:t>2</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，撒播披碱草30.912kg、羊草15.456kg；</w:t>
                  </w:r>
                  <w:r>
                    <w:rPr>
                      <w:rFonts w:hint="eastAsia" w:ascii="Times New Roman" w:hAnsi="Times New Roman" w:cs="Times New Roman"/>
                      <w:color w:val="000000" w:themeColor="text1"/>
                      <w:spacing w:val="0"/>
                      <w:kern w:val="2"/>
                      <w:sz w:val="21"/>
                      <w:szCs w:val="21"/>
                      <w:lang w:val="en-US" w:eastAsia="zh-CN" w:bidi="ar-SA"/>
                      <w14:textFill>
                        <w14:solidFill>
                          <w14:schemeClr w14:val="tx1"/>
                        </w14:solidFill>
                      </w14:textFill>
                    </w:rPr>
                    <w:t>对</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风井场地进行植树种草绿化，绿化面积为3370m</w:t>
                  </w:r>
                  <w:r>
                    <w:rPr>
                      <w:rFonts w:hint="default" w:ascii="Times New Roman" w:hAnsi="Times New Roman" w:eastAsia="宋体" w:cs="Times New Roman"/>
                      <w:color w:val="000000" w:themeColor="text1"/>
                      <w:spacing w:val="0"/>
                      <w:kern w:val="2"/>
                      <w:sz w:val="21"/>
                      <w:szCs w:val="21"/>
                      <w:vertAlign w:val="superscript"/>
                      <w:lang w:val="en-US" w:eastAsia="zh-CN" w:bidi="ar-SA"/>
                      <w14:textFill>
                        <w14:solidFill>
                          <w14:schemeClr w14:val="tx1"/>
                        </w14:solidFill>
                      </w14:textFill>
                    </w:rPr>
                    <w:t>2</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；其中栽植</w:t>
                  </w:r>
                  <w:r>
                    <w:rPr>
                      <w:rFonts w:hint="default" w:ascii="Times New Roman" w:hAnsi="Times New Roman" w:eastAsia="宋体" w:cs="Times New Roman"/>
                      <w:color w:val="000000" w:themeColor="text1"/>
                      <w:spacing w:val="0"/>
                      <w:kern w:val="2"/>
                      <w:sz w:val="21"/>
                      <w:szCs w:val="21"/>
                      <w:lang w:val="zh-CN" w:eastAsia="zh-CN" w:bidi="ar-SA"/>
                      <w14:textFill>
                        <w14:solidFill>
                          <w14:schemeClr w14:val="tx1"/>
                        </w14:solidFill>
                      </w14:textFill>
                    </w:rPr>
                    <w:t>榆叶梅</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244株</w:t>
                  </w:r>
                  <w:r>
                    <w:rPr>
                      <w:rFonts w:hint="default" w:ascii="Times New Roman" w:hAnsi="Times New Roman" w:eastAsia="宋体" w:cs="Times New Roman"/>
                      <w:color w:val="000000" w:themeColor="text1"/>
                      <w:spacing w:val="0"/>
                      <w:kern w:val="2"/>
                      <w:sz w:val="21"/>
                      <w:szCs w:val="21"/>
                      <w:lang w:val="zh-CN" w:eastAsia="zh-CN" w:bidi="ar-SA"/>
                      <w14:textFill>
                        <w14:solidFill>
                          <w14:schemeClr w14:val="tx1"/>
                        </w14:solidFill>
                      </w14:textFill>
                    </w:rPr>
                    <w:t>、丁香</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24株，播种密度约为44kg/ha，撒播披碱草9.848kg、羊草4.98kg；进场道路两侧采用六边形水泥混凝土空心块植物护坡与种草籽护坡相结合，</w:t>
                  </w:r>
                  <w:r>
                    <w:rPr>
                      <w:rFonts w:hint="default" w:ascii="Times New Roman" w:hAnsi="Times New Roman" w:eastAsia="宋体" w:cs="Times New Roman"/>
                      <w:color w:val="000000" w:themeColor="text1"/>
                      <w:spacing w:val="0"/>
                      <w:kern w:val="2"/>
                      <w:sz w:val="21"/>
                      <w:szCs w:val="21"/>
                      <w:lang w:val="zh-CN" w:eastAsia="zh-CN" w:bidi="ar-SA"/>
                      <w14:textFill>
                        <w14:solidFill>
                          <w14:schemeClr w14:val="tx1"/>
                        </w14:solidFill>
                      </w14:textFill>
                    </w:rPr>
                    <w:t>种草护坡</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5200m</w:t>
                  </w:r>
                  <w:r>
                    <w:rPr>
                      <w:rFonts w:hint="default" w:ascii="Times New Roman" w:hAnsi="Times New Roman" w:eastAsia="宋体" w:cs="Times New Roman"/>
                      <w:color w:val="000000" w:themeColor="text1"/>
                      <w:spacing w:val="0"/>
                      <w:kern w:val="2"/>
                      <w:sz w:val="21"/>
                      <w:szCs w:val="21"/>
                      <w:vertAlign w:val="superscript"/>
                      <w:lang w:val="en-US" w:eastAsia="zh-CN" w:bidi="ar-SA"/>
                      <w14:textFill>
                        <w14:solidFill>
                          <w14:schemeClr w14:val="tx1"/>
                        </w14:solidFill>
                      </w14:textFill>
                    </w:rPr>
                    <w:t>2</w:t>
                  </w:r>
                  <w:r>
                    <w:rPr>
                      <w:rFonts w:hint="default" w:ascii="Times New Roman" w:hAnsi="Times New Roman" w:eastAsia="宋体" w:cs="Times New Roman"/>
                      <w:color w:val="000000" w:themeColor="text1"/>
                      <w:spacing w:val="0"/>
                      <w:kern w:val="2"/>
                      <w:sz w:val="21"/>
                      <w:szCs w:val="21"/>
                      <w:lang w:val="zh-CN" w:eastAsia="zh-CN" w:bidi="ar-SA"/>
                      <w14:textFill>
                        <w14:solidFill>
                          <w14:schemeClr w14:val="tx1"/>
                        </w14:solidFill>
                      </w14:textFill>
                    </w:rPr>
                    <w:t>，</w:t>
                  </w:r>
                  <w:r>
                    <w:rPr>
                      <w:rFonts w:hint="eastAsia" w:ascii="Times New Roman" w:hAnsi="Times New Roman" w:cs="Times New Roman"/>
                      <w:color w:val="000000" w:themeColor="text1"/>
                      <w:spacing w:val="0"/>
                      <w:kern w:val="2"/>
                      <w:sz w:val="21"/>
                      <w:szCs w:val="21"/>
                      <w:lang w:val="zh-CN" w:eastAsia="zh-CN" w:bidi="ar-SA"/>
                      <w14:textFill>
                        <w14:solidFill>
                          <w14:schemeClr w14:val="tx1"/>
                        </w14:solidFill>
                      </w14:textFill>
                    </w:rPr>
                    <w:t>并</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撒播披碱草23.9kg、羊草12.5kg</w:t>
                  </w:r>
                  <w:r>
                    <w:rPr>
                      <w:rFonts w:hint="default" w:ascii="Times New Roman" w:hAnsi="Times New Roman" w:eastAsia="宋体" w:cs="Times New Roman"/>
                      <w:color w:val="000000" w:themeColor="text1"/>
                      <w:spacing w:val="0"/>
                      <w:kern w:val="2"/>
                      <w:sz w:val="21"/>
                      <w:szCs w:val="21"/>
                      <w:lang w:val="zh-CN" w:eastAsia="zh-CN" w:bidi="ar-SA"/>
                      <w14:textFill>
                        <w14:solidFill>
                          <w14:schemeClr w14:val="tx1"/>
                        </w14:solidFill>
                      </w14:textFill>
                    </w:rPr>
                    <w:t>；③</w:t>
                  </w:r>
                  <w:r>
                    <w:rPr>
                      <w:rFonts w:hint="eastAsia" w:ascii="Times New Roman" w:hAnsi="Times New Roman" w:cs="Times New Roman"/>
                      <w:color w:val="000000" w:themeColor="text1"/>
                      <w:spacing w:val="0"/>
                      <w:kern w:val="2"/>
                      <w:sz w:val="21"/>
                      <w:szCs w:val="21"/>
                      <w:lang w:val="zh-CN" w:eastAsia="zh-CN" w:bidi="ar-SA"/>
                      <w14:textFill>
                        <w14:solidFill>
                          <w14:schemeClr w14:val="tx1"/>
                        </w14:solidFill>
                      </w14:textFill>
                    </w:rPr>
                    <w:t>在</w:t>
                  </w:r>
                  <w:r>
                    <w:rPr>
                      <w:rFonts w:hint="default" w:ascii="Times New Roman" w:hAnsi="Times New Roman" w:eastAsia="宋体" w:cs="Times New Roman"/>
                      <w:color w:val="000000" w:themeColor="text1"/>
                      <w:spacing w:val="0"/>
                      <w:kern w:val="2"/>
                      <w:sz w:val="21"/>
                      <w:szCs w:val="21"/>
                      <w:lang w:val="zh-CN" w:eastAsia="zh-CN" w:bidi="ar-SA"/>
                      <w14:textFill>
                        <w14:solidFill>
                          <w14:schemeClr w14:val="tx1"/>
                        </w14:solidFill>
                      </w14:textFill>
                    </w:rPr>
                    <w:t>六角空心砖内种草护坡24</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00m</w:t>
                  </w:r>
                  <w:r>
                    <w:rPr>
                      <w:rFonts w:hint="default" w:ascii="Times New Roman" w:hAnsi="Times New Roman" w:eastAsia="宋体" w:cs="Times New Roman"/>
                      <w:color w:val="000000" w:themeColor="text1"/>
                      <w:spacing w:val="0"/>
                      <w:kern w:val="2"/>
                      <w:sz w:val="21"/>
                      <w:szCs w:val="21"/>
                      <w:vertAlign w:val="superscript"/>
                      <w:lang w:val="en-US" w:eastAsia="zh-CN" w:bidi="ar-SA"/>
                      <w14:textFill>
                        <w14:solidFill>
                          <w14:schemeClr w14:val="tx1"/>
                        </w14:solidFill>
                      </w14:textFill>
                    </w:rPr>
                    <w:t>2</w:t>
                  </w:r>
                  <w:r>
                    <w:rPr>
                      <w:rFonts w:hint="default" w:ascii="Times New Roman" w:hAnsi="Times New Roman" w:eastAsia="宋体" w:cs="Times New Roman"/>
                      <w:color w:val="000000" w:themeColor="text1"/>
                      <w:spacing w:val="0"/>
                      <w:kern w:val="2"/>
                      <w:sz w:val="21"/>
                      <w:szCs w:val="21"/>
                      <w:lang w:val="zh-CN" w:eastAsia="zh-CN" w:bidi="ar-SA"/>
                      <w14:textFill>
                        <w14:solidFill>
                          <w14:schemeClr w14:val="tx1"/>
                        </w14:solidFill>
                      </w14:textFill>
                    </w:rPr>
                    <w:t>，</w:t>
                  </w:r>
                  <w:r>
                    <w:rPr>
                      <w:rFonts w:hint="eastAsia" w:ascii="Times New Roman" w:hAnsi="Times New Roman" w:cs="Times New Roman"/>
                      <w:color w:val="000000" w:themeColor="text1"/>
                      <w:spacing w:val="0"/>
                      <w:kern w:val="2"/>
                      <w:sz w:val="21"/>
                      <w:szCs w:val="21"/>
                      <w:lang w:val="zh-CN" w:eastAsia="zh-CN" w:bidi="ar-SA"/>
                      <w14:textFill>
                        <w14:solidFill>
                          <w14:schemeClr w14:val="tx1"/>
                        </w14:solidFill>
                      </w14:textFill>
                    </w:rPr>
                    <w:t>并</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撒播披碱草10.99kg、羊草5.49kg。</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56" w:type="pct"/>
                  <w:vMerge w:val="continue"/>
                  <w:noWrap w:val="0"/>
                  <w:vAlign w:val="top"/>
                </w:tcPr>
                <w:p>
                  <w:pPr>
                    <w:pStyle w:val="15"/>
                    <w:keepNext w:val="0"/>
                    <w:keepLines w:val="0"/>
                    <w:pageBreakBefore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34" w:type="pct"/>
                  <w:noWrap w:val="0"/>
                  <w:vAlign w:val="center"/>
                </w:tcPr>
                <w:p>
                  <w:pPr>
                    <w:pStyle w:val="15"/>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pacing w:val="0"/>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pacing w:val="0"/>
                      <w:sz w:val="21"/>
                      <w:szCs w:val="21"/>
                      <w:highlight w:val="none"/>
                      <w:lang w:eastAsia="zh-CN"/>
                      <w14:textFill>
                        <w14:solidFill>
                          <w14:schemeClr w14:val="tx1"/>
                        </w14:solidFill>
                      </w14:textFill>
                    </w:rPr>
                    <w:t>防渗措施</w:t>
                  </w:r>
                </w:p>
              </w:tc>
              <w:tc>
                <w:tcPr>
                  <w:tcW w:w="4046" w:type="pct"/>
                  <w:noWrap w:val="0"/>
                  <w:vAlign w:val="center"/>
                </w:tcPr>
                <w:p>
                  <w:pPr>
                    <w:pStyle w:val="15"/>
                    <w:keepNext w:val="0"/>
                    <w:keepLines w:val="0"/>
                    <w:pageBreakBefore w:val="0"/>
                    <w:widowControl w:val="0"/>
                    <w:tabs>
                      <w:tab w:val="left" w:pos="1260"/>
                    </w:tabs>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事故油池</w:t>
                  </w: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按照《</w:t>
                  </w:r>
                  <w:r>
                    <w:rPr>
                      <w:rFonts w:hint="default"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危险废物贮存污染控制标准</w:t>
                  </w: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w:t>
                  </w:r>
                  <w:r>
                    <w:rPr>
                      <w:rFonts w:hint="eastAsia" w:ascii="Times New Roman" w:hAnsi="Times New Roman" w:cs="Times New Roman"/>
                      <w:color w:val="000000" w:themeColor="text1"/>
                      <w:spacing w:val="0"/>
                      <w:kern w:val="2"/>
                      <w:sz w:val="21"/>
                      <w:szCs w:val="21"/>
                      <w:lang w:val="en-US" w:eastAsia="zh-CN" w:bidi="ar-SA"/>
                      <w14:textFill>
                        <w14:solidFill>
                          <w14:schemeClr w14:val="tx1"/>
                        </w14:solidFill>
                      </w14:textFill>
                    </w:rPr>
                    <w:t>（</w:t>
                  </w: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GB18597</w:t>
                  </w:r>
                  <w:r>
                    <w:rPr>
                      <w:rFonts w:hint="eastAsia" w:ascii="Times New Roman" w:hAnsi="Times New Roman" w:cs="Times New Roman"/>
                      <w:color w:val="000000" w:themeColor="text1"/>
                      <w:spacing w:val="0"/>
                      <w:kern w:val="2"/>
                      <w:sz w:val="21"/>
                      <w:szCs w:val="21"/>
                      <w:lang w:val="en-US" w:eastAsia="zh-CN" w:bidi="ar-SA"/>
                      <w14:textFill>
                        <w14:solidFill>
                          <w14:schemeClr w14:val="tx1"/>
                        </w14:solidFill>
                      </w14:textFill>
                    </w:rPr>
                    <w:t>-</w:t>
                  </w: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2023）要求进行建设，渗透系数不大于10</w:t>
                  </w:r>
                  <w:r>
                    <w:rPr>
                      <w:rFonts w:hint="eastAsia" w:ascii="Times New Roman" w:hAnsi="Times New Roman" w:cs="Times New Roman"/>
                      <w:color w:val="000000" w:themeColor="text1"/>
                      <w:spacing w:val="0"/>
                      <w:kern w:val="2"/>
                      <w:sz w:val="21"/>
                      <w:szCs w:val="21"/>
                      <w:vertAlign w:val="superscript"/>
                      <w:lang w:val="en-US" w:eastAsia="zh-CN" w:bidi="ar-SA"/>
                      <w14:textFill>
                        <w14:solidFill>
                          <w14:schemeClr w14:val="tx1"/>
                        </w14:solidFill>
                      </w14:textFill>
                    </w:rPr>
                    <w:t>-</w:t>
                  </w:r>
                  <w:r>
                    <w:rPr>
                      <w:rFonts w:hint="eastAsia" w:ascii="Times New Roman" w:hAnsi="Times New Roman" w:eastAsia="宋体" w:cs="Times New Roman"/>
                      <w:color w:val="000000" w:themeColor="text1"/>
                      <w:spacing w:val="0"/>
                      <w:kern w:val="2"/>
                      <w:sz w:val="21"/>
                      <w:szCs w:val="21"/>
                      <w:vertAlign w:val="superscript"/>
                      <w:lang w:val="en-US" w:eastAsia="zh-CN" w:bidi="ar-SA"/>
                      <w14:textFill>
                        <w14:solidFill>
                          <w14:schemeClr w14:val="tx1"/>
                        </w14:solidFill>
                      </w14:textFill>
                    </w:rPr>
                    <w:t>10</w:t>
                  </w:r>
                  <w:r>
                    <w:rPr>
                      <w:rFonts w:hint="eastAsia" w:ascii="Times New Roman" w:hAnsi="Times New Roman" w:eastAsia="宋体" w:cs="Times New Roman"/>
                      <w:color w:val="000000" w:themeColor="text1"/>
                      <w:spacing w:val="0"/>
                      <w:kern w:val="2"/>
                      <w:sz w:val="21"/>
                      <w:szCs w:val="21"/>
                      <w:lang w:val="en-US" w:eastAsia="zh-CN" w:bidi="ar-SA"/>
                      <w14:textFill>
                        <w14:solidFill>
                          <w14:schemeClr w14:val="tx1"/>
                        </w14:solidFill>
                      </w14:textFill>
                    </w:rPr>
                    <w:t>cm/s。</w:t>
                  </w:r>
                </w:p>
              </w:tc>
              <w:tc>
                <w:tcPr>
                  <w:tcW w:w="2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bl>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482" w:firstLineChars="200"/>
              <w:jc w:val="both"/>
              <w:textAlignment w:val="auto"/>
              <w:rPr>
                <w:rFonts w:hint="eastAsia"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t>4.主要工程量表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480" w:firstLineChars="200"/>
              <w:jc w:val="both"/>
              <w:textAlignment w:val="auto"/>
              <w:rPr>
                <w:rFonts w:hint="default" w:cs="Times New Roman" w:eastAsiaTheme="minorEastAsia"/>
                <w:color w:val="000000"/>
                <w:kern w:val="0"/>
                <w:sz w:val="24"/>
                <w:szCs w:val="24"/>
                <w:highlight w:val="none"/>
                <w:lang w:val="en-US" w:eastAsia="zh-CN" w:bidi="ar"/>
              </w:rPr>
            </w:pPr>
            <w:r>
              <w:rPr>
                <w:rFonts w:hint="eastAsia" w:cs="Times New Roman" w:eastAsiaTheme="minorEastAsia"/>
                <w:color w:val="000000"/>
                <w:kern w:val="0"/>
                <w:sz w:val="24"/>
                <w:szCs w:val="24"/>
                <w:highlight w:val="none"/>
                <w:lang w:val="en-US" w:eastAsia="zh-CN" w:bidi="ar"/>
              </w:rPr>
              <w:t>本项目主要工程量见下表2-2和2-3</w:t>
            </w:r>
          </w:p>
          <w:p>
            <w:pPr>
              <w:pStyle w:val="50"/>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表</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北部风井场地主要工程量表</w:t>
            </w:r>
          </w:p>
          <w:tbl>
            <w:tblPr>
              <w:tblStyle w:val="23"/>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9"/>
              <w:gridCol w:w="649"/>
              <w:gridCol w:w="744"/>
              <w:gridCol w:w="3447"/>
              <w:gridCol w:w="753"/>
              <w:gridCol w:w="780"/>
              <w:gridCol w:w="112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404" w:type="pct"/>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序号</w:t>
                  </w:r>
                </w:p>
              </w:tc>
              <w:tc>
                <w:tcPr>
                  <w:tcW w:w="854" w:type="pct"/>
                  <w:gridSpan w:val="2"/>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项目</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技术特征</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单位</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数量</w:t>
                  </w:r>
                </w:p>
              </w:tc>
              <w:tc>
                <w:tcPr>
                  <w:tcW w:w="688" w:type="pct"/>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w:t>
                  </w:r>
                </w:p>
              </w:tc>
              <w:tc>
                <w:tcPr>
                  <w:tcW w:w="854" w:type="pct"/>
                  <w:gridSpan w:val="2"/>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用地面积</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lang w:val="en-US" w:eastAsia="zh-CN"/>
                      <w14:textFill>
                        <w14:solidFill>
                          <w14:schemeClr w14:val="tx1"/>
                        </w14:solidFill>
                      </w14:textFill>
                    </w:rPr>
                    <w:t>/</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hm</w:t>
                  </w:r>
                  <w:r>
                    <w:rPr>
                      <w:rFonts w:hint="default" w:ascii="Times New Roman" w:hAnsi="Times New Roman" w:cs="Times New Roman" w:eastAsiaTheme="minorEastAsia"/>
                      <w:color w:val="000000" w:themeColor="text1"/>
                      <w:kern w:val="0"/>
                      <w:sz w:val="21"/>
                      <w:szCs w:val="21"/>
                      <w:highlight w:val="none"/>
                      <w:vertAlign w:val="superscript"/>
                      <w14:textFill>
                        <w14:solidFill>
                          <w14:schemeClr w14:val="tx1"/>
                        </w14:solidFill>
                      </w14:textFill>
                    </w:rPr>
                    <w:t>2</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3.920</w:t>
                  </w:r>
                </w:p>
              </w:tc>
              <w:tc>
                <w:tcPr>
                  <w:tcW w:w="688" w:type="pct"/>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vMerge w:val="restart"/>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2</w:t>
                  </w:r>
                </w:p>
              </w:tc>
              <w:tc>
                <w:tcPr>
                  <w:tcW w:w="397" w:type="pct"/>
                  <w:vMerge w:val="restart"/>
                  <w:tcBorders>
                    <w:top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土方工程</w:t>
                  </w:r>
                </w:p>
              </w:tc>
              <w:tc>
                <w:tcPr>
                  <w:tcW w:w="456" w:type="pct"/>
                  <w:tcBorders>
                    <w:top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填方</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万m3</w:t>
                  </w:r>
                </w:p>
              </w:tc>
              <w:tc>
                <w:tcPr>
                  <w:tcW w:w="478"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8.62</w:t>
                  </w:r>
                </w:p>
              </w:tc>
              <w:tc>
                <w:tcPr>
                  <w:tcW w:w="688" w:type="pct"/>
                  <w:tcBorders>
                    <w:top w:val="single" w:color="auto" w:sz="4" w:space="0"/>
                    <w:left w:val="single" w:color="auto" w:sz="4" w:space="0"/>
                    <w:bottom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404" w:type="pct"/>
                  <w:vMerge w:val="continue"/>
                  <w:tcBorders>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397" w:type="pct"/>
                  <w:vMerge w:val="continue"/>
                  <w:tcBorders>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p>
              </w:tc>
              <w:tc>
                <w:tcPr>
                  <w:tcW w:w="456" w:type="pct"/>
                  <w:tcBorders>
                    <w:bottom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挖方</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万m</w:t>
                  </w:r>
                  <w:r>
                    <w:rPr>
                      <w:rFonts w:hint="default" w:ascii="Times New Roman" w:hAnsi="Times New Roman" w:eastAsia="宋体" w:cs="Times New Roman"/>
                      <w:bCs/>
                      <w:color w:val="000000" w:themeColor="text1"/>
                      <w:kern w:val="2"/>
                      <w:sz w:val="21"/>
                      <w:szCs w:val="21"/>
                      <w:highlight w:val="none"/>
                      <w:vertAlign w:val="superscript"/>
                      <w:lang w:val="en-US" w:eastAsia="zh-CN" w:bidi="ar-SA"/>
                      <w14:textFill>
                        <w14:solidFill>
                          <w14:schemeClr w14:val="tx1"/>
                        </w14:solidFill>
                      </w14:textFill>
                    </w:rPr>
                    <w:t>3</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17.96</w:t>
                  </w:r>
                </w:p>
              </w:tc>
              <w:tc>
                <w:tcPr>
                  <w:tcW w:w="688" w:type="pct"/>
                  <w:vMerge w:val="restart"/>
                  <w:tcBorders>
                    <w:top w:val="single" w:color="auto" w:sz="4" w:space="0"/>
                    <w:lef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404" w:type="pct"/>
                  <w:vMerge w:val="continue"/>
                  <w:tcBorders>
                    <w:right w:val="single" w:color="auto" w:sz="4" w:space="0"/>
                  </w:tcBorders>
                  <w:vAlign w:val="center"/>
                </w:tcPr>
                <w:p>
                  <w:pPr>
                    <w:jc w:val="center"/>
                  </w:pPr>
                </w:p>
              </w:tc>
              <w:tc>
                <w:tcPr>
                  <w:tcW w:w="397" w:type="pct"/>
                  <w:vMerge w:val="continue"/>
                  <w:tcBorders>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p>
              </w:tc>
              <w:tc>
                <w:tcPr>
                  <w:tcW w:w="456" w:type="pct"/>
                  <w:tcBorders>
                    <w:bottom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弃石</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万m</w:t>
                  </w:r>
                  <w:r>
                    <w:rPr>
                      <w:rFonts w:hint="default" w:ascii="Times New Roman" w:hAnsi="Times New Roman" w:eastAsia="宋体" w:cs="Times New Roman"/>
                      <w:bCs/>
                      <w:color w:val="000000" w:themeColor="text1"/>
                      <w:kern w:val="2"/>
                      <w:sz w:val="21"/>
                      <w:szCs w:val="21"/>
                      <w:highlight w:val="none"/>
                      <w:vertAlign w:val="superscript"/>
                      <w:lang w:val="en-US" w:eastAsia="zh-CN" w:bidi="ar-SA"/>
                      <w14:textFill>
                        <w14:solidFill>
                          <w14:schemeClr w14:val="tx1"/>
                        </w14:solidFill>
                      </w14:textFill>
                    </w:rPr>
                    <w:t>3</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9.34</w:t>
                  </w:r>
                </w:p>
              </w:tc>
              <w:tc>
                <w:tcPr>
                  <w:tcW w:w="688" w:type="pct"/>
                  <w:vMerge w:val="continue"/>
                  <w:tcBorders>
                    <w:left w:val="single" w:color="auto" w:sz="4" w:space="0"/>
                    <w:bottom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vMerge w:val="restart"/>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3</w:t>
                  </w:r>
                </w:p>
              </w:tc>
              <w:tc>
                <w:tcPr>
                  <w:tcW w:w="397" w:type="pct"/>
                  <w:vMerge w:val="restart"/>
                  <w:tcBorders>
                    <w:top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道路</w:t>
                  </w:r>
                </w:p>
              </w:tc>
              <w:tc>
                <w:tcPr>
                  <w:tcW w:w="456" w:type="pct"/>
                  <w:vMerge w:val="restart"/>
                  <w:tcBorders>
                    <w:top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宽</w:t>
                  </w: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4m</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200厚C30混凝土路面层</w:t>
                  </w:r>
                </w:p>
              </w:tc>
              <w:tc>
                <w:tcPr>
                  <w:tcW w:w="461" w:type="pct"/>
                  <w:vMerge w:val="restart"/>
                  <w:tcBorders>
                    <w:top w:val="single" w:color="auto" w:sz="4" w:space="0"/>
                    <w:left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m2</w:t>
                  </w:r>
                </w:p>
              </w:tc>
              <w:tc>
                <w:tcPr>
                  <w:tcW w:w="478" w:type="pct"/>
                  <w:vMerge w:val="restart"/>
                  <w:tcBorders>
                    <w:top w:val="single" w:color="auto" w:sz="4" w:space="0"/>
                    <w:left w:val="single" w:color="auto" w:sz="4" w:space="0"/>
                    <w:righ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32</w:t>
                  </w:r>
                  <w: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8</w:t>
                  </w: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0</w:t>
                  </w:r>
                </w:p>
              </w:tc>
              <w:tc>
                <w:tcPr>
                  <w:tcW w:w="688" w:type="pct"/>
                  <w:vMerge w:val="restart"/>
                  <w:tcBorders>
                    <w:top w:val="single" w:color="auto" w:sz="4" w:space="0"/>
                    <w:left w:val="single" w:color="auto" w:sz="4" w:space="0"/>
                  </w:tcBorders>
                  <w:vAlign w:val="center"/>
                </w:tcPr>
                <w:p>
                  <w:pPr>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长</w:t>
                  </w: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820m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vMerge w:val="continue"/>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397" w:type="pct"/>
                  <w:vMerge w:val="continue"/>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456" w:type="pct"/>
                  <w:vMerge w:val="continue"/>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150厚水泥碎石基层</w:t>
                  </w:r>
                </w:p>
              </w:tc>
              <w:tc>
                <w:tcPr>
                  <w:tcW w:w="461" w:type="pct"/>
                  <w:vMerge w:val="continue"/>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478" w:type="pct"/>
                  <w:vMerge w:val="continue"/>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688" w:type="pct"/>
                  <w:vMerge w:val="continue"/>
                  <w:tcBorders>
                    <w:top w:val="single" w:color="auto" w:sz="4" w:space="0"/>
                    <w:lef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vMerge w:val="continue"/>
                  <w:tcBorders>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397" w:type="pct"/>
                  <w:vMerge w:val="continue"/>
                  <w:tcBorders>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456" w:type="pct"/>
                  <w:vMerge w:val="continue"/>
                  <w:tcBorders>
                    <w:top w:val="nil"/>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150厚天然砂砾垫层</w:t>
                  </w:r>
                </w:p>
              </w:tc>
              <w:tc>
                <w:tcPr>
                  <w:tcW w:w="461" w:type="pct"/>
                  <w:vMerge w:val="continue"/>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478" w:type="pct"/>
                  <w:vMerge w:val="continue"/>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688" w:type="pct"/>
                  <w:vMerge w:val="continue"/>
                  <w:tcBorders>
                    <w:lef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4</w:t>
                  </w:r>
                </w:p>
              </w:tc>
              <w:tc>
                <w:tcPr>
                  <w:tcW w:w="854" w:type="pct"/>
                  <w:gridSpan w:val="2"/>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路缘石</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eastAsia" w:cs="Times New Roman" w:eastAsiaTheme="minorEastAsia"/>
                      <w:color w:val="000000" w:themeColor="text1"/>
                      <w:kern w:val="0"/>
                      <w:sz w:val="21"/>
                      <w:szCs w:val="21"/>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100/120×350）C30混凝土路缘石</w:t>
                  </w:r>
                </w:p>
              </w:tc>
              <w:tc>
                <w:tcPr>
                  <w:tcW w:w="461" w:type="pct"/>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m</w:t>
                  </w:r>
                </w:p>
              </w:tc>
              <w:tc>
                <w:tcPr>
                  <w:tcW w:w="478" w:type="pct"/>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1700</w:t>
                  </w:r>
                </w:p>
              </w:tc>
              <w:tc>
                <w:tcPr>
                  <w:tcW w:w="688" w:type="pct"/>
                  <w:tcBorders>
                    <w:top w:val="single" w:color="auto" w:sz="4" w:space="0"/>
                    <w:lef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立缘石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5</w:t>
                  </w:r>
                </w:p>
              </w:tc>
              <w:tc>
                <w:tcPr>
                  <w:tcW w:w="854" w:type="pct"/>
                  <w:gridSpan w:val="2"/>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硬化场地</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同道路做法</w:t>
                  </w:r>
                </w:p>
              </w:tc>
              <w:tc>
                <w:tcPr>
                  <w:tcW w:w="461" w:type="pct"/>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m</w:t>
                  </w:r>
                  <w:r>
                    <w:rPr>
                      <w:rFonts w:hint="default" w:ascii="Times New Roman" w:hAnsi="Times New Roman" w:cs="Times New Roman" w:eastAsiaTheme="minorEastAsia"/>
                      <w:color w:val="000000" w:themeColor="text1"/>
                      <w:kern w:val="0"/>
                      <w:sz w:val="21"/>
                      <w:szCs w:val="21"/>
                      <w:highlight w:val="none"/>
                      <w:vertAlign w:val="superscript"/>
                      <w14:textFill>
                        <w14:solidFill>
                          <w14:schemeClr w14:val="tx1"/>
                        </w14:solidFill>
                      </w14:textFill>
                    </w:rPr>
                    <w:t>2</w:t>
                  </w:r>
                </w:p>
              </w:tc>
              <w:tc>
                <w:tcPr>
                  <w:tcW w:w="478" w:type="pct"/>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4150</w:t>
                  </w:r>
                </w:p>
              </w:tc>
              <w:tc>
                <w:tcPr>
                  <w:tcW w:w="688" w:type="pct"/>
                  <w:tcBorders>
                    <w:top w:val="single" w:color="auto" w:sz="4" w:space="0"/>
                    <w:lef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vMerge w:val="restart"/>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6</w:t>
                  </w:r>
                </w:p>
              </w:tc>
              <w:tc>
                <w:tcPr>
                  <w:tcW w:w="854" w:type="pct"/>
                  <w:gridSpan w:val="2"/>
                  <w:vMerge w:val="restart"/>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铺砌场地</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eastAsia" w:cs="Times New Roman" w:eastAsiaTheme="minorEastAsia"/>
                      <w:color w:val="000000" w:themeColor="text1"/>
                      <w:kern w:val="0"/>
                      <w:sz w:val="21"/>
                      <w:szCs w:val="21"/>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495×495×100）mm混凝土路面砖</w:t>
                  </w:r>
                </w:p>
              </w:tc>
              <w:tc>
                <w:tcPr>
                  <w:tcW w:w="461" w:type="pct"/>
                  <w:vMerge w:val="restart"/>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m</w:t>
                  </w:r>
                  <w:r>
                    <w:rPr>
                      <w:rFonts w:hint="default" w:ascii="Times New Roman" w:hAnsi="Times New Roman" w:cs="Times New Roman" w:eastAsiaTheme="minorEastAsia"/>
                      <w:color w:val="000000" w:themeColor="text1"/>
                      <w:kern w:val="0"/>
                      <w:sz w:val="21"/>
                      <w:szCs w:val="21"/>
                      <w:highlight w:val="none"/>
                      <w:vertAlign w:val="superscript"/>
                      <w14:textFill>
                        <w14:solidFill>
                          <w14:schemeClr w14:val="tx1"/>
                        </w14:solidFill>
                      </w14:textFill>
                    </w:rPr>
                    <w:t>2</w:t>
                  </w:r>
                </w:p>
              </w:tc>
              <w:tc>
                <w:tcPr>
                  <w:tcW w:w="478" w:type="pct"/>
                  <w:vMerge w:val="restart"/>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1550</w:t>
                  </w:r>
                </w:p>
              </w:tc>
              <w:tc>
                <w:tcPr>
                  <w:tcW w:w="688" w:type="pct"/>
                  <w:vMerge w:val="restart"/>
                  <w:tcBorders>
                    <w:top w:val="single" w:color="auto" w:sz="4" w:space="0"/>
                    <w:lef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vMerge w:val="continue"/>
                  <w:tcBorders>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854" w:type="pct"/>
                  <w:gridSpan w:val="2"/>
                  <w:vMerge w:val="continue"/>
                  <w:tcBorders>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200厚级配碎石基层</w:t>
                  </w:r>
                </w:p>
              </w:tc>
              <w:tc>
                <w:tcPr>
                  <w:tcW w:w="461" w:type="pct"/>
                  <w:vMerge w:val="continue"/>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478" w:type="pct"/>
                  <w:vMerge w:val="continue"/>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688" w:type="pct"/>
                  <w:vMerge w:val="continue"/>
                  <w:tcBorders>
                    <w:lef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vMerge w:val="continue"/>
                  <w:tcBorders>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854" w:type="pct"/>
                  <w:gridSpan w:val="2"/>
                  <w:vMerge w:val="continue"/>
                  <w:tcBorders>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素土夯实</w:t>
                  </w:r>
                </w:p>
              </w:tc>
              <w:tc>
                <w:tcPr>
                  <w:tcW w:w="461" w:type="pct"/>
                  <w:vMerge w:val="continue"/>
                  <w:tcBorders>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478" w:type="pct"/>
                  <w:vMerge w:val="continue"/>
                  <w:tcBorders>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688" w:type="pct"/>
                  <w:vMerge w:val="continue"/>
                  <w:tcBorders>
                    <w:left w:val="single" w:color="auto" w:sz="4" w:space="0"/>
                    <w:bottom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vMerge w:val="restart"/>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7</w:t>
                  </w:r>
                </w:p>
              </w:tc>
              <w:tc>
                <w:tcPr>
                  <w:tcW w:w="854" w:type="pct"/>
                  <w:gridSpan w:val="2"/>
                  <w:vMerge w:val="restart"/>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大门</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电动大门B×H=6m×1.8m</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樘</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w:t>
                  </w:r>
                </w:p>
              </w:tc>
              <w:tc>
                <w:tcPr>
                  <w:tcW w:w="688" w:type="pct"/>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vMerge w:val="continue"/>
                  <w:tcBorders>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854" w:type="pct"/>
                  <w:gridSpan w:val="2"/>
                  <w:vMerge w:val="continue"/>
                  <w:tcBorders>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手动平开大门</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樘</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w:t>
                  </w:r>
                </w:p>
              </w:tc>
              <w:tc>
                <w:tcPr>
                  <w:tcW w:w="688" w:type="pct"/>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SPM</w:t>
                  </w:r>
                  <w:r>
                    <w:rPr>
                      <w:rFonts w:hint="eastAsia" w:cs="Times New Roman" w:eastAsiaTheme="minorEastAsia"/>
                      <w:color w:val="000000" w:themeColor="text1"/>
                      <w:kern w:val="0"/>
                      <w:sz w:val="21"/>
                      <w:szCs w:val="21"/>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6015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vMerge w:val="restart"/>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8</w:t>
                  </w:r>
                </w:p>
              </w:tc>
              <w:tc>
                <w:tcPr>
                  <w:tcW w:w="854" w:type="pct"/>
                  <w:gridSpan w:val="2"/>
                  <w:vMerge w:val="restart"/>
                  <w:tcBorders>
                    <w:top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大门门柱</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M2.5混合砂浆砌7.5号砖，高2.1m</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个</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2</w:t>
                  </w:r>
                </w:p>
              </w:tc>
              <w:tc>
                <w:tcPr>
                  <w:tcW w:w="688" w:type="pct"/>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vMerge w:val="continue"/>
                  <w:tcBorders>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854" w:type="pct"/>
                  <w:gridSpan w:val="2"/>
                  <w:vMerge w:val="continue"/>
                  <w:tcBorders>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角钢焊制门柱，高2.1m</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个</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2</w:t>
                  </w:r>
                </w:p>
              </w:tc>
              <w:tc>
                <w:tcPr>
                  <w:tcW w:w="688" w:type="pct"/>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9</w:t>
                  </w:r>
                </w:p>
              </w:tc>
              <w:tc>
                <w:tcPr>
                  <w:tcW w:w="854" w:type="pct"/>
                  <w:gridSpan w:val="2"/>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围墙</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钢围栏，高1.8m</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m</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800</w:t>
                  </w:r>
                </w:p>
              </w:tc>
              <w:tc>
                <w:tcPr>
                  <w:tcW w:w="688" w:type="pct"/>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10</w:t>
                  </w:r>
                </w:p>
              </w:tc>
              <w:tc>
                <w:tcPr>
                  <w:tcW w:w="854" w:type="pct"/>
                  <w:gridSpan w:val="2"/>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绿化面积</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lang w:val="en-US" w:eastAsia="zh-CN"/>
                      <w14:textFill>
                        <w14:solidFill>
                          <w14:schemeClr w14:val="tx1"/>
                        </w14:solidFill>
                      </w14:textFill>
                    </w:rPr>
                    <w:t>/</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hm</w:t>
                  </w:r>
                  <w:r>
                    <w:rPr>
                      <w:rFonts w:hint="default" w:ascii="Times New Roman" w:hAnsi="Times New Roman" w:cs="Times New Roman" w:eastAsiaTheme="minorEastAsia"/>
                      <w:color w:val="000000" w:themeColor="text1"/>
                      <w:kern w:val="0"/>
                      <w:sz w:val="21"/>
                      <w:szCs w:val="21"/>
                      <w:highlight w:val="none"/>
                      <w:vertAlign w:val="superscript"/>
                      <w14:textFill>
                        <w14:solidFill>
                          <w14:schemeClr w14:val="tx1"/>
                        </w14:solidFill>
                      </w14:textFill>
                    </w:rPr>
                    <w:t>2</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0.337</w:t>
                  </w:r>
                </w:p>
              </w:tc>
              <w:tc>
                <w:tcPr>
                  <w:tcW w:w="688" w:type="pct"/>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绿化系数15%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11</w:t>
                  </w:r>
                </w:p>
              </w:tc>
              <w:tc>
                <w:tcPr>
                  <w:tcW w:w="854" w:type="pct"/>
                  <w:gridSpan w:val="2"/>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护坡</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六边形框格骨架植草皮护坡</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m</w:t>
                  </w:r>
                  <w:r>
                    <w:rPr>
                      <w:rFonts w:hint="default" w:ascii="Times New Roman" w:hAnsi="Times New Roman" w:cs="Times New Roman" w:eastAsiaTheme="minorEastAsia"/>
                      <w:color w:val="000000" w:themeColor="text1"/>
                      <w:kern w:val="0"/>
                      <w:sz w:val="21"/>
                      <w:szCs w:val="21"/>
                      <w:highlight w:val="none"/>
                      <w:vertAlign w:val="superscript"/>
                      <w14:textFill>
                        <w14:solidFill>
                          <w14:schemeClr w14:val="tx1"/>
                        </w14:solidFill>
                      </w14:textFill>
                    </w:rPr>
                    <w:t>2</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6624</w:t>
                  </w:r>
                </w:p>
              </w:tc>
              <w:tc>
                <w:tcPr>
                  <w:tcW w:w="688" w:type="pct"/>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12</w:t>
                  </w:r>
                </w:p>
              </w:tc>
              <w:tc>
                <w:tcPr>
                  <w:tcW w:w="854" w:type="pct"/>
                  <w:gridSpan w:val="2"/>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排水沟</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C25混凝土明沟B×H=0.4m×0.6m</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m</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95</w:t>
                  </w:r>
                </w:p>
              </w:tc>
              <w:tc>
                <w:tcPr>
                  <w:tcW w:w="688" w:type="pct"/>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13</w:t>
                  </w:r>
                </w:p>
              </w:tc>
              <w:tc>
                <w:tcPr>
                  <w:tcW w:w="854" w:type="pct"/>
                  <w:gridSpan w:val="2"/>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急流槽</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C25混凝土，B×H=0.6m×0.6m</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m</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144</w:t>
                  </w:r>
                </w:p>
              </w:tc>
              <w:tc>
                <w:tcPr>
                  <w:tcW w:w="688" w:type="pct"/>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04" w:type="pct"/>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14</w:t>
                  </w:r>
                </w:p>
              </w:tc>
              <w:tc>
                <w:tcPr>
                  <w:tcW w:w="854" w:type="pct"/>
                  <w:gridSpan w:val="2"/>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挡土墙</w:t>
                  </w:r>
                </w:p>
              </w:tc>
              <w:tc>
                <w:tcPr>
                  <w:tcW w:w="2113"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重力式挡土墙</w:t>
                  </w:r>
                </w:p>
              </w:tc>
              <w:tc>
                <w:tcPr>
                  <w:tcW w:w="46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m</w:t>
                  </w:r>
                </w:p>
              </w:tc>
              <w:tc>
                <w:tcPr>
                  <w:tcW w:w="47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t>204</w:t>
                  </w:r>
                </w:p>
              </w:tc>
              <w:tc>
                <w:tcPr>
                  <w:tcW w:w="688" w:type="pct"/>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tc>
            </w:tr>
          </w:tbl>
          <w:p>
            <w:pPr>
              <w:pStyle w:val="50"/>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表</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 xml:space="preserve">  新建场外道路工程数量表</w:t>
            </w:r>
          </w:p>
          <w:tbl>
            <w:tblPr>
              <w:tblStyle w:val="23"/>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53"/>
              <w:gridCol w:w="3846"/>
              <w:gridCol w:w="1506"/>
              <w:gridCol w:w="175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924" w:type="pct"/>
                  <w:gridSpan w:val="3"/>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道路名称</w:t>
                  </w:r>
                </w:p>
              </w:tc>
              <w:tc>
                <w:tcPr>
                  <w:tcW w:w="1076"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北部风井道路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001" w:type="pct"/>
                  <w:gridSpan w:val="2"/>
                  <w:shd w:val="clear" w:color="auto" w:fill="auto"/>
                  <w:noWrap/>
                  <w:vAlign w:val="center"/>
                </w:tcPr>
                <w:p>
                  <w:pPr>
                    <w:pStyle w:val="52"/>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路线长度</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km</w:t>
                  </w:r>
                </w:p>
              </w:tc>
              <w:tc>
                <w:tcPr>
                  <w:tcW w:w="1076"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645" w:type="pct"/>
                  <w:vMerge w:val="restar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土方</w:t>
                  </w:r>
                </w:p>
              </w:tc>
              <w:tc>
                <w:tcPr>
                  <w:tcW w:w="2357"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填方</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万m</w:t>
                  </w:r>
                  <w:r>
                    <w:rPr>
                      <w:rFonts w:hint="eastAsia"/>
                      <w:color w:val="000000" w:themeColor="text1"/>
                      <w:highlight w:val="none"/>
                      <w:vertAlign w:val="superscript"/>
                      <w14:textFill>
                        <w14:solidFill>
                          <w14:schemeClr w14:val="tx1"/>
                        </w14:solidFill>
                      </w14:textFill>
                    </w:rPr>
                    <w:t>3</w:t>
                  </w:r>
                </w:p>
              </w:tc>
              <w:tc>
                <w:tcPr>
                  <w:tcW w:w="1076" w:type="pct"/>
                  <w:shd w:val="clear" w:color="auto" w:fill="auto"/>
                  <w:noWrap/>
                  <w:vAlign w:val="center"/>
                </w:tcPr>
                <w:p>
                  <w:pPr>
                    <w:pStyle w:val="52"/>
                    <w:rPr>
                      <w:rFonts w:hint="default" w:ascii="Times New Roman" w:hAnsi="Times New Roman" w:cs="Times New Roman" w:eastAsiaTheme="minorEastAsia"/>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kern w:val="0"/>
                      <w:sz w:val="21"/>
                      <w:szCs w:val="21"/>
                      <w:highlight w:val="none"/>
                      <w:lang w:val="en-US" w:eastAsia="zh-CN" w:bidi="ar-SA"/>
                      <w14:textFill>
                        <w14:solidFill>
                          <w14:schemeClr w14:val="tx1"/>
                        </w14:solidFill>
                      </w14:textFill>
                    </w:rPr>
                    <w:t>2.80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645" w:type="pct"/>
                  <w:vMerge w:val="continue"/>
                  <w:vAlign w:val="center"/>
                </w:tcPr>
                <w:p>
                  <w:pPr>
                    <w:pStyle w:val="52"/>
                    <w:rPr>
                      <w:color w:val="000000" w:themeColor="text1"/>
                      <w:highlight w:val="none"/>
                      <w14:textFill>
                        <w14:solidFill>
                          <w14:schemeClr w14:val="tx1"/>
                        </w14:solidFill>
                      </w14:textFill>
                    </w:rPr>
                  </w:pPr>
                </w:p>
              </w:tc>
              <w:tc>
                <w:tcPr>
                  <w:tcW w:w="2357"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挖方</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万m</w:t>
                  </w:r>
                  <w:r>
                    <w:rPr>
                      <w:rFonts w:hint="eastAsia"/>
                      <w:color w:val="000000" w:themeColor="text1"/>
                      <w:highlight w:val="none"/>
                      <w:vertAlign w:val="superscript"/>
                      <w14:textFill>
                        <w14:solidFill>
                          <w14:schemeClr w14:val="tx1"/>
                        </w14:solidFill>
                      </w14:textFill>
                    </w:rPr>
                    <w:t>3</w:t>
                  </w:r>
                </w:p>
              </w:tc>
              <w:tc>
                <w:tcPr>
                  <w:tcW w:w="1076" w:type="pct"/>
                  <w:shd w:val="clear" w:color="auto" w:fill="auto"/>
                  <w:noWrap/>
                  <w:vAlign w:val="center"/>
                </w:tcPr>
                <w:p>
                  <w:pPr>
                    <w:pStyle w:val="52"/>
                    <w:rPr>
                      <w:rFonts w:hint="default" w:ascii="Times New Roman" w:hAnsi="Times New Roman" w:cs="Times New Roman" w:eastAsiaTheme="minorEastAsia"/>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0"/>
                      <w:sz w:val="21"/>
                      <w:szCs w:val="21"/>
                      <w:highlight w:val="none"/>
                      <w:lang w:val="en-US" w:eastAsia="zh-CN" w:bidi="ar-SA"/>
                      <w14:textFill>
                        <w14:solidFill>
                          <w14:schemeClr w14:val="tx1"/>
                        </w14:solidFill>
                      </w14:textFill>
                    </w:rPr>
                    <w:t>2.80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645" w:type="pct"/>
                  <w:vMerge w:val="restar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路面</w:t>
                  </w:r>
                </w:p>
              </w:tc>
              <w:tc>
                <w:tcPr>
                  <w:tcW w:w="2357"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面层</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2</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9800.00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645" w:type="pct"/>
                  <w:vMerge w:val="continue"/>
                  <w:vAlign w:val="center"/>
                </w:tcPr>
                <w:p>
                  <w:pPr>
                    <w:pStyle w:val="52"/>
                    <w:rPr>
                      <w:color w:val="000000" w:themeColor="text1"/>
                      <w:highlight w:val="none"/>
                      <w14:textFill>
                        <w14:solidFill>
                          <w14:schemeClr w14:val="tx1"/>
                        </w14:solidFill>
                      </w14:textFill>
                    </w:rPr>
                  </w:pPr>
                </w:p>
              </w:tc>
              <w:tc>
                <w:tcPr>
                  <w:tcW w:w="2357"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基层</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2</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9800.00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645" w:type="pct"/>
                  <w:vMerge w:val="continue"/>
                  <w:vAlign w:val="center"/>
                </w:tcPr>
                <w:p>
                  <w:pPr>
                    <w:pStyle w:val="52"/>
                    <w:rPr>
                      <w:color w:val="000000" w:themeColor="text1"/>
                      <w:highlight w:val="none"/>
                      <w14:textFill>
                        <w14:solidFill>
                          <w14:schemeClr w14:val="tx1"/>
                        </w14:solidFill>
                      </w14:textFill>
                    </w:rPr>
                  </w:pPr>
                </w:p>
              </w:tc>
              <w:tc>
                <w:tcPr>
                  <w:tcW w:w="2357"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底基层</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2</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10100.00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645" w:type="pct"/>
                  <w:vMerge w:val="continue"/>
                  <w:vAlign w:val="center"/>
                </w:tcPr>
                <w:p>
                  <w:pPr>
                    <w:pStyle w:val="52"/>
                    <w:rPr>
                      <w:color w:val="000000" w:themeColor="text1"/>
                      <w:highlight w:val="none"/>
                      <w14:textFill>
                        <w14:solidFill>
                          <w14:schemeClr w14:val="tx1"/>
                        </w14:solidFill>
                      </w14:textFill>
                    </w:rPr>
                  </w:pPr>
                </w:p>
              </w:tc>
              <w:tc>
                <w:tcPr>
                  <w:tcW w:w="2357"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垫层</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2</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10800.00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001" w:type="pct"/>
                  <w:gridSpan w:val="2"/>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清表30cm厚</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2</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11200.00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645"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排水</w:t>
                  </w:r>
                </w:p>
              </w:tc>
              <w:tc>
                <w:tcPr>
                  <w:tcW w:w="2357"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M7.5浆砌片石排水沟</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1700.00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645" w:type="pct"/>
                  <w:vMerge w:val="restar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防护</w:t>
                  </w:r>
                </w:p>
              </w:tc>
              <w:tc>
                <w:tcPr>
                  <w:tcW w:w="2357"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C20空心六棱砖石护坡</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14500</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645" w:type="pct"/>
                  <w:vMerge w:val="continue"/>
                  <w:vAlign w:val="center"/>
                </w:tcPr>
                <w:p>
                  <w:pPr>
                    <w:pStyle w:val="52"/>
                    <w:rPr>
                      <w:color w:val="000000" w:themeColor="text1"/>
                      <w:highlight w:val="none"/>
                      <w14:textFill>
                        <w14:solidFill>
                          <w14:schemeClr w14:val="tx1"/>
                        </w14:solidFill>
                      </w14:textFill>
                    </w:rPr>
                  </w:pPr>
                </w:p>
              </w:tc>
              <w:tc>
                <w:tcPr>
                  <w:tcW w:w="2357" w:type="pct"/>
                  <w:shd w:val="clear" w:color="auto" w:fill="auto"/>
                  <w:vAlign w:val="center"/>
                </w:tcPr>
                <w:p>
                  <w:pPr>
                    <w:pStyle w:val="52"/>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护坡植草</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2</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5200.00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645" w:type="pct"/>
                  <w:vMerge w:val="continue"/>
                  <w:vAlign w:val="center"/>
                </w:tcPr>
                <w:p>
                  <w:pPr>
                    <w:pStyle w:val="52"/>
                    <w:rPr>
                      <w:color w:val="000000" w:themeColor="text1"/>
                      <w:highlight w:val="none"/>
                      <w14:textFill>
                        <w14:solidFill>
                          <w14:schemeClr w14:val="tx1"/>
                        </w14:solidFill>
                      </w14:textFill>
                    </w:rPr>
                  </w:pPr>
                </w:p>
              </w:tc>
              <w:tc>
                <w:tcPr>
                  <w:tcW w:w="2357"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C20毛石混凝土挡墙</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3500.00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645" w:type="pct"/>
                  <w:vMerge w:val="continue"/>
                  <w:vAlign w:val="center"/>
                </w:tcPr>
                <w:p>
                  <w:pPr>
                    <w:pStyle w:val="52"/>
                    <w:rPr>
                      <w:color w:val="000000" w:themeColor="text1"/>
                      <w:highlight w:val="none"/>
                      <w14:textFill>
                        <w14:solidFill>
                          <w14:schemeClr w14:val="tx1"/>
                        </w14:solidFill>
                      </w14:textFill>
                    </w:rPr>
                  </w:pPr>
                </w:p>
              </w:tc>
              <w:tc>
                <w:tcPr>
                  <w:tcW w:w="2357" w:type="pct"/>
                  <w:shd w:val="clear" w:color="auto" w:fill="auto"/>
                  <w:vAlign w:val="center"/>
                </w:tcPr>
                <w:p>
                  <w:pPr>
                    <w:pStyle w:val="52"/>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浆砌片石护坡</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p>
              </w:tc>
              <w:tc>
                <w:tcPr>
                  <w:tcW w:w="1076" w:type="pct"/>
                  <w:shd w:val="clear" w:color="auto" w:fill="auto"/>
                  <w:noWrap/>
                  <w:vAlign w:val="center"/>
                </w:tcPr>
                <w:p>
                  <w:pPr>
                    <w:pStyle w:val="52"/>
                    <w:rPr>
                      <w:rFonts w:hint="eastAsia" w:eastAsia="汉鼎简书宋"/>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645" w:type="pct"/>
                  <w:vMerge w:val="restar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涵洞</w:t>
                  </w:r>
                </w:p>
              </w:tc>
              <w:tc>
                <w:tcPr>
                  <w:tcW w:w="2357"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2.00×2.0m箱涵</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645" w:type="pct"/>
                  <w:vMerge w:val="continue"/>
                  <w:vAlign w:val="center"/>
                </w:tcPr>
                <w:p>
                  <w:pPr>
                    <w:pStyle w:val="52"/>
                    <w:rPr>
                      <w:color w:val="000000" w:themeColor="text1"/>
                      <w:highlight w:val="none"/>
                      <w14:textFill>
                        <w14:solidFill>
                          <w14:schemeClr w14:val="tx1"/>
                        </w14:solidFill>
                      </w14:textFill>
                    </w:rPr>
                  </w:pPr>
                </w:p>
              </w:tc>
              <w:tc>
                <w:tcPr>
                  <w:tcW w:w="2357"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1.5m圆管涵</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延</w:t>
                  </w:r>
                  <w:r>
                    <w:rPr>
                      <w:rFonts w:hint="eastAsia"/>
                      <w:color w:val="000000" w:themeColor="text1"/>
                      <w:highlight w:val="none"/>
                      <w:lang w:eastAsia="zh-CN"/>
                      <w14:textFill>
                        <w14:solidFill>
                          <w14:schemeClr w14:val="tx1"/>
                        </w14:solidFill>
                      </w14:textFill>
                    </w:rPr>
                    <w:t>长</w:t>
                  </w:r>
                  <w:r>
                    <w:rPr>
                      <w:rFonts w:hint="eastAsia"/>
                      <w:color w:val="000000" w:themeColor="text1"/>
                      <w:highlight w:val="none"/>
                      <w14:textFill>
                        <w14:solidFill>
                          <w14:schemeClr w14:val="tx1"/>
                        </w14:solidFill>
                      </w14:textFill>
                    </w:rPr>
                    <w:t>米/道</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28</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6" w:hRule="atLeast"/>
              </w:trPr>
              <w:tc>
                <w:tcPr>
                  <w:tcW w:w="645" w:type="pct"/>
                  <w:shd w:val="clear" w:color="auto" w:fill="auto"/>
                  <w:noWrap/>
                  <w:vAlign w:val="center"/>
                </w:tcPr>
                <w:p>
                  <w:pPr>
                    <w:pStyle w:val="52"/>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桥</w:t>
                  </w:r>
                </w:p>
              </w:tc>
              <w:tc>
                <w:tcPr>
                  <w:tcW w:w="2357"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1.0m圆管涵</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延</w:t>
                  </w:r>
                  <w:r>
                    <w:rPr>
                      <w:rFonts w:hint="eastAsia"/>
                      <w:color w:val="000000" w:themeColor="text1"/>
                      <w:highlight w:val="none"/>
                      <w:lang w:eastAsia="zh-CN"/>
                      <w14:textFill>
                        <w14:solidFill>
                          <w14:schemeClr w14:val="tx1"/>
                        </w14:solidFill>
                      </w14:textFill>
                    </w:rPr>
                    <w:t>长</w:t>
                  </w:r>
                  <w:r>
                    <w:rPr>
                      <w:rFonts w:hint="eastAsia"/>
                      <w:color w:val="000000" w:themeColor="text1"/>
                      <w:highlight w:val="none"/>
                      <w14:textFill>
                        <w14:solidFill>
                          <w14:schemeClr w14:val="tx1"/>
                        </w14:solidFill>
                      </w14:textFill>
                    </w:rPr>
                    <w:t>米/道</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18</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001" w:type="pct"/>
                  <w:gridSpan w:val="2"/>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交通安全设施</w:t>
                  </w:r>
                </w:p>
              </w:tc>
              <w:tc>
                <w:tcPr>
                  <w:tcW w:w="923" w:type="pct"/>
                  <w:shd w:val="clear" w:color="auto" w:fill="auto"/>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km</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001" w:type="pct"/>
                  <w:gridSpan w:val="2"/>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用地</w:t>
                  </w:r>
                </w:p>
              </w:tc>
              <w:tc>
                <w:tcPr>
                  <w:tcW w:w="923"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hm</w:t>
                  </w:r>
                  <w:r>
                    <w:rPr>
                      <w:rFonts w:ascii="Calibri" w:hAnsi="Calibri" w:cs="Calibri"/>
                      <w:color w:val="000000" w:themeColor="text1"/>
                      <w:highlight w:val="none"/>
                      <w14:textFill>
                        <w14:solidFill>
                          <w14:schemeClr w14:val="tx1"/>
                        </w14:solidFill>
                      </w14:textFill>
                    </w:rPr>
                    <w:t>²</w:t>
                  </w:r>
                </w:p>
              </w:tc>
              <w:tc>
                <w:tcPr>
                  <w:tcW w:w="1076" w:type="pct"/>
                  <w:shd w:val="clear" w:color="auto" w:fill="auto"/>
                  <w:noWrap/>
                  <w:vAlign w:val="center"/>
                </w:tcPr>
                <w:p>
                  <w:pPr>
                    <w:pStyle w:val="5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4.03</w:t>
                  </w:r>
                </w:p>
              </w:tc>
            </w:tr>
          </w:tbl>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482" w:firstLineChars="200"/>
              <w:jc w:val="both"/>
              <w:textAlignment w:val="auto"/>
              <w:rPr>
                <w:rFonts w:hint="default"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t>5.劳动定员以及工作制度</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sz w:val="24"/>
                <w:szCs w:val="24"/>
                <w:highlight w:val="none"/>
                <w:vertAlign w:val="baseline"/>
                <w:lang w:val="en-US" w:eastAsia="zh-CN"/>
              </w:rPr>
            </w:pPr>
            <w:r>
              <w:rPr>
                <w:rFonts w:hint="eastAsia" w:cs="Times New Roman"/>
                <w:sz w:val="24"/>
                <w:szCs w:val="24"/>
                <w:highlight w:val="none"/>
                <w:vertAlign w:val="baseline"/>
                <w:lang w:val="en-US" w:eastAsia="zh-CN"/>
              </w:rPr>
              <w:t>塔然高勒煤矿现有员工调配为北部风井场地，不新增劳动定员。煤矿设计年工作日330d，井下实行“四·六”工作制，每天4班作业，3班生产，1班检修，每班工作6h；地面实行“三·八”工作制，三班倒，每班工作8h。每天的提煤时间为18h。</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482" w:firstLineChars="200"/>
              <w:jc w:val="both"/>
              <w:textAlignment w:val="auto"/>
              <w:rPr>
                <w:rFonts w:hint="default"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t>6.公用工程</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sz w:val="24"/>
                <w:szCs w:val="24"/>
                <w:highlight w:val="none"/>
                <w:vertAlign w:val="baseline"/>
                <w:lang w:val="en-US" w:eastAsia="zh-CN"/>
              </w:rPr>
            </w:pPr>
            <w:r>
              <w:rPr>
                <w:rFonts w:hint="eastAsia" w:cs="Times New Roman"/>
                <w:sz w:val="24"/>
                <w:szCs w:val="24"/>
                <w:highlight w:val="none"/>
                <w:vertAlign w:val="baseline"/>
                <w:lang w:val="en-US" w:eastAsia="zh-CN"/>
              </w:rPr>
              <w:t>（1）供电</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sz w:val="24"/>
                <w:szCs w:val="24"/>
                <w:highlight w:val="none"/>
                <w:vertAlign w:val="baseline"/>
                <w:lang w:val="en-US" w:eastAsia="zh-CN"/>
              </w:rPr>
            </w:pPr>
            <w:r>
              <w:rPr>
                <w:rFonts w:hint="eastAsia" w:cs="Times New Roman"/>
                <w:sz w:val="24"/>
                <w:szCs w:val="24"/>
                <w:highlight w:val="none"/>
                <w:vertAlign w:val="baseline"/>
                <w:lang w:val="en-US" w:eastAsia="zh-CN"/>
              </w:rPr>
              <w:t>塔然高勒北部风井场地新建35kV预制舱式变电站1座，设主变压器2台，1台工作，1台热备用，其两回35kV电源均引自地区塔然高勒110kV变电站。本变电站以10kV向北部风井场地地面及井下供电。</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sz w:val="24"/>
                <w:szCs w:val="24"/>
                <w:highlight w:val="none"/>
                <w:vertAlign w:val="baseline"/>
                <w:lang w:val="en-US" w:eastAsia="zh-CN"/>
              </w:rPr>
            </w:pPr>
            <w:r>
              <w:rPr>
                <w:rFonts w:hint="eastAsia" w:cs="Times New Roman"/>
                <w:sz w:val="24"/>
                <w:szCs w:val="24"/>
                <w:highlight w:val="none"/>
                <w:vertAlign w:val="baseline"/>
                <w:lang w:val="en-US" w:eastAsia="zh-CN"/>
              </w:rPr>
              <w:t>施工电源考虑架设塔然高勒110kV变电站—塔然高勒北部风井场地35kV变电站35kV永久线路，降压10kV运行，接入北部风井场地35KV预制舱式变电站内10kV预制舱。施工单位应自备应急电源。</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sz w:val="24"/>
                <w:szCs w:val="24"/>
                <w:highlight w:val="none"/>
                <w:vertAlign w:val="baseline"/>
                <w:lang w:val="en-US" w:eastAsia="zh-CN"/>
              </w:rPr>
            </w:pPr>
            <w:r>
              <w:rPr>
                <w:rFonts w:hint="eastAsia" w:cs="Times New Roman"/>
                <w:sz w:val="24"/>
                <w:szCs w:val="24"/>
                <w:highlight w:val="none"/>
                <w:vertAlign w:val="baseline"/>
                <w:lang w:val="en-US" w:eastAsia="zh-CN"/>
              </w:rPr>
              <w:t>供暖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sz w:val="24"/>
                <w:szCs w:val="24"/>
                <w:highlight w:val="none"/>
                <w:vertAlign w:val="baseline"/>
                <w:lang w:val="en-US" w:eastAsia="zh-CN"/>
              </w:rPr>
            </w:pPr>
            <w:r>
              <w:rPr>
                <w:rFonts w:hint="eastAsia" w:cs="Times New Roman"/>
                <w:sz w:val="24"/>
                <w:szCs w:val="24"/>
                <w:highlight w:val="none"/>
                <w:vertAlign w:val="baseline"/>
                <w:lang w:val="en-US" w:eastAsia="zh-CN"/>
              </w:rPr>
              <w:t>北部风井场地，对于井筒保温热负荷选择乏风余热利用方案，对于地面建筑物的少量供暖通风热负荷采用电暖器解决。</w:t>
            </w:r>
            <w:bookmarkStart w:id="3" w:name="_Hlk519763970"/>
            <w:r>
              <w:rPr>
                <w:rFonts w:hint="eastAsia" w:cs="Times New Roman"/>
                <w:sz w:val="24"/>
                <w:szCs w:val="24"/>
                <w:highlight w:val="none"/>
                <w:vertAlign w:val="baseline"/>
                <w:lang w:val="en-US" w:eastAsia="zh-CN"/>
              </w:rPr>
              <w:t>北部进风立井井口防冻供热负荷为10648kW，选取直冷式乏风热泵机组SMEET-FS-R-2400型5台，总制热量为12000kW，机组设置在乏风热泵机房内</w:t>
            </w:r>
            <w:bookmarkEnd w:id="3"/>
            <w:r>
              <w:rPr>
                <w:rFonts w:hint="eastAsia" w:cs="Times New Roman"/>
                <w:sz w:val="24"/>
                <w:szCs w:val="24"/>
                <w:highlight w:val="none"/>
                <w:vertAlign w:val="baseline"/>
                <w:lang w:val="en-US" w:eastAsia="zh-CN"/>
              </w:rPr>
              <w:t>；</w:t>
            </w:r>
            <w:bookmarkStart w:id="4" w:name="_Hlk519764046"/>
            <w:r>
              <w:rPr>
                <w:rFonts w:hint="eastAsia" w:cs="Times New Roman"/>
                <w:sz w:val="24"/>
                <w:szCs w:val="24"/>
                <w:highlight w:val="none"/>
                <w:vertAlign w:val="baseline"/>
                <w:lang w:val="en-US" w:eastAsia="zh-CN"/>
              </w:rPr>
              <w:t>在井口房内设置煤矿专用低温低噪音井口空气加热机组SMEET-FJ-1100型12台</w:t>
            </w:r>
            <w:bookmarkEnd w:id="4"/>
            <w:r>
              <w:rPr>
                <w:rFonts w:hint="eastAsia" w:cs="Times New Roman"/>
                <w:sz w:val="24"/>
                <w:szCs w:val="24"/>
                <w:highlight w:val="none"/>
                <w:vertAlign w:val="baseline"/>
                <w:lang w:val="en-US" w:eastAsia="zh-CN"/>
              </w:rPr>
              <w:t>，每台机组热量为1100kW。</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sz w:val="24"/>
                <w:szCs w:val="24"/>
                <w:highlight w:val="none"/>
                <w:vertAlign w:val="baseline"/>
                <w:lang w:val="en-US" w:eastAsia="zh-CN"/>
              </w:rPr>
            </w:pPr>
            <w:r>
              <w:rPr>
                <w:rFonts w:hint="eastAsia" w:cs="Times New Roman"/>
                <w:sz w:val="24"/>
                <w:szCs w:val="24"/>
                <w:highlight w:val="none"/>
                <w:vertAlign w:val="baseline"/>
                <w:lang w:val="en-US" w:eastAsia="zh-CN"/>
              </w:rPr>
              <w:t>给排水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①给水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sz w:val="24"/>
                <w:szCs w:val="24"/>
                <w:highlight w:val="none"/>
                <w:vertAlign w:val="baseline"/>
                <w:lang w:val="en-US" w:eastAsia="zh-CN"/>
              </w:rPr>
            </w:pPr>
            <w:r>
              <w:rPr>
                <w:rFonts w:hint="eastAsia" w:cs="Times New Roman"/>
                <w:color w:val="000000" w:themeColor="text1"/>
                <w:sz w:val="24"/>
                <w:szCs w:val="24"/>
                <w:highlight w:val="none"/>
                <w:lang w:val="en-US" w:eastAsia="zh-CN"/>
                <w14:textFill>
                  <w14:solidFill>
                    <w14:schemeClr w14:val="tx1"/>
                  </w14:solidFill>
                </w14:textFill>
              </w:rPr>
              <w:t>A</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本项目劳动定员为</w:t>
            </w:r>
            <w:r>
              <w:rPr>
                <w:rFonts w:hint="eastAsia" w:cs="Times New Roman"/>
                <w:sz w:val="24"/>
                <w:szCs w:val="24"/>
                <w:highlight w:val="none"/>
                <w:vertAlign w:val="baseline"/>
                <w:lang w:val="en-US" w:eastAsia="zh-CN"/>
              </w:rPr>
              <w:t>塔然高勒煤矿现有员工调配，不新增劳动定员</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，本项目不新增生活用水量。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B</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目运营期</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用水主要为乏风取热系统用水量、绿化浇洒、消防用水；用水来源主要为</w:t>
            </w:r>
            <w:r>
              <w:rPr>
                <w:rFonts w:hint="eastAsia" w:cs="Times New Roman"/>
                <w:sz w:val="24"/>
                <w:szCs w:val="24"/>
                <w:highlight w:val="none"/>
                <w:vertAlign w:val="baseline"/>
                <w:lang w:val="en-US" w:eastAsia="zh-CN"/>
              </w:rPr>
              <w:t>用塔然高勒煤矿工业场地井下水处理站深度处理后的井下排水，塔然高勒煤矿现在属于基建期，有矿井水产生，目前井下排水约3000m³/d。由水车从塔然高勒煤矿工业场地拉水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sz w:val="24"/>
                <w:szCs w:val="24"/>
                <w:highlight w:val="none"/>
                <w:vertAlign w:val="baseline"/>
                <w:lang w:val="en-US" w:eastAsia="zh-CN"/>
              </w:rPr>
              <w:t>根据《塔然高勒矿井及选煤厂初步设计（修改）（矿井部分）说明书》：乏风取热设施生产冲洗最高日用水量为400立方米/d，最大小时用水量为25立方米/h。</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浇洒和绿化最高日用水量为18.6m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/d，最大小时用水量为4.7m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/h；消防水量为50.0l/s，其中室外消火栓用水量25.0l/s，室内消火栓用水量25.0l/s，室外、室内消火栓火灾延续时间按3.0h，一次消防用水量540.0m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②排水</w:t>
            </w: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lang w:val="en-US" w:eastAsia="zh-CN"/>
              </w:rPr>
            </w:pPr>
            <w:r>
              <w:rPr>
                <w:rFonts w:hint="eastAsia" w:cs="Times New Roman"/>
                <w:color w:val="000000" w:themeColor="text1"/>
                <w:sz w:val="24"/>
                <w:szCs w:val="24"/>
                <w:highlight w:val="none"/>
                <w:lang w:val="en-US" w:eastAsia="zh-CN"/>
                <w14:textFill>
                  <w14:solidFill>
                    <w14:schemeClr w14:val="tx1"/>
                  </w14:solidFill>
                </w14:textFill>
              </w:rPr>
              <w:t>A</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本项目劳动定员为</w:t>
            </w:r>
            <w:r>
              <w:rPr>
                <w:rFonts w:hint="eastAsia" w:cs="Times New Roman"/>
                <w:sz w:val="24"/>
                <w:szCs w:val="24"/>
                <w:highlight w:val="none"/>
                <w:vertAlign w:val="baseline"/>
                <w:lang w:val="en-US" w:eastAsia="zh-CN"/>
              </w:rPr>
              <w:t>塔然高勒煤矿现有员工调配，不新增生活污水量</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spacing w:val="0"/>
                <w:kern w:val="21"/>
                <w:position w:val="0"/>
                <w:sz w:val="24"/>
                <w:szCs w:val="24"/>
                <w:highlight w:val="none"/>
                <w:lang w:val="en-US" w:eastAsia="zh-CN" w:bidi="ar-SA"/>
              </w:rPr>
            </w:pPr>
            <w:r>
              <w:rPr>
                <w:rFonts w:hint="eastAsia" w:cs="Times New Roman"/>
                <w:color w:val="000000" w:themeColor="text1"/>
                <w:spacing w:val="0"/>
                <w:kern w:val="21"/>
                <w:position w:val="0"/>
                <w:sz w:val="24"/>
                <w:szCs w:val="24"/>
                <w:highlight w:val="none"/>
                <w:lang w:val="en-US" w:eastAsia="zh-CN"/>
                <w14:textFill>
                  <w14:solidFill>
                    <w14:schemeClr w14:val="tx1"/>
                  </w14:solidFill>
                </w14:textFill>
              </w:rPr>
              <w:t>B</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乏风取热设施生产冲洗最高日用水量为400m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/d，最大小时用水量为25m</w:t>
            </w:r>
            <w:r>
              <w:rPr>
                <w:rFonts w:hint="default" w:ascii="Times New Roman" w:hAnsi="Times New Roman" w:eastAsia="宋体" w:cs="Times New Roman"/>
                <w:color w:val="000000" w:themeColor="text1"/>
                <w:kern w:val="2"/>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/h。</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损耗按5%计，</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乏风取热</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系统废水产生量约380</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color w:val="000000" w:themeColor="text1"/>
                <w:kern w:val="2"/>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/d</w:t>
            </w:r>
            <w:r>
              <w:rPr>
                <w:rFonts w:hint="eastAsia"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乏风取热设施生产冲洗</w:t>
            </w:r>
            <w:r>
              <w:rPr>
                <w:rFonts w:hint="eastAsia" w:cs="Times New Roman"/>
                <w:color w:val="000000" w:themeColor="text1"/>
                <w:spacing w:val="0"/>
                <w:kern w:val="21"/>
                <w:position w:val="0"/>
                <w:sz w:val="24"/>
                <w:szCs w:val="24"/>
                <w:highlight w:val="none"/>
                <w:lang w:val="en-US" w:eastAsia="zh-CN"/>
                <w14:textFill>
                  <w14:solidFill>
                    <w14:schemeClr w14:val="tx1"/>
                  </w14:solidFill>
                </w14:textFill>
              </w:rPr>
              <w:t>水</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与冷凝水</w:t>
            </w:r>
            <w:r>
              <w:rPr>
                <w:rFonts w:hint="default" w:ascii="Times New Roman" w:hAnsi="Times New Roman" w:eastAsia="宋体" w:cs="Times New Roman"/>
                <w:bCs/>
                <w:spacing w:val="0"/>
                <w:kern w:val="21"/>
                <w:position w:val="0"/>
                <w:sz w:val="24"/>
                <w:szCs w:val="24"/>
                <w:highlight w:val="none"/>
                <w:lang w:val="en-US" w:eastAsia="zh-CN" w:bidi="ar-SA"/>
              </w:rPr>
              <w:t>汇入凝结水池收集后进入雨水收集池，</w:t>
            </w:r>
            <w:r>
              <w:rPr>
                <w:rFonts w:hint="eastAsia" w:cs="Times New Roman"/>
                <w:bCs/>
                <w:spacing w:val="0"/>
                <w:kern w:val="21"/>
                <w:position w:val="0"/>
                <w:sz w:val="24"/>
                <w:szCs w:val="24"/>
                <w:highlight w:val="none"/>
                <w:lang w:val="en-US" w:eastAsia="zh-CN" w:bidi="ar-SA"/>
              </w:rPr>
              <w:t>最终</w:t>
            </w:r>
            <w:r>
              <w:rPr>
                <w:rFonts w:hint="default" w:ascii="Times New Roman" w:hAnsi="Times New Roman" w:eastAsia="宋体" w:cs="Times New Roman"/>
                <w:spacing w:val="0"/>
                <w:kern w:val="21"/>
                <w:position w:val="0"/>
                <w:sz w:val="24"/>
                <w:szCs w:val="24"/>
                <w:highlight w:val="none"/>
                <w:lang w:eastAsia="zh-CN"/>
              </w:rPr>
              <w:t>送</w:t>
            </w:r>
            <w:r>
              <w:rPr>
                <w:rFonts w:hint="default" w:ascii="Times New Roman" w:hAnsi="Times New Roman" w:eastAsia="宋体" w:cs="Times New Roman"/>
                <w:spacing w:val="0"/>
                <w:kern w:val="21"/>
                <w:position w:val="0"/>
                <w:sz w:val="24"/>
                <w:szCs w:val="24"/>
                <w:highlight w:val="none"/>
              </w:rPr>
              <w:t>至</w:t>
            </w:r>
            <w:r>
              <w:rPr>
                <w:rFonts w:hint="default" w:ascii="Times New Roman" w:hAnsi="Times New Roman" w:eastAsia="宋体" w:cs="Times New Roman"/>
                <w:spacing w:val="0"/>
                <w:kern w:val="21"/>
                <w:position w:val="0"/>
                <w:sz w:val="24"/>
                <w:szCs w:val="24"/>
                <w:highlight w:val="none"/>
                <w:lang w:eastAsia="zh-CN"/>
              </w:rPr>
              <w:t>塔然高勒煤矿</w:t>
            </w:r>
            <w:r>
              <w:rPr>
                <w:rFonts w:hint="default" w:ascii="Times New Roman" w:hAnsi="Times New Roman" w:eastAsia="宋体" w:cs="Times New Roman"/>
                <w:spacing w:val="0"/>
                <w:kern w:val="21"/>
                <w:position w:val="0"/>
                <w:sz w:val="24"/>
                <w:szCs w:val="24"/>
                <w:highlight w:val="none"/>
              </w:rPr>
              <w:t>矿井水处理站进行处理</w:t>
            </w:r>
            <w:r>
              <w:rPr>
                <w:rFonts w:hint="default" w:ascii="Times New Roman" w:hAnsi="Times New Roman" w:eastAsia="宋体" w:cs="Times New Roman"/>
                <w:bCs/>
                <w:spacing w:val="0"/>
                <w:kern w:val="21"/>
                <w:position w:val="0"/>
                <w:sz w:val="24"/>
                <w:szCs w:val="24"/>
                <w:highlight w:val="none"/>
                <w:lang w:val="en-US" w:eastAsia="zh-CN" w:bidi="ar-SA"/>
              </w:rPr>
              <w:t>。矿井水经过处理后，可以作为井下消防、选煤等用水，矿井水水质满足《煤炭洗选工程设计规范》（GB50359</w:t>
            </w:r>
            <w:r>
              <w:rPr>
                <w:rFonts w:hint="eastAsia" w:cs="Times New Roman"/>
                <w:bCs/>
                <w:spacing w:val="0"/>
                <w:kern w:val="21"/>
                <w:position w:val="0"/>
                <w:sz w:val="24"/>
                <w:szCs w:val="24"/>
                <w:highlight w:val="none"/>
                <w:lang w:val="en-US" w:eastAsia="zh-CN" w:bidi="ar-SA"/>
              </w:rPr>
              <w:t>-</w:t>
            </w:r>
            <w:r>
              <w:rPr>
                <w:rFonts w:hint="default" w:ascii="Times New Roman" w:hAnsi="Times New Roman" w:eastAsia="宋体" w:cs="Times New Roman"/>
                <w:bCs/>
                <w:spacing w:val="0"/>
                <w:kern w:val="21"/>
                <w:position w:val="0"/>
                <w:sz w:val="24"/>
                <w:szCs w:val="24"/>
                <w:highlight w:val="none"/>
                <w:lang w:val="en-US" w:eastAsia="zh-CN" w:bidi="ar-SA"/>
              </w:rPr>
              <w:t>2016）中选煤厂补充用水水质标准的要求以及《城市污水再生利用城市杂用水水质》（GB/T18920</w:t>
            </w:r>
            <w:r>
              <w:rPr>
                <w:rFonts w:hint="eastAsia" w:cs="Times New Roman"/>
                <w:bCs/>
                <w:spacing w:val="0"/>
                <w:kern w:val="21"/>
                <w:position w:val="0"/>
                <w:sz w:val="24"/>
                <w:szCs w:val="24"/>
                <w:highlight w:val="none"/>
                <w:lang w:val="en-US" w:eastAsia="zh-CN" w:bidi="ar-SA"/>
              </w:rPr>
              <w:t>-</w:t>
            </w:r>
            <w:r>
              <w:rPr>
                <w:rFonts w:hint="default" w:ascii="Times New Roman" w:hAnsi="Times New Roman" w:eastAsia="宋体" w:cs="Times New Roman"/>
                <w:bCs/>
                <w:spacing w:val="0"/>
                <w:kern w:val="21"/>
                <w:position w:val="0"/>
                <w:sz w:val="24"/>
                <w:szCs w:val="24"/>
                <w:highlight w:val="none"/>
                <w:lang w:val="en-US" w:eastAsia="zh-CN" w:bidi="ar-SA"/>
              </w:rPr>
              <w:t>2020）中绿化、道路清扫用水水质要求，经过深度处理后矿井水的水质符合《煤矿井下消防、洒水设计规范》（GB50383</w:t>
            </w:r>
            <w:r>
              <w:rPr>
                <w:rFonts w:hint="eastAsia" w:cs="Times New Roman"/>
                <w:bCs/>
                <w:spacing w:val="0"/>
                <w:kern w:val="21"/>
                <w:position w:val="0"/>
                <w:sz w:val="24"/>
                <w:szCs w:val="24"/>
                <w:highlight w:val="none"/>
                <w:lang w:val="en-US" w:eastAsia="zh-CN" w:bidi="ar-SA"/>
              </w:rPr>
              <w:t>-</w:t>
            </w:r>
            <w:r>
              <w:rPr>
                <w:rFonts w:hint="default" w:ascii="Times New Roman" w:hAnsi="Times New Roman" w:eastAsia="宋体" w:cs="Times New Roman"/>
                <w:bCs/>
                <w:spacing w:val="0"/>
                <w:kern w:val="21"/>
                <w:position w:val="0"/>
                <w:sz w:val="24"/>
                <w:szCs w:val="24"/>
                <w:highlight w:val="none"/>
                <w:lang w:val="en-US" w:eastAsia="zh-CN" w:bidi="ar-SA"/>
              </w:rPr>
              <w:t>2016）中井下消防用水标准等水质要求。</w:t>
            </w:r>
            <w:r>
              <w:rPr>
                <w:rFonts w:hint="eastAsia" w:ascii="Times New Roman" w:hAnsi="Times New Roman" w:eastAsia="宋体" w:cs="Times New Roman"/>
                <w:bCs/>
                <w:spacing w:val="0"/>
                <w:kern w:val="21"/>
                <w:position w:val="0"/>
                <w:sz w:val="24"/>
                <w:szCs w:val="24"/>
                <w:highlight w:val="none"/>
                <w:lang w:val="en-US" w:eastAsia="zh-CN" w:bidi="ar-SA"/>
              </w:rPr>
              <w:t>不外排。</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eastAsia" w:ascii="Times New Roman" w:hAnsi="Times New Roman" w:eastAsia="宋体" w:cs="Times New Roman"/>
                <w:bCs/>
                <w:spacing w:val="0"/>
                <w:kern w:val="21"/>
                <w:position w:val="0"/>
                <w:sz w:val="24"/>
                <w:szCs w:val="24"/>
                <w:highlight w:val="none"/>
                <w:lang w:val="en-US" w:eastAsia="zh-CN" w:bidi="ar-SA"/>
              </w:rPr>
            </w:pPr>
            <w:r>
              <w:rPr>
                <w:rFonts w:hint="eastAsia" w:cs="Times New Roman"/>
                <w:spacing w:val="0"/>
                <w:kern w:val="21"/>
                <w:position w:val="0"/>
                <w:sz w:val="24"/>
                <w:szCs w:val="24"/>
                <w:highlight w:val="none"/>
                <w:lang w:val="en-US" w:eastAsia="zh-CN"/>
              </w:rPr>
              <w:t>C</w:t>
            </w:r>
            <w:r>
              <w:rPr>
                <w:rFonts w:hint="default" w:ascii="Times New Roman" w:hAnsi="Times New Roman" w:eastAsia="宋体" w:cs="Times New Roman"/>
                <w:spacing w:val="0"/>
                <w:kern w:val="21"/>
                <w:position w:val="0"/>
                <w:sz w:val="24"/>
                <w:szCs w:val="24"/>
                <w:highlight w:val="none"/>
              </w:rPr>
              <w:t>北部风井场地采用雨污分流排水系统，场区雨水采用盖板明沟的排水方式</w:t>
            </w:r>
            <w:r>
              <w:rPr>
                <w:rFonts w:hint="default" w:ascii="Times New Roman" w:hAnsi="Times New Roman" w:eastAsia="宋体" w:cs="Times New Roman"/>
                <w:spacing w:val="0"/>
                <w:kern w:val="21"/>
                <w:position w:val="0"/>
                <w:sz w:val="24"/>
                <w:szCs w:val="24"/>
                <w:highlight w:val="none"/>
                <w:lang w:eastAsia="zh-CN"/>
              </w:rPr>
              <w:t>。</w:t>
            </w:r>
            <w:r>
              <w:rPr>
                <w:rFonts w:hint="default" w:ascii="Times New Roman" w:hAnsi="Times New Roman" w:eastAsia="宋体" w:cs="Times New Roman"/>
                <w:spacing w:val="0"/>
                <w:kern w:val="21"/>
                <w:position w:val="0"/>
                <w:sz w:val="24"/>
                <w:szCs w:val="24"/>
                <w:highlight w:val="none"/>
              </w:rPr>
              <w:t>雨水经排水明沟汇入场地初期雨水集水池。初期雨水池内储存的初期雨水被送至塔然高勒煤矿矿井水处理站进行处理。</w:t>
            </w:r>
            <w:r>
              <w:rPr>
                <w:rFonts w:hint="default" w:ascii="Times New Roman" w:hAnsi="Times New Roman" w:eastAsia="宋体" w:cs="Times New Roman"/>
                <w:spacing w:val="0"/>
                <w:kern w:val="21"/>
                <w:position w:val="0"/>
                <w:sz w:val="24"/>
                <w:szCs w:val="24"/>
                <w:highlight w:val="none"/>
                <w:lang w:val="en-US" w:eastAsia="zh-CN"/>
              </w:rPr>
              <w:t>根据《塔然</w:t>
            </w:r>
            <w:r>
              <w:rPr>
                <w:rFonts w:hint="default" w:ascii="Times New Roman" w:hAnsi="Times New Roman" w:eastAsia="宋体" w:cs="Times New Roman"/>
                <w:bCs/>
                <w:spacing w:val="0"/>
                <w:kern w:val="21"/>
                <w:position w:val="0"/>
                <w:sz w:val="24"/>
                <w:szCs w:val="24"/>
                <w:highlight w:val="none"/>
                <w:lang w:val="en-US" w:eastAsia="zh-CN" w:bidi="ar-SA"/>
              </w:rPr>
              <w:t>高勒矿井及选煤厂初步设计</w:t>
            </w:r>
            <w:r>
              <w:rPr>
                <w:rFonts w:hint="eastAsia" w:cs="Times New Roman"/>
                <w:bCs/>
                <w:spacing w:val="0"/>
                <w:kern w:val="21"/>
                <w:position w:val="0"/>
                <w:sz w:val="24"/>
                <w:szCs w:val="24"/>
                <w:highlight w:val="none"/>
                <w:lang w:val="en-US" w:eastAsia="zh-CN" w:bidi="ar-SA"/>
              </w:rPr>
              <w:t>（</w:t>
            </w:r>
            <w:r>
              <w:rPr>
                <w:rFonts w:hint="default" w:ascii="Times New Roman" w:hAnsi="Times New Roman" w:eastAsia="宋体" w:cs="Times New Roman"/>
                <w:bCs/>
                <w:spacing w:val="0"/>
                <w:kern w:val="21"/>
                <w:position w:val="0"/>
                <w:sz w:val="24"/>
                <w:szCs w:val="24"/>
                <w:highlight w:val="none"/>
                <w:lang w:val="en-US" w:eastAsia="zh-CN" w:bidi="ar-SA"/>
              </w:rPr>
              <w:t>修改）</w:t>
            </w:r>
            <w:r>
              <w:rPr>
                <w:rFonts w:hint="eastAsia" w:cs="Times New Roman"/>
                <w:bCs/>
                <w:spacing w:val="0"/>
                <w:kern w:val="21"/>
                <w:position w:val="0"/>
                <w:sz w:val="24"/>
                <w:szCs w:val="24"/>
                <w:highlight w:val="none"/>
                <w:lang w:val="en-US" w:eastAsia="zh-CN" w:bidi="ar-SA"/>
              </w:rPr>
              <w:t>（</w:t>
            </w:r>
            <w:r>
              <w:rPr>
                <w:rFonts w:hint="default" w:ascii="Times New Roman" w:hAnsi="Times New Roman" w:eastAsia="宋体" w:cs="Times New Roman"/>
                <w:bCs/>
                <w:spacing w:val="0"/>
                <w:kern w:val="21"/>
                <w:position w:val="0"/>
                <w:sz w:val="24"/>
                <w:szCs w:val="24"/>
                <w:highlight w:val="none"/>
                <w:lang w:val="en-US" w:eastAsia="zh-CN" w:bidi="ar-SA"/>
              </w:rPr>
              <w:t>矿井部分）说明书》中关于风井场地雨水收集的要求</w:t>
            </w:r>
            <w:r>
              <w:rPr>
                <w:rFonts w:hint="eastAsia" w:cs="Times New Roman"/>
                <w:bCs/>
                <w:spacing w:val="0"/>
                <w:kern w:val="21"/>
                <w:position w:val="0"/>
                <w:sz w:val="24"/>
                <w:szCs w:val="24"/>
                <w:highlight w:val="none"/>
                <w:lang w:val="en-US" w:eastAsia="zh-CN" w:bidi="ar-SA"/>
              </w:rPr>
              <w:t>，</w:t>
            </w:r>
            <w:r>
              <w:rPr>
                <w:rFonts w:hint="default" w:ascii="Times New Roman" w:hAnsi="Times New Roman" w:eastAsia="宋体" w:cs="Times New Roman"/>
                <w:spacing w:val="0"/>
                <w:kern w:val="21"/>
                <w:position w:val="0"/>
                <w:sz w:val="24"/>
                <w:szCs w:val="24"/>
                <w:highlight w:val="none"/>
              </w:rPr>
              <w:t>需要调蓄雨水容积为237m</w:t>
            </w:r>
            <w:r>
              <w:rPr>
                <w:rFonts w:hint="default" w:ascii="Times New Roman" w:hAnsi="Times New Roman" w:eastAsia="宋体" w:cs="Times New Roman"/>
                <w:spacing w:val="0"/>
                <w:kern w:val="21"/>
                <w:position w:val="0"/>
                <w:sz w:val="24"/>
                <w:szCs w:val="24"/>
                <w:highlight w:val="none"/>
                <w:vertAlign w:val="superscript"/>
              </w:rPr>
              <w:t>3</w:t>
            </w:r>
            <w:r>
              <w:rPr>
                <w:rFonts w:hint="eastAsia" w:ascii="Times New Roman" w:hAnsi="Times New Roman" w:eastAsia="宋体" w:cs="Times New Roman"/>
                <w:spacing w:val="0"/>
                <w:kern w:val="21"/>
                <w:position w:val="0"/>
                <w:sz w:val="24"/>
                <w:szCs w:val="24"/>
                <w:highlight w:val="none"/>
                <w:vertAlign w:val="baseline"/>
                <w:lang w:eastAsia="zh-CN"/>
              </w:rPr>
              <w:t>。</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default" w:ascii="Times New Roman" w:hAnsi="Times New Roman" w:eastAsia="宋体" w:cs="Times New Roman"/>
                <w:spacing w:val="0"/>
                <w:kern w:val="21"/>
                <w:position w:val="0"/>
                <w:sz w:val="24"/>
                <w:szCs w:val="24"/>
                <w:highlight w:val="none"/>
              </w:rPr>
            </w:pPr>
            <w:r>
              <w:rPr>
                <w:rFonts w:hint="default" w:ascii="Times New Roman" w:hAnsi="Times New Roman" w:eastAsia="宋体" w:cs="Times New Roman"/>
                <w:spacing w:val="0"/>
                <w:kern w:val="21"/>
                <w:position w:val="0"/>
                <w:sz w:val="24"/>
                <w:szCs w:val="24"/>
                <w:highlight w:val="none"/>
              </w:rPr>
              <w:t>初期雨水调蓄池的有效容积可按下式计算：</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1200" w:firstLineChars="500"/>
              <w:jc w:val="both"/>
              <w:textAlignment w:val="auto"/>
              <w:rPr>
                <w:rFonts w:hint="default" w:ascii="Times New Roman" w:hAnsi="Times New Roman" w:eastAsia="宋体" w:cs="Times New Roman"/>
                <w:spacing w:val="0"/>
                <w:kern w:val="21"/>
                <w:position w:val="0"/>
                <w:sz w:val="24"/>
                <w:szCs w:val="24"/>
                <w:highlight w:val="none"/>
              </w:rPr>
            </w:pPr>
            <w:r>
              <w:rPr>
                <w:rFonts w:hint="default" w:ascii="Times New Roman" w:hAnsi="Times New Roman" w:eastAsia="宋体" w:cs="Times New Roman"/>
                <w:spacing w:val="0"/>
                <w:kern w:val="21"/>
                <w:position w:val="0"/>
                <w:sz w:val="24"/>
                <w:szCs w:val="24"/>
                <w:highlight w:val="none"/>
              </w:rPr>
              <w:t>V= 10×D×F×β×ψ</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default" w:ascii="Times New Roman" w:hAnsi="Times New Roman" w:eastAsia="宋体" w:cs="Times New Roman"/>
                <w:spacing w:val="0"/>
                <w:kern w:val="21"/>
                <w:position w:val="0"/>
                <w:sz w:val="24"/>
                <w:szCs w:val="24"/>
                <w:highlight w:val="none"/>
              </w:rPr>
            </w:pPr>
            <w:r>
              <w:rPr>
                <w:rFonts w:hint="default" w:ascii="Times New Roman" w:hAnsi="Times New Roman" w:eastAsia="宋体" w:cs="Times New Roman"/>
                <w:spacing w:val="0"/>
                <w:kern w:val="21"/>
                <w:position w:val="0"/>
                <w:sz w:val="24"/>
                <w:szCs w:val="24"/>
                <w:highlight w:val="none"/>
              </w:rPr>
              <w:t>式中：V</w:t>
            </w:r>
            <w:r>
              <w:rPr>
                <w:rFonts w:hint="eastAsia" w:cs="Times New Roman"/>
                <w:spacing w:val="0"/>
                <w:kern w:val="21"/>
                <w:position w:val="0"/>
                <w:sz w:val="24"/>
                <w:szCs w:val="24"/>
                <w:highlight w:val="none"/>
                <w:lang w:eastAsia="zh-CN"/>
              </w:rPr>
              <w:t>--</w:t>
            </w:r>
            <w:r>
              <w:rPr>
                <w:rFonts w:hint="default" w:ascii="Times New Roman" w:hAnsi="Times New Roman" w:eastAsia="宋体" w:cs="Times New Roman"/>
                <w:spacing w:val="0"/>
                <w:kern w:val="21"/>
                <w:position w:val="0"/>
                <w:sz w:val="24"/>
                <w:szCs w:val="24"/>
                <w:highlight w:val="none"/>
              </w:rPr>
              <w:t xml:space="preserve"> 雨水调蓄池</w:t>
            </w:r>
            <w:r>
              <w:rPr>
                <w:rFonts w:hint="eastAsia" w:cs="Times New Roman"/>
                <w:spacing w:val="0"/>
                <w:kern w:val="21"/>
                <w:position w:val="0"/>
                <w:sz w:val="24"/>
                <w:szCs w:val="24"/>
                <w:highlight w:val="none"/>
                <w:lang w:eastAsia="zh-CN"/>
              </w:rPr>
              <w:t>的</w:t>
            </w:r>
            <w:r>
              <w:rPr>
                <w:rFonts w:hint="default" w:ascii="Times New Roman" w:hAnsi="Times New Roman" w:eastAsia="宋体" w:cs="Times New Roman"/>
                <w:spacing w:val="0"/>
                <w:kern w:val="21"/>
                <w:position w:val="0"/>
                <w:sz w:val="24"/>
                <w:szCs w:val="24"/>
                <w:highlight w:val="none"/>
              </w:rPr>
              <w:t>有效容积，m</w:t>
            </w:r>
            <w:r>
              <w:rPr>
                <w:rFonts w:hint="default" w:ascii="Times New Roman" w:hAnsi="Times New Roman" w:eastAsia="宋体" w:cs="Times New Roman"/>
                <w:spacing w:val="0"/>
                <w:kern w:val="21"/>
                <w:position w:val="0"/>
                <w:sz w:val="24"/>
                <w:szCs w:val="24"/>
                <w:highlight w:val="none"/>
                <w:vertAlign w:val="superscript"/>
              </w:rPr>
              <w:t>3</w:t>
            </w:r>
            <w:r>
              <w:rPr>
                <w:rFonts w:hint="default" w:ascii="Times New Roman" w:hAnsi="Times New Roman" w:eastAsia="宋体" w:cs="Times New Roman"/>
                <w:spacing w:val="0"/>
                <w:kern w:val="21"/>
                <w:position w:val="0"/>
                <w:sz w:val="24"/>
                <w:szCs w:val="24"/>
                <w:highlight w:val="none"/>
              </w:rPr>
              <w:t>；</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1200" w:firstLineChars="500"/>
              <w:jc w:val="both"/>
              <w:textAlignment w:val="auto"/>
              <w:rPr>
                <w:rFonts w:hint="default" w:ascii="Times New Roman" w:hAnsi="Times New Roman" w:eastAsia="宋体" w:cs="Times New Roman"/>
                <w:spacing w:val="0"/>
                <w:kern w:val="21"/>
                <w:position w:val="0"/>
                <w:sz w:val="24"/>
                <w:szCs w:val="24"/>
                <w:highlight w:val="none"/>
              </w:rPr>
            </w:pPr>
            <w:r>
              <w:rPr>
                <w:rFonts w:hint="default" w:ascii="Times New Roman" w:hAnsi="Times New Roman" w:eastAsia="宋体" w:cs="Times New Roman"/>
                <w:spacing w:val="0"/>
                <w:kern w:val="21"/>
                <w:position w:val="0"/>
                <w:sz w:val="24"/>
                <w:szCs w:val="24"/>
                <w:highlight w:val="none"/>
              </w:rPr>
              <w:t>D</w:t>
            </w:r>
            <w:r>
              <w:rPr>
                <w:rFonts w:hint="eastAsia" w:cs="Times New Roman"/>
                <w:spacing w:val="0"/>
                <w:kern w:val="21"/>
                <w:position w:val="0"/>
                <w:sz w:val="24"/>
                <w:szCs w:val="24"/>
                <w:highlight w:val="none"/>
                <w:lang w:eastAsia="zh-CN"/>
              </w:rPr>
              <w:t>--</w:t>
            </w:r>
            <w:r>
              <w:rPr>
                <w:rFonts w:hint="default" w:ascii="Times New Roman" w:hAnsi="Times New Roman" w:eastAsia="宋体" w:cs="Times New Roman"/>
                <w:spacing w:val="0"/>
                <w:kern w:val="21"/>
                <w:position w:val="0"/>
                <w:sz w:val="24"/>
                <w:szCs w:val="24"/>
                <w:highlight w:val="none"/>
              </w:rPr>
              <w:t>调蓄</w:t>
            </w:r>
            <w:r>
              <w:rPr>
                <w:rFonts w:hint="eastAsia" w:cs="Times New Roman"/>
                <w:spacing w:val="0"/>
                <w:kern w:val="21"/>
                <w:position w:val="0"/>
                <w:sz w:val="24"/>
                <w:szCs w:val="24"/>
                <w:highlight w:val="none"/>
                <w:lang w:eastAsia="zh-CN"/>
              </w:rPr>
              <w:t>水</w:t>
            </w:r>
            <w:r>
              <w:rPr>
                <w:rFonts w:hint="default" w:ascii="Times New Roman" w:hAnsi="Times New Roman" w:eastAsia="宋体" w:cs="Times New Roman"/>
                <w:spacing w:val="0"/>
                <w:kern w:val="21"/>
                <w:position w:val="0"/>
                <w:sz w:val="24"/>
                <w:szCs w:val="24"/>
                <w:highlight w:val="none"/>
              </w:rPr>
              <w:t>量 mm；</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1200" w:firstLineChars="500"/>
              <w:jc w:val="both"/>
              <w:textAlignment w:val="auto"/>
              <w:rPr>
                <w:rFonts w:hint="default" w:ascii="Times New Roman" w:hAnsi="Times New Roman" w:eastAsia="宋体" w:cs="Times New Roman"/>
                <w:spacing w:val="0"/>
                <w:kern w:val="21"/>
                <w:position w:val="0"/>
                <w:sz w:val="24"/>
                <w:szCs w:val="24"/>
                <w:highlight w:val="none"/>
              </w:rPr>
            </w:pPr>
            <w:r>
              <w:rPr>
                <w:rFonts w:hint="default" w:ascii="Times New Roman" w:hAnsi="Times New Roman" w:eastAsia="宋体" w:cs="Times New Roman"/>
                <w:spacing w:val="0"/>
                <w:kern w:val="21"/>
                <w:position w:val="0"/>
                <w:sz w:val="24"/>
                <w:szCs w:val="24"/>
                <w:highlight w:val="none"/>
              </w:rPr>
              <w:t>β</w:t>
            </w:r>
            <w:r>
              <w:rPr>
                <w:rFonts w:hint="eastAsia" w:cs="Times New Roman"/>
                <w:spacing w:val="0"/>
                <w:kern w:val="21"/>
                <w:position w:val="0"/>
                <w:sz w:val="24"/>
                <w:szCs w:val="24"/>
                <w:highlight w:val="none"/>
                <w:lang w:eastAsia="zh-CN"/>
              </w:rPr>
              <w:t>--</w:t>
            </w:r>
            <w:r>
              <w:rPr>
                <w:rFonts w:hint="default" w:ascii="Times New Roman" w:hAnsi="Times New Roman" w:eastAsia="宋体" w:cs="Times New Roman"/>
                <w:spacing w:val="0"/>
                <w:kern w:val="21"/>
                <w:position w:val="0"/>
                <w:sz w:val="24"/>
                <w:szCs w:val="24"/>
                <w:highlight w:val="none"/>
              </w:rPr>
              <w:t xml:space="preserve"> 安全系数；</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1200" w:firstLineChars="500"/>
              <w:jc w:val="both"/>
              <w:textAlignment w:val="auto"/>
              <w:rPr>
                <w:rFonts w:hint="default" w:ascii="Times New Roman" w:hAnsi="Times New Roman" w:eastAsia="宋体" w:cs="Times New Roman"/>
                <w:spacing w:val="0"/>
                <w:kern w:val="21"/>
                <w:position w:val="0"/>
                <w:sz w:val="24"/>
                <w:szCs w:val="24"/>
                <w:highlight w:val="none"/>
              </w:rPr>
            </w:pPr>
            <w:r>
              <w:rPr>
                <w:rFonts w:hint="default" w:ascii="Times New Roman" w:hAnsi="Times New Roman" w:eastAsia="宋体" w:cs="Times New Roman"/>
                <w:spacing w:val="0"/>
                <w:kern w:val="21"/>
                <w:position w:val="0"/>
                <w:sz w:val="24"/>
                <w:szCs w:val="24"/>
                <w:highlight w:val="none"/>
              </w:rPr>
              <w:t>Ψ</w:t>
            </w:r>
            <w:r>
              <w:rPr>
                <w:rFonts w:hint="eastAsia" w:cs="Times New Roman"/>
                <w:spacing w:val="0"/>
                <w:kern w:val="21"/>
                <w:position w:val="0"/>
                <w:sz w:val="24"/>
                <w:szCs w:val="24"/>
                <w:highlight w:val="none"/>
                <w:lang w:eastAsia="zh-CN"/>
              </w:rPr>
              <w:t>--</w:t>
            </w:r>
            <w:r>
              <w:rPr>
                <w:rFonts w:hint="default" w:ascii="Times New Roman" w:hAnsi="Times New Roman" w:eastAsia="宋体" w:cs="Times New Roman"/>
                <w:spacing w:val="0"/>
                <w:kern w:val="21"/>
                <w:position w:val="0"/>
                <w:sz w:val="24"/>
                <w:szCs w:val="24"/>
                <w:highlight w:val="none"/>
              </w:rPr>
              <w:t>径流系数；</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1200" w:firstLineChars="500"/>
              <w:jc w:val="both"/>
              <w:textAlignment w:val="auto"/>
              <w:rPr>
                <w:rFonts w:hint="default" w:ascii="Times New Roman" w:hAnsi="Times New Roman" w:eastAsia="宋体" w:cs="Times New Roman"/>
                <w:spacing w:val="0"/>
                <w:kern w:val="21"/>
                <w:position w:val="0"/>
                <w:sz w:val="24"/>
                <w:szCs w:val="24"/>
                <w:highlight w:val="none"/>
              </w:rPr>
            </w:pPr>
            <w:r>
              <w:rPr>
                <w:rFonts w:hint="default" w:ascii="Times New Roman" w:hAnsi="Times New Roman" w:eastAsia="宋体" w:cs="Times New Roman"/>
                <w:spacing w:val="0"/>
                <w:kern w:val="21"/>
                <w:position w:val="0"/>
                <w:sz w:val="24"/>
                <w:szCs w:val="24"/>
                <w:highlight w:val="none"/>
              </w:rPr>
              <w:t>F</w:t>
            </w:r>
            <w:r>
              <w:rPr>
                <w:rFonts w:hint="eastAsia" w:cs="Times New Roman"/>
                <w:spacing w:val="0"/>
                <w:kern w:val="21"/>
                <w:position w:val="0"/>
                <w:sz w:val="24"/>
                <w:szCs w:val="24"/>
                <w:highlight w:val="none"/>
                <w:lang w:eastAsia="zh-CN"/>
              </w:rPr>
              <w:t>--</w:t>
            </w:r>
            <w:r>
              <w:rPr>
                <w:rFonts w:hint="default" w:ascii="Times New Roman" w:hAnsi="Times New Roman" w:eastAsia="宋体" w:cs="Times New Roman"/>
                <w:spacing w:val="0"/>
                <w:kern w:val="21"/>
                <w:position w:val="0"/>
                <w:sz w:val="24"/>
                <w:szCs w:val="24"/>
                <w:highlight w:val="none"/>
              </w:rPr>
              <w:t>汇水面积，hm</w:t>
            </w:r>
            <w:r>
              <w:rPr>
                <w:rFonts w:hint="default" w:ascii="Times New Roman" w:hAnsi="Times New Roman" w:eastAsia="宋体" w:cs="Times New Roman"/>
                <w:spacing w:val="0"/>
                <w:kern w:val="21"/>
                <w:position w:val="0"/>
                <w:sz w:val="24"/>
                <w:szCs w:val="24"/>
                <w:highlight w:val="none"/>
                <w:vertAlign w:val="superscript"/>
              </w:rPr>
              <w:t>2</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default" w:ascii="Times New Roman" w:hAnsi="Times New Roman" w:eastAsia="宋体" w:cs="Times New Roman"/>
                <w:bCs/>
                <w:spacing w:val="0"/>
                <w:kern w:val="21"/>
                <w:position w:val="0"/>
                <w:sz w:val="24"/>
                <w:szCs w:val="24"/>
                <w:highlight w:val="none"/>
                <w:lang w:val="en-US" w:eastAsia="zh-CN" w:bidi="ar-SA"/>
              </w:rPr>
            </w:pPr>
            <w:r>
              <w:rPr>
                <w:rFonts w:hint="default" w:ascii="Times New Roman" w:hAnsi="Times New Roman" w:eastAsia="宋体" w:cs="Times New Roman"/>
                <w:spacing w:val="0"/>
                <w:kern w:val="21"/>
                <w:position w:val="0"/>
                <w:sz w:val="24"/>
                <w:szCs w:val="24"/>
                <w:highlight w:val="none"/>
              </w:rPr>
              <w:t>北部风井场地初期雨水</w:t>
            </w:r>
            <w:r>
              <w:rPr>
                <w:rFonts w:hint="default" w:ascii="Times New Roman" w:hAnsi="Times New Roman" w:eastAsia="宋体" w:cs="Times New Roman"/>
                <w:spacing w:val="0"/>
                <w:kern w:val="21"/>
                <w:position w:val="0"/>
                <w:sz w:val="24"/>
                <w:szCs w:val="24"/>
                <w:highlight w:val="none"/>
                <w:lang w:eastAsia="zh-CN"/>
              </w:rPr>
              <w:t>收集</w:t>
            </w:r>
            <w:r>
              <w:rPr>
                <w:rFonts w:hint="default" w:ascii="Times New Roman" w:hAnsi="Times New Roman" w:eastAsia="宋体" w:cs="Times New Roman"/>
                <w:spacing w:val="0"/>
                <w:kern w:val="21"/>
                <w:position w:val="0"/>
                <w:sz w:val="24"/>
                <w:szCs w:val="24"/>
                <w:highlight w:val="none"/>
              </w:rPr>
              <w:t>池计算汇水面积2.2hm</w:t>
            </w:r>
            <w:r>
              <w:rPr>
                <w:rFonts w:hint="default" w:ascii="Times New Roman" w:hAnsi="Times New Roman" w:eastAsia="宋体" w:cs="Times New Roman"/>
                <w:spacing w:val="0"/>
                <w:kern w:val="21"/>
                <w:position w:val="0"/>
                <w:sz w:val="24"/>
                <w:szCs w:val="24"/>
                <w:highlight w:val="none"/>
                <w:vertAlign w:val="superscript"/>
              </w:rPr>
              <w:t>2</w:t>
            </w:r>
            <w:r>
              <w:rPr>
                <w:rFonts w:hint="default" w:ascii="Times New Roman" w:hAnsi="Times New Roman" w:eastAsia="宋体" w:cs="Times New Roman"/>
                <w:spacing w:val="0"/>
                <w:kern w:val="21"/>
                <w:position w:val="0"/>
                <w:sz w:val="24"/>
                <w:szCs w:val="24"/>
                <w:highlight w:val="none"/>
              </w:rPr>
              <w:t>，径流系数0.9，安全系数1.5，经计算需要调蓄雨水容积为237m</w:t>
            </w:r>
            <w:r>
              <w:rPr>
                <w:rFonts w:hint="default" w:ascii="Times New Roman" w:hAnsi="Times New Roman" w:eastAsia="宋体" w:cs="Times New Roman"/>
                <w:spacing w:val="0"/>
                <w:kern w:val="21"/>
                <w:position w:val="0"/>
                <w:sz w:val="24"/>
                <w:szCs w:val="24"/>
                <w:highlight w:val="none"/>
                <w:vertAlign w:val="superscript"/>
              </w:rPr>
              <w:t>3</w:t>
            </w:r>
            <w:r>
              <w:rPr>
                <w:rFonts w:hint="default" w:ascii="Times New Roman" w:hAnsi="Times New Roman" w:eastAsia="宋体" w:cs="Times New Roman"/>
                <w:spacing w:val="0"/>
                <w:kern w:val="21"/>
                <w:position w:val="0"/>
                <w:sz w:val="24"/>
                <w:szCs w:val="24"/>
                <w:highlight w:val="none"/>
              </w:rPr>
              <w:t>，设计提出建设初期雨水沉淀池1座，L×B×H= 16×8×3.5m ，钢砼结构，有效容积400m</w:t>
            </w:r>
            <w:r>
              <w:rPr>
                <w:rFonts w:hint="default" w:ascii="Times New Roman" w:hAnsi="Times New Roman" w:eastAsia="宋体" w:cs="Times New Roman"/>
                <w:spacing w:val="0"/>
                <w:kern w:val="21"/>
                <w:position w:val="0"/>
                <w:sz w:val="24"/>
                <w:szCs w:val="24"/>
                <w:highlight w:val="none"/>
                <w:vertAlign w:val="superscript"/>
              </w:rPr>
              <w:t>3</w:t>
            </w:r>
            <w:r>
              <w:rPr>
                <w:rFonts w:hint="default" w:ascii="Times New Roman" w:hAnsi="Times New Roman" w:eastAsia="宋体" w:cs="Times New Roman"/>
                <w:spacing w:val="0"/>
                <w:kern w:val="21"/>
                <w:position w:val="0"/>
                <w:sz w:val="24"/>
                <w:szCs w:val="24"/>
                <w:highlight w:val="none"/>
              </w:rPr>
              <w:t>。</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eastAsia" w:cs="Times New Roman"/>
                <w:b w:val="0"/>
                <w:bCs w:val="0"/>
                <w:kern w:val="0"/>
                <w:sz w:val="24"/>
                <w:highlight w:val="none"/>
                <w:lang w:val="en-US" w:eastAsia="zh-CN"/>
              </w:rPr>
            </w:pPr>
            <w:r>
              <w:rPr>
                <w:rFonts w:hint="eastAsia" w:cs="Times New Roman"/>
                <w:b w:val="0"/>
                <w:bCs w:val="0"/>
                <w:kern w:val="0"/>
                <w:sz w:val="24"/>
                <w:highlight w:val="none"/>
                <w:lang w:val="en-US" w:eastAsia="zh-CN"/>
              </w:rPr>
              <w:t>D井筒废水：北部风井场地井筒掘进过程中产生废水，</w:t>
            </w:r>
            <w:r>
              <w:rPr>
                <w:spacing w:val="-3"/>
                <w:sz w:val="24"/>
                <w:szCs w:val="24"/>
                <w:highlight w:val="none"/>
              </w:rPr>
              <w:t>废水主要受井下施</w:t>
            </w:r>
            <w:r>
              <w:rPr>
                <w:spacing w:val="-2"/>
                <w:sz w:val="24"/>
                <w:szCs w:val="24"/>
                <w:highlight w:val="none"/>
              </w:rPr>
              <w:t>工作业面活动污染，主要污染物为岩粉、煤粉为主</w:t>
            </w:r>
            <w:r>
              <w:rPr>
                <w:rFonts w:hint="eastAsia" w:cs="Times New Roman"/>
                <w:b w:val="0"/>
                <w:bCs w:val="0"/>
                <w:kern w:val="0"/>
                <w:sz w:val="24"/>
                <w:highlight w:val="none"/>
                <w:lang w:val="en-US" w:eastAsia="zh-CN"/>
              </w:rPr>
              <w:t>由抽水车定期集中抽排，运送至塔然高勒煤矿工业场地既有矿井水处理站处理后回用。</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482" w:firstLineChars="200"/>
              <w:jc w:val="both"/>
              <w:textAlignment w:val="auto"/>
              <w:rPr>
                <w:rFonts w:hint="default"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t>7.</w:t>
            </w:r>
            <w:r>
              <w:rPr>
                <w:rFonts w:hint="default"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t>工程占地</w:t>
            </w:r>
          </w:p>
          <w:p>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eastAsia="宋体" w:cs="Times New Roman"/>
                <w:b w:val="0"/>
                <w:bCs w:val="0"/>
                <w:kern w:val="0"/>
                <w:sz w:val="24"/>
                <w:szCs w:val="18"/>
                <w:highlight w:val="none"/>
                <w:lang w:val="en-US" w:eastAsia="zh-CN" w:bidi="ar-SA"/>
              </w:rPr>
              <w:t>项目位于内蒙古自治区鄂尔多斯市杭锦旗独贵塔拉镇乌定补拉格村，占地面积79386m</w:t>
            </w:r>
            <w:r>
              <w:rPr>
                <w:rFonts w:hint="eastAsia" w:ascii="Times New Roman" w:hAnsi="Times New Roman" w:eastAsia="宋体" w:cs="Times New Roman"/>
                <w:b w:val="0"/>
                <w:bCs w:val="0"/>
                <w:kern w:val="0"/>
                <w:sz w:val="24"/>
                <w:szCs w:val="18"/>
                <w:highlight w:val="none"/>
                <w:vertAlign w:val="superscript"/>
                <w:lang w:val="en-US" w:eastAsia="zh-CN" w:bidi="ar-SA"/>
              </w:rPr>
              <w:t>2</w:t>
            </w:r>
            <w:r>
              <w:rPr>
                <w:rFonts w:hint="eastAsia" w:ascii="Times New Roman" w:hAnsi="Times New Roman" w:eastAsia="宋体" w:cs="Times New Roman"/>
                <w:b w:val="0"/>
                <w:bCs w:val="0"/>
                <w:kern w:val="0"/>
                <w:sz w:val="24"/>
                <w:szCs w:val="18"/>
                <w:highlight w:val="none"/>
                <w:lang w:val="en-US" w:eastAsia="zh-CN" w:bidi="ar-SA"/>
              </w:rPr>
              <w:t>，全部为永久占地，其中风井场地占地面积为39200m</w:t>
            </w:r>
            <w:r>
              <w:rPr>
                <w:rFonts w:hint="eastAsia" w:ascii="Times New Roman" w:hAnsi="Times New Roman" w:eastAsia="宋体" w:cs="Times New Roman"/>
                <w:b w:val="0"/>
                <w:bCs w:val="0"/>
                <w:kern w:val="0"/>
                <w:sz w:val="24"/>
                <w:szCs w:val="18"/>
                <w:highlight w:val="none"/>
                <w:vertAlign w:val="superscript"/>
                <w:lang w:val="en-US" w:eastAsia="zh-CN" w:bidi="ar-SA"/>
              </w:rPr>
              <w:t>2</w:t>
            </w:r>
            <w:r>
              <w:rPr>
                <w:rFonts w:hint="eastAsia" w:ascii="Times New Roman" w:hAnsi="Times New Roman" w:eastAsia="宋体" w:cs="Times New Roman"/>
                <w:b w:val="0"/>
                <w:bCs w:val="0"/>
                <w:kern w:val="0"/>
                <w:sz w:val="24"/>
                <w:szCs w:val="18"/>
                <w:highlight w:val="none"/>
                <w:lang w:val="en-US" w:eastAsia="zh-CN" w:bidi="ar-SA"/>
              </w:rPr>
              <w:t>（围墙内用地面积为22460m</w:t>
            </w:r>
            <w:r>
              <w:rPr>
                <w:rFonts w:hint="eastAsia" w:ascii="Times New Roman" w:hAnsi="Times New Roman" w:eastAsia="宋体" w:cs="Times New Roman"/>
                <w:b w:val="0"/>
                <w:bCs w:val="0"/>
                <w:kern w:val="0"/>
                <w:sz w:val="24"/>
                <w:szCs w:val="18"/>
                <w:highlight w:val="none"/>
                <w:vertAlign w:val="superscript"/>
                <w:lang w:val="en-US" w:eastAsia="zh-CN" w:bidi="ar-SA"/>
              </w:rPr>
              <w:t>2</w:t>
            </w:r>
            <w:r>
              <w:rPr>
                <w:rFonts w:hint="eastAsia" w:ascii="Times New Roman" w:hAnsi="Times New Roman" w:eastAsia="宋体" w:cs="Times New Roman"/>
                <w:b w:val="0"/>
                <w:bCs w:val="0"/>
                <w:kern w:val="0"/>
                <w:sz w:val="24"/>
                <w:szCs w:val="18"/>
                <w:highlight w:val="none"/>
                <w:lang w:val="en-US" w:eastAsia="zh-CN" w:bidi="ar-SA"/>
              </w:rPr>
              <w:t>），建设1条全长约2.15km的场外道路，路基宽度为5.0m，两</w:t>
            </w:r>
            <w:r>
              <w:rPr>
                <w:rFonts w:hint="eastAsia" w:cs="Times New Roman"/>
                <w:color w:val="000000" w:themeColor="text1"/>
                <w:kern w:val="2"/>
                <w:sz w:val="24"/>
                <w:szCs w:val="24"/>
                <w:highlight w:val="none"/>
                <w:lang w:eastAsia="zh-CN"/>
                <w14:textFill>
                  <w14:solidFill>
                    <w14:schemeClr w14:val="tx1"/>
                  </w14:solidFill>
                </w14:textFill>
              </w:rPr>
              <w:t>侧护坡平均宽度约为13.</w:t>
            </w:r>
            <w:r>
              <w:rPr>
                <w:rFonts w:hint="eastAsia" w:cs="Times New Roman"/>
                <w:color w:val="000000" w:themeColor="text1"/>
                <w:kern w:val="2"/>
                <w:sz w:val="24"/>
                <w:szCs w:val="24"/>
                <w:highlight w:val="none"/>
                <w:lang w:val="en-US" w:eastAsia="zh-CN"/>
                <w14:textFill>
                  <w14:solidFill>
                    <w14:schemeClr w14:val="tx1"/>
                  </w14:solidFill>
                </w14:textFill>
              </w:rPr>
              <w:t>6912</w:t>
            </w:r>
            <w:r>
              <w:rPr>
                <w:rFonts w:hint="eastAsia" w:cs="Times New Roman"/>
                <w:color w:val="000000" w:themeColor="text1"/>
                <w:kern w:val="2"/>
                <w:sz w:val="24"/>
                <w:szCs w:val="24"/>
                <w:highlight w:val="none"/>
                <w:lang w:eastAsia="zh-CN"/>
                <w14:textFill>
                  <w14:solidFill>
                    <w14:schemeClr w14:val="tx1"/>
                  </w14:solidFill>
                </w14:textFill>
              </w:rPr>
              <w:t>m，场外道路占地面积</w:t>
            </w:r>
            <w:r>
              <w:rPr>
                <w:rFonts w:hint="eastAsia" w:cs="Times New Roman"/>
                <w:color w:val="000000" w:themeColor="text1"/>
                <w:kern w:val="2"/>
                <w:sz w:val="24"/>
                <w:szCs w:val="24"/>
                <w:highlight w:val="none"/>
                <w:lang w:val="en-US" w:eastAsia="zh-CN"/>
                <w14:textFill>
                  <w14:solidFill>
                    <w14:schemeClr w14:val="tx1"/>
                  </w14:solidFill>
                </w14:textFill>
              </w:rPr>
              <w:t>40186</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vertAlign w:val="baseline"/>
                <w:lang w:val="en-US" w:eastAsia="zh-CN"/>
                <w14:textFill>
                  <w14:solidFill>
                    <w14:schemeClr w14:val="tx1"/>
                  </w14:solidFill>
                </w14:textFill>
              </w:rPr>
              <w:t>；永久占地类型为</w:t>
            </w:r>
            <w:r>
              <w:rPr>
                <w:rFonts w:hint="eastAsia"/>
                <w:color w:val="000000" w:themeColor="text1"/>
                <w:sz w:val="24"/>
                <w:szCs w:val="24"/>
                <w:highlight w:val="none"/>
                <w:lang w:val="en-US" w:eastAsia="zh-CN"/>
                <w14:textFill>
                  <w14:solidFill>
                    <w14:schemeClr w14:val="tx1"/>
                  </w14:solidFill>
                </w14:textFill>
              </w:rPr>
              <w:t>天然草地、滩地、乡镇村道路</w:t>
            </w:r>
            <w:r>
              <w:rPr>
                <w:rFonts w:hint="eastAsia" w:ascii="Times New Roman" w:hAnsi="Times New Roman" w:eastAsia="宋体" w:cs="Times New Roman"/>
                <w:color w:val="000000" w:themeColor="text1"/>
                <w:kern w:val="2"/>
                <w:sz w:val="24"/>
                <w:szCs w:val="24"/>
                <w:highlight w:val="none"/>
                <w:vertAlign w:val="baseline"/>
                <w:lang w:val="en-US" w:eastAsia="zh-CN"/>
                <w14:textFill>
                  <w14:solidFill>
                    <w14:schemeClr w14:val="tx1"/>
                  </w14:solidFill>
                </w14:textFill>
              </w:rPr>
              <w:t>。本项目</w:t>
            </w:r>
            <w:r>
              <w:rPr>
                <w:rFonts w:hint="eastAsia" w:cs="Times New Roman"/>
                <w:color w:val="000000" w:themeColor="text1"/>
                <w:kern w:val="2"/>
                <w:sz w:val="24"/>
                <w:szCs w:val="24"/>
                <w:highlight w:val="none"/>
                <w:vertAlign w:val="baseline"/>
                <w:lang w:val="en-US" w:eastAsia="zh-CN"/>
                <w14:textFill>
                  <w14:solidFill>
                    <w14:schemeClr w14:val="tx1"/>
                  </w14:solidFill>
                </w14:textFill>
              </w:rPr>
              <w:t>风井场地</w:t>
            </w:r>
            <w:r>
              <w:rPr>
                <w:rFonts w:hint="eastAsia" w:ascii="Times New Roman" w:hAnsi="Times New Roman" w:eastAsia="宋体" w:cs="Times New Roman"/>
                <w:color w:val="000000" w:themeColor="text1"/>
                <w:kern w:val="2"/>
                <w:sz w:val="24"/>
                <w:szCs w:val="24"/>
                <w:highlight w:val="none"/>
                <w:vertAlign w:val="baseline"/>
                <w:lang w:val="en-US" w:eastAsia="zh-CN"/>
                <w14:textFill>
                  <w14:solidFill>
                    <w14:schemeClr w14:val="tx1"/>
                  </w14:solidFill>
                </w14:textFill>
              </w:rPr>
              <w:t>施工</w:t>
            </w:r>
            <w:r>
              <w:rPr>
                <w:rFonts w:hint="eastAsia"/>
                <w:sz w:val="24"/>
                <w:szCs w:val="24"/>
                <w:highlight w:val="none"/>
                <w:lang w:val="en-US" w:eastAsia="zh-CN"/>
              </w:rPr>
              <w:t>区</w:t>
            </w:r>
            <w:r>
              <w:rPr>
                <w:rFonts w:hint="eastAsia" w:ascii="Times New Roman" w:hAnsi="Times New Roman" w:eastAsia="宋体" w:cs="Times New Roman"/>
                <w:color w:val="000000" w:themeColor="text1"/>
                <w:kern w:val="2"/>
                <w:sz w:val="24"/>
                <w:szCs w:val="24"/>
                <w:highlight w:val="none"/>
                <w:vertAlign w:val="baseline"/>
                <w:lang w:val="en-US" w:eastAsia="zh-CN"/>
                <w14:textFill>
                  <w14:solidFill>
                    <w14:schemeClr w14:val="tx1"/>
                  </w14:solidFill>
                </w14:textFill>
              </w:rPr>
              <w:t>位于风井场地占地范围内，</w:t>
            </w:r>
            <w:r>
              <w:rPr>
                <w:rFonts w:hint="default" w:ascii="宋体" w:hAnsi="宋体" w:eastAsia="宋体" w:cs="宋体"/>
                <w:color w:val="000000"/>
                <w:kern w:val="0"/>
                <w:sz w:val="24"/>
                <w:szCs w:val="24"/>
                <w:highlight w:val="none"/>
                <w:lang w:val="en-US" w:eastAsia="zh-CN" w:bidi="ar"/>
              </w:rPr>
              <w:t>场外施工道路依托附近公路、乡村道路及</w:t>
            </w:r>
            <w:r>
              <w:rPr>
                <w:rFonts w:hint="eastAsia" w:ascii="宋体" w:hAnsi="宋体" w:eastAsia="宋体" w:cs="宋体"/>
                <w:color w:val="000000"/>
                <w:kern w:val="0"/>
                <w:sz w:val="24"/>
                <w:szCs w:val="24"/>
                <w:highlight w:val="none"/>
                <w:lang w:val="en-US" w:eastAsia="zh-CN" w:bidi="ar"/>
              </w:rPr>
              <w:t>本项目新建</w:t>
            </w:r>
            <w:r>
              <w:rPr>
                <w:rFonts w:hint="default" w:ascii="宋体" w:hAnsi="宋体" w:eastAsia="宋体" w:cs="宋体"/>
                <w:color w:val="000000"/>
                <w:kern w:val="0"/>
                <w:sz w:val="24"/>
                <w:szCs w:val="24"/>
                <w:highlight w:val="none"/>
                <w:lang w:val="en-US" w:eastAsia="zh-CN" w:bidi="ar"/>
              </w:rPr>
              <w:t>进场道路，不再另辟临时施工道路</w:t>
            </w:r>
            <w:r>
              <w:rPr>
                <w:rFonts w:hint="eastAsia" w:ascii="宋体" w:hAnsi="宋体" w:eastAsia="宋体" w:cs="宋体"/>
                <w:color w:val="000000"/>
                <w:kern w:val="0"/>
                <w:sz w:val="24"/>
                <w:szCs w:val="24"/>
                <w:highlight w:val="none"/>
                <w:lang w:val="en-US" w:eastAsia="zh-CN" w:bidi="ar"/>
              </w:rPr>
              <w:t>，</w:t>
            </w:r>
            <w:r>
              <w:rPr>
                <w:rFonts w:hint="eastAsia" w:ascii="Times New Roman" w:hAnsi="Times New Roman" w:eastAsia="宋体" w:cs="Times New Roman"/>
                <w:color w:val="000000" w:themeColor="text1"/>
                <w:kern w:val="2"/>
                <w:sz w:val="24"/>
                <w:szCs w:val="24"/>
                <w:highlight w:val="none"/>
                <w:vertAlign w:val="baseline"/>
                <w:lang w:val="en-US" w:eastAsia="zh-CN"/>
                <w14:textFill>
                  <w14:solidFill>
                    <w14:schemeClr w14:val="tx1"/>
                  </w14:solidFill>
                </w14:textFill>
              </w:rPr>
              <w:t>不新增临时占地。</w:t>
            </w:r>
            <w:r>
              <w:rPr>
                <w:rFonts w:hint="eastAsia" w:ascii="Times New Roman" w:hAnsi="Times New Roman" w:cs="Times New Roman"/>
                <w:color w:val="auto"/>
                <w:sz w:val="24"/>
                <w:szCs w:val="24"/>
                <w:highlight w:val="none"/>
                <w:lang w:val="en-US" w:eastAsia="zh-CN"/>
              </w:rPr>
              <w:t>本项目用地情况见表2</w:t>
            </w:r>
            <w:r>
              <w:rPr>
                <w:rFonts w:hint="eastAsia" w:cs="Times New Roman"/>
                <w:color w:val="auto"/>
                <w:sz w:val="24"/>
                <w:szCs w:val="24"/>
                <w:highlight w:val="none"/>
                <w:lang w:val="en-US" w:eastAsia="zh-CN"/>
              </w:rPr>
              <w:t>-4</w:t>
            </w:r>
            <w:r>
              <w:rPr>
                <w:rFonts w:hint="eastAsia" w:ascii="Times New Roman" w:hAnsi="Times New Roman" w:cs="Times New Roman"/>
                <w:color w:val="auto"/>
                <w:sz w:val="24"/>
                <w:szCs w:val="24"/>
                <w:highlight w:val="none"/>
                <w:lang w:val="en-US" w:eastAsia="zh-CN"/>
              </w:rPr>
              <w:t>。</w:t>
            </w:r>
          </w:p>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表</w:t>
            </w:r>
            <w:r>
              <w:rPr>
                <w:rFonts w:hint="eastAsia" w:ascii="Times New Roman" w:hAnsi="Times New Roman" w:cs="Times New Roman"/>
                <w:sz w:val="21"/>
                <w:szCs w:val="21"/>
                <w:highlight w:val="none"/>
                <w:lang w:val="en-US" w:eastAsia="zh-CN"/>
              </w:rPr>
              <w:t>2</w:t>
            </w:r>
            <w:r>
              <w:rPr>
                <w:rFonts w:hint="eastAsia" w:cs="Times New Roman"/>
                <w:sz w:val="21"/>
                <w:szCs w:val="21"/>
                <w:highlight w:val="none"/>
                <w:lang w:val="en-US" w:eastAsia="zh-CN"/>
              </w:rPr>
              <w:t>-</w:t>
            </w:r>
            <w:r>
              <w:rPr>
                <w:rFonts w:hint="eastAsia" w:ascii="Times New Roman" w:hAnsi="Times New Roman" w:cs="Times New Roman"/>
                <w:sz w:val="21"/>
                <w:szCs w:val="21"/>
                <w:highlight w:val="none"/>
                <w:lang w:val="en-US" w:eastAsia="zh-CN"/>
              </w:rPr>
              <w:t>4</w:t>
            </w:r>
            <w:r>
              <w:rPr>
                <w:rFonts w:hint="default" w:ascii="Times New Roman" w:hAnsi="Times New Roman" w:cs="Times New Roman"/>
                <w:sz w:val="21"/>
                <w:szCs w:val="21"/>
                <w:highlight w:val="none"/>
                <w:lang w:val="en-US" w:eastAsia="zh-CN"/>
              </w:rPr>
              <w:t xml:space="preserve"> 项目占地表</w:t>
            </w:r>
          </w:p>
          <w:tbl>
            <w:tblPr>
              <w:tblStyle w:val="23"/>
              <w:tblW w:w="7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815"/>
              <w:gridCol w:w="696"/>
              <w:gridCol w:w="1152"/>
              <w:gridCol w:w="1176"/>
              <w:gridCol w:w="2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10" w:type="dxa"/>
                  <w:vMerge w:val="restart"/>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序号</w:t>
                  </w:r>
                </w:p>
              </w:tc>
              <w:tc>
                <w:tcPr>
                  <w:tcW w:w="1815" w:type="dxa"/>
                  <w:vMerge w:val="restart"/>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名称</w:t>
                  </w:r>
                </w:p>
              </w:tc>
              <w:tc>
                <w:tcPr>
                  <w:tcW w:w="696" w:type="dxa"/>
                  <w:vMerge w:val="restart"/>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单位</w:t>
                  </w:r>
                </w:p>
              </w:tc>
              <w:tc>
                <w:tcPr>
                  <w:tcW w:w="2328" w:type="dxa"/>
                  <w:gridSpan w:val="2"/>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面积</w:t>
                  </w:r>
                </w:p>
              </w:tc>
              <w:tc>
                <w:tcPr>
                  <w:tcW w:w="2252" w:type="dxa"/>
                  <w:vMerge w:val="restart"/>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占地类型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p>
              </w:tc>
              <w:tc>
                <w:tcPr>
                  <w:tcW w:w="1815" w:type="dxa"/>
                  <w:vMerge w:val="continue"/>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p>
              </w:tc>
              <w:tc>
                <w:tcPr>
                  <w:tcW w:w="696" w:type="dxa"/>
                  <w:vMerge w:val="continue"/>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p>
              </w:tc>
              <w:tc>
                <w:tcPr>
                  <w:tcW w:w="1152"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永久占地</w:t>
                  </w:r>
                </w:p>
              </w:tc>
              <w:tc>
                <w:tcPr>
                  <w:tcW w:w="1176"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临时占地</w:t>
                  </w:r>
                </w:p>
              </w:tc>
              <w:tc>
                <w:tcPr>
                  <w:tcW w:w="2252" w:type="dxa"/>
                  <w:vMerge w:val="continue"/>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710"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1</w:t>
                  </w:r>
                </w:p>
              </w:tc>
              <w:tc>
                <w:tcPr>
                  <w:tcW w:w="1815" w:type="dxa"/>
                  <w:noWrap w:val="0"/>
                  <w:vAlign w:val="center"/>
                </w:tcPr>
                <w:p>
                  <w:pPr>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风井场地用地</w:t>
                  </w:r>
                </w:p>
              </w:tc>
              <w:tc>
                <w:tcPr>
                  <w:tcW w:w="696"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vertAlign w:val="superscript"/>
                      <w:lang w:val="en-US" w:eastAsia="zh-CN"/>
                    </w:rPr>
                    <w:t>2</w:t>
                  </w:r>
                </w:p>
              </w:tc>
              <w:tc>
                <w:tcPr>
                  <w:tcW w:w="1152"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b w:val="0"/>
                      <w:bCs w:val="0"/>
                      <w:sz w:val="21"/>
                      <w:szCs w:val="21"/>
                      <w:highlight w:val="none"/>
                      <w:lang w:val="en-US" w:eastAsia="zh-CN"/>
                    </w:rPr>
                  </w:pPr>
                  <w:r>
                    <w:rPr>
                      <w:rFonts w:hint="eastAsia" w:cs="Times New Roman"/>
                      <w:color w:val="000000" w:themeColor="text1"/>
                      <w:kern w:val="2"/>
                      <w:sz w:val="24"/>
                      <w:szCs w:val="24"/>
                      <w:highlight w:val="none"/>
                      <w:lang w:val="en-US" w:eastAsia="zh-CN"/>
                      <w14:textFill>
                        <w14:solidFill>
                          <w14:schemeClr w14:val="tx1"/>
                        </w14:solidFill>
                      </w14:textFill>
                    </w:rPr>
                    <w:t>39200</w:t>
                  </w:r>
                </w:p>
              </w:tc>
              <w:tc>
                <w:tcPr>
                  <w:tcW w:w="1176"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eastAsia="宋体" w:cs="Times New Roman"/>
                      <w:b w:val="0"/>
                      <w:bCs w:val="0"/>
                      <w:sz w:val="21"/>
                      <w:szCs w:val="21"/>
                      <w:highlight w:val="none"/>
                      <w:lang w:val="en-US" w:eastAsia="zh-CN"/>
                    </w:rPr>
                    <w:t>0</w:t>
                  </w:r>
                </w:p>
              </w:tc>
              <w:tc>
                <w:tcPr>
                  <w:tcW w:w="2252" w:type="dxa"/>
                  <w:vMerge w:val="restart"/>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天然草地、滩地、乡镇村道路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2</w:t>
                  </w:r>
                </w:p>
              </w:tc>
              <w:tc>
                <w:tcPr>
                  <w:tcW w:w="1815"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kern w:val="2"/>
                      <w:sz w:val="21"/>
                      <w:szCs w:val="21"/>
                      <w:highlight w:val="none"/>
                      <w:lang w:val="en-US" w:eastAsia="zh-CN" w:bidi="ar-SA"/>
                    </w:rPr>
                  </w:pPr>
                  <w:r>
                    <w:rPr>
                      <w:rFonts w:hint="eastAsia" w:cs="Times New Roman"/>
                      <w:color w:val="000000" w:themeColor="text1"/>
                      <w:kern w:val="2"/>
                      <w:sz w:val="21"/>
                      <w:szCs w:val="21"/>
                      <w:highlight w:val="none"/>
                      <w:lang w:eastAsia="zh-CN"/>
                      <w14:textFill>
                        <w14:solidFill>
                          <w14:schemeClr w14:val="tx1"/>
                        </w14:solidFill>
                      </w14:textFill>
                    </w:rPr>
                    <w:t>场外道路</w:t>
                  </w:r>
                  <w:r>
                    <w:rPr>
                      <w:rFonts w:hint="eastAsia"/>
                      <w:color w:val="000000" w:themeColor="text1"/>
                      <w:sz w:val="21"/>
                      <w:szCs w:val="21"/>
                      <w:highlight w:val="none"/>
                      <w14:textFill>
                        <w14:solidFill>
                          <w14:schemeClr w14:val="tx1"/>
                        </w14:solidFill>
                      </w14:textFill>
                    </w:rPr>
                    <w:t>用地</w:t>
                  </w:r>
                </w:p>
              </w:tc>
              <w:tc>
                <w:tcPr>
                  <w:tcW w:w="696" w:type="dxa"/>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vertAlign w:val="superscript"/>
                      <w:lang w:val="en-US" w:eastAsia="zh-CN"/>
                    </w:rPr>
                    <w:t>2</w:t>
                  </w:r>
                </w:p>
              </w:tc>
              <w:tc>
                <w:tcPr>
                  <w:tcW w:w="1152"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kern w:val="2"/>
                      <w:sz w:val="21"/>
                      <w:szCs w:val="21"/>
                      <w:highlight w:val="none"/>
                      <w:lang w:val="en-US" w:eastAsia="zh-CN" w:bidi="ar-SA"/>
                    </w:rPr>
                  </w:pPr>
                  <w:r>
                    <w:rPr>
                      <w:rFonts w:hint="eastAsia" w:cs="Times New Roman"/>
                      <w:color w:val="000000" w:themeColor="text1"/>
                      <w:kern w:val="2"/>
                      <w:sz w:val="24"/>
                      <w:szCs w:val="24"/>
                      <w:highlight w:val="none"/>
                      <w:lang w:val="en-US" w:eastAsia="zh-CN"/>
                      <w14:textFill>
                        <w14:solidFill>
                          <w14:schemeClr w14:val="tx1"/>
                        </w14:solidFill>
                      </w14:textFill>
                    </w:rPr>
                    <w:t>40186</w:t>
                  </w:r>
                </w:p>
              </w:tc>
              <w:tc>
                <w:tcPr>
                  <w:tcW w:w="1176"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b w:val="0"/>
                      <w:bCs w:val="0"/>
                      <w:kern w:val="2"/>
                      <w:sz w:val="21"/>
                      <w:szCs w:val="21"/>
                      <w:highlight w:val="none"/>
                      <w:lang w:val="en-US" w:eastAsia="zh-CN" w:bidi="ar-SA"/>
                    </w:rPr>
                  </w:pPr>
                  <w:r>
                    <w:rPr>
                      <w:rFonts w:hint="eastAsia" w:ascii="Times New Roman" w:hAnsi="Times New Roman" w:cs="Times New Roman"/>
                      <w:b w:val="0"/>
                      <w:bCs w:val="0"/>
                      <w:kern w:val="2"/>
                      <w:sz w:val="21"/>
                      <w:szCs w:val="21"/>
                      <w:highlight w:val="none"/>
                      <w:lang w:val="en-US" w:eastAsia="zh-CN" w:bidi="ar-SA"/>
                    </w:rPr>
                    <w:t>0</w:t>
                  </w:r>
                </w:p>
              </w:tc>
              <w:tc>
                <w:tcPr>
                  <w:tcW w:w="2252" w:type="dxa"/>
                  <w:vMerge w:val="continue"/>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25" w:type="dxa"/>
                  <w:gridSpan w:val="2"/>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合计</w:t>
                  </w:r>
                </w:p>
              </w:tc>
              <w:tc>
                <w:tcPr>
                  <w:tcW w:w="696"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vertAlign w:val="superscript"/>
                      <w:lang w:val="en-US" w:eastAsia="zh-CN"/>
                    </w:rPr>
                    <w:t>2</w:t>
                  </w:r>
                </w:p>
              </w:tc>
              <w:tc>
                <w:tcPr>
                  <w:tcW w:w="1152"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b w:val="0"/>
                      <w:bCs w:val="0"/>
                      <w:sz w:val="21"/>
                      <w:szCs w:val="21"/>
                      <w:highlight w:val="none"/>
                      <w:lang w:val="en-US" w:eastAsia="zh-CN"/>
                    </w:rPr>
                  </w:pPr>
                  <w:r>
                    <w:rPr>
                      <w:rFonts w:hint="eastAsia" w:cs="Times New Roman"/>
                      <w:color w:val="000000" w:themeColor="text1"/>
                      <w:sz w:val="24"/>
                      <w:szCs w:val="24"/>
                      <w:highlight w:val="none"/>
                      <w:lang w:val="en-US" w:eastAsia="zh-CN"/>
                      <w14:textFill>
                        <w14:solidFill>
                          <w14:schemeClr w14:val="tx1"/>
                        </w14:solidFill>
                      </w14:textFill>
                    </w:rPr>
                    <w:t>79386</w:t>
                  </w:r>
                </w:p>
              </w:tc>
              <w:tc>
                <w:tcPr>
                  <w:tcW w:w="1176"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0</w:t>
                  </w:r>
                </w:p>
              </w:tc>
              <w:tc>
                <w:tcPr>
                  <w:tcW w:w="2252" w:type="dxa"/>
                  <w:noWrap w:val="0"/>
                  <w:vAlign w:val="center"/>
                </w:tcPr>
                <w:p>
                  <w:pPr>
                    <w:pStyle w:val="9"/>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pPr>
            <w:bookmarkStart w:id="5" w:name="_Toc405284451"/>
            <w:bookmarkStart w:id="6" w:name="_Toc4203"/>
            <w:bookmarkStart w:id="7" w:name="_Toc21896"/>
            <w:bookmarkStart w:id="8" w:name="_Toc30011"/>
            <w:bookmarkStart w:id="9" w:name="_Toc443596291"/>
            <w:bookmarkStart w:id="10" w:name="_Toc450057218"/>
            <w:r>
              <w:rPr>
                <w:rFonts w:hint="eastAsia"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t>8</w:t>
            </w:r>
            <w:r>
              <w:rPr>
                <w:rFonts w:hint="eastAsia" w:cs="Times New Roman"/>
                <w:b/>
                <w:color w:val="000000" w:themeColor="text1"/>
                <w:kern w:val="0"/>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color w:val="000000" w:themeColor="text1"/>
                <w:kern w:val="0"/>
                <w:sz w:val="24"/>
                <w:szCs w:val="24"/>
                <w:highlight w:val="none"/>
                <w:lang w:val="en-US" w:eastAsia="zh-CN" w:bidi="ar-SA"/>
                <w14:textFill>
                  <w14:solidFill>
                    <w14:schemeClr w14:val="tx1"/>
                  </w14:solidFill>
                </w14:textFill>
              </w:rPr>
              <w:t>土石方平衡</w:t>
            </w:r>
          </w:p>
          <w:p>
            <w:pPr>
              <w:pStyle w:val="10"/>
              <w:spacing w:after="0" w:line="360" w:lineRule="auto"/>
              <w:ind w:left="0" w:leftChars="0" w:firstLine="480"/>
              <w:jc w:val="both"/>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工程土石方开挖中，在满足主体设计要求的前提下尽量减少开挖量，以减少对地面的扰动，本</w:t>
            </w:r>
            <w:r>
              <w:rPr>
                <w:rFonts w:hint="default" w:ascii="Times New Roman" w:hAnsi="Times New Roman" w:eastAsia="宋体" w:cs="Times New Roman"/>
                <w:sz w:val="24"/>
                <w:szCs w:val="24"/>
                <w:highlight w:val="none"/>
                <w:lang w:eastAsia="zh-CN"/>
              </w:rPr>
              <w:t>项目</w:t>
            </w:r>
            <w:r>
              <w:rPr>
                <w:rFonts w:hint="default" w:ascii="Times New Roman" w:hAnsi="Times New Roman" w:eastAsia="宋体" w:cs="Times New Roman"/>
                <w:color w:val="auto"/>
                <w:sz w:val="24"/>
                <w:szCs w:val="24"/>
                <w:highlight w:val="none"/>
                <w:lang w:eastAsia="zh-CN"/>
              </w:rPr>
              <w:t>挖方量17.96万</w:t>
            </w:r>
            <w:r>
              <w:rPr>
                <w:rStyle w:val="55"/>
                <w:rFonts w:hint="default" w:ascii="Times New Roman" w:hAnsi="Times New Roman" w:eastAsia="宋体" w:cs="Times New Roman"/>
                <w:color w:val="auto"/>
                <w:sz w:val="24"/>
                <w:szCs w:val="24"/>
                <w:highlight w:val="none"/>
              </w:rPr>
              <w:t>m</w:t>
            </w:r>
            <w:r>
              <w:rPr>
                <w:rStyle w:val="55"/>
                <w:rFonts w:hint="default" w:ascii="Times New Roman" w:hAnsi="Times New Roman" w:eastAsia="宋体" w:cs="Times New Roman"/>
                <w:color w:val="auto"/>
                <w:sz w:val="24"/>
                <w:szCs w:val="24"/>
                <w:highlight w:val="none"/>
                <w:vertAlign w:val="superscript"/>
                <w:lang w:val="en-US"/>
              </w:rPr>
              <w:t>3</w:t>
            </w:r>
            <w:r>
              <w:rPr>
                <w:rFonts w:hint="default" w:ascii="Times New Roman" w:hAnsi="Times New Roman" w:eastAsia="宋体" w:cs="Times New Roman"/>
                <w:color w:val="auto"/>
                <w:sz w:val="24"/>
                <w:szCs w:val="24"/>
                <w:highlight w:val="none"/>
                <w:lang w:eastAsia="zh-CN"/>
              </w:rPr>
              <w:t>，填方量</w:t>
            </w:r>
            <w:r>
              <w:rPr>
                <w:rFonts w:hint="eastAsia" w:cs="Times New Roman"/>
                <w:color w:val="auto"/>
                <w:sz w:val="24"/>
                <w:szCs w:val="24"/>
                <w:highlight w:val="none"/>
                <w:lang w:val="en-US" w:eastAsia="zh-CN"/>
              </w:rPr>
              <w:t>8.62</w:t>
            </w:r>
            <w:r>
              <w:rPr>
                <w:rFonts w:hint="default" w:ascii="Times New Roman" w:hAnsi="Times New Roman" w:eastAsia="宋体" w:cs="Times New Roman"/>
                <w:color w:val="auto"/>
                <w:sz w:val="24"/>
                <w:szCs w:val="24"/>
                <w:highlight w:val="none"/>
                <w:lang w:eastAsia="zh-CN"/>
              </w:rPr>
              <w:t>万</w:t>
            </w:r>
            <w:r>
              <w:rPr>
                <w:rStyle w:val="55"/>
                <w:rFonts w:hint="default" w:ascii="Times New Roman" w:hAnsi="Times New Roman" w:eastAsia="宋体" w:cs="Times New Roman"/>
                <w:color w:val="auto"/>
                <w:sz w:val="24"/>
                <w:szCs w:val="24"/>
                <w:highlight w:val="none"/>
              </w:rPr>
              <w:t>m</w:t>
            </w:r>
            <w:r>
              <w:rPr>
                <w:rStyle w:val="55"/>
                <w:rFonts w:hint="default" w:ascii="Times New Roman" w:hAnsi="Times New Roman" w:eastAsia="宋体" w:cs="Times New Roman"/>
                <w:color w:val="auto"/>
                <w:sz w:val="24"/>
                <w:szCs w:val="24"/>
                <w:highlight w:val="none"/>
                <w:vertAlign w:val="superscript"/>
                <w:lang w:val="en-US"/>
              </w:rPr>
              <w:t>3</w:t>
            </w:r>
            <w:r>
              <w:rPr>
                <w:rFonts w:hint="default" w:ascii="Times New Roman" w:hAnsi="Times New Roman" w:eastAsia="宋体" w:cs="Times New Roman"/>
                <w:color w:val="auto"/>
                <w:sz w:val="24"/>
                <w:szCs w:val="24"/>
                <w:highlight w:val="none"/>
                <w:lang w:eastAsia="zh-CN"/>
              </w:rPr>
              <w:t>，弃方量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9.34</w:t>
            </w:r>
            <w:r>
              <w:rPr>
                <w:rFonts w:hint="default" w:ascii="Times New Roman" w:hAnsi="Times New Roman" w:eastAsia="宋体" w:cs="Times New Roman"/>
                <w:color w:val="auto"/>
                <w:sz w:val="24"/>
                <w:szCs w:val="24"/>
                <w:highlight w:val="none"/>
                <w:lang w:eastAsia="zh-CN"/>
              </w:rPr>
              <w:t>万m</w:t>
            </w:r>
            <w:r>
              <w:rPr>
                <w:rFonts w:hint="default" w:ascii="Times New Roman" w:hAnsi="Times New Roman" w:eastAsia="宋体" w:cs="Times New Roman"/>
                <w:color w:val="auto"/>
                <w:sz w:val="24"/>
                <w:szCs w:val="24"/>
                <w:highlight w:val="none"/>
                <w:vertAlign w:val="superscript"/>
                <w:lang w:eastAsia="zh-CN"/>
              </w:rPr>
              <w:t>3</w:t>
            </w:r>
            <w:r>
              <w:rPr>
                <w:rFonts w:hint="eastAsia" w:cs="Times New Roman"/>
                <w:color w:val="auto"/>
                <w:sz w:val="24"/>
                <w:szCs w:val="24"/>
                <w:highlight w:val="none"/>
                <w:lang w:eastAsia="zh-CN"/>
              </w:rPr>
              <w:t>。</w:t>
            </w:r>
            <w:r>
              <w:rPr>
                <w:rStyle w:val="55"/>
                <w:rFonts w:hint="default" w:ascii="Times New Roman" w:hAnsi="Times New Roman" w:eastAsia="宋体" w:cs="Times New Roman"/>
                <w:color w:val="auto"/>
                <w:highlight w:val="none"/>
              </w:rPr>
              <w:t>其中</w:t>
            </w:r>
            <w:r>
              <w:rPr>
                <w:rFonts w:hint="default" w:ascii="Times New Roman" w:hAnsi="Times New Roman" w:eastAsia="宋体" w:cs="Times New Roman"/>
                <w:color w:val="auto"/>
                <w:sz w:val="24"/>
                <w:highlight w:val="none"/>
              </w:rPr>
              <w:t>含</w:t>
            </w:r>
            <w:r>
              <w:rPr>
                <w:rStyle w:val="55"/>
                <w:rFonts w:hint="default" w:ascii="Times New Roman" w:hAnsi="Times New Roman" w:eastAsia="宋体" w:cs="Times New Roman"/>
                <w:color w:val="auto"/>
                <w:highlight w:val="none"/>
              </w:rPr>
              <w:t>表土剥离</w:t>
            </w:r>
            <w:r>
              <w:rPr>
                <w:rStyle w:val="55"/>
                <w:rFonts w:hint="default" w:ascii="Times New Roman" w:hAnsi="Times New Roman" w:eastAsia="宋体" w:cs="Times New Roman"/>
                <w:color w:val="auto"/>
                <w:highlight w:val="none"/>
                <w:lang w:val="en-US"/>
              </w:rPr>
              <w:t>2.38158</w:t>
            </w:r>
            <w:r>
              <w:rPr>
                <w:rStyle w:val="55"/>
                <w:rFonts w:hint="default" w:ascii="Times New Roman" w:hAnsi="Times New Roman" w:eastAsia="宋体" w:cs="Times New Roman"/>
                <w:color w:val="auto"/>
                <w:highlight w:val="none"/>
              </w:rPr>
              <w:t>万</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w:t>
            </w:r>
            <w:r>
              <w:rPr>
                <w:rStyle w:val="55"/>
                <w:rFonts w:hint="default" w:ascii="Times New Roman" w:hAnsi="Times New Roman" w:eastAsia="宋体" w:cs="Times New Roman"/>
                <w:color w:val="auto"/>
                <w:highlight w:val="none"/>
              </w:rPr>
              <w:t>表土回覆</w:t>
            </w:r>
            <w:r>
              <w:rPr>
                <w:rStyle w:val="55"/>
                <w:rFonts w:hint="default" w:ascii="Times New Roman" w:hAnsi="Times New Roman" w:eastAsia="宋体" w:cs="Times New Roman"/>
                <w:color w:val="auto"/>
                <w:highlight w:val="none"/>
                <w:lang w:val="en-US"/>
              </w:rPr>
              <w:t>2.38158</w:t>
            </w:r>
            <w:r>
              <w:rPr>
                <w:rStyle w:val="55"/>
                <w:rFonts w:hint="default" w:ascii="Times New Roman" w:hAnsi="Times New Roman" w:eastAsia="宋体" w:cs="Times New Roman"/>
                <w:color w:val="auto"/>
                <w:highlight w:val="none"/>
              </w:rPr>
              <w:t>万</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eastAsia" w:ascii="Times New Roman" w:hAnsi="Times New Roman" w:eastAsia="宋体" w:cs="Times New Roman"/>
                <w:color w:val="auto"/>
                <w:sz w:val="24"/>
                <w:highlight w:val="none"/>
                <w:vertAlign w:val="baseline"/>
                <w:lang w:eastAsia="zh-CN"/>
              </w:rPr>
              <w:t>，</w:t>
            </w:r>
            <w:r>
              <w:rPr>
                <w:rFonts w:hint="eastAsia" w:ascii="Times New Roman" w:hAnsi="Times New Roman" w:eastAsia="宋体" w:cs="Times New Roman"/>
                <w:color w:val="auto"/>
                <w:sz w:val="24"/>
                <w:highlight w:val="none"/>
                <w:vertAlign w:val="baseline"/>
                <w:lang w:val="en-US" w:eastAsia="zh-CN"/>
              </w:rPr>
              <w:t>表土剥离深度为0.3m，风井场地剥离表土就近集中堆放于附近绿化硬化空地，场外道路剥离表土堆放于道路两侧施工区，表土堆存采取密目网苫盖防护，表土</w:t>
            </w:r>
            <w:r>
              <w:rPr>
                <w:rStyle w:val="55"/>
                <w:rFonts w:hint="default" w:ascii="Times New Roman" w:hAnsi="Times New Roman" w:eastAsia="宋体" w:cs="Times New Roman"/>
                <w:color w:val="auto"/>
                <w:highlight w:val="none"/>
              </w:rPr>
              <w:t>回覆</w:t>
            </w:r>
            <w:r>
              <w:rPr>
                <w:rStyle w:val="55"/>
                <w:rFonts w:hint="eastAsia" w:ascii="Times New Roman" w:hAnsi="Times New Roman" w:eastAsia="宋体" w:cs="Times New Roman"/>
                <w:color w:val="auto"/>
                <w:highlight w:val="none"/>
                <w:lang w:val="en-US"/>
              </w:rPr>
              <w:t>于风井场地以及道路</w:t>
            </w:r>
            <w:r>
              <w:rPr>
                <w:rFonts w:hint="eastAsia" w:ascii="Times New Roman" w:hAnsi="Times New Roman" w:eastAsia="宋体" w:cs="Times New Roman"/>
                <w:color w:val="auto"/>
                <w:sz w:val="24"/>
                <w:highlight w:val="none"/>
                <w:vertAlign w:val="baseline"/>
                <w:lang w:val="en-US" w:eastAsia="zh-CN"/>
              </w:rPr>
              <w:t>绿化工程使用</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szCs w:val="24"/>
                <w:highlight w:val="none"/>
                <w:lang w:eastAsia="zh-CN"/>
              </w:rPr>
              <w:t>弃方主要为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井筒掘进产生的岩石</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井筒产生的岩石量约7.18万m³</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乘以松散系数后约9.34万m³），供给杭锦发电有限公司煤矸石电厂</w:t>
            </w:r>
            <w:r>
              <w:rPr>
                <w:rFonts w:hint="eastAsia"/>
                <w:highlight w:val="none"/>
                <w:lang w:eastAsia="zh-CN"/>
              </w:rPr>
              <w:t>。</w:t>
            </w:r>
          </w:p>
          <w:p>
            <w:pPr>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eastAsia="zh-CN"/>
              </w:rPr>
              <w:t>表</w:t>
            </w:r>
            <w:r>
              <w:rPr>
                <w:rFonts w:hint="default" w:ascii="Times New Roman" w:hAnsi="Times New Roman" w:eastAsia="宋体" w:cs="Times New Roman"/>
                <w:sz w:val="21"/>
                <w:szCs w:val="21"/>
                <w:highlight w:val="none"/>
                <w:lang w:val="en-US" w:eastAsia="zh-CN"/>
              </w:rPr>
              <w:t>2</w:t>
            </w:r>
            <w:r>
              <w:rPr>
                <w:rFonts w:hint="eastAsia"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6</w:t>
            </w:r>
            <w:r>
              <w:rPr>
                <w:rFonts w:hint="default" w:ascii="Times New Roman" w:hAnsi="Times New Roman" w:eastAsia="宋体" w:cs="Times New Roman"/>
                <w:sz w:val="21"/>
                <w:szCs w:val="21"/>
                <w:highlight w:val="none"/>
                <w:lang w:val="en-US" w:eastAsia="zh-CN"/>
              </w:rPr>
              <w:t xml:space="preserve"> 本项目土石方平衡一览表</w:t>
            </w:r>
          </w:p>
          <w:tbl>
            <w:tblPr>
              <w:tblStyle w:val="23"/>
              <w:tblW w:w="7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1317"/>
              <w:gridCol w:w="840"/>
              <w:gridCol w:w="1771"/>
              <w:gridCol w:w="1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63" w:type="dxa"/>
                  <w:gridSpan w:val="2"/>
                  <w:noWrap w:val="0"/>
                  <w:vAlign w:val="center"/>
                </w:tcPr>
                <w:p>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项目</w:t>
                  </w:r>
                </w:p>
              </w:tc>
              <w:tc>
                <w:tcPr>
                  <w:tcW w:w="840" w:type="dxa"/>
                  <w:noWrap w:val="0"/>
                  <w:vAlign w:val="center"/>
                </w:tcPr>
                <w:p>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单位</w:t>
                  </w:r>
                </w:p>
              </w:tc>
              <w:tc>
                <w:tcPr>
                  <w:tcW w:w="1771" w:type="dxa"/>
                  <w:noWrap w:val="0"/>
                  <w:vAlign w:val="center"/>
                </w:tcPr>
                <w:p>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数量</w:t>
                  </w:r>
                </w:p>
              </w:tc>
              <w:tc>
                <w:tcPr>
                  <w:tcW w:w="1931" w:type="dxa"/>
                  <w:noWrap w:val="0"/>
                  <w:vAlign w:val="center"/>
                </w:tcPr>
                <w:p>
                  <w:pPr>
                    <w:jc w:val="center"/>
                    <w:rPr>
                      <w:rFonts w:hint="default" w:ascii="Times New Roman" w:hAnsi="Times New Roman" w:eastAsia="宋体" w:cs="Times New Roman"/>
                      <w:b w:val="0"/>
                      <w:bCs w:val="0"/>
                      <w:sz w:val="21"/>
                      <w:szCs w:val="21"/>
                      <w:highlight w:val="none"/>
                      <w:lang w:eastAsia="zh-CN"/>
                    </w:rPr>
                  </w:pPr>
                  <w:r>
                    <w:rPr>
                      <w:rFonts w:hint="default" w:ascii="Times New Roman" w:hAnsi="Times New Roman" w:eastAsia="宋体" w:cs="Times New Roman"/>
                      <w:b w:val="0"/>
                      <w:bCs w:val="0"/>
                      <w:sz w:val="21"/>
                      <w:szCs w:val="21"/>
                      <w:highlight w:val="none"/>
                      <w:lang w:eastAsia="zh-CN"/>
                    </w:rPr>
                    <w:t>土石方去向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6" w:type="dxa"/>
                  <w:vMerge w:val="restart"/>
                  <w:noWrap w:val="0"/>
                  <w:vAlign w:val="center"/>
                </w:tcPr>
                <w:p>
                  <w:pPr>
                    <w:jc w:val="center"/>
                    <w:rPr>
                      <w:rFonts w:hint="default" w:ascii="Times New Roman" w:hAnsi="Times New Roman" w:eastAsia="宋体" w:cs="Times New Roman"/>
                      <w:b w:val="0"/>
                      <w:bCs w:val="0"/>
                      <w:sz w:val="21"/>
                      <w:szCs w:val="21"/>
                      <w:highlight w:val="none"/>
                      <w:lang w:eastAsia="zh-CN"/>
                    </w:rPr>
                  </w:pPr>
                  <w:r>
                    <w:rPr>
                      <w:rFonts w:hint="default" w:ascii="Times New Roman" w:hAnsi="Times New Roman" w:eastAsia="宋体" w:cs="Times New Roman"/>
                      <w:b w:val="0"/>
                      <w:bCs w:val="0"/>
                      <w:sz w:val="21"/>
                      <w:szCs w:val="21"/>
                      <w:highlight w:val="none"/>
                      <w:lang w:eastAsia="zh-CN"/>
                    </w:rPr>
                    <w:t>风井场地</w:t>
                  </w:r>
                </w:p>
              </w:tc>
              <w:tc>
                <w:tcPr>
                  <w:tcW w:w="1317" w:type="dxa"/>
                  <w:noWrap w:val="0"/>
                  <w:vAlign w:val="center"/>
                </w:tcPr>
                <w:p>
                  <w:pPr>
                    <w:widowControl/>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挖方</w:t>
                  </w:r>
                </w:p>
              </w:tc>
              <w:tc>
                <w:tcPr>
                  <w:tcW w:w="840" w:type="dxa"/>
                  <w:noWrap w:val="0"/>
                  <w:vAlign w:val="center"/>
                </w:tcPr>
                <w:p>
                  <w:pPr>
                    <w:widowControl/>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万</w:t>
                  </w:r>
                  <w:r>
                    <w:rPr>
                      <w:rFonts w:hint="default" w:ascii="Times New Roman" w:hAnsi="Times New Roman" w:eastAsia="宋体" w:cs="Times New Roman"/>
                      <w:b w:val="0"/>
                      <w:bCs w:val="0"/>
                      <w:sz w:val="21"/>
                      <w:szCs w:val="21"/>
                      <w:highlight w:val="none"/>
                    </w:rPr>
                    <w:t>m</w:t>
                  </w:r>
                  <w:r>
                    <w:rPr>
                      <w:rFonts w:hint="default" w:ascii="Times New Roman" w:hAnsi="Times New Roman" w:eastAsia="宋体" w:cs="Times New Roman"/>
                      <w:b w:val="0"/>
                      <w:bCs w:val="0"/>
                      <w:sz w:val="21"/>
                      <w:szCs w:val="21"/>
                      <w:highlight w:val="none"/>
                      <w:vertAlign w:val="superscript"/>
                    </w:rPr>
                    <w:t>3</w:t>
                  </w:r>
                </w:p>
              </w:tc>
              <w:tc>
                <w:tcPr>
                  <w:tcW w:w="1771" w:type="dxa"/>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2"/>
                      <w:sz w:val="21"/>
                      <w:szCs w:val="21"/>
                      <w:highlight w:val="none"/>
                      <w:u w:val="none"/>
                      <w:lang w:val="en-US" w:eastAsia="zh-CN" w:bidi="ar-SA"/>
                    </w:rPr>
                  </w:pPr>
                  <w:r>
                    <w:rPr>
                      <w:rFonts w:hint="default" w:ascii="Times New Roman" w:hAnsi="Times New Roman" w:eastAsia="宋体" w:cs="Times New Roman"/>
                      <w:b w:val="0"/>
                      <w:bCs w:val="0"/>
                      <w:i w:val="0"/>
                      <w:iCs w:val="0"/>
                      <w:color w:val="000000"/>
                      <w:kern w:val="2"/>
                      <w:sz w:val="21"/>
                      <w:szCs w:val="21"/>
                      <w:highlight w:val="none"/>
                      <w:u w:val="none"/>
                      <w:lang w:val="en-US" w:eastAsia="zh-CN" w:bidi="ar-SA"/>
                    </w:rPr>
                    <w:t>17.96</w:t>
                  </w:r>
                </w:p>
              </w:tc>
              <w:tc>
                <w:tcPr>
                  <w:tcW w:w="1931" w:type="dxa"/>
                  <w:vMerge w:val="restart"/>
                  <w:noWrap w:val="0"/>
                  <w:vAlign w:val="center"/>
                </w:tcPr>
                <w:p>
                  <w:pPr>
                    <w:widowControl/>
                    <w:jc w:val="center"/>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供给杭锦发电有限公司煤矸石电厂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6" w:type="dxa"/>
                  <w:vMerge w:val="continue"/>
                  <w:noWrap w:val="0"/>
                  <w:vAlign w:val="center"/>
                </w:tcPr>
                <w:p>
                  <w:pPr>
                    <w:jc w:val="center"/>
                    <w:rPr>
                      <w:rFonts w:hint="default" w:ascii="Times New Roman" w:hAnsi="Times New Roman" w:eastAsia="宋体" w:cs="Times New Roman"/>
                      <w:b w:val="0"/>
                      <w:bCs w:val="0"/>
                      <w:sz w:val="21"/>
                      <w:szCs w:val="21"/>
                      <w:highlight w:val="none"/>
                    </w:rPr>
                  </w:pPr>
                </w:p>
              </w:tc>
              <w:tc>
                <w:tcPr>
                  <w:tcW w:w="1317" w:type="dxa"/>
                  <w:noWrap w:val="0"/>
                  <w:vAlign w:val="center"/>
                </w:tcPr>
                <w:p>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填方</w:t>
                  </w:r>
                </w:p>
              </w:tc>
              <w:tc>
                <w:tcPr>
                  <w:tcW w:w="840" w:type="dxa"/>
                  <w:noWrap w:val="0"/>
                  <w:vAlign w:val="center"/>
                </w:tcPr>
                <w:p>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万</w:t>
                  </w:r>
                  <w:r>
                    <w:rPr>
                      <w:rFonts w:hint="default" w:ascii="Times New Roman" w:hAnsi="Times New Roman" w:eastAsia="宋体" w:cs="Times New Roman"/>
                      <w:b w:val="0"/>
                      <w:bCs w:val="0"/>
                      <w:sz w:val="21"/>
                      <w:szCs w:val="21"/>
                      <w:highlight w:val="none"/>
                    </w:rPr>
                    <w:t>m</w:t>
                  </w:r>
                  <w:r>
                    <w:rPr>
                      <w:rFonts w:hint="default" w:ascii="Times New Roman" w:hAnsi="Times New Roman" w:eastAsia="宋体" w:cs="Times New Roman"/>
                      <w:b w:val="0"/>
                      <w:bCs w:val="0"/>
                      <w:sz w:val="21"/>
                      <w:szCs w:val="21"/>
                      <w:highlight w:val="none"/>
                      <w:vertAlign w:val="superscript"/>
                    </w:rPr>
                    <w:t>3</w:t>
                  </w:r>
                </w:p>
              </w:tc>
              <w:tc>
                <w:tcPr>
                  <w:tcW w:w="1771" w:type="dxa"/>
                  <w:noWrap w:val="0"/>
                  <w:vAlign w:val="center"/>
                </w:tcPr>
                <w:p>
                  <w:pPr>
                    <w:jc w:val="center"/>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0"/>
                      <w:sz w:val="21"/>
                      <w:szCs w:val="21"/>
                      <w:highlight w:val="none"/>
                      <w:lang w:val="en-US" w:eastAsia="zh-CN"/>
                      <w14:textFill>
                        <w14:solidFill>
                          <w14:schemeClr w14:val="tx1"/>
                        </w14:solidFill>
                      </w14:textFill>
                    </w:rPr>
                    <w:t>8.62</w:t>
                  </w:r>
                </w:p>
              </w:tc>
              <w:tc>
                <w:tcPr>
                  <w:tcW w:w="1931" w:type="dxa"/>
                  <w:vMerge w:val="continue"/>
                  <w:noWrap w:val="0"/>
                  <w:vAlign w:val="center"/>
                </w:tcPr>
                <w:p>
                  <w:pPr>
                    <w:jc w:val="center"/>
                    <w:rPr>
                      <w:rFonts w:hint="default" w:ascii="Times New Roman" w:hAnsi="Times New Roman" w:eastAsia="宋体" w:cs="Times New Roman"/>
                      <w:b w:val="0"/>
                      <w:bCs w:val="0"/>
                      <w:color w:val="000000" w:themeColor="text1"/>
                      <w:kern w:val="0"/>
                      <w:sz w:val="21"/>
                      <w:szCs w:val="21"/>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6" w:type="dxa"/>
                  <w:vMerge w:val="continue"/>
                  <w:noWrap w:val="0"/>
                  <w:vAlign w:val="center"/>
                </w:tcPr>
                <w:p>
                  <w:pPr>
                    <w:jc w:val="center"/>
                    <w:rPr>
                      <w:rFonts w:hint="default" w:ascii="Times New Roman" w:hAnsi="Times New Roman" w:eastAsia="宋体" w:cs="Times New Roman"/>
                      <w:b w:val="0"/>
                      <w:bCs w:val="0"/>
                      <w:sz w:val="21"/>
                      <w:szCs w:val="21"/>
                      <w:highlight w:val="none"/>
                    </w:rPr>
                  </w:pPr>
                </w:p>
              </w:tc>
              <w:tc>
                <w:tcPr>
                  <w:tcW w:w="1317" w:type="dxa"/>
                  <w:noWrap w:val="0"/>
                  <w:vAlign w:val="center"/>
                </w:tcPr>
                <w:p>
                  <w:pPr>
                    <w:jc w:val="center"/>
                    <w:rPr>
                      <w:rFonts w:hint="default" w:ascii="Times New Roman" w:hAnsi="Times New Roman" w:eastAsia="宋体" w:cs="Times New Roman"/>
                      <w:b w:val="0"/>
                      <w:bCs w:val="0"/>
                      <w:sz w:val="21"/>
                      <w:szCs w:val="21"/>
                      <w:highlight w:val="none"/>
                      <w:lang w:eastAsia="zh-CN"/>
                    </w:rPr>
                  </w:pPr>
                  <w:r>
                    <w:rPr>
                      <w:rFonts w:hint="default" w:ascii="Times New Roman" w:hAnsi="Times New Roman" w:eastAsia="宋体" w:cs="Times New Roman"/>
                      <w:b w:val="0"/>
                      <w:bCs w:val="0"/>
                      <w:sz w:val="21"/>
                      <w:szCs w:val="21"/>
                      <w:highlight w:val="none"/>
                      <w:lang w:eastAsia="zh-CN"/>
                    </w:rPr>
                    <w:t>弃石</w:t>
                  </w:r>
                </w:p>
              </w:tc>
              <w:tc>
                <w:tcPr>
                  <w:tcW w:w="840" w:type="dxa"/>
                  <w:noWrap w:val="0"/>
                  <w:vAlign w:val="center"/>
                </w:tcPr>
                <w:p>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万m³</w:t>
                  </w:r>
                </w:p>
              </w:tc>
              <w:tc>
                <w:tcPr>
                  <w:tcW w:w="1771" w:type="dxa"/>
                  <w:noWrap w:val="0"/>
                  <w:vAlign w:val="center"/>
                </w:tcPr>
                <w:p>
                  <w:pPr>
                    <w:widowControl/>
                    <w:jc w:val="center"/>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9.34</w:t>
                  </w:r>
                </w:p>
              </w:tc>
              <w:tc>
                <w:tcPr>
                  <w:tcW w:w="1931" w:type="dxa"/>
                  <w:vMerge w:val="continue"/>
                  <w:noWrap w:val="0"/>
                  <w:vAlign w:val="center"/>
                </w:tcPr>
                <w:p>
                  <w:pPr>
                    <w:widowControl/>
                    <w:jc w:val="center"/>
                    <w:rPr>
                      <w:rFonts w:hint="default" w:ascii="Times New Roman" w:hAnsi="Times New Roman" w:eastAsia="宋体" w:cs="Times New Roman"/>
                      <w:b w:val="0"/>
                      <w:bCs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6" w:type="dxa"/>
                  <w:vMerge w:val="restart"/>
                  <w:noWrap w:val="0"/>
                  <w:vAlign w:val="center"/>
                </w:tcPr>
                <w:p>
                  <w:pPr>
                    <w:jc w:val="center"/>
                    <w:rPr>
                      <w:rFonts w:hint="default" w:ascii="Times New Roman" w:hAnsi="Times New Roman" w:eastAsia="宋体" w:cs="Times New Roman"/>
                      <w:b w:val="0"/>
                      <w:bCs w:val="0"/>
                      <w:sz w:val="21"/>
                      <w:szCs w:val="21"/>
                      <w:highlight w:val="none"/>
                      <w:lang w:eastAsia="zh-CN"/>
                    </w:rPr>
                  </w:pPr>
                  <w:r>
                    <w:rPr>
                      <w:rFonts w:hint="default" w:ascii="Times New Roman" w:hAnsi="Times New Roman" w:eastAsia="宋体" w:cs="Times New Roman"/>
                      <w:b w:val="0"/>
                      <w:bCs w:val="0"/>
                      <w:sz w:val="21"/>
                      <w:szCs w:val="21"/>
                      <w:highlight w:val="none"/>
                      <w:lang w:eastAsia="zh-CN"/>
                    </w:rPr>
                    <w:t>场外道路</w:t>
                  </w:r>
                </w:p>
              </w:tc>
              <w:tc>
                <w:tcPr>
                  <w:tcW w:w="1317" w:type="dxa"/>
                  <w:noWrap w:val="0"/>
                  <w:vAlign w:val="center"/>
                </w:tcPr>
                <w:p>
                  <w:pPr>
                    <w:widowControl/>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挖方</w:t>
                  </w:r>
                </w:p>
              </w:tc>
              <w:tc>
                <w:tcPr>
                  <w:tcW w:w="840" w:type="dxa"/>
                  <w:noWrap w:val="0"/>
                  <w:vAlign w:val="center"/>
                </w:tcPr>
                <w:p>
                  <w:pPr>
                    <w:widowControl/>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万</w:t>
                  </w:r>
                  <w:r>
                    <w:rPr>
                      <w:rFonts w:hint="default" w:ascii="Times New Roman" w:hAnsi="Times New Roman" w:eastAsia="宋体" w:cs="Times New Roman"/>
                      <w:b w:val="0"/>
                      <w:bCs w:val="0"/>
                      <w:sz w:val="21"/>
                      <w:szCs w:val="21"/>
                      <w:highlight w:val="none"/>
                    </w:rPr>
                    <w:t>m</w:t>
                  </w:r>
                  <w:r>
                    <w:rPr>
                      <w:rFonts w:hint="default" w:ascii="Times New Roman" w:hAnsi="Times New Roman" w:eastAsia="宋体" w:cs="Times New Roman"/>
                      <w:b w:val="0"/>
                      <w:bCs w:val="0"/>
                      <w:sz w:val="21"/>
                      <w:szCs w:val="21"/>
                      <w:highlight w:val="none"/>
                      <w:vertAlign w:val="superscript"/>
                    </w:rPr>
                    <w:t>3</w:t>
                  </w:r>
                </w:p>
              </w:tc>
              <w:tc>
                <w:tcPr>
                  <w:tcW w:w="1771" w:type="dxa"/>
                  <w:noWrap w:val="0"/>
                  <w:vAlign w:val="center"/>
                </w:tcPr>
                <w:p>
                  <w:pPr>
                    <w:pStyle w:val="52"/>
                    <w:jc w:val="cente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2.80</w:t>
                  </w:r>
                </w:p>
              </w:tc>
              <w:tc>
                <w:tcPr>
                  <w:tcW w:w="1931" w:type="dxa"/>
                  <w:vMerge w:val="restart"/>
                  <w:noWrap w:val="0"/>
                  <w:vAlign w:val="center"/>
                </w:tcPr>
                <w:p>
                  <w:pPr>
                    <w:jc w:val="center"/>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6" w:type="dxa"/>
                  <w:vMerge w:val="continue"/>
                  <w:noWrap w:val="0"/>
                  <w:vAlign w:val="center"/>
                </w:tcPr>
                <w:p>
                  <w:pPr>
                    <w:jc w:val="center"/>
                    <w:rPr>
                      <w:rFonts w:hint="default" w:ascii="Times New Roman" w:hAnsi="Times New Roman" w:eastAsia="宋体" w:cs="Times New Roman"/>
                      <w:b w:val="0"/>
                      <w:bCs w:val="0"/>
                      <w:sz w:val="21"/>
                      <w:szCs w:val="21"/>
                      <w:highlight w:val="none"/>
                    </w:rPr>
                  </w:pPr>
                </w:p>
              </w:tc>
              <w:tc>
                <w:tcPr>
                  <w:tcW w:w="1317" w:type="dxa"/>
                  <w:noWrap w:val="0"/>
                  <w:vAlign w:val="center"/>
                </w:tcPr>
                <w:p>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填方</w:t>
                  </w:r>
                </w:p>
              </w:tc>
              <w:tc>
                <w:tcPr>
                  <w:tcW w:w="840" w:type="dxa"/>
                  <w:noWrap w:val="0"/>
                  <w:vAlign w:val="center"/>
                </w:tcPr>
                <w:p>
                  <w:pPr>
                    <w:jc w:val="center"/>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万</w:t>
                  </w:r>
                  <w:r>
                    <w:rPr>
                      <w:rFonts w:hint="default" w:ascii="Times New Roman" w:hAnsi="Times New Roman" w:eastAsia="宋体" w:cs="Times New Roman"/>
                      <w:b w:val="0"/>
                      <w:bCs w:val="0"/>
                      <w:sz w:val="21"/>
                      <w:szCs w:val="21"/>
                      <w:highlight w:val="none"/>
                    </w:rPr>
                    <w:t>m</w:t>
                  </w:r>
                  <w:r>
                    <w:rPr>
                      <w:rFonts w:hint="default" w:ascii="Times New Roman" w:hAnsi="Times New Roman" w:eastAsia="宋体" w:cs="Times New Roman"/>
                      <w:b w:val="0"/>
                      <w:bCs w:val="0"/>
                      <w:sz w:val="21"/>
                      <w:szCs w:val="21"/>
                      <w:highlight w:val="none"/>
                      <w:vertAlign w:val="superscript"/>
                    </w:rPr>
                    <w:t>3</w:t>
                  </w:r>
                </w:p>
              </w:tc>
              <w:tc>
                <w:tcPr>
                  <w:tcW w:w="1771" w:type="dxa"/>
                  <w:noWrap w:val="0"/>
                  <w:vAlign w:val="center"/>
                </w:tcPr>
                <w:p>
                  <w:pPr>
                    <w:pStyle w:val="52"/>
                    <w:jc w:val="cente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2.80</w:t>
                  </w:r>
                </w:p>
              </w:tc>
              <w:tc>
                <w:tcPr>
                  <w:tcW w:w="1931" w:type="dxa"/>
                  <w:vMerge w:val="continue"/>
                  <w:noWrap w:val="0"/>
                  <w:vAlign w:val="center"/>
                </w:tcPr>
                <w:p>
                  <w:pPr>
                    <w:jc w:val="center"/>
                    <w:rPr>
                      <w:rFonts w:hint="default" w:ascii="Times New Roman" w:hAnsi="Times New Roman" w:eastAsia="宋体" w:cs="Times New Roman"/>
                      <w:b w:val="0"/>
                      <w:bCs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6" w:type="dxa"/>
                  <w:vMerge w:val="continue"/>
                  <w:noWrap w:val="0"/>
                  <w:vAlign w:val="center"/>
                </w:tcPr>
                <w:p>
                  <w:pPr>
                    <w:jc w:val="center"/>
                    <w:rPr>
                      <w:rFonts w:hint="default" w:ascii="Times New Roman" w:hAnsi="Times New Roman" w:eastAsia="宋体" w:cs="Times New Roman"/>
                      <w:b w:val="0"/>
                      <w:bCs w:val="0"/>
                      <w:sz w:val="21"/>
                      <w:szCs w:val="21"/>
                      <w:highlight w:val="none"/>
                    </w:rPr>
                  </w:pPr>
                </w:p>
              </w:tc>
              <w:tc>
                <w:tcPr>
                  <w:tcW w:w="1317" w:type="dxa"/>
                  <w:noWrap w:val="0"/>
                  <w:vAlign w:val="center"/>
                </w:tcPr>
                <w:p>
                  <w:pPr>
                    <w:jc w:val="center"/>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sz w:val="21"/>
                      <w:szCs w:val="21"/>
                      <w:highlight w:val="none"/>
                    </w:rPr>
                    <w:t>弃土</w:t>
                  </w:r>
                </w:p>
              </w:tc>
              <w:tc>
                <w:tcPr>
                  <w:tcW w:w="840" w:type="dxa"/>
                  <w:noWrap w:val="0"/>
                  <w:vAlign w:val="center"/>
                </w:tcPr>
                <w:p>
                  <w:pPr>
                    <w:jc w:val="center"/>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color w:val="000000" w:themeColor="text1"/>
                      <w:kern w:val="0"/>
                      <w:sz w:val="21"/>
                      <w:szCs w:val="21"/>
                      <w:highlight w:val="none"/>
                      <w14:textFill>
                        <w14:solidFill>
                          <w14:schemeClr w14:val="tx1"/>
                        </w14:solidFill>
                      </w14:textFill>
                    </w:rPr>
                    <w:t>万</w:t>
                  </w:r>
                  <w:r>
                    <w:rPr>
                      <w:rFonts w:hint="default" w:ascii="Times New Roman" w:hAnsi="Times New Roman" w:eastAsia="宋体" w:cs="Times New Roman"/>
                      <w:b w:val="0"/>
                      <w:bCs w:val="0"/>
                      <w:sz w:val="21"/>
                      <w:szCs w:val="21"/>
                      <w:highlight w:val="none"/>
                    </w:rPr>
                    <w:t>m</w:t>
                  </w:r>
                  <w:r>
                    <w:rPr>
                      <w:rFonts w:hint="default" w:ascii="Times New Roman" w:hAnsi="Times New Roman" w:eastAsia="宋体" w:cs="Times New Roman"/>
                      <w:b w:val="0"/>
                      <w:bCs w:val="0"/>
                      <w:sz w:val="21"/>
                      <w:szCs w:val="21"/>
                      <w:highlight w:val="none"/>
                      <w:vertAlign w:val="superscript"/>
                    </w:rPr>
                    <w:t>3</w:t>
                  </w:r>
                </w:p>
              </w:tc>
              <w:tc>
                <w:tcPr>
                  <w:tcW w:w="1771" w:type="dxa"/>
                  <w:noWrap w:val="0"/>
                  <w:vAlign w:val="center"/>
                </w:tcPr>
                <w:p>
                  <w:pPr>
                    <w:pStyle w:val="52"/>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1931" w:type="dxa"/>
                  <w:vMerge w:val="continue"/>
                  <w:noWrap w:val="0"/>
                  <w:vAlign w:val="center"/>
                </w:tcPr>
                <w:p>
                  <w:pPr>
                    <w:jc w:val="center"/>
                    <w:rPr>
                      <w:rFonts w:hint="default" w:ascii="Times New Roman" w:hAnsi="Times New Roman" w:eastAsia="宋体" w:cs="Times New Roman"/>
                      <w:b w:val="0"/>
                      <w:bCs w:val="0"/>
                      <w:sz w:val="21"/>
                      <w:szCs w:val="21"/>
                      <w:highlight w:val="none"/>
                      <w:lang w:val="en-US" w:eastAsia="zh-CN"/>
                    </w:rPr>
                  </w:pPr>
                </w:p>
              </w:tc>
            </w:tr>
            <w:bookmarkEnd w:id="5"/>
            <w:bookmarkEnd w:id="6"/>
            <w:bookmarkEnd w:id="7"/>
            <w:bookmarkEnd w:id="8"/>
            <w:bookmarkEnd w:id="9"/>
            <w:bookmarkEnd w:id="10"/>
          </w:tbl>
          <w:p>
            <w:pPr>
              <w:pStyle w:val="31"/>
              <w:keepNext w:val="0"/>
              <w:keepLines w:val="0"/>
              <w:pageBreakBefore w:val="0"/>
              <w:widowControl w:val="0"/>
              <w:kinsoku/>
              <w:wordWrap/>
              <w:overflowPunct/>
              <w:topLinePunct w:val="0"/>
              <w:autoSpaceDE/>
              <w:autoSpaceDN/>
              <w:bidi w:val="0"/>
              <w:adjustRightInd/>
              <w:snapToGrid w:val="0"/>
              <w:jc w:val="both"/>
              <w:textAlignment w:val="auto"/>
              <w:rPr>
                <w:rFonts w:hint="default"/>
                <w:color w:val="000000" w:themeColor="text1"/>
                <w:highlight w:val="yellow"/>
                <w:lang w:val="en-US" w:eastAsia="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710" w:type="dxa"/>
            <w:noWrap w:val="0"/>
            <w:vAlign w:val="center"/>
          </w:tcPr>
          <w:p>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总平面及现场布置</w:t>
            </w:r>
          </w:p>
        </w:tc>
        <w:tc>
          <w:tcPr>
            <w:tcW w:w="83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一、总平面布置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snapToGrid w:val="0"/>
                <w:color w:val="000000" w:themeColor="text1"/>
                <w:spacing w:val="0"/>
                <w:position w:val="0"/>
                <w:sz w:val="24"/>
                <w:szCs w:val="24"/>
                <w:highlight w:val="none"/>
                <w14:textFill>
                  <w14:solidFill>
                    <w14:schemeClr w14:val="tx1"/>
                  </w14:solidFill>
                </w14:textFill>
              </w:rPr>
            </w:pPr>
            <w:r>
              <w:rPr>
                <w:spacing w:val="0"/>
                <w:position w:val="0"/>
                <w:sz w:val="24"/>
                <w:szCs w:val="24"/>
                <w:highlight w:val="none"/>
              </w:rPr>
              <w:t>北部风井场地，位于</w:t>
            </w:r>
            <w:r>
              <w:rPr>
                <w:rFonts w:hint="eastAsia"/>
                <w:spacing w:val="0"/>
                <w:position w:val="0"/>
                <w:sz w:val="24"/>
                <w:szCs w:val="24"/>
                <w:highlight w:val="none"/>
                <w:lang w:eastAsia="zh-CN"/>
              </w:rPr>
              <w:t>塔然高勒</w:t>
            </w:r>
            <w:r>
              <w:rPr>
                <w:spacing w:val="0"/>
                <w:position w:val="0"/>
                <w:sz w:val="24"/>
                <w:szCs w:val="24"/>
                <w:highlight w:val="none"/>
              </w:rPr>
              <w:t>矿井工业场地西北约</w:t>
            </w:r>
            <w:r>
              <w:rPr>
                <w:rFonts w:ascii="Times New Roman" w:hAnsi="Times New Roman" w:eastAsia="Times New Roman" w:cs="Times New Roman"/>
                <w:spacing w:val="0"/>
                <w:position w:val="0"/>
                <w:sz w:val="24"/>
                <w:szCs w:val="24"/>
                <w:highlight w:val="none"/>
              </w:rPr>
              <w:t>7.2km</w:t>
            </w:r>
            <w:r>
              <w:rPr>
                <w:spacing w:val="0"/>
                <w:position w:val="0"/>
                <w:sz w:val="24"/>
                <w:szCs w:val="24"/>
                <w:highlight w:val="none"/>
              </w:rPr>
              <w:t>处，</w:t>
            </w:r>
            <w:r>
              <w:rPr>
                <w:rFonts w:hint="eastAsia"/>
                <w:spacing w:val="0"/>
                <w:position w:val="0"/>
                <w:sz w:val="24"/>
                <w:szCs w:val="24"/>
                <w:highlight w:val="none"/>
              </w:rPr>
              <w:t>受地形限制，围墙内建构筑物尽量避开高填方区，用地呈不规则形状。</w:t>
            </w:r>
            <w:r>
              <w:rPr>
                <w:spacing w:val="0"/>
                <w:position w:val="0"/>
                <w:sz w:val="24"/>
                <w:szCs w:val="24"/>
                <w:highlight w:val="none"/>
              </w:rPr>
              <w:t>场地北部自西向东布置有</w:t>
            </w:r>
            <w:r>
              <w:rPr>
                <w:rFonts w:ascii="Times New Roman" w:hAnsi="Times New Roman" w:eastAsia="Times New Roman" w:cs="Times New Roman"/>
                <w:spacing w:val="0"/>
                <w:position w:val="0"/>
                <w:sz w:val="24"/>
                <w:szCs w:val="24"/>
                <w:highlight w:val="none"/>
              </w:rPr>
              <w:t>35kV</w:t>
            </w:r>
            <w:r>
              <w:rPr>
                <w:spacing w:val="0"/>
                <w:position w:val="0"/>
                <w:sz w:val="24"/>
                <w:szCs w:val="24"/>
                <w:highlight w:val="none"/>
              </w:rPr>
              <w:t>变电所、空压机房、热泵机房，以及空气加热室和进风立井</w:t>
            </w:r>
            <w:r>
              <w:rPr>
                <w:rFonts w:hint="eastAsia"/>
                <w:spacing w:val="0"/>
                <w:position w:val="0"/>
                <w:sz w:val="24"/>
                <w:szCs w:val="24"/>
                <w:highlight w:val="none"/>
                <w:lang w:eastAsia="zh-CN"/>
              </w:rPr>
              <w:t>等</w:t>
            </w:r>
            <w:r>
              <w:rPr>
                <w:spacing w:val="0"/>
                <w:position w:val="0"/>
                <w:sz w:val="24"/>
                <w:szCs w:val="24"/>
                <w:highlight w:val="none"/>
              </w:rPr>
              <w:t>联合建筑。</w:t>
            </w:r>
            <w:r>
              <w:rPr>
                <w:rFonts w:hint="eastAsia"/>
                <w:spacing w:val="0"/>
                <w:position w:val="0"/>
                <w:sz w:val="24"/>
                <w:szCs w:val="24"/>
                <w:highlight w:val="none"/>
              </w:rPr>
              <w:t>南部布置有雨水收集池、日用消防水池及泵房、电气集控中心、通风机风道基础、乏风取热室、凝结水池及回风立井等设施。</w:t>
            </w:r>
            <w:r>
              <w:rPr>
                <w:rFonts w:hint="eastAsia"/>
                <w:snapToGrid w:val="0"/>
                <w:color w:val="000000" w:themeColor="text1"/>
                <w:spacing w:val="0"/>
                <w:position w:val="0"/>
                <w:sz w:val="24"/>
                <w:szCs w:val="24"/>
                <w:highlight w:val="none"/>
                <w14:textFill>
                  <w14:solidFill>
                    <w14:schemeClr w14:val="tx1"/>
                  </w14:solidFill>
                </w14:textFill>
              </w:rPr>
              <w:t>场地仅设一个出入口，为东侧出入口。综合值班室位于场地出入口处。</w:t>
            </w:r>
            <w:r>
              <w:rPr>
                <w:rFonts w:hint="eastAsia"/>
                <w:snapToGrid w:val="0"/>
                <w:color w:val="000000" w:themeColor="text1"/>
                <w:spacing w:val="0"/>
                <w:position w:val="0"/>
                <w:sz w:val="24"/>
                <w:szCs w:val="24"/>
                <w:highlight w:val="none"/>
                <w:lang w:eastAsia="zh-CN"/>
                <w14:textFill>
                  <w14:solidFill>
                    <w14:schemeClr w14:val="tx1"/>
                  </w14:solidFill>
                </w14:textFill>
              </w:rPr>
              <w:t>场外</w:t>
            </w:r>
            <w:r>
              <w:rPr>
                <w:rFonts w:hint="eastAsia"/>
                <w:snapToGrid w:val="0"/>
                <w:color w:val="000000" w:themeColor="text1"/>
                <w:spacing w:val="0"/>
                <w:position w:val="0"/>
                <w:sz w:val="24"/>
                <w:szCs w:val="24"/>
                <w:highlight w:val="none"/>
                <w14:textFill>
                  <w14:solidFill>
                    <w14:schemeClr w14:val="tx1"/>
                  </w14:solidFill>
                </w14:textFill>
              </w:rPr>
              <w:t>道路自北部风井场地东门起，沿项家沟北侧沟顶向东南约1.5km后，顺山坡向南0.5km至沟底，与既有道路相接，本道路全长约2.1</w:t>
            </w:r>
            <w:r>
              <w:rPr>
                <w:rFonts w:hint="eastAsia"/>
                <w:snapToGrid w:val="0"/>
                <w:color w:val="000000" w:themeColor="text1"/>
                <w:spacing w:val="0"/>
                <w:position w:val="0"/>
                <w:sz w:val="24"/>
                <w:szCs w:val="24"/>
                <w:highlight w:val="none"/>
                <w:lang w:val="en-US" w:eastAsia="zh-CN"/>
                <w14:textFill>
                  <w14:solidFill>
                    <w14:schemeClr w14:val="tx1"/>
                  </w14:solidFill>
                </w14:textFill>
              </w:rPr>
              <w:t>5</w:t>
            </w:r>
            <w:r>
              <w:rPr>
                <w:rFonts w:hint="eastAsia"/>
                <w:snapToGrid w:val="0"/>
                <w:color w:val="000000" w:themeColor="text1"/>
                <w:spacing w:val="0"/>
                <w:position w:val="0"/>
                <w:sz w:val="24"/>
                <w:szCs w:val="24"/>
                <w:highlight w:val="none"/>
                <w14:textFill>
                  <w14:solidFill>
                    <w14:schemeClr w14:val="tx1"/>
                  </w14:solidFill>
                </w14:textFill>
              </w:rPr>
              <w:t>km。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工程总平面布置图见附图</w:t>
            </w: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二、现场布置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 xml:space="preserve">施工交通布置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highlight w:val="none"/>
                <w:lang w:val="en-US" w:eastAsia="zh-CN" w:bidi="ar"/>
              </w:rPr>
            </w:pPr>
            <w:r>
              <w:rPr>
                <w:rFonts w:hint="default" w:ascii="宋体" w:hAnsi="宋体" w:eastAsia="宋体" w:cs="宋体"/>
                <w:color w:val="000000"/>
                <w:kern w:val="0"/>
                <w:sz w:val="24"/>
                <w:szCs w:val="24"/>
                <w:highlight w:val="none"/>
                <w:lang w:val="en-US" w:eastAsia="zh-CN" w:bidi="ar"/>
              </w:rPr>
              <w:t>施工期间风井工业场地内道路采用砂石路面，施工结束后改建为永久性道路</w:t>
            </w:r>
            <w:r>
              <w:rPr>
                <w:rFonts w:hint="eastAsia" w:ascii="宋体" w:hAnsi="宋体" w:cs="宋体"/>
                <w:color w:val="000000"/>
                <w:kern w:val="0"/>
                <w:sz w:val="24"/>
                <w:szCs w:val="24"/>
                <w:highlight w:val="none"/>
                <w:lang w:val="en-US" w:eastAsia="zh-CN" w:bidi="ar"/>
              </w:rPr>
              <w:t>（</w:t>
            </w:r>
            <w:r>
              <w:rPr>
                <w:rFonts w:hint="default" w:ascii="宋体" w:hAnsi="宋体" w:eastAsia="宋体" w:cs="宋体"/>
                <w:color w:val="000000"/>
                <w:kern w:val="0"/>
                <w:sz w:val="24"/>
                <w:szCs w:val="24"/>
                <w:highlight w:val="none"/>
                <w:lang w:val="en-US" w:eastAsia="zh-CN" w:bidi="ar"/>
              </w:rPr>
              <w:t>碎石基层，混凝土路面）。场外施工道路依托附近公路、乡村道路及进场道路，不再另辟临时施工道路。</w:t>
            </w:r>
          </w:p>
          <w:p>
            <w:pPr>
              <w:pStyle w:val="5"/>
              <w:pageBreakBefore w:val="0"/>
              <w:widowControl w:val="0"/>
              <w:kinsoku/>
              <w:wordWrap/>
              <w:overflowPunct/>
              <w:topLinePunct w:val="0"/>
              <w:autoSpaceDE/>
              <w:autoSpaceDN/>
              <w:bidi w:val="0"/>
              <w:adjustRightInd/>
              <w:spacing w:before="0" w:after="0" w:line="360" w:lineRule="auto"/>
              <w:ind w:firstLine="480" w:firstLineChars="200"/>
              <w:jc w:val="both"/>
              <w:textAlignment w:val="auto"/>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2</w:t>
            </w:r>
            <w:r>
              <w:rPr>
                <w:rFonts w:hint="eastAsia" w:ascii="Times New Roman" w:cs="Times New Roman"/>
                <w:b w:val="0"/>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施工供水、供电</w:t>
            </w:r>
          </w:p>
          <w:p>
            <w:pPr>
              <w:pStyle w:val="31"/>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eastAsia" w:cs="Times New Roman"/>
                <w:b w:val="0"/>
                <w:bCs/>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施工供水</w:t>
            </w:r>
          </w:p>
          <w:p>
            <w:pPr>
              <w:pStyle w:val="2"/>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textAlignment w:val="auto"/>
              <w:rPr>
                <w:rFonts w:ascii="微软雅黑" w:hAnsi="微软雅黑" w:eastAsia="微软雅黑" w:cs="微软雅黑"/>
                <w:i w:val="0"/>
                <w:iCs w:val="0"/>
                <w:caps w:val="0"/>
                <w:color w:val="2DC76D"/>
                <w:spacing w:val="0"/>
                <w:sz w:val="21"/>
                <w:szCs w:val="21"/>
              </w:rPr>
            </w:pPr>
            <w:r>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t>施工用水水源为塔然高勒煤矿工业场地井下水处理站深度处理后的井下排水，依托水车从塔然高勒煤矿工业场地拉水。塔然高勒煤矿目前正处于基建期，因此有矿井水产生，目前井下排水量约为3000立方米/d。</w:t>
            </w:r>
          </w:p>
          <w:p>
            <w:pPr>
              <w:pStyle w:val="2"/>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eastAsia" w:cs="Times New Roman"/>
                <w:b w:val="0"/>
                <w:bCs/>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w:t>
            </w:r>
            <w:r>
              <w:rPr>
                <w:rFonts w:hint="eastAsia" w:cs="Times New Roman"/>
                <w:b w:val="0"/>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施工供电</w:t>
            </w:r>
          </w:p>
          <w:p>
            <w:pPr>
              <w:pStyle w:val="31"/>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t>施工电源考虑架设塔然高勒110kV变电站—塔然高勒北部风井场地35kV变电站35kV永久线路，降压10kV运行，接入北部风井场地35KV预制舱式变电站内10kV预制舱。</w:t>
            </w: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施工单位</w:t>
            </w:r>
            <w:r>
              <w:rPr>
                <w:rFonts w:hint="eastAsia" w:cs="Times New Roman"/>
                <w:snapToGrid w:val="0"/>
                <w:color w:val="000000" w:themeColor="text1"/>
                <w:sz w:val="24"/>
                <w:szCs w:val="24"/>
                <w:highlight w:val="none"/>
                <w:lang w:eastAsia="zh-CN"/>
                <w14:textFill>
                  <w14:solidFill>
                    <w14:schemeClr w14:val="tx1"/>
                  </w14:solidFill>
                </w14:textFill>
              </w:rPr>
              <w:t>应</w:t>
            </w: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自备应急电源</w:t>
            </w:r>
            <w:r>
              <w:rPr>
                <w:rFonts w:hint="default" w:ascii="Times New Roman" w:hAnsi="Times New Roman" w:eastAsia="宋体" w:cs="Times New Roman"/>
                <w:snapToGrid w:val="0"/>
                <w:color w:val="000000" w:themeColor="text1"/>
                <w:sz w:val="21"/>
                <w:szCs w:val="21"/>
                <w:highlight w:val="none"/>
                <w14:textFill>
                  <w14:solidFill>
                    <w14:schemeClr w14:val="tx1"/>
                  </w14:solidFill>
                </w14:textFill>
              </w:rPr>
              <w:t>。</w:t>
            </w:r>
          </w:p>
          <w:p>
            <w:pPr>
              <w:pStyle w:val="31"/>
              <w:pageBreakBefore w:val="0"/>
              <w:widowControl w:val="0"/>
              <w:kinsoku/>
              <w:wordWrap/>
              <w:overflowPunct/>
              <w:topLinePunct w:val="0"/>
              <w:autoSpaceDE/>
              <w:autoSpaceDN/>
              <w:bidi w:val="0"/>
              <w:adjustRightInd/>
              <w:spacing w:line="360" w:lineRule="auto"/>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.临时</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工程布置</w:t>
            </w:r>
          </w:p>
          <w:p>
            <w:pPr>
              <w:pStyle w:val="31"/>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1</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施工生产生活区</w:t>
            </w:r>
          </w:p>
          <w:p>
            <w:pPr>
              <w:pStyle w:val="31"/>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本工程施工生产生活区</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包括施工生活区和施工生产区，布置在风井工业场地空地</w:t>
            </w:r>
            <w:r>
              <w:rPr>
                <w:rFonts w:hint="default" w:ascii="Times New Roman" w:hAnsi="Times New Roman" w:eastAsia="宋体" w:cs="Times New Roman"/>
                <w:color w:val="000000" w:themeColor="text1"/>
                <w:sz w:val="24"/>
                <w:szCs w:val="24"/>
                <w:highlight w:val="none"/>
                <w14:textFill>
                  <w14:solidFill>
                    <w14:schemeClr w14:val="tx1"/>
                  </w14:solidFill>
                </w14:textFill>
              </w:rPr>
              <w:t>内</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auto"/>
                <w:sz w:val="24"/>
                <w:lang w:eastAsia="zh-CN"/>
              </w:rPr>
              <w:t>总占地面积为</w:t>
            </w:r>
            <w:r>
              <w:rPr>
                <w:rFonts w:hint="default" w:ascii="Times New Roman" w:hAnsi="Times New Roman" w:eastAsia="宋体" w:cs="Times New Roman"/>
                <w:color w:val="auto"/>
                <w:sz w:val="24"/>
                <w:lang w:val="en-US" w:eastAsia="zh-CN"/>
              </w:rPr>
              <w:t>0.80</w:t>
            </w:r>
            <w:r>
              <w:rPr>
                <w:rFonts w:hint="default" w:ascii="Times New Roman" w:hAnsi="Times New Roman" w:eastAsia="宋体" w:cs="Times New Roman"/>
                <w:color w:val="auto"/>
                <w:sz w:val="24"/>
                <w:lang w:eastAsia="zh-CN"/>
              </w:rPr>
              <w:t>hm</w:t>
            </w:r>
            <w:r>
              <w:rPr>
                <w:rFonts w:hint="default" w:ascii="Times New Roman" w:hAnsi="Times New Roman" w:eastAsia="宋体" w:cs="Times New Roman"/>
                <w:color w:val="auto"/>
                <w:sz w:val="24"/>
                <w:vertAlign w:val="superscript"/>
                <w:lang w:eastAsia="zh-CN"/>
              </w:rPr>
              <w:t>2</w:t>
            </w:r>
            <w:r>
              <w:rPr>
                <w:rFonts w:hint="eastAsia" w:cs="Times New Roman"/>
                <w:color w:val="auto"/>
                <w:sz w:val="24"/>
                <w:lang w:eastAsia="zh-CN"/>
              </w:rPr>
              <w:t>。其中，</w:t>
            </w:r>
            <w:r>
              <w:rPr>
                <w:rFonts w:hint="default" w:ascii="Times New Roman" w:hAnsi="Times New Roman" w:eastAsia="宋体" w:cs="Times New Roman"/>
                <w:color w:val="000000" w:themeColor="text1"/>
                <w:sz w:val="24"/>
                <w:szCs w:val="24"/>
                <w:highlight w:val="none"/>
                <w14:textFill>
                  <w14:solidFill>
                    <w14:schemeClr w14:val="tx1"/>
                  </w14:solidFill>
                </w14:textFill>
              </w:rPr>
              <w:t>施工生活区</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总面积为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0.20</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hm</w:t>
            </w:r>
            <w:r>
              <w:rPr>
                <w:rFonts w:hint="default" w:ascii="Times New Roman" w:hAnsi="Times New Roman" w:eastAsia="宋体" w:cs="Times New Roman"/>
                <w:color w:val="000000" w:themeColor="text1"/>
                <w:sz w:val="24"/>
                <w:szCs w:val="24"/>
                <w:highlight w:val="none"/>
                <w:vertAlign w:val="superscript"/>
                <w:lang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，施工生产区总面积为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0.60</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hm</w:t>
            </w:r>
            <w:r>
              <w:rPr>
                <w:rFonts w:hint="default" w:ascii="Times New Roman" w:hAnsi="Times New Roman" w:eastAsia="宋体" w:cs="Times New Roman"/>
                <w:color w:val="000000" w:themeColor="text1"/>
                <w:sz w:val="24"/>
                <w:szCs w:val="24"/>
                <w:highlight w:val="none"/>
                <w:vertAlign w:val="superscript"/>
                <w:lang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。施工生活生产区位于风井工业场地占地范围内，不新增临时占地。</w:t>
            </w:r>
          </w:p>
          <w:p>
            <w:pPr>
              <w:spacing w:line="480" w:lineRule="exact"/>
              <w:ind w:firstLine="480" w:firstLineChars="200"/>
              <w:rPr>
                <w:rFonts w:hint="default" w:ascii="Times New Roman" w:hAnsi="Times New Roman" w:eastAsia="宋体" w:cs="Times New Roman"/>
                <w:color w:val="auto"/>
                <w:sz w:val="24"/>
                <w:szCs w:val="24"/>
                <w:lang w:eastAsia="zh-CN"/>
              </w:rPr>
            </w:pPr>
            <w:r>
              <w:rPr>
                <w:rFonts w:hint="eastAsia"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）建筑材料</w:t>
            </w:r>
          </w:p>
          <w:p>
            <w:pPr>
              <w:pStyle w:val="31"/>
              <w:pageBreakBefore w:val="0"/>
              <w:widowControl w:val="0"/>
              <w:kinsoku/>
              <w:wordWrap/>
              <w:overflowPunct/>
              <w:topLinePunct w:val="0"/>
              <w:autoSpaceDE/>
              <w:autoSpaceDN/>
              <w:bidi w:val="0"/>
              <w:adjustRightInd/>
              <w:spacing w:line="360" w:lineRule="auto"/>
              <w:jc w:val="both"/>
              <w:textAlignment w:val="auto"/>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auto"/>
                <w:sz w:val="24"/>
                <w:szCs w:val="24"/>
                <w:lang w:eastAsia="zh-CN"/>
              </w:rPr>
              <w:t>本项目建设所用钢材、木材、砂、砖、石等建筑材料均</w:t>
            </w:r>
            <w:r>
              <w:rPr>
                <w:rFonts w:hint="default" w:ascii="Times New Roman" w:hAnsi="Times New Roman" w:eastAsia="宋体" w:cs="Times New Roman"/>
                <w:color w:val="auto"/>
                <w:sz w:val="24"/>
                <w:szCs w:val="24"/>
                <w:highlight w:val="none"/>
                <w:lang w:val="en-US" w:eastAsia="zh-CN"/>
              </w:rPr>
              <w:t>由周边地区外购</w:t>
            </w:r>
            <w:r>
              <w:rPr>
                <w:rFonts w:hint="default" w:ascii="Times New Roman" w:hAnsi="Times New Roman" w:eastAsia="宋体" w:cs="Times New Roman"/>
                <w:color w:val="auto"/>
                <w:sz w:val="24"/>
                <w:szCs w:val="24"/>
                <w:lang w:eastAsia="zh-CN"/>
              </w:rPr>
              <w:t>，道路建设所用</w:t>
            </w:r>
            <w:r>
              <w:rPr>
                <w:rFonts w:hint="default" w:ascii="Times New Roman" w:hAnsi="Times New Roman" w:eastAsia="宋体" w:cs="Times New Roman"/>
                <w:sz w:val="24"/>
                <w:szCs w:val="24"/>
                <w:highlight w:val="none"/>
                <w:lang w:val="en-US" w:eastAsia="zh-CN"/>
              </w:rPr>
              <w:t>沥青混凝土</w:t>
            </w:r>
            <w:r>
              <w:rPr>
                <w:rFonts w:hint="default" w:ascii="Times New Roman" w:hAnsi="Times New Roman" w:eastAsia="宋体" w:cs="Times New Roman"/>
                <w:color w:val="auto"/>
                <w:sz w:val="24"/>
                <w:szCs w:val="24"/>
                <w:lang w:eastAsia="zh-CN"/>
              </w:rPr>
              <w:t>来源于</w:t>
            </w:r>
            <w:r>
              <w:rPr>
                <w:rFonts w:hint="default" w:ascii="Times New Roman" w:hAnsi="Times New Roman" w:eastAsia="宋体" w:cs="Times New Roman"/>
                <w:sz w:val="24"/>
                <w:szCs w:val="24"/>
                <w:highlight w:val="none"/>
                <w:lang w:val="en-US" w:eastAsia="zh-CN"/>
              </w:rPr>
              <w:t>采购商品沥青混凝土，不在厂区设置拌合站</w:t>
            </w:r>
            <w:r>
              <w:rPr>
                <w:rFonts w:hint="default" w:ascii="Times New Roman" w:hAnsi="Times New Roman" w:eastAsia="宋体" w:cs="Times New Roman"/>
                <w:color w:val="auto"/>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57" w:hRule="atLeast"/>
        </w:trPr>
        <w:tc>
          <w:tcPr>
            <w:tcW w:w="710" w:type="dxa"/>
            <w:noWrap w:val="0"/>
            <w:vAlign w:val="center"/>
          </w:tcPr>
          <w:p>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施工方案</w:t>
            </w:r>
          </w:p>
        </w:tc>
        <w:tc>
          <w:tcPr>
            <w:tcW w:w="8380" w:type="dxa"/>
            <w:noWrap w:val="0"/>
            <w:vAlign w:val="center"/>
          </w:tcPr>
          <w:p>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highlight w:val="none"/>
              </w:rPr>
            </w:pPr>
            <w:r>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t>一、</w:t>
            </w:r>
            <w:r>
              <w:rPr>
                <w:rFonts w:hint="eastAsia" w:ascii="宋体" w:hAnsi="宋体" w:eastAsia="宋体" w:cs="宋体"/>
                <w:b/>
                <w:bCs/>
                <w:color w:val="000000"/>
                <w:kern w:val="0"/>
                <w:sz w:val="24"/>
                <w:szCs w:val="24"/>
                <w:highlight w:val="none"/>
                <w:lang w:val="en-US" w:eastAsia="zh-CN" w:bidi="ar"/>
              </w:rPr>
              <w:t xml:space="preserve">施工时序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eastAsia" w:ascii="宋体" w:hAnsi="宋体" w:eastAsia="宋体" w:cs="宋体"/>
                <w:color w:val="000000"/>
                <w:kern w:val="0"/>
                <w:sz w:val="24"/>
                <w:szCs w:val="24"/>
                <w:highlight w:val="none"/>
                <w:lang w:val="en-US" w:eastAsia="zh-CN" w:bidi="ar"/>
              </w:rPr>
              <w:t>工</w:t>
            </w:r>
            <w:r>
              <w:rPr>
                <w:rFonts w:hint="default" w:ascii="Times New Roman" w:hAnsi="Times New Roman" w:eastAsia="宋体" w:cs="Times New Roman"/>
                <w:color w:val="000000"/>
                <w:kern w:val="0"/>
                <w:sz w:val="24"/>
                <w:szCs w:val="24"/>
                <w:highlight w:val="none"/>
                <w:lang w:val="en-US" w:eastAsia="zh-CN" w:bidi="ar"/>
              </w:rPr>
              <w:t xml:space="preserve">程施工大体分为三个阶段：工程准备期、主体工程施工期、工程完建期。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工程准备期具体内容为：北部风井场地内井筒掘进前的准备工作，必要的物资和器材准备，工程的施工组织设计及审查等工作</w:t>
            </w:r>
            <w:r>
              <w:rPr>
                <w:rFonts w:hint="eastAsia" w:cs="Times New Roman"/>
                <w:color w:val="000000"/>
                <w:kern w:val="0"/>
                <w:sz w:val="24"/>
                <w:szCs w:val="24"/>
                <w:highlight w:val="none"/>
                <w:lang w:val="en-US" w:eastAsia="zh-CN" w:bidi="ar"/>
              </w:rPr>
              <w:t>等</w:t>
            </w:r>
            <w:r>
              <w:rPr>
                <w:rFonts w:hint="default" w:ascii="Times New Roman" w:hAnsi="Times New Roman" w:eastAsia="宋体" w:cs="Times New Roman"/>
                <w:color w:val="auto"/>
                <w:spacing w:val="0"/>
                <w:sz w:val="24"/>
                <w:szCs w:val="24"/>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主体工程施工期具体内容为：</w:t>
            </w:r>
            <w:r>
              <w:rPr>
                <w:rFonts w:hint="default" w:ascii="Times New Roman" w:hAnsi="Times New Roman" w:eastAsia="宋体" w:cs="Times New Roman"/>
                <w:bCs/>
                <w:color w:val="auto"/>
                <w:sz w:val="24"/>
                <w:szCs w:val="24"/>
                <w:lang w:val="zh-CN" w:eastAsia="zh-CN"/>
              </w:rPr>
              <w:t>井筒施工</w:t>
            </w:r>
            <w:r>
              <w:rPr>
                <w:rFonts w:hint="eastAsia" w:ascii="Times New Roman" w:hAnsi="Times New Roman" w:eastAsia="宋体" w:cs="Times New Roman"/>
                <w:bCs/>
                <w:color w:val="auto"/>
                <w:sz w:val="24"/>
                <w:szCs w:val="24"/>
                <w:lang w:val="zh-CN" w:eastAsia="zh-CN"/>
              </w:rPr>
              <w:t>、</w:t>
            </w:r>
            <w:r>
              <w:rPr>
                <w:rFonts w:hint="eastAsia" w:cs="Calibri"/>
                <w:snapToGrid w:val="0"/>
                <w:color w:val="000000" w:themeColor="text1"/>
                <w:sz w:val="24"/>
                <w:szCs w:val="24"/>
                <w14:textFill>
                  <w14:solidFill>
                    <w14:schemeClr w14:val="tx1"/>
                  </w14:solidFill>
                </w14:textFill>
              </w:rPr>
              <w:t>风井场地</w:t>
            </w:r>
            <w:r>
              <w:rPr>
                <w:rFonts w:hint="eastAsia"/>
                <w:color w:val="000000" w:themeColor="text1"/>
                <w:sz w:val="24"/>
                <w:szCs w:val="24"/>
                <w14:textFill>
                  <w14:solidFill>
                    <w14:schemeClr w14:val="tx1"/>
                  </w14:solidFill>
                </w14:textFill>
              </w:rPr>
              <w:t>地面工程</w:t>
            </w:r>
            <w:r>
              <w:rPr>
                <w:rFonts w:hint="eastAsia" w:cs="Calibri"/>
                <w:snapToGrid w:val="0"/>
                <w:color w:val="000000" w:themeColor="text1"/>
                <w:sz w:val="24"/>
                <w:szCs w:val="24"/>
                <w:lang w:eastAsia="zh-CN"/>
                <w14:textFill>
                  <w14:solidFill>
                    <w14:schemeClr w14:val="tx1"/>
                  </w14:solidFill>
                </w14:textFill>
              </w:rPr>
              <w:t>、</w:t>
            </w:r>
            <w:r>
              <w:rPr>
                <w:rFonts w:hint="eastAsia" w:cs="Calibri"/>
                <w:snapToGrid w:val="0"/>
                <w:color w:val="000000" w:themeColor="text1"/>
                <w:sz w:val="24"/>
                <w:szCs w:val="24"/>
                <w:lang w:val="en-US" w:eastAsia="zh-CN"/>
                <w14:textFill>
                  <w14:solidFill>
                    <w14:schemeClr w14:val="tx1"/>
                  </w14:solidFill>
                </w14:textFill>
              </w:rPr>
              <w:t>道路施工等</w:t>
            </w:r>
            <w:r>
              <w:rPr>
                <w:rFonts w:hint="default" w:ascii="Times New Roman" w:hAnsi="Times New Roman" w:eastAsia="宋体" w:cs="Times New Roman"/>
                <w:color w:val="auto"/>
                <w:spacing w:val="-1"/>
                <w:sz w:val="24"/>
                <w:szCs w:val="24"/>
                <w:highlight w:val="none"/>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工程完建期的具体内容包括场地清理和竣工验收。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eastAsia"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t>二、</w:t>
            </w: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施工方案</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zh-CN"/>
                <w14:textFill>
                  <w14:solidFill>
                    <w14:schemeClr w14:val="tx1"/>
                  </w14:solidFill>
                </w14:textFill>
              </w:rPr>
            </w:pPr>
            <w:r>
              <w:rPr>
                <w:rFonts w:hint="eastAsia" w:cs="Times New Roman"/>
                <w:bCs/>
                <w:color w:val="auto"/>
                <w:sz w:val="24"/>
                <w:lang w:val="zh-CN" w:eastAsia="zh-CN"/>
              </w:rPr>
              <w:t>（</w:t>
            </w:r>
            <w:r>
              <w:rPr>
                <w:rFonts w:hint="default" w:ascii="Times New Roman" w:hAnsi="Times New Roman" w:eastAsia="宋体" w:cs="Times New Roman"/>
                <w:bCs/>
                <w:color w:val="auto"/>
                <w:sz w:val="24"/>
                <w:lang w:val="en-US" w:eastAsia="zh-CN"/>
              </w:rPr>
              <w:t>1</w:t>
            </w:r>
            <w:r>
              <w:rPr>
                <w:rFonts w:hint="default" w:ascii="Times New Roman" w:hAnsi="Times New Roman" w:eastAsia="宋体" w:cs="Times New Roman"/>
                <w:bCs/>
                <w:color w:val="auto"/>
                <w:sz w:val="24"/>
                <w:lang w:val="zh-CN" w:eastAsia="zh-CN"/>
              </w:rPr>
              <w:t>）</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场地平整</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zh-CN"/>
                <w14:textFill>
                  <w14:solidFill>
                    <w14:schemeClr w14:val="tx1"/>
                  </w14:solidFill>
                </w14:textFill>
              </w:rPr>
            </w:pPr>
            <w:r>
              <w:rPr>
                <w:rFonts w:hint="eastAsia"/>
                <w:color w:val="000000" w:themeColor="text1"/>
                <w:sz w:val="24"/>
                <w:szCs w:val="24"/>
                <w14:textFill>
                  <w14:solidFill>
                    <w14:schemeClr w14:val="tx1"/>
                  </w14:solidFill>
                </w14:textFill>
              </w:rPr>
              <w:t>在施工前，需要进行表土剥离，剥离深度为0.3m，风井场地剥离的表土将就近集中堆放于附近绿化硬化空地，而场外道路则剥离表土堆放于道路两侧施工区，表土堆存采用密目网苫盖防护，然后将表土回覆于风井场地以及道路绿化工程中。</w:t>
            </w:r>
            <w:r>
              <w:rPr>
                <w:rFonts w:hint="default"/>
                <w:color w:val="000000" w:themeColor="text1"/>
                <w:sz w:val="24"/>
                <w:szCs w:val="24"/>
                <w:lang w:val="zh-CN"/>
                <w14:textFill>
                  <w14:solidFill>
                    <w14:schemeClr w14:val="tx1"/>
                  </w14:solidFill>
                </w14:textFill>
              </w:rPr>
              <w:t>风井工业场地地势起伏较大，采用采平坡式进行场地平整。</w:t>
            </w:r>
            <w:r>
              <w:rPr>
                <w:rFonts w:hint="eastAsia"/>
                <w:color w:val="000000" w:themeColor="text1"/>
                <w:sz w:val="24"/>
                <w:szCs w:val="24"/>
                <w14:textFill>
                  <w14:solidFill>
                    <w14:schemeClr w14:val="tx1"/>
                  </w14:solidFill>
                </w14:textFill>
              </w:rPr>
              <w:t>场地平整包括边开挖边整平，最后夯实地面。</w:t>
            </w:r>
            <w:r>
              <w:rPr>
                <w:rFonts w:hint="default"/>
                <w:color w:val="000000" w:themeColor="text1"/>
                <w:sz w:val="24"/>
                <w:szCs w:val="24"/>
                <w:lang w:val="zh-CN"/>
                <w14:textFill>
                  <w14:solidFill>
                    <w14:schemeClr w14:val="tx1"/>
                  </w14:solidFill>
                </w14:textFill>
              </w:rPr>
              <w:t>平整所需填方来自区内平</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整挖方、建</w:t>
            </w:r>
            <w:r>
              <w:rPr>
                <w:rFonts w:hint="eastAsia" w:cs="Times New Roman"/>
                <w:color w:val="000000" w:themeColor="text1"/>
                <w:sz w:val="24"/>
                <w:szCs w:val="24"/>
                <w:highlight w:val="none"/>
                <w:lang w:val="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构）筑物地基挖方。施工方式以机械为主，人工配合机械对零星场地或边角区进行平整。</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表土堆场、材料堆场等</w:t>
            </w:r>
            <w:r>
              <w:rPr>
                <w:rFonts w:hint="eastAsia" w:cs="Times New Roman"/>
                <w:color w:val="000000" w:themeColor="text1"/>
                <w:sz w:val="24"/>
                <w:szCs w:val="24"/>
                <w:highlight w:val="none"/>
                <w:lang w:val="en-US" w:eastAsia="zh-CN"/>
                <w14:textFill>
                  <w14:solidFill>
                    <w14:schemeClr w14:val="tx1"/>
                  </w14:solidFill>
                </w14:textFill>
              </w:rPr>
              <w:t>均位于</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风井场地</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内。</w:t>
            </w:r>
          </w:p>
          <w:p>
            <w:pPr>
              <w:pStyle w:val="2"/>
              <w:keepNext w:val="0"/>
              <w:keepLines w:val="0"/>
              <w:pageBreakBefore w:val="0"/>
              <w:kinsoku/>
              <w:wordWrap/>
              <w:overflowPunct/>
              <w:topLinePunct w:val="0"/>
              <w:autoSpaceDE/>
              <w:autoSpaceDN/>
              <w:bidi w:val="0"/>
              <w:snapToGrid w:val="0"/>
              <w:spacing w:before="0" w:after="0" w:line="360" w:lineRule="auto"/>
              <w:ind w:right="0" w:firstLine="480" w:firstLineChars="200"/>
              <w:textAlignment w:val="auto"/>
              <w:rPr>
                <w:rFonts w:hint="eastAsia" w:ascii="Times New Roman" w:hAnsi="Times New Roman" w:eastAsia="宋体" w:cs="Times New Roman"/>
                <w:kern w:val="0"/>
                <w:sz w:val="24"/>
                <w:szCs w:val="24"/>
                <w:highlight w:val="none"/>
                <w:lang w:eastAsia="zh-CN"/>
              </w:rPr>
            </w:pPr>
            <w:r>
              <w:rPr>
                <w:rFonts w:hint="eastAsia" w:cs="Times New Roman"/>
                <w:kern w:val="0"/>
                <w:sz w:val="24"/>
                <w:szCs w:val="24"/>
                <w:highlight w:val="none"/>
                <w:lang w:eastAsia="zh-CN"/>
              </w:rPr>
              <w:t>（</w:t>
            </w:r>
            <w:r>
              <w:rPr>
                <w:rFonts w:hint="eastAsia" w:ascii="Times New Roman" w:hAnsi="Times New Roman" w:eastAsia="宋体" w:cs="Times New Roman"/>
                <w:kern w:val="0"/>
                <w:sz w:val="24"/>
                <w:szCs w:val="24"/>
                <w:highlight w:val="none"/>
                <w:lang w:val="en-US" w:eastAsia="zh-CN"/>
              </w:rPr>
              <w:t>2</w:t>
            </w:r>
            <w:r>
              <w:rPr>
                <w:rFonts w:hint="eastAsia" w:ascii="Times New Roman" w:hAnsi="Times New Roman" w:eastAsia="宋体" w:cs="Times New Roman"/>
                <w:kern w:val="0"/>
                <w:sz w:val="24"/>
                <w:szCs w:val="24"/>
                <w:highlight w:val="none"/>
                <w:lang w:eastAsia="zh-CN"/>
              </w:rPr>
              <w:t>）场外道路施工</w:t>
            </w:r>
          </w:p>
          <w:p>
            <w:pPr>
              <w:pStyle w:val="2"/>
              <w:keepNext w:val="0"/>
              <w:keepLines w:val="0"/>
              <w:pageBreakBefore w:val="0"/>
              <w:kinsoku/>
              <w:wordWrap/>
              <w:overflowPunct/>
              <w:topLinePunct w:val="0"/>
              <w:autoSpaceDE/>
              <w:autoSpaceDN/>
              <w:bidi w:val="0"/>
              <w:snapToGrid w:val="0"/>
              <w:spacing w:before="0" w:after="0" w:line="360" w:lineRule="auto"/>
              <w:ind w:right="0" w:firstLine="480" w:firstLineChars="200"/>
              <w:textAlignment w:val="auto"/>
              <w:rPr>
                <w:rFonts w:hint="default"/>
                <w:sz w:val="24"/>
                <w:szCs w:val="24"/>
                <w:highlight w:val="none"/>
              </w:rPr>
            </w:pPr>
            <w:r>
              <w:rPr>
                <w:rFonts w:hint="eastAsia"/>
                <w:color w:val="000000" w:themeColor="text1"/>
                <w:sz w:val="24"/>
                <w:szCs w:val="24"/>
                <w:highlight w:val="none"/>
                <w:lang w:val="en-US" w:eastAsia="zh-CN"/>
                <w14:textFill>
                  <w14:solidFill>
                    <w14:schemeClr w14:val="tx1"/>
                  </w14:solidFill>
                </w14:textFill>
              </w:rPr>
              <w:t>本项目设置一条场外道路，全长约2.15km的沥青混凝土路，</w:t>
            </w:r>
            <w:r>
              <w:rPr>
                <w:rFonts w:hint="default"/>
                <w:sz w:val="24"/>
                <w:szCs w:val="24"/>
                <w:highlight w:val="none"/>
                <w:lang w:val="en-US" w:eastAsia="zh-CN"/>
              </w:rPr>
              <w:t>施工期间的施工便道在场外道路占地内修筑</w:t>
            </w:r>
            <w:r>
              <w:rPr>
                <w:rFonts w:hint="eastAsia"/>
                <w:sz w:val="24"/>
                <w:szCs w:val="24"/>
                <w:highlight w:val="none"/>
                <w:lang w:val="en-US" w:eastAsia="zh-CN"/>
              </w:rPr>
              <w:t>。</w:t>
            </w:r>
          </w:p>
          <w:p>
            <w:pPr>
              <w:pStyle w:val="2"/>
              <w:keepNext w:val="0"/>
              <w:keepLines w:val="0"/>
              <w:pageBreakBefore w:val="0"/>
              <w:kinsoku/>
              <w:wordWrap/>
              <w:overflowPunct/>
              <w:topLinePunct w:val="0"/>
              <w:autoSpaceDE/>
              <w:autoSpaceDN/>
              <w:bidi w:val="0"/>
              <w:snapToGrid w:val="0"/>
              <w:spacing w:before="0" w:after="0" w:line="360" w:lineRule="auto"/>
              <w:ind w:right="0" w:firstLine="480" w:firstLineChars="200"/>
              <w:textAlignment w:val="auto"/>
              <w:rPr>
                <w:rFonts w:hint="eastAsia"/>
                <w:color w:val="000000"/>
                <w:spacing w:val="0"/>
                <w:w w:val="100"/>
                <w:position w:val="0"/>
                <w:sz w:val="24"/>
                <w:szCs w:val="24"/>
                <w:lang w:eastAsia="zh-CN"/>
              </w:rPr>
            </w:pPr>
            <w:r>
              <w:rPr>
                <w:rFonts w:hint="default"/>
                <w:sz w:val="24"/>
                <w:szCs w:val="24"/>
                <w:highlight w:val="none"/>
              </w:rPr>
              <w:t>①</w:t>
            </w:r>
            <w:r>
              <w:rPr>
                <w:rFonts w:hint="eastAsia"/>
                <w:sz w:val="24"/>
                <w:szCs w:val="24"/>
                <w:highlight w:val="none"/>
                <w:lang w:eastAsia="zh-CN"/>
              </w:rPr>
              <w:t>路基土石方：</w:t>
            </w:r>
            <w:r>
              <w:rPr>
                <w:color w:val="000000"/>
                <w:spacing w:val="0"/>
                <w:w w:val="100"/>
                <w:position w:val="0"/>
                <w:sz w:val="24"/>
                <w:szCs w:val="24"/>
                <w:highlight w:val="none"/>
              </w:rPr>
              <w:t>路基土石方工程</w:t>
            </w:r>
            <w:r>
              <w:rPr>
                <w:color w:val="000000"/>
                <w:spacing w:val="0"/>
                <w:w w:val="100"/>
                <w:position w:val="0"/>
                <w:sz w:val="24"/>
                <w:szCs w:val="24"/>
              </w:rPr>
              <w:t>以机械为主辅以人工施工</w:t>
            </w:r>
            <w:r>
              <w:rPr>
                <w:rFonts w:hint="eastAsia"/>
                <w:color w:val="000000"/>
                <w:spacing w:val="0"/>
                <w:w w:val="100"/>
                <w:position w:val="0"/>
                <w:sz w:val="24"/>
                <w:szCs w:val="24"/>
                <w:lang w:eastAsia="zh-CN"/>
              </w:rPr>
              <w:t>。</w:t>
            </w:r>
            <w:r>
              <w:rPr>
                <w:color w:val="000000"/>
                <w:spacing w:val="0"/>
                <w:w w:val="100"/>
                <w:position w:val="0"/>
                <w:sz w:val="24"/>
                <w:szCs w:val="24"/>
              </w:rPr>
              <w:t>以装载机械、推土机</w:t>
            </w:r>
            <w:r>
              <w:rPr>
                <w:rFonts w:hint="default"/>
                <w:sz w:val="24"/>
                <w:szCs w:val="24"/>
                <w:highlight w:val="none"/>
              </w:rPr>
              <w:t>为辅</w:t>
            </w:r>
            <w:r>
              <w:rPr>
                <w:rFonts w:hint="eastAsia"/>
                <w:sz w:val="24"/>
                <w:szCs w:val="24"/>
                <w:highlight w:val="none"/>
                <w:lang w:eastAsia="zh-CN"/>
              </w:rPr>
              <w:t>，</w:t>
            </w:r>
            <w:r>
              <w:rPr>
                <w:rFonts w:hint="default"/>
                <w:sz w:val="24"/>
                <w:szCs w:val="24"/>
                <w:highlight w:val="none"/>
              </w:rPr>
              <w:t>以</w:t>
            </w:r>
            <w:r>
              <w:rPr>
                <w:color w:val="000000"/>
                <w:spacing w:val="0"/>
                <w:w w:val="100"/>
                <w:position w:val="0"/>
                <w:sz w:val="24"/>
                <w:szCs w:val="24"/>
              </w:rPr>
              <w:t>人工找平、平地机找平，碾压密实。施工须加强施工管理、严格控制工序，以确保施工质量。路基雨季施工应采取切实可行的雨季施工措施，确保路基施工质</w:t>
            </w:r>
            <w:r>
              <w:rPr>
                <w:rFonts w:hint="eastAsia"/>
                <w:color w:val="000000"/>
                <w:spacing w:val="0"/>
                <w:w w:val="100"/>
                <w:position w:val="0"/>
                <w:sz w:val="24"/>
                <w:szCs w:val="24"/>
                <w:lang w:eastAsia="zh-CN"/>
              </w:rPr>
              <w:t>量。</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Cs/>
                <w:color w:val="auto"/>
                <w:sz w:val="24"/>
                <w:highlight w:val="none"/>
                <w:lang w:val="zh-CN"/>
              </w:rPr>
            </w:pPr>
            <w:r>
              <w:rPr>
                <w:rFonts w:hint="default"/>
                <w:sz w:val="24"/>
                <w:szCs w:val="24"/>
                <w:lang w:eastAsia="zh-CN"/>
              </w:rPr>
              <w:t>②</w:t>
            </w:r>
            <w:r>
              <w:rPr>
                <w:rFonts w:hint="eastAsia"/>
                <w:sz w:val="24"/>
                <w:szCs w:val="24"/>
                <w:lang w:eastAsia="zh-CN"/>
              </w:rPr>
              <w:t>路面工程：</w:t>
            </w:r>
            <w:r>
              <w:rPr>
                <w:color w:val="000000"/>
                <w:spacing w:val="0"/>
                <w:w w:val="100"/>
                <w:position w:val="0"/>
                <w:sz w:val="24"/>
                <w:szCs w:val="24"/>
              </w:rPr>
              <w:t>路面工程采用机械化施工方案。为保证路面各结构层的强度具有足够的强度和稳定性，底基层、基层采用专用拌合设备厂拌，摊铺机摊铺。沥青混凝土料采用外购方式，沥青混凝土材料的运输采用自卸汽车，摊铺机进行分层摊铺，</w:t>
            </w:r>
            <w:r>
              <w:rPr>
                <w:rFonts w:hint="default" w:ascii="Times New Roman" w:hAnsi="Times New Roman" w:eastAsia="宋体" w:cs="Times New Roman"/>
                <w:color w:val="000000" w:themeColor="text1"/>
                <w:sz w:val="24"/>
                <w:szCs w:val="24"/>
                <w:highlight w:val="none"/>
                <w14:textFill>
                  <w14:solidFill>
                    <w14:schemeClr w14:val="tx1"/>
                  </w14:solidFill>
                </w14:textFill>
              </w:rPr>
              <w:t>压路机进行压实，沥青混凝土路面施工应严格按照施工规范要求进行。</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bCs/>
                <w:color w:val="auto"/>
                <w:sz w:val="24"/>
                <w:highlight w:val="none"/>
                <w:lang w:val="zh-CN" w:eastAsia="zh-CN"/>
              </w:rPr>
            </w:pPr>
            <w:r>
              <w:rPr>
                <w:rFonts w:hint="eastAsia" w:ascii="宋体" w:hAnsi="宋体" w:cs="宋体"/>
                <w:bCs/>
                <w:color w:val="auto"/>
                <w:sz w:val="24"/>
                <w:highlight w:val="none"/>
                <w:lang w:val="zh-CN"/>
              </w:rPr>
              <w:t>（</w:t>
            </w:r>
            <w:r>
              <w:rPr>
                <w:rFonts w:hint="eastAsia"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w:t>
            </w:r>
            <w:r>
              <w:rPr>
                <w:rFonts w:hint="default" w:ascii="Times New Roman" w:hAnsi="Times New Roman" w:eastAsia="宋体" w:cs="Times New Roman"/>
                <w:bCs/>
                <w:color w:val="auto"/>
                <w:sz w:val="24"/>
                <w:lang w:val="zh-CN" w:eastAsia="zh-CN"/>
              </w:rPr>
              <w:t>井筒施工工艺</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北部进、回风立井采用全深冻结法施工，冻结法施工是指在含水土层内先钻孔打入钢管，导入循环的液氮，使周边的地层冻结，形成坚硬的冻土壳。它不仅能保证地层稳定，还能起隔水作用，可以进行深基坑的挖土</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初定冻结段采用双层钢筋现浇混凝土支护，且在外层井壁外缘铺设25mm~50mm厚的聚苯乙烯泡沫塑料板；内外层井壁之间铺</w:t>
            </w:r>
            <w:r>
              <w:rPr>
                <w:rFonts w:hint="eastAsia" w:cs="Times New Roman"/>
                <w:color w:val="000000" w:themeColor="text1"/>
                <w:sz w:val="24"/>
                <w:szCs w:val="24"/>
                <w:highlight w:val="none"/>
                <w:lang w:eastAsia="zh-CN"/>
                <w14:textFill>
                  <w14:solidFill>
                    <w14:schemeClr w14:val="tx1"/>
                  </w14:solidFill>
                </w14:textFill>
              </w:rPr>
              <w:t>设</w:t>
            </w:r>
            <w:r>
              <w:rPr>
                <w:rFonts w:hint="default" w:ascii="Times New Roman" w:hAnsi="Times New Roman" w:eastAsia="宋体" w:cs="Times New Roman"/>
                <w:color w:val="000000" w:themeColor="text1"/>
                <w:sz w:val="24"/>
                <w:szCs w:val="24"/>
                <w:highlight w:val="none"/>
                <w14:textFill>
                  <w14:solidFill>
                    <w14:schemeClr w14:val="tx1"/>
                  </w14:solidFill>
                </w14:textFill>
              </w:rPr>
              <w:t>防水塑料板；井筒混凝土强度等级为C40～80。为防止井筒漏水，施工时应在混凝土中添加防水剂。井筒支护厚度暂定如下，施工图设计时进行深入研究。北部进风立井：井筒表土及风化基岩段，内外井壁支护厚度分别为700mm、400mm；风化基岩段以深为主，内外井壁支护厚度分别为800mm、400mm。</w:t>
            </w:r>
          </w:p>
          <w:p>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北部回风立井：井筒表土及风化基岩段，内外井壁支护厚度分别为750mm、400mm；风化基岩段以深为主，内外井壁支护厚度分别为800mm、400mm。</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zh-CN"/>
                <w14:textFill>
                  <w14:solidFill>
                    <w14:schemeClr w14:val="tx1"/>
                  </w14:solidFill>
                </w14:textFill>
              </w:rPr>
            </w:pPr>
            <w:r>
              <w:rPr>
                <w:rFonts w:hint="eastAsia" w:cs="Times New Roman"/>
                <w:color w:val="000000" w:themeColor="text1"/>
                <w:sz w:val="24"/>
                <w:szCs w:val="24"/>
                <w:highlight w:val="none"/>
                <w:lang w:val="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zh-CN"/>
                <w14:textFill>
                  <w14:solidFill>
                    <w14:schemeClr w14:val="tx1"/>
                  </w14:solidFill>
                </w14:textFill>
              </w:rPr>
              <w:t>主体工程</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施工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基础施工时采用反铲挖掘机挖土，人工配合修整边坡，采用自卸汽车运土。挖至设计标高上方0.3m时停止机械作业，采用人工进行基槽清理。挖出的土方集中堆放，多余土方用于风井工业场地内场地平整。回填土方工程采用机械和人工相结合的施工方法，土方由挖掘机装土，自卸汽车运土，推土机铺土、用振动碾压机碾压，边缘压实不符合要求处，辅以人工和电动冲击夯实。</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zh-CN"/>
                <w14:textFill>
                  <w14:solidFill>
                    <w14:schemeClr w14:val="tx1"/>
                  </w14:solidFill>
                </w14:textFill>
              </w:rPr>
            </w:pPr>
            <w:r>
              <w:rPr>
                <w:rFonts w:hint="eastAsia" w:cs="Times New Roman"/>
                <w:color w:val="000000" w:themeColor="text1"/>
                <w:sz w:val="24"/>
                <w:szCs w:val="24"/>
                <w:highlight w:val="none"/>
                <w:lang w:val="zh-CN"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zh-CN" w:eastAsia="zh-CN"/>
                <w14:textFill>
                  <w14:solidFill>
                    <w14:schemeClr w14:val="tx1"/>
                  </w14:solidFill>
                </w14:textFill>
              </w:rPr>
              <w:t>场内</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道路</w:t>
            </w:r>
            <w:r>
              <w:rPr>
                <w:rFonts w:hint="eastAsia" w:ascii="Times New Roman" w:hAnsi="Times New Roman" w:eastAsia="宋体" w:cs="Times New Roman"/>
                <w:color w:val="000000" w:themeColor="text1"/>
                <w:sz w:val="24"/>
                <w:szCs w:val="24"/>
                <w:highlight w:val="none"/>
                <w:lang w:val="zh-CN"/>
                <w14:textFill>
                  <w14:solidFill>
                    <w14:schemeClr w14:val="tx1"/>
                  </w14:solidFill>
                </w14:textFill>
              </w:rPr>
              <w:t>以及硬化</w:t>
            </w:r>
            <w:r>
              <w:rPr>
                <w:rFonts w:hint="eastAsia" w:cs="Times New Roman"/>
                <w:color w:val="000000" w:themeColor="text1"/>
                <w:sz w:val="24"/>
                <w:szCs w:val="24"/>
                <w:highlight w:val="none"/>
                <w:lang w:val="zh-CN"/>
                <w14:textFill>
                  <w14:solidFill>
                    <w14:schemeClr w14:val="tx1"/>
                  </w14:solidFill>
                </w14:textFill>
              </w:rPr>
              <w:t>的</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施工</w:t>
            </w:r>
          </w:p>
          <w:p>
            <w:pPr>
              <w:pStyle w:val="1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olor w:val="000000"/>
                <w:spacing w:val="0"/>
                <w:w w:val="100"/>
                <w:position w:val="0"/>
                <w:sz w:val="24"/>
                <w:szCs w:val="24"/>
                <w:lang w:eastAsia="zh-CN"/>
              </w:rPr>
            </w:pP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路面宽度为4.0m，长度为820m。路面为20cm厚30号水泥混凝土路面板，基层为15cm厚5%水泥稳定碎石，垫层为15cm厚天然砂砾。路基施工时，先对地面进行压实，然后铺筑路基、路面，最后全部实施硬化。</w:t>
            </w:r>
            <w:r>
              <w:rPr>
                <w:rFonts w:hint="default" w:ascii="Times New Roman" w:hAnsi="Times New Roman" w:eastAsia="宋体" w:cs="Times New Roman"/>
                <w:snapToGrid w:val="0"/>
                <w:color w:val="000000" w:themeColor="text1"/>
                <w:sz w:val="24"/>
                <w:szCs w:val="24"/>
                <w:highlight w:val="none"/>
                <w:lang w:val="zh-CN"/>
                <w14:textFill>
                  <w14:solidFill>
                    <w14:schemeClr w14:val="tx1"/>
                  </w14:solidFill>
                </w14:textFill>
              </w:rPr>
              <w:t>风井工业</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场地各建构物间部分空地区要采取硬化措施，首先铺设20cm厚的砂砾垫层，初步平整，再采用砼硬化，混凝土采用机械搅拌，自卸小汽车运输。</w:t>
            </w:r>
          </w:p>
          <w:p>
            <w:pPr>
              <w:pStyle w:val="4"/>
              <w:pageBreakBefore w:val="0"/>
              <w:widowControl w:val="0"/>
              <w:kinsoku/>
              <w:wordWrap/>
              <w:overflowPunct/>
              <w:topLinePunct w:val="0"/>
              <w:autoSpaceDE/>
              <w:autoSpaceDN/>
              <w:bidi w:val="0"/>
              <w:adjustRightInd/>
              <w:spacing w:before="0" w:after="0" w:line="360" w:lineRule="auto"/>
              <w:ind w:firstLine="482"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bookmarkStart w:id="11" w:name="_Toc222454891"/>
            <w:bookmarkStart w:id="12" w:name="_Toc386963632"/>
            <w:bookmarkStart w:id="13" w:name="_Toc98973285"/>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三、</w:t>
            </w:r>
            <w:r>
              <w:rPr>
                <w:rFonts w:hint="default" w:ascii="Times New Roman" w:hAnsi="Times New Roman" w:eastAsia="宋体" w:cs="Times New Roman"/>
                <w:color w:val="000000" w:themeColor="text1"/>
                <w:sz w:val="24"/>
                <w:szCs w:val="24"/>
                <w:highlight w:val="none"/>
                <w14:textFill>
                  <w14:solidFill>
                    <w14:schemeClr w14:val="tx1"/>
                  </w14:solidFill>
                </w14:textFill>
              </w:rPr>
              <w:t>施工进度</w:t>
            </w:r>
            <w:bookmarkEnd w:id="11"/>
            <w:bookmarkEnd w:id="12"/>
            <w:bookmarkEnd w:id="13"/>
          </w:p>
          <w:p>
            <w:pPr>
              <w:pStyle w:val="31"/>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根据工程实际情况及施工进度安排，</w:t>
            </w:r>
            <w:r>
              <w:rPr>
                <w:rFonts w:hint="eastAsia" w:cs="Times New Roman"/>
                <w:color w:val="000000" w:themeColor="text1"/>
                <w:sz w:val="24"/>
                <w:szCs w:val="24"/>
                <w:highlight w:val="none"/>
                <w:lang w:eastAsia="zh-CN"/>
                <w14:textFill>
                  <w14:solidFill>
                    <w14:schemeClr w14:val="tx1"/>
                  </w14:solidFill>
                </w14:textFill>
              </w:rPr>
              <w:t>本项目</w:t>
            </w:r>
            <w:r>
              <w:rPr>
                <w:rFonts w:hint="eastAsia" w:cs="Times New Roman"/>
                <w:color w:val="000000" w:themeColor="text1"/>
                <w:sz w:val="24"/>
                <w:szCs w:val="24"/>
                <w:highlight w:val="none"/>
                <w:lang w:val="en-US" w:eastAsia="zh-CN"/>
                <w14:textFill>
                  <w14:solidFill>
                    <w14:schemeClr w14:val="tx1"/>
                  </w14:solidFill>
                </w14:textFill>
              </w:rPr>
              <w:t>施工期为3个月</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spacing w:line="360" w:lineRule="auto"/>
              <w:ind w:firstLine="482" w:firstLineChars="200"/>
              <w:jc w:val="left"/>
              <w:textAlignment w:val="auto"/>
              <w:rPr>
                <w:highlight w:val="none"/>
              </w:rPr>
            </w:pPr>
            <w:r>
              <w:rPr>
                <w:rFonts w:hint="eastAsia" w:ascii="宋体" w:hAnsi="宋体" w:cs="宋体"/>
                <w:b/>
                <w:bCs/>
                <w:color w:val="000000"/>
                <w:kern w:val="0"/>
                <w:sz w:val="24"/>
                <w:szCs w:val="24"/>
                <w:highlight w:val="none"/>
                <w:lang w:val="en-US" w:eastAsia="zh-CN" w:bidi="ar"/>
              </w:rPr>
              <w:t>四</w:t>
            </w:r>
            <w:r>
              <w:rPr>
                <w:rFonts w:hint="eastAsia" w:ascii="宋体" w:hAnsi="宋体" w:eastAsia="宋体" w:cs="宋体"/>
                <w:b/>
                <w:bCs/>
                <w:color w:val="000000"/>
                <w:kern w:val="0"/>
                <w:sz w:val="24"/>
                <w:szCs w:val="24"/>
                <w:highlight w:val="none"/>
                <w:lang w:val="en-US" w:eastAsia="zh-CN" w:bidi="ar"/>
              </w:rPr>
              <w:t xml:space="preserve">、工艺流程简述 </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000000"/>
                <w:kern w:val="0"/>
                <w:sz w:val="24"/>
                <w:szCs w:val="24"/>
                <w:highlight w:val="none"/>
                <w:lang w:val="en-US" w:eastAsia="zh-CN" w:bidi="ar"/>
              </w:rPr>
            </w:pPr>
            <w:r>
              <w:rPr>
                <w:rFonts w:hint="eastAsia" w:ascii="宋体" w:hAnsi="宋体" w:cs="宋体"/>
                <w:b/>
                <w:bCs/>
                <w:color w:val="000000"/>
                <w:kern w:val="0"/>
                <w:sz w:val="24"/>
                <w:szCs w:val="24"/>
                <w:highlight w:val="none"/>
                <w:lang w:val="en-US" w:eastAsia="zh-CN" w:bidi="ar"/>
              </w:rPr>
              <w:t>1.</w:t>
            </w:r>
            <w:r>
              <w:rPr>
                <w:rFonts w:hint="eastAsia" w:ascii="宋体" w:hAnsi="宋体" w:eastAsia="宋体" w:cs="宋体"/>
                <w:b/>
                <w:bCs/>
                <w:color w:val="000000"/>
                <w:kern w:val="0"/>
                <w:sz w:val="24"/>
                <w:szCs w:val="24"/>
                <w:highlight w:val="none"/>
                <w:lang w:val="en-US" w:eastAsia="zh-CN" w:bidi="ar"/>
              </w:rPr>
              <w:t>施工工艺流程及产污节点</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施工工艺流程及产污环节见图3.3</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w:t>
            </w:r>
          </w:p>
          <w:p>
            <w:pPr>
              <w:keepNext w:val="0"/>
              <w:keepLines w:val="0"/>
              <w:pageBreakBefore w:val="0"/>
              <w:widowControl/>
              <w:suppressLineNumbers w:val="0"/>
              <w:kinsoku/>
              <w:wordWrap/>
              <w:overflowPunct/>
              <w:topLinePunct w:val="0"/>
              <w:autoSpaceDE/>
              <w:autoSpaceDN/>
              <w:bidi w:val="0"/>
              <w:spacing w:line="360" w:lineRule="auto"/>
              <w:jc w:val="left"/>
              <w:textAlignment w:val="auto"/>
              <w:rPr>
                <w:rFonts w:hint="eastAsia" w:ascii="宋体" w:hAnsi="宋体" w:eastAsia="宋体" w:cs="宋体"/>
                <w:b/>
                <w:bCs/>
                <w:color w:val="000000"/>
                <w:kern w:val="0"/>
                <w:sz w:val="24"/>
                <w:szCs w:val="24"/>
                <w:highlight w:val="none"/>
                <w:lang w:val="en-US" w:eastAsia="zh-CN" w:bidi="ar"/>
              </w:rPr>
            </w:pPr>
            <w:r>
              <w:rPr>
                <w:sz w:val="21"/>
              </w:rPr>
              <mc:AlternateContent>
                <mc:Choice Requires="wpg">
                  <w:drawing>
                    <wp:anchor distT="0" distB="0" distL="114300" distR="114300" simplePos="0" relativeHeight="251664384" behindDoc="0" locked="0" layoutInCell="1" allowOverlap="1">
                      <wp:simplePos x="0" y="0"/>
                      <wp:positionH relativeFrom="column">
                        <wp:posOffset>-35560</wp:posOffset>
                      </wp:positionH>
                      <wp:positionV relativeFrom="paragraph">
                        <wp:posOffset>231140</wp:posOffset>
                      </wp:positionV>
                      <wp:extent cx="5005705" cy="635000"/>
                      <wp:effectExtent l="4445" t="0" r="19050" b="5080"/>
                      <wp:wrapNone/>
                      <wp:docPr id="131" name="组合 131"/>
                      <wp:cNvGraphicFramePr/>
                      <a:graphic xmlns:a="http://schemas.openxmlformats.org/drawingml/2006/main">
                        <a:graphicData uri="http://schemas.microsoft.com/office/word/2010/wordprocessingGroup">
                          <wpg:wgp>
                            <wpg:cNvGrpSpPr/>
                            <wpg:grpSpPr>
                              <a:xfrm>
                                <a:off x="0" y="0"/>
                                <a:ext cx="5005705" cy="635000"/>
                                <a:chOff x="3205" y="372255"/>
                                <a:chExt cx="7883" cy="1000"/>
                              </a:xfrm>
                            </wpg:grpSpPr>
                            <wps:wsp>
                              <wps:cNvPr id="41" name="文本框 41"/>
                              <wps:cNvSpPr txBox="1"/>
                              <wps:spPr>
                                <a:xfrm>
                                  <a:off x="3205" y="372837"/>
                                  <a:ext cx="1212" cy="41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rPr>
                                        <w:rFonts w:hint="eastAsia"/>
                                        <w:lang w:val="zh-CN" w:eastAsia="zh-CN"/>
                                      </w:rPr>
                                      <w:t>场地平整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 name="文本框 42"/>
                              <wps:cNvSpPr txBox="1"/>
                              <wps:spPr>
                                <a:xfrm>
                                  <a:off x="7973" y="372836"/>
                                  <a:ext cx="1571" cy="40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val="zh-CN" w:eastAsia="zh-CN"/>
                                      </w:rPr>
                                      <w:t>主体工程施工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 name="直接箭头连接符 43"/>
                              <wps:cNvCnPr>
                                <a:stCxn id="13" idx="3"/>
                                <a:endCxn id="44" idx="1"/>
                              </wps:cNvCnPr>
                              <wps:spPr>
                                <a:xfrm>
                                  <a:off x="6258" y="373039"/>
                                  <a:ext cx="273" cy="9"/>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4" name="文本框 44"/>
                              <wps:cNvSpPr txBox="1"/>
                              <wps:spPr>
                                <a:xfrm>
                                  <a:off x="6531" y="372841"/>
                                  <a:ext cx="1176" cy="41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eastAsia="宋体"/>
                                        <w:lang w:eastAsia="zh-CN"/>
                                      </w:rPr>
                                      <w:t>井筒施工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 name="直接箭头连接符 45"/>
                              <wps:cNvCnPr>
                                <a:stCxn id="44" idx="3"/>
                                <a:endCxn id="42" idx="1"/>
                              </wps:cNvCnPr>
                              <wps:spPr>
                                <a:xfrm flipV="1">
                                  <a:off x="7707" y="373041"/>
                                  <a:ext cx="266"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6" name="文本框 46"/>
                              <wps:cNvSpPr txBox="1"/>
                              <wps:spPr>
                                <a:xfrm>
                                  <a:off x="9930" y="372852"/>
                                  <a:ext cx="1158" cy="393"/>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val="zh-CN" w:eastAsia="zh-CN"/>
                                      </w:rPr>
                                      <w:t>场</w:t>
                                    </w:r>
                                    <w:r>
                                      <w:rPr>
                                        <w:rFonts w:hint="eastAsia"/>
                                        <w:lang w:val="en-US" w:eastAsia="zh-CN"/>
                                      </w:rPr>
                                      <w:t>内</w:t>
                                    </w:r>
                                    <w:r>
                                      <w:rPr>
                                        <w:rFonts w:hint="eastAsia"/>
                                        <w:lang w:val="zh-CN" w:eastAsia="zh-CN"/>
                                      </w:rPr>
                                      <w:t>道路以及硬化</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8" name="直接箭头连接符 48"/>
                              <wps:cNvCnPr>
                                <a:stCxn id="42" idx="3"/>
                                <a:endCxn id="46" idx="1"/>
                              </wps:cNvCnPr>
                              <wps:spPr>
                                <a:xfrm>
                                  <a:off x="9544" y="373041"/>
                                  <a:ext cx="386" cy="8"/>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 name="直接箭头连接符 4"/>
                              <wps:cNvCnPr>
                                <a:stCxn id="41" idx="0"/>
                                <a:endCxn id="27" idx="2"/>
                              </wps:cNvCnPr>
                              <wps:spPr>
                                <a:xfrm flipV="1">
                                  <a:off x="3811" y="372687"/>
                                  <a:ext cx="156" cy="150"/>
                                </a:xfrm>
                                <a:prstGeom prst="straightConnector1">
                                  <a:avLst/>
                                </a:prstGeom>
                                <a:ln w="6350">
                                  <a:solidFill>
                                    <a:schemeClr val="tx1"/>
                                  </a:solidFill>
                                  <a:prstDash val="sysDash"/>
                                  <a:tailEnd type="arrow"/>
                                </a:ln>
                              </wps:spPr>
                              <wps:style>
                                <a:lnRef idx="2">
                                  <a:schemeClr val="accent1"/>
                                </a:lnRef>
                                <a:fillRef idx="0">
                                  <a:srgbClr val="FFFFFF"/>
                                </a:fillRef>
                                <a:effectRef idx="0">
                                  <a:srgbClr val="FFFFFF"/>
                                </a:effectRef>
                                <a:fontRef idx="minor">
                                  <a:schemeClr val="tx1"/>
                                </a:fontRef>
                              </wps:style>
                              <wps:bodyPr/>
                            </wps:wsp>
                            <wps:wsp>
                              <wps:cNvPr id="5" name="直接箭头连接符 5"/>
                              <wps:cNvCnPr>
                                <a:stCxn id="44" idx="0"/>
                                <a:endCxn id="28" idx="2"/>
                              </wps:cNvCnPr>
                              <wps:spPr>
                                <a:xfrm flipV="1">
                                  <a:off x="7119" y="372668"/>
                                  <a:ext cx="28" cy="173"/>
                                </a:xfrm>
                                <a:prstGeom prst="straightConnector1">
                                  <a:avLst/>
                                </a:prstGeom>
                                <a:ln w="6350">
                                  <a:solidFill>
                                    <a:schemeClr val="tx1"/>
                                  </a:solidFill>
                                  <a:prstDash val="sysDash"/>
                                  <a:tailEnd type="arrow"/>
                                </a:ln>
                              </wps:spPr>
                              <wps:style>
                                <a:lnRef idx="2">
                                  <a:schemeClr val="accent1"/>
                                </a:lnRef>
                                <a:fillRef idx="0">
                                  <a:srgbClr val="FFFFFF"/>
                                </a:fillRef>
                                <a:effectRef idx="0">
                                  <a:srgbClr val="FFFFFF"/>
                                </a:effectRef>
                                <a:fontRef idx="minor">
                                  <a:schemeClr val="tx1"/>
                                </a:fontRef>
                              </wps:style>
                              <wps:bodyPr/>
                            </wps:wsp>
                            <wps:wsp>
                              <wps:cNvPr id="6" name="直接箭头连接符 6"/>
                              <wps:cNvCnPr>
                                <a:stCxn id="42" idx="0"/>
                                <a:endCxn id="31" idx="2"/>
                              </wps:cNvCnPr>
                              <wps:spPr>
                                <a:xfrm flipV="1">
                                  <a:off x="8759" y="372677"/>
                                  <a:ext cx="40" cy="159"/>
                                </a:xfrm>
                                <a:prstGeom prst="straightConnector1">
                                  <a:avLst/>
                                </a:prstGeom>
                                <a:ln w="6350">
                                  <a:solidFill>
                                    <a:schemeClr val="tx1"/>
                                  </a:solidFill>
                                  <a:prstDash val="sysDash"/>
                                  <a:tailEnd type="arrow"/>
                                </a:ln>
                              </wps:spPr>
                              <wps:style>
                                <a:lnRef idx="2">
                                  <a:schemeClr val="accent1"/>
                                </a:lnRef>
                                <a:fillRef idx="0">
                                  <a:srgbClr val="FFFFFF"/>
                                </a:fillRef>
                                <a:effectRef idx="0">
                                  <a:srgbClr val="FFFFFF"/>
                                </a:effectRef>
                                <a:fontRef idx="minor">
                                  <a:schemeClr val="tx1"/>
                                </a:fontRef>
                              </wps:style>
                              <wps:bodyPr/>
                            </wps:wsp>
                            <wps:wsp>
                              <wps:cNvPr id="7" name="直接箭头连接符 7"/>
                              <wps:cNvCnPr>
                                <a:stCxn id="46" idx="0"/>
                                <a:endCxn id="33" idx="2"/>
                              </wps:cNvCnPr>
                              <wps:spPr>
                                <a:xfrm flipH="1" flipV="1">
                                  <a:off x="10496" y="372701"/>
                                  <a:ext cx="13" cy="151"/>
                                </a:xfrm>
                                <a:prstGeom prst="straightConnector1">
                                  <a:avLst/>
                                </a:prstGeom>
                                <a:ln w="6350">
                                  <a:solidFill>
                                    <a:schemeClr val="tx1"/>
                                  </a:solidFill>
                                  <a:prstDash val="sysDash"/>
                                  <a:tailEnd type="arrow"/>
                                </a:ln>
                              </wps:spPr>
                              <wps:style>
                                <a:lnRef idx="2">
                                  <a:schemeClr val="accent1"/>
                                </a:lnRef>
                                <a:fillRef idx="0">
                                  <a:srgbClr val="FFFFFF"/>
                                </a:fillRef>
                                <a:effectRef idx="0">
                                  <a:srgbClr val="FFFFFF"/>
                                </a:effectRef>
                                <a:fontRef idx="minor">
                                  <a:schemeClr val="tx1"/>
                                </a:fontRef>
                              </wps:style>
                              <wps:bodyPr/>
                            </wps:wsp>
                            <wps:wsp>
                              <wps:cNvPr id="27" name="文本框 26"/>
                              <wps:cNvSpPr txBox="1"/>
                              <wps:spPr>
                                <a:xfrm>
                                  <a:off x="3548" y="372292"/>
                                  <a:ext cx="838" cy="3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GNS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 name="文本框 27"/>
                              <wps:cNvSpPr txBox="1"/>
                              <wps:spPr>
                                <a:xfrm>
                                  <a:off x="6644" y="372255"/>
                                  <a:ext cx="1005"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GNSW</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文本框 28"/>
                              <wps:cNvSpPr txBox="1"/>
                              <wps:spPr>
                                <a:xfrm>
                                  <a:off x="8313" y="372264"/>
                                  <a:ext cx="971"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GNSW</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 name="文本框 31"/>
                              <wps:cNvSpPr txBox="1"/>
                              <wps:spPr>
                                <a:xfrm>
                                  <a:off x="9993" y="372323"/>
                                  <a:ext cx="1006" cy="37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GNWS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 name="文本框 13"/>
                              <wps:cNvSpPr txBox="1"/>
                              <wps:spPr>
                                <a:xfrm>
                                  <a:off x="4639" y="372840"/>
                                  <a:ext cx="1619" cy="39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1"/>
                                        <w:szCs w:val="21"/>
                                        <w:lang w:eastAsia="zh-CN"/>
                                      </w:rPr>
                                    </w:pPr>
                                    <w:r>
                                      <w:rPr>
                                        <w:rFonts w:hint="eastAsia" w:ascii="Times New Roman" w:hAnsi="Times New Roman" w:eastAsia="宋体" w:cs="Times New Roman"/>
                                        <w:kern w:val="0"/>
                                        <w:sz w:val="21"/>
                                        <w:szCs w:val="21"/>
                                        <w:lang w:eastAsia="zh-CN"/>
                                      </w:rPr>
                                      <w:t>场外道路施工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 name="直接箭头连接符 14"/>
                              <wps:cNvCnPr>
                                <a:stCxn id="41" idx="3"/>
                                <a:endCxn id="13" idx="1"/>
                              </wps:cNvCnPr>
                              <wps:spPr>
                                <a:xfrm flipV="1">
                                  <a:off x="4417" y="373039"/>
                                  <a:ext cx="222"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89" name="文本框 31"/>
                              <wps:cNvSpPr txBox="1"/>
                              <wps:spPr>
                                <a:xfrm>
                                  <a:off x="5047" y="372268"/>
                                  <a:ext cx="1006" cy="37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GNWS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0" name="直接箭头连接符 90"/>
                              <wps:cNvCnPr>
                                <a:stCxn id="13" idx="0"/>
                                <a:endCxn id="89" idx="2"/>
                              </wps:cNvCnPr>
                              <wps:spPr>
                                <a:xfrm flipV="1">
                                  <a:off x="5449" y="372646"/>
                                  <a:ext cx="101" cy="194"/>
                                </a:xfrm>
                                <a:prstGeom prst="straightConnector1">
                                  <a:avLst/>
                                </a:prstGeom>
                                <a:ln w="6350">
                                  <a:solidFill>
                                    <a:schemeClr val="tx1"/>
                                  </a:solidFill>
                                  <a:prstDash val="sysDash"/>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2.8pt;margin-top:18.2pt;height:50pt;width:394.15pt;z-index:251664384;mso-width-relative:page;mso-height-relative:page;" coordorigin="3205,372255" o:gfxdata="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">
                      <o:lock v:ext="edit" aspectratio="f"/>
                      <v:shape id="_x0000_s1026" o:spid="_x0000_s1026" o:spt="202" type="#_x0000_t202" style="position:absolute;left:3205;top:372837;height:418;width:1212;" fillcolor="#FFFFFF [3201]" filled="t" stroked="t" coordsize="21600,21600" o:gfxdata="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Cwig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pPr>
                                <w:rPr>
                                  <w:rFonts w:hint="eastAsia"/>
                                  <w:lang w:eastAsia="zh-CN"/>
                                </w:rPr>
                              </w:pPr>
                              <w:r>
                                <w:rPr>
                                  <w:rFonts w:hint="eastAsia"/>
                                  <w:lang w:val="zh-CN" w:eastAsia="zh-CN"/>
                                </w:rPr>
                                <w:t>场地平整</w:t>
                              </w:r>
                            </w:p>
                          </w:txbxContent>
                        </v:textbox>
                      </v:shape>
                      <v:shape id="_x0000_s1026" o:spid="_x0000_s1026" o:spt="202" type="#_x0000_t202" style="position:absolute;left:7973;top:372836;height:409;width:1571;" fillcolor="#FFFFFF [3201]" filled="t" stroked="t" coordsize="21600,21600" o:gfxdata="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w2ZbX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pPr>
                                <w:rPr>
                                  <w:rFonts w:hint="eastAsia" w:eastAsia="宋体"/>
                                  <w:lang w:eastAsia="zh-CN"/>
                                </w:rPr>
                              </w:pPr>
                              <w:r>
                                <w:rPr>
                                  <w:rFonts w:hint="eastAsia"/>
                                  <w:lang w:val="zh-CN" w:eastAsia="zh-CN"/>
                                </w:rPr>
                                <w:t>主体工程施工</w:t>
                              </w:r>
                            </w:p>
                          </w:txbxContent>
                        </v:textbox>
                      </v:shape>
                      <v:shape id="_x0000_s1026" o:spid="_x0000_s1026" o:spt="32" type="#_x0000_t32" style="position:absolute;left:6258;top:373039;height:9;width:273;" filled="f" stroked="t" coordsize="21600,21600" o:gfxdata="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oF/q/&#10;AAAA2wAAAA8AAAAAAAAAAQAgAAAAIgAAAGRycy9kb3ducmV2LnhtbFBLAQIUABQAAAAIAIdO4kAz&#10;LwWeOwAAADkAAAAQAAAAAAAAAAEAIAAAAA4BAABkcnMvc2hhcGV4bWwueG1sUEsFBgAAAAAGAAYA&#10;WwEAALgDAAAAAA==&#10;">
                        <v:fill on="f" focussize="0,0"/>
                        <v:stroke color="#000000 [3213]" miterlimit="8" joinstyle="miter" endarrow="open"/>
                        <v:imagedata o:title=""/>
                        <o:lock v:ext="edit" aspectratio="f"/>
                      </v:shape>
                      <v:shape id="_x0000_s1026" o:spid="_x0000_s1026" o:spt="202" type="#_x0000_t202" style="position:absolute;left:6531;top:372841;height:414;width:1176;" fillcolor="#FFFFFF [3201]" filled="t" stroked="t" coordsize="21600,21600" o:gfxdata="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QfKs4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pPr>
                                <w:rPr>
                                  <w:rFonts w:hint="eastAsia" w:eastAsia="宋体"/>
                                  <w:lang w:eastAsia="zh-CN"/>
                                </w:rPr>
                              </w:pPr>
                              <w:r>
                                <w:rPr>
                                  <w:rFonts w:hint="eastAsia" w:eastAsia="宋体"/>
                                  <w:lang w:eastAsia="zh-CN"/>
                                </w:rPr>
                                <w:t>井筒施工</w:t>
                              </w:r>
                            </w:p>
                          </w:txbxContent>
                        </v:textbox>
                      </v:shape>
                      <v:shape id="_x0000_s1026" o:spid="_x0000_s1026" o:spt="32" type="#_x0000_t32" style="position:absolute;left:7707;top:373041;flip:y;height:7;width:266;" filled="f" stroked="t" coordsize="21600,21600" o:gfxdata="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IDuSr4A&#10;AADbAAAADwAAAAAAAAABACAAAAAiAAAAZHJzL2Rvd25yZXYueG1sUEsBAhQAFAAAAAgAh07iQDMv&#10;BZ47AAAAOQAAABAAAAAAAAAAAQAgAAAADQEAAGRycy9zaGFwZXhtbC54bWxQSwUGAAAAAAYABgBb&#10;AQAAtwMAAAAA&#10;">
                        <v:fill on="f" focussize="0,0"/>
                        <v:stroke color="#000000 [3213]" miterlimit="8" joinstyle="miter" endarrow="open"/>
                        <v:imagedata o:title=""/>
                        <o:lock v:ext="edit" aspectratio="f"/>
                      </v:shape>
                      <v:shape id="_x0000_s1026" o:spid="_x0000_s1026" o:spt="202" type="#_x0000_t202" style="position:absolute;left:9930;top:372852;height:393;width:1158;" fillcolor="#FFFFFF [3201]" filled="t" stroked="t" coordsize="21600,21600" o:gfxdata="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P4pDU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pPr>
                                <w:rPr>
                                  <w:rFonts w:hint="eastAsia" w:eastAsia="宋体"/>
                                  <w:lang w:eastAsia="zh-CN"/>
                                </w:rPr>
                              </w:pPr>
                              <w:r>
                                <w:rPr>
                                  <w:rFonts w:hint="eastAsia"/>
                                  <w:lang w:val="zh-CN" w:eastAsia="zh-CN"/>
                                </w:rPr>
                                <w:t>场</w:t>
                              </w:r>
                              <w:r>
                                <w:rPr>
                                  <w:rFonts w:hint="eastAsia"/>
                                  <w:lang w:val="en-US" w:eastAsia="zh-CN"/>
                                </w:rPr>
                                <w:t>内</w:t>
                              </w:r>
                              <w:r>
                                <w:rPr>
                                  <w:rFonts w:hint="eastAsia"/>
                                  <w:lang w:val="zh-CN" w:eastAsia="zh-CN"/>
                                </w:rPr>
                                <w:t>道路以及硬化</w:t>
                              </w:r>
                            </w:p>
                          </w:txbxContent>
                        </v:textbox>
                      </v:shape>
                      <v:shape id="_x0000_s1026" o:spid="_x0000_s1026" o:spt="32" type="#_x0000_t32" style="position:absolute;left:9544;top:373041;height:8;width:386;" filled="f" stroked="t" coordsize="21600,21600" o:gfxdata="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kyFi7sAAADb&#10;AAAADwAAAAAAAAABACAAAAAiAAAAZHJzL2Rvd25yZXYueG1sUEsBAhQAFAAAAAgAh07iQDMvBZ47&#10;AAAAOQAAABAAAAAAAAAAAQAgAAAACgEAAGRycy9zaGFwZXhtbC54bWxQSwUGAAAAAAYABgBbAQAA&#10;tAMAAAAA&#10;">
                        <v:fill on="f" focussize="0,0"/>
                        <v:stroke color="#000000 [3213]" miterlimit="8" joinstyle="miter" endarrow="open"/>
                        <v:imagedata o:title=""/>
                        <o:lock v:ext="edit" aspectratio="f"/>
                      </v:shape>
                      <v:shape id="_x0000_s1026" o:spid="_x0000_s1026" o:spt="32" type="#_x0000_t32" style="position:absolute;left:3811;top:372687;flip:y;height:150;width:156;" filled="f" stroked="t" coordsize="21600,21600" o:gfxdata="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w5QXrgAAADaAAAA&#10;DwAAAAAAAAABACAAAAAiAAAAZHJzL2Rvd25yZXYueG1sUEsBAhQAFAAAAAgAh07iQDMvBZ47AAAA&#10;OQAAABAAAAAAAAAAAQAgAAAABwEAAGRycy9zaGFwZXhtbC54bWxQSwUGAAAAAAYABgBbAQAAsQMA&#10;AAAA&#10;">
                        <v:fill on="f" focussize="0,0"/>
                        <v:stroke weight="0.5pt" color="#000000 [3213]" miterlimit="8" joinstyle="miter" dashstyle="3 1" endarrow="open"/>
                        <v:imagedata o:title=""/>
                        <o:lock v:ext="edit" aspectratio="f"/>
                      </v:shape>
                      <v:shape id="_x0000_s1026" o:spid="_x0000_s1026" o:spt="32" type="#_x0000_t32" style="position:absolute;left:7119;top:372668;flip:y;height:173;width:28;" filled="f" stroked="t" coordsize="21600,21600" o:gfxdata="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RC9cW5AAAA2gAA&#10;AA8AAAAAAAAAAQAgAAAAIgAAAGRycy9kb3ducmV2LnhtbFBLAQIUABQAAAAIAIdO4kAzLwWeOwAA&#10;ADkAAAAQAAAAAAAAAAEAIAAAAAgBAABkcnMvc2hhcGV4bWwueG1sUEsFBgAAAAAGAAYAWwEAALID&#10;AAAAAA==&#10;">
                        <v:fill on="f" focussize="0,0"/>
                        <v:stroke weight="0.5pt" color="#000000 [3213]" miterlimit="8" joinstyle="miter" dashstyle="3 1" endarrow="open"/>
                        <v:imagedata o:title=""/>
                        <o:lock v:ext="edit" aspectratio="f"/>
                      </v:shape>
                      <v:shape id="_x0000_s1026" o:spid="_x0000_s1026" o:spt="32" type="#_x0000_t32" style="position:absolute;left:8759;top:372677;flip:y;height:159;width:40;" filled="f" stroked="t" coordsize="21600,21600" o:gfxdata="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kGuyugAAANoA&#10;AAAPAAAAAAAAAAEAIAAAACIAAABkcnMvZG93bnJldi54bWxQSwECFAAUAAAACACHTuJAMy8FnjsA&#10;AAA5AAAAEAAAAAAAAAABACAAAAAJAQAAZHJzL3NoYXBleG1sLnhtbFBLBQYAAAAABgAGAFsBAACz&#10;AwAAAAA=&#10;">
                        <v:fill on="f" focussize="0,0"/>
                        <v:stroke weight="0.5pt" color="#000000 [3213]" miterlimit="8" joinstyle="miter" dashstyle="3 1" endarrow="open"/>
                        <v:imagedata o:title=""/>
                        <o:lock v:ext="edit" aspectratio="f"/>
                      </v:shape>
                      <v:shape id="_x0000_s1026" o:spid="_x0000_s1026" o:spt="32" type="#_x0000_t32" style="position:absolute;left:10496;top:372701;flip:x y;height:151;width:13;" filled="f" stroked="t" coordsize="21600,21600" o:gfxdata="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Yw8QrsAAADa&#10;AAAADwAAAAAAAAABACAAAAAiAAAAZHJzL2Rvd25yZXYueG1sUEsBAhQAFAAAAAgAh07iQDMvBZ47&#10;AAAAOQAAABAAAAAAAAAAAQAgAAAACgEAAGRycy9zaGFwZXhtbC54bWxQSwUGAAAAAAYABgBbAQAA&#10;tAMAAAAA&#10;">
                        <v:fill on="f" focussize="0,0"/>
                        <v:stroke weight="0.5pt" color="#000000 [3213]" miterlimit="8" joinstyle="miter" dashstyle="3 1" endarrow="open"/>
                        <v:imagedata o:title=""/>
                        <o:lock v:ext="edit" aspectratio="f"/>
                      </v:shape>
                      <v:shape id="文本框 26" o:spid="_x0000_s1026" o:spt="202" type="#_x0000_t202" style="position:absolute;left:3548;top:372292;height:395;width:838;" filled="f" stroked="f" coordsize="21600,21600" o:gfxdata="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EbS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rFonts w:hint="default" w:eastAsia="宋体"/>
                                  <w:lang w:val="en-US" w:eastAsia="zh-CN"/>
                                </w:rPr>
                              </w:pPr>
                              <w:r>
                                <w:rPr>
                                  <w:rFonts w:hint="eastAsia"/>
                                  <w:lang w:val="en-US" w:eastAsia="zh-CN"/>
                                </w:rPr>
                                <w:t>GNS</w:t>
                              </w:r>
                            </w:p>
                          </w:txbxContent>
                        </v:textbox>
                      </v:shape>
                      <v:shape id="文本框 27" o:spid="_x0000_s1026" o:spt="202" type="#_x0000_t202" style="position:absolute;left:6644;top:372255;height:413;width:1005;" filled="f" stroked="f" coordsize="21600,21600" o:gfxdata="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7Po87ugAAANsA&#10;AAAPAAAAAAAAAAEAIAAAACIAAABkcnMvZG93bnJldi54bWxQSwECFAAUAAAACACHTuJAMy8FnjsA&#10;AAA5AAAAEAAAAAAAAAABACAAAAAJAQAAZHJzL3NoYXBleG1sLnhtbFBLBQYAAAAABgAGAFsBAACz&#10;AwAAAAA=&#10;">
                        <v:fill on="f" focussize="0,0"/>
                        <v:stroke on="f" weight="0.5pt"/>
                        <v:imagedata o:title=""/>
                        <o:lock v:ext="edit" aspectratio="f"/>
                        <v:textbox>
                          <w:txbxContent>
                            <w:p>
                              <w:pPr>
                                <w:rPr>
                                  <w:rFonts w:hint="default" w:eastAsia="宋体"/>
                                  <w:lang w:val="en-US" w:eastAsia="zh-CN"/>
                                </w:rPr>
                              </w:pPr>
                              <w:r>
                                <w:rPr>
                                  <w:rFonts w:hint="eastAsia"/>
                                  <w:lang w:val="en-US" w:eastAsia="zh-CN"/>
                                </w:rPr>
                                <w:t>GNSW</w:t>
                              </w:r>
                            </w:p>
                          </w:txbxContent>
                        </v:textbox>
                      </v:shape>
                      <v:shape id="文本框 28" o:spid="_x0000_s1026" o:spt="202" type="#_x0000_t202" style="position:absolute;left:8313;top:372264;height:413;width:971;" filled="f" stroked="f" coordsize="21600,21600" o:gfxdata="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92we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rFonts w:hint="default" w:eastAsia="宋体"/>
                                  <w:lang w:val="en-US" w:eastAsia="zh-CN"/>
                                </w:rPr>
                              </w:pPr>
                              <w:r>
                                <w:rPr>
                                  <w:rFonts w:hint="eastAsia"/>
                                  <w:lang w:val="en-US" w:eastAsia="zh-CN"/>
                                </w:rPr>
                                <w:t>GNSW</w:t>
                              </w:r>
                            </w:p>
                          </w:txbxContent>
                        </v:textbox>
                      </v:shape>
                      <v:shape id="文本框 31" o:spid="_x0000_s1026" o:spt="202" type="#_x0000_t202" style="position:absolute;left:9993;top:372323;height:378;width:1006;" filled="f" stroked="f" coordsize="21600,21600" o:gfxdata="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Q4uX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hint="default" w:eastAsia="宋体"/>
                                  <w:lang w:val="en-US" w:eastAsia="zh-CN"/>
                                </w:rPr>
                              </w:pPr>
                              <w:r>
                                <w:rPr>
                                  <w:rFonts w:hint="eastAsia"/>
                                  <w:lang w:val="en-US" w:eastAsia="zh-CN"/>
                                </w:rPr>
                                <w:t>GNWS</w:t>
                              </w:r>
                            </w:p>
                          </w:txbxContent>
                        </v:textbox>
                      </v:shape>
                      <v:shape id="_x0000_s1026" o:spid="_x0000_s1026" o:spt="202" type="#_x0000_t202" style="position:absolute;left:4639;top:372840;height:397;width:1619;" fillcolor="#FFFFFF [3201]" filled="t" stroked="t" coordsize="21600,21600" o:gfxdata="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MJhxR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pPr>
                                <w:rPr>
                                  <w:rFonts w:hint="eastAsia"/>
                                  <w:sz w:val="21"/>
                                  <w:szCs w:val="21"/>
                                  <w:lang w:eastAsia="zh-CN"/>
                                </w:rPr>
                              </w:pPr>
                              <w:r>
                                <w:rPr>
                                  <w:rFonts w:hint="eastAsia" w:ascii="Times New Roman" w:hAnsi="Times New Roman" w:eastAsia="宋体" w:cs="Times New Roman"/>
                                  <w:kern w:val="0"/>
                                  <w:sz w:val="21"/>
                                  <w:szCs w:val="21"/>
                                  <w:lang w:eastAsia="zh-CN"/>
                                </w:rPr>
                                <w:t>场外道路施工</w:t>
                              </w:r>
                            </w:p>
                          </w:txbxContent>
                        </v:textbox>
                      </v:shape>
                      <v:shape id="_x0000_s1026" o:spid="_x0000_s1026" o:spt="32" type="#_x0000_t32" style="position:absolute;left:4417;top:373039;flip:y;height:7;width:222;" filled="f" stroked="t" coordsize="21600,21600" o:gfxdata="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R/ZMy8AAAA&#10;2wAAAA8AAAAAAAAAAQAgAAAAIgAAAGRycy9kb3ducmV2LnhtbFBLAQIUABQAAAAIAIdO4kAzLwWe&#10;OwAAADkAAAAQAAAAAAAAAAEAIAAAAAsBAABkcnMvc2hhcGV4bWwueG1sUEsFBgAAAAAGAAYAWwEA&#10;ALUDAAAAAA==&#10;">
                        <v:fill on="f" focussize="0,0"/>
                        <v:stroke color="#000000 [3213]" miterlimit="8" joinstyle="miter" endarrow="open"/>
                        <v:imagedata o:title=""/>
                        <o:lock v:ext="edit" aspectratio="f"/>
                      </v:shape>
                      <v:shape id="文本框 31" o:spid="_x0000_s1026" o:spt="202" type="#_x0000_t202" style="position:absolute;left:5047;top:372268;height:378;width:1006;" filled="f" stroked="f" coordsize="21600,21600" o:gfxdata="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UdZq/&#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hint="default" w:eastAsia="宋体"/>
                                  <w:lang w:val="en-US" w:eastAsia="zh-CN"/>
                                </w:rPr>
                              </w:pPr>
                              <w:r>
                                <w:rPr>
                                  <w:rFonts w:hint="eastAsia"/>
                                  <w:lang w:val="en-US" w:eastAsia="zh-CN"/>
                                </w:rPr>
                                <w:t>GNWS</w:t>
                              </w:r>
                            </w:p>
                          </w:txbxContent>
                        </v:textbox>
                      </v:shape>
                      <v:shape id="_x0000_s1026" o:spid="_x0000_s1026" o:spt="32" type="#_x0000_t32" style="position:absolute;left:5449;top:372646;flip:y;height:194;width:101;" filled="f" stroked="t" coordsize="21600,21600" o:gfxdata="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8iO/vQAA&#10;ANsAAAAPAAAAAAAAAAEAIAAAACIAAABkcnMvZG93bnJldi54bWxQSwECFAAUAAAACACHTuJAMy8F&#10;njsAAAA5AAAAEAAAAAAAAAABACAAAAAMAQAAZHJzL3NoYXBleG1sLnhtbFBLBQYAAAAABgAGAFsB&#10;AAC2AwAAAAA=&#10;">
                        <v:fill on="f" focussize="0,0"/>
                        <v:stroke weight="0.5pt" color="#000000 [3213]" miterlimit="8" joinstyle="miter" dashstyle="3 1" endarrow="open"/>
                        <v:imagedata o:title=""/>
                        <o:lock v:ext="edit" aspectratio="f"/>
                      </v:shape>
                    </v:group>
                  </w:pict>
                </mc:Fallback>
              </mc:AlternateContent>
            </w:r>
          </w:p>
          <w:p>
            <w:pPr>
              <w:keepNext w:val="0"/>
              <w:keepLines w:val="0"/>
              <w:widowControl/>
              <w:suppressLineNumbers w:val="0"/>
              <w:jc w:val="left"/>
              <w:rPr>
                <w:rFonts w:hint="eastAsia" w:ascii="宋体" w:hAnsi="宋体" w:eastAsia="宋体" w:cs="宋体"/>
                <w:b/>
                <w:bCs/>
                <w:color w:val="000000"/>
                <w:kern w:val="0"/>
                <w:sz w:val="24"/>
                <w:szCs w:val="24"/>
                <w:highlight w:val="none"/>
                <w:lang w:val="en-US" w:eastAsia="zh-CN" w:bidi="ar"/>
              </w:rPr>
            </w:pPr>
          </w:p>
          <w:p>
            <w:pPr>
              <w:pStyle w:val="10"/>
              <w:ind w:left="0" w:leftChars="0" w:firstLine="0" w:firstLineChars="0"/>
              <w:rPr>
                <w:rFonts w:hint="eastAsia" w:ascii="宋体" w:hAnsi="宋体" w:eastAsia="宋体" w:cs="宋体"/>
                <w:b/>
                <w:bCs/>
                <w:color w:val="000000"/>
                <w:kern w:val="0"/>
                <w:sz w:val="24"/>
                <w:szCs w:val="24"/>
                <w:highlight w:val="none"/>
                <w:lang w:val="en-US" w:eastAsia="zh-CN" w:bidi="ar"/>
              </w:rPr>
            </w:pPr>
          </w:p>
          <w:p>
            <w:pPr>
              <w:rPr>
                <w:rFonts w:hint="eastAsia" w:ascii="宋体" w:hAnsi="宋体" w:eastAsia="宋体" w:cs="宋体"/>
                <w:b/>
                <w:bCs/>
                <w:color w:val="000000"/>
                <w:kern w:val="0"/>
                <w:sz w:val="24"/>
                <w:szCs w:val="24"/>
                <w:highlight w:val="none"/>
                <w:lang w:val="en-US" w:eastAsia="zh-CN" w:bidi="ar"/>
              </w:rPr>
            </w:pPr>
          </w:p>
          <w:p>
            <w:pPr>
              <w:pStyle w:val="10"/>
              <w:ind w:left="0" w:leftChars="0" w:firstLine="0" w:firstLineChars="0"/>
              <w:rPr>
                <w:rFonts w:hint="eastAsia"/>
                <w:highlight w:val="none"/>
                <w:lang w:val="en-US" w:eastAsia="zh-CN"/>
              </w:rPr>
            </w:pPr>
            <w:r>
              <w:rPr>
                <w:sz w:val="24"/>
                <w:highlight w:val="none"/>
              </w:rPr>
              <mc:AlternateContent>
                <mc:Choice Requires="wps">
                  <w:drawing>
                    <wp:anchor distT="0" distB="0" distL="114300" distR="114300" simplePos="0" relativeHeight="251662336" behindDoc="0" locked="0" layoutInCell="1" allowOverlap="1">
                      <wp:simplePos x="0" y="0"/>
                      <wp:positionH relativeFrom="column">
                        <wp:posOffset>374015</wp:posOffset>
                      </wp:positionH>
                      <wp:positionV relativeFrom="paragraph">
                        <wp:posOffset>67945</wp:posOffset>
                      </wp:positionV>
                      <wp:extent cx="2886075" cy="29337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2886075" cy="293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G-废气  W-废水  N-噪声  S-固体废物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5pt;margin-top:5.35pt;height:23.1pt;width:227.25pt;z-index:251662336;mso-width-relative:page;mso-height-relative:page;" filled="f" stroked="f" coordsize="21600,21600" o:gfxdata="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dsxZzaAAAACAEAAA8AAAAAAAAAAQAgAAAAIgAA&#10;AGRycy9kb3ducmV2LnhtbFBLAQIUABQAAAAIAIdO4kD0g9udPwIAAGgEAAAOAAAAAAAAAAEAIAAA&#10;ACkBAABkcnMvZTJvRG9jLnhtbFBLBQYAAAAABgAGAFkBAADaBQAAAAA=&#10;">
                      <v:fill on="f" focussize="0,0"/>
                      <v:stroke on="f" weight="0.5pt"/>
                      <v:imagedata o:title=""/>
                      <o:lock v:ext="edit" aspectratio="f"/>
                      <v:textbox>
                        <w:txbxContent>
                          <w:p>
                            <w:pPr>
                              <w:rPr>
                                <w:rFonts w:hint="default" w:eastAsia="宋体"/>
                                <w:lang w:val="en-US" w:eastAsia="zh-CN"/>
                              </w:rPr>
                            </w:pPr>
                            <w:r>
                              <w:rPr>
                                <w:rFonts w:hint="eastAsia"/>
                                <w:lang w:val="en-US" w:eastAsia="zh-CN"/>
                              </w:rPr>
                              <w:t>G-废气  W-废水  N-噪声  S-固体废物</w:t>
                            </w:r>
                          </w:p>
                        </w:txbxContent>
                      </v:textbox>
                    </v:shape>
                  </w:pict>
                </mc:Fallback>
              </mc:AlternateContent>
            </w:r>
          </w:p>
          <w:p>
            <w:pPr>
              <w:rPr>
                <w:rFonts w:hint="default" w:ascii="Times New Roman" w:hAnsi="Times New Roman" w:eastAsia="宋体" w:cs="Times New Roman"/>
                <w:color w:val="auto"/>
                <w:kern w:val="0"/>
                <w:sz w:val="24"/>
                <w:szCs w:val="24"/>
                <w:highlight w:val="none"/>
                <w:lang w:val="en-US" w:eastAsia="zh-CN" w:bidi="ar"/>
              </w:rPr>
            </w:pPr>
          </w:p>
          <w:p>
            <w:pPr>
              <w:pStyle w:val="10"/>
              <w:ind w:left="0" w:leftChars="0" w:firstLine="0" w:firstLineChars="0"/>
              <w:jc w:val="center"/>
              <w:rPr>
                <w:rFonts w:hint="default"/>
                <w:highlight w:val="none"/>
                <w:lang w:val="en-US" w:eastAsia="zh-CN"/>
              </w:rPr>
            </w:pPr>
            <w:r>
              <w:rPr>
                <w:rFonts w:hint="default" w:ascii="Times New Roman" w:hAnsi="Times New Roman" w:eastAsia="宋体" w:cs="Times New Roman"/>
                <w:b/>
                <w:bCs/>
                <w:color w:val="auto"/>
                <w:kern w:val="0"/>
                <w:sz w:val="24"/>
                <w:szCs w:val="24"/>
                <w:highlight w:val="none"/>
                <w:lang w:val="en-US" w:eastAsia="zh-CN" w:bidi="ar"/>
              </w:rPr>
              <w:t>图3.3</w:t>
            </w:r>
            <w:r>
              <w:rPr>
                <w:rFonts w:hint="eastAsia" w:cs="Times New Roman"/>
                <w:b/>
                <w:bCs/>
                <w:color w:val="auto"/>
                <w:kern w:val="0"/>
                <w:sz w:val="24"/>
                <w:szCs w:val="24"/>
                <w:highlight w:val="none"/>
                <w:lang w:val="en-US" w:eastAsia="zh-CN" w:bidi="ar"/>
              </w:rPr>
              <w:t>-</w:t>
            </w:r>
            <w:r>
              <w:rPr>
                <w:rFonts w:hint="default" w:ascii="Times New Roman" w:hAnsi="Times New Roman" w:eastAsia="宋体" w:cs="Times New Roman"/>
                <w:b/>
                <w:bCs/>
                <w:color w:val="auto"/>
                <w:kern w:val="0"/>
                <w:sz w:val="24"/>
                <w:szCs w:val="24"/>
                <w:highlight w:val="none"/>
                <w:lang w:val="en-US" w:eastAsia="zh-CN" w:bidi="ar"/>
              </w:rPr>
              <w:t>1 施工工艺流程及产污环节图</w:t>
            </w:r>
          </w:p>
          <w:p>
            <w:pPr>
              <w:pStyle w:val="31"/>
              <w:pageBreakBefore w:val="0"/>
              <w:widowControl w:val="0"/>
              <w:numPr>
                <w:ilvl w:val="0"/>
                <w:numId w:val="0"/>
              </w:numPr>
              <w:kinsoku/>
              <w:wordWrap/>
              <w:overflowPunct/>
              <w:topLinePunct w:val="0"/>
              <w:autoSpaceDE/>
              <w:autoSpaceDN/>
              <w:bidi w:val="0"/>
              <w:adjustRightInd/>
              <w:spacing w:line="360" w:lineRule="auto"/>
              <w:ind w:leftChars="0" w:firstLine="482" w:firstLineChars="200"/>
              <w:jc w:val="both"/>
              <w:textAlignment w:val="auto"/>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2.运营期工艺简述</w:t>
            </w:r>
          </w:p>
          <w:p>
            <w:pPr>
              <w:pStyle w:val="31"/>
              <w:pageBreakBefore w:val="0"/>
              <w:widowControl w:val="0"/>
              <w:kinsoku/>
              <w:wordWrap/>
              <w:overflowPunct/>
              <w:topLinePunct w:val="0"/>
              <w:autoSpaceDE/>
              <w:autoSpaceDN/>
              <w:bidi w:val="0"/>
              <w:adjustRightInd/>
              <w:spacing w:line="360" w:lineRule="auto"/>
              <w:jc w:val="both"/>
              <w:textAlignment w:val="auto"/>
              <w:rPr>
                <w:rFonts w:hint="eastAsia"/>
                <w:sz w:val="24"/>
                <w:szCs w:val="24"/>
                <w:highlight w:val="none"/>
                <w:lang w:val="en-US" w:eastAsia="zh-CN"/>
              </w:rPr>
            </w:pPr>
            <w:r>
              <w:rPr>
                <w:rFonts w:hint="eastAsia"/>
                <w:sz w:val="24"/>
                <w:szCs w:val="24"/>
                <w:highlight w:val="none"/>
                <w:lang w:val="en-US" w:eastAsia="zh-CN"/>
              </w:rPr>
              <w:t>①运营期风井场地的进风和送风方案</w:t>
            </w:r>
          </w:p>
          <w:p>
            <w:pPr>
              <w:pStyle w:val="31"/>
              <w:keepNext w:val="0"/>
              <w:keepLines w:val="0"/>
              <w:pageBreakBefore w:val="0"/>
              <w:widowControl w:val="0"/>
              <w:kinsoku/>
              <w:wordWrap/>
              <w:overflowPunct/>
              <w:topLinePunct w:val="0"/>
              <w:autoSpaceDE/>
              <w:autoSpaceDN/>
              <w:bidi w:val="0"/>
              <w:adjustRightInd/>
              <w:spacing w:line="360" w:lineRule="auto"/>
              <w:ind w:left="0" w:lef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北部风井场地</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设置</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北部进风立井、北部回风立井2条井筒。北部进风立井，承担西四</w:t>
            </w:r>
            <w:r>
              <w:rPr>
                <w:rFonts w:hint="eastAsia" w:cs="Times New Roman"/>
                <w:color w:val="000000" w:themeColor="text1"/>
                <w:kern w:val="2"/>
                <w:sz w:val="24"/>
                <w:szCs w:val="24"/>
                <w:highlight w:val="none"/>
                <w:lang w:val="zh-CN"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上</w:t>
            </w:r>
            <w:r>
              <w:rPr>
                <w:rFonts w:hint="eastAsia" w:cs="Times New Roman"/>
                <w:color w:val="000000" w:themeColor="text1"/>
                <w:kern w:val="2"/>
                <w:sz w:val="24"/>
                <w:szCs w:val="24"/>
                <w:highlight w:val="none"/>
                <w:lang w:val="zh-CN"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下</w:t>
            </w:r>
            <w:r>
              <w:rPr>
                <w:rFonts w:hint="eastAsia" w:cs="Times New Roman"/>
                <w:color w:val="000000" w:themeColor="text1"/>
                <w:kern w:val="2"/>
                <w:sz w:val="24"/>
                <w:szCs w:val="24"/>
                <w:highlight w:val="none"/>
                <w:lang w:val="zh-CN"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及北部后续盘区的主要进风任务；北部进风立井井口标高+</w:t>
            </w:r>
            <w:r>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1537.500</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m，井底标高暂定+</w:t>
            </w:r>
            <w:r>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904.350</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m，落底于4</w:t>
            </w:r>
            <w:r>
              <w:rPr>
                <w:rFonts w:hint="eastAsia" w:cs="Times New Roman"/>
                <w:color w:val="000000" w:themeColor="text1"/>
                <w:kern w:val="2"/>
                <w:sz w:val="24"/>
                <w:szCs w:val="24"/>
                <w:highlight w:val="none"/>
                <w:lang w:val="zh-CN"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1</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煤层底板，井窝深度5m，井筒垂深约6</w:t>
            </w:r>
            <w:r>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38</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m，净直径7.0m。井筒内装备封闭式玻璃钢梯子间，兼作矿井安全出口；井筒内布置1</w:t>
            </w:r>
            <w:r>
              <w:rPr>
                <w:rFonts w:hint="eastAsia" w:cs="Times New Roman"/>
                <w:color w:val="000000" w:themeColor="text1"/>
                <w:kern w:val="2"/>
                <w:sz w:val="24"/>
                <w:szCs w:val="24"/>
                <w:highlight w:val="none"/>
                <w:lang w:val="zh-CN" w:eastAsia="zh-CN" w:bidi="ar-SA"/>
                <w14:textFill>
                  <w14:solidFill>
                    <w14:schemeClr w14:val="tx1"/>
                  </w14:solidFill>
                </w14:textFill>
              </w:rPr>
              <w:t>条</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压风管路、应急排水管路、电力及通讯电缆等。北部回风立井，承担西四</w:t>
            </w:r>
            <w:r>
              <w:rPr>
                <w:rFonts w:hint="eastAsia" w:cs="Times New Roman"/>
                <w:color w:val="000000" w:themeColor="text1"/>
                <w:kern w:val="2"/>
                <w:sz w:val="24"/>
                <w:szCs w:val="24"/>
                <w:highlight w:val="none"/>
                <w:lang w:val="zh-CN"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上</w:t>
            </w:r>
            <w:r>
              <w:rPr>
                <w:rFonts w:hint="eastAsia" w:cs="Times New Roman"/>
                <w:color w:val="000000" w:themeColor="text1"/>
                <w:kern w:val="2"/>
                <w:sz w:val="24"/>
                <w:szCs w:val="24"/>
                <w:highlight w:val="none"/>
                <w:lang w:val="zh-CN"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下</w:t>
            </w:r>
            <w:r>
              <w:rPr>
                <w:rFonts w:hint="eastAsia" w:cs="Times New Roman"/>
                <w:color w:val="000000" w:themeColor="text1"/>
                <w:kern w:val="2"/>
                <w:sz w:val="24"/>
                <w:szCs w:val="24"/>
                <w:highlight w:val="none"/>
                <w:lang w:val="zh-CN"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盘区及北部后续盘区的主要回风任务；北部回风立井井口标高+153</w:t>
            </w:r>
            <w:r>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8</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.000m，井底标高暂定+</w:t>
            </w:r>
            <w:r>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903.850</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m，落底于4</w:t>
            </w:r>
            <w:r>
              <w:rPr>
                <w:rFonts w:hint="eastAsia" w:cs="Times New Roman"/>
                <w:color w:val="000000" w:themeColor="text1"/>
                <w:kern w:val="2"/>
                <w:sz w:val="24"/>
                <w:szCs w:val="24"/>
                <w:highlight w:val="none"/>
                <w:lang w:val="zh-CN"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1</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煤层底板，井窝深度5m，井筒垂深约6</w:t>
            </w:r>
            <w:r>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39</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m，</w:t>
            </w:r>
            <w:r>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净直径7.5m</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；井筒内装备封闭式玻璃钢梯子间，兼作矿井安全出口。</w:t>
            </w:r>
          </w:p>
          <w:p>
            <w:pPr>
              <w:pStyle w:val="31"/>
              <w:keepNext w:val="0"/>
              <w:keepLines w:val="0"/>
              <w:pageBreakBefore w:val="0"/>
              <w:widowControl w:val="0"/>
              <w:kinsoku/>
              <w:wordWrap/>
              <w:overflowPunct/>
              <w:topLinePunct w:val="0"/>
              <w:autoSpaceDE/>
              <w:autoSpaceDN/>
              <w:bidi w:val="0"/>
              <w:adjustRightInd/>
              <w:spacing w:line="360" w:lineRule="auto"/>
              <w:ind w:left="0" w:leftChars="0" w:firstLine="480" w:firstLineChars="200"/>
              <w:jc w:val="both"/>
              <w:textAlignment w:val="auto"/>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②</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乏风取热流程</w:t>
            </w:r>
          </w:p>
          <w:p>
            <w:pPr>
              <w:pStyle w:val="50"/>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北部进风立井利用矿井乏风余热解决本场地的井口防冻问题，</w:t>
            </w:r>
            <w:r>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采用</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直冷式深焓取热乏风热泵供热</w:t>
            </w:r>
            <w:r>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技术</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，满足本场地采暖季井口防冻和保温隔热需求。乏风取热的流程如下：</w:t>
            </w:r>
          </w:p>
          <w:p>
            <w:pPr>
              <w:pStyle w:val="50"/>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default"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在乏风扩散塔上方建一座乏风取热平台，将专用乏风取热箱布置在取热平台上，矿井乏风通过乏风取热箱时与低温取热工质</w:t>
            </w:r>
            <w:r>
              <w:rPr>
                <w:rFonts w:hint="eastAsia"/>
                <w:highlight w:val="none"/>
                <w:lang w:eastAsia="zh-CN"/>
              </w:rPr>
              <w:t>（水）</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进行热交换，将热量置换给取热工质后排放。取热工质吸热后再通过工质循环泵输送至乏风热泵机组蒸发器中，在蒸发器中工质热量被制冷剂吸热蒸发后降温，降温后的低温工质又回到乏风取热箱内，完成一个循环流程。在蒸发器中吸热蒸发的制冷剂通过乏风热泵的压缩机做功提升热品位后送至冷凝器内散热后回到蒸发器内完成一个制冷剂循环流程。冷凝器内的低温热水吸收制冷剂热量后温度提高输送至井口加热机组，在井口加热机组内与进风井的冷风进行热交换加热进风井的冷风，热水经加热机</w:t>
            </w:r>
            <w:r>
              <w:rPr>
                <w:rFonts w:hint="default" w:ascii="Times New Roman" w:hAnsi="Times New Roman" w:eastAsia="宋体" w:cs="Times New Roman"/>
                <w:b w:val="0"/>
                <w:bCs w:val="0"/>
                <w:kern w:val="2"/>
                <w:sz w:val="24"/>
                <w:szCs w:val="24"/>
                <w:highlight w:val="none"/>
                <w:lang w:val="en-US" w:eastAsia="zh-CN" w:bidi="ar-SA"/>
              </w:rPr>
              <w:t>组降温后，通过热水循环泵再次回到乏风热泵机组的冷凝器内进行加热，热水完成一个循环流程，完成3个循环流程后，</w:t>
            </w:r>
            <w:r>
              <w:rPr>
                <w:rFonts w:hint="eastAsia" w:ascii="Times New Roman" w:hAnsi="Times New Roman" w:eastAsia="宋体" w:cs="Times New Roman"/>
                <w:color w:val="000000" w:themeColor="text1"/>
                <w:kern w:val="2"/>
                <w:sz w:val="24"/>
                <w:szCs w:val="24"/>
                <w:highlight w:val="none"/>
                <w:lang w:val="zh-CN" w:eastAsia="zh-CN" w:bidi="ar-SA"/>
                <w14:textFill>
                  <w14:solidFill>
                    <w14:schemeClr w14:val="tx1"/>
                  </w14:solidFill>
                </w14:textFill>
              </w:rPr>
              <w:t>最终实现井口加热的目的。</w:t>
            </w: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default" w:ascii="宋体" w:hAnsi="宋体" w:eastAsia="宋体" w:cs="宋体"/>
                <w:b/>
                <w:bCs/>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3.</w:t>
            </w:r>
            <w:r>
              <w:rPr>
                <w:rFonts w:hint="default" w:ascii="宋体" w:hAnsi="宋体" w:eastAsia="宋体" w:cs="宋体"/>
                <w:b/>
                <w:bCs/>
                <w:color w:val="000000"/>
                <w:kern w:val="0"/>
                <w:sz w:val="24"/>
                <w:szCs w:val="24"/>
                <w:highlight w:val="none"/>
                <w:lang w:val="en-US" w:eastAsia="zh-CN" w:bidi="ar"/>
              </w:rPr>
              <w:t xml:space="preserve">主要污染工序 </w:t>
            </w: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eastAsia" w:cs="Times New Roman"/>
                <w:b w:val="0"/>
                <w:bCs w:val="0"/>
                <w:color w:val="auto"/>
                <w:kern w:val="0"/>
                <w:sz w:val="24"/>
                <w:szCs w:val="24"/>
                <w:highlight w:val="none"/>
                <w:lang w:val="en-US" w:eastAsia="zh-CN" w:bidi="ar"/>
              </w:rPr>
              <w:t>①施工期</w:t>
            </w: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废气：</w:t>
            </w:r>
            <w:r>
              <w:rPr>
                <w:rFonts w:hint="default" w:ascii="Times New Roman" w:hAnsi="Times New Roman" w:eastAsia="宋体" w:cs="Times New Roman"/>
                <w:b w:val="0"/>
                <w:bCs w:val="0"/>
                <w:sz w:val="24"/>
                <w:highlight w:val="none"/>
                <w:lang w:val="en-US" w:eastAsia="zh-CN"/>
              </w:rPr>
              <w:t>施工扬尘、施工机械与运输车辆尾气等</w:t>
            </w:r>
            <w:r>
              <w:rPr>
                <w:rFonts w:hint="default" w:ascii="Times New Roman" w:hAnsi="Times New Roman" w:eastAsia="宋体" w:cs="Times New Roman"/>
                <w:b w:val="0"/>
                <w:bCs w:val="0"/>
                <w:kern w:val="0"/>
                <w:sz w:val="24"/>
                <w:highlight w:val="none"/>
                <w:lang w:val="en-US" w:eastAsia="zh-CN"/>
              </w:rPr>
              <w:t xml:space="preserve"> </w:t>
            </w: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废水：主要为</w:t>
            </w:r>
            <w:r>
              <w:rPr>
                <w:rFonts w:hint="default" w:ascii="Times New Roman" w:hAnsi="Times New Roman" w:eastAsia="宋体" w:cs="Times New Roman"/>
                <w:b w:val="0"/>
                <w:bCs w:val="0"/>
                <w:kern w:val="0"/>
                <w:sz w:val="24"/>
                <w:highlight w:val="none"/>
                <w:lang w:val="en-US" w:eastAsia="zh-CN"/>
              </w:rPr>
              <w:t>施工废水</w:t>
            </w:r>
            <w:r>
              <w:rPr>
                <w:rFonts w:hint="eastAsia" w:cs="Times New Roman"/>
                <w:b w:val="0"/>
                <w:bCs w:val="0"/>
                <w:kern w:val="0"/>
                <w:sz w:val="24"/>
                <w:highlight w:val="none"/>
                <w:lang w:val="en-US" w:eastAsia="zh-CN"/>
              </w:rPr>
              <w:t>、</w:t>
            </w:r>
            <w:r>
              <w:rPr>
                <w:rFonts w:hint="default" w:ascii="Times New Roman" w:hAnsi="Times New Roman" w:eastAsia="宋体" w:cs="Times New Roman"/>
                <w:b w:val="0"/>
                <w:bCs w:val="0"/>
                <w:kern w:val="0"/>
                <w:sz w:val="24"/>
                <w:highlight w:val="none"/>
                <w:lang w:val="en-US" w:eastAsia="zh-CN"/>
              </w:rPr>
              <w:t>施工</w:t>
            </w:r>
            <w:r>
              <w:rPr>
                <w:rFonts w:hint="default" w:ascii="Times New Roman" w:hAnsi="Times New Roman" w:eastAsia="宋体" w:cs="Times New Roman"/>
                <w:b w:val="0"/>
                <w:bCs w:val="0"/>
                <w:sz w:val="24"/>
                <w:highlight w:val="none"/>
              </w:rPr>
              <w:t>人员</w:t>
            </w:r>
            <w:r>
              <w:rPr>
                <w:rFonts w:hint="default" w:ascii="Times New Roman" w:hAnsi="Times New Roman" w:eastAsia="宋体" w:cs="Times New Roman"/>
                <w:b w:val="0"/>
                <w:bCs w:val="0"/>
                <w:kern w:val="0"/>
                <w:sz w:val="24"/>
                <w:highlight w:val="none"/>
                <w:lang w:val="en-US" w:eastAsia="zh-CN"/>
              </w:rPr>
              <w:t>生活污水和</w:t>
            </w:r>
            <w:r>
              <w:rPr>
                <w:rFonts w:hint="eastAsia" w:cs="Times New Roman"/>
                <w:b w:val="0"/>
                <w:bCs w:val="0"/>
                <w:kern w:val="0"/>
                <w:sz w:val="24"/>
                <w:highlight w:val="none"/>
                <w:lang w:val="en-US" w:eastAsia="zh-CN"/>
              </w:rPr>
              <w:t>井筒废水</w:t>
            </w:r>
            <w:r>
              <w:rPr>
                <w:rFonts w:hint="default" w:ascii="Times New Roman" w:hAnsi="Times New Roman" w:eastAsia="宋体" w:cs="Times New Roman"/>
                <w:b w:val="0"/>
                <w:bCs w:val="0"/>
                <w:color w:val="auto"/>
                <w:kern w:val="0"/>
                <w:sz w:val="24"/>
                <w:szCs w:val="24"/>
                <w:highlight w:val="none"/>
                <w:lang w:val="en-US" w:eastAsia="zh-CN" w:bidi="ar"/>
              </w:rPr>
              <w:t>。</w:t>
            </w: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spacing w:val="0"/>
                <w:kern w:val="0"/>
                <w:sz w:val="24"/>
                <w:szCs w:val="24"/>
                <w:highlight w:val="none"/>
                <w:lang w:val="en-US" w:eastAsia="zh-CN" w:bidi="ar"/>
              </w:rPr>
            </w:pPr>
            <w:r>
              <w:rPr>
                <w:rFonts w:hint="default" w:ascii="Times New Roman" w:hAnsi="Times New Roman" w:eastAsia="宋体" w:cs="Times New Roman"/>
                <w:b w:val="0"/>
                <w:bCs w:val="0"/>
                <w:color w:val="auto"/>
                <w:spacing w:val="0"/>
                <w:kern w:val="0"/>
                <w:sz w:val="24"/>
                <w:szCs w:val="24"/>
                <w:highlight w:val="none"/>
                <w:lang w:val="en-US" w:eastAsia="zh-CN" w:bidi="ar"/>
              </w:rPr>
              <w:t xml:space="preserve">噪声：主要为施工过程中作业机械运行时产生的噪声。 </w:t>
            </w: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spacing w:val="0"/>
                <w:kern w:val="0"/>
                <w:sz w:val="24"/>
                <w:szCs w:val="24"/>
                <w:highlight w:val="none"/>
                <w:lang w:val="en-US" w:eastAsia="zh-CN" w:bidi="ar"/>
              </w:rPr>
            </w:pPr>
            <w:r>
              <w:rPr>
                <w:rFonts w:hint="default" w:ascii="Times New Roman" w:hAnsi="Times New Roman" w:eastAsia="宋体" w:cs="Times New Roman"/>
                <w:b w:val="0"/>
                <w:bCs w:val="0"/>
                <w:color w:val="auto"/>
                <w:spacing w:val="0"/>
                <w:kern w:val="0"/>
                <w:sz w:val="24"/>
                <w:szCs w:val="24"/>
                <w:highlight w:val="none"/>
                <w:lang w:val="en-US" w:eastAsia="zh-CN" w:bidi="ar"/>
              </w:rPr>
              <w:t>固废：主要包括施工人员生活垃圾、弃土、井筒掘进产生的岩石和建筑垃圾。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pacing w:val="0"/>
                <w:kern w:val="0"/>
                <w:sz w:val="24"/>
                <w:highlight w:val="none"/>
                <w:lang w:val="en-US" w:eastAsia="zh-CN"/>
              </w:rPr>
            </w:pPr>
            <w:r>
              <w:rPr>
                <w:rFonts w:hint="eastAsia"/>
                <w:spacing w:val="0"/>
                <w:kern w:val="0"/>
                <w:sz w:val="24"/>
                <w:highlight w:val="none"/>
                <w:lang w:val="en-US" w:eastAsia="zh-CN"/>
              </w:rPr>
              <w:t>②运营期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pacing w:val="0"/>
                <w:highlight w:val="none"/>
              </w:rPr>
            </w:pPr>
            <w:r>
              <w:rPr>
                <w:rFonts w:hint="default" w:ascii="Times New Roman" w:hAnsi="Times New Roman" w:eastAsia="宋体" w:cs="Times New Roman"/>
                <w:b w:val="0"/>
                <w:bCs w:val="0"/>
                <w:color w:val="auto"/>
                <w:spacing w:val="0"/>
                <w:kern w:val="0"/>
                <w:sz w:val="24"/>
                <w:szCs w:val="24"/>
                <w:highlight w:val="none"/>
                <w:lang w:val="en-US" w:eastAsia="zh-CN" w:bidi="ar"/>
              </w:rPr>
              <w:t>废气：</w:t>
            </w:r>
            <w:r>
              <w:rPr>
                <w:rFonts w:hint="eastAsia" w:cs="Times New Roman"/>
                <w:bCs/>
                <w:spacing w:val="0"/>
                <w:sz w:val="24"/>
                <w:szCs w:val="24"/>
                <w:highlight w:val="none"/>
                <w:lang w:val="en-US" w:eastAsia="zh-CN"/>
              </w:rPr>
              <w:t>主要是场外道路</w:t>
            </w:r>
            <w:r>
              <w:rPr>
                <w:rFonts w:hint="default" w:ascii="Times New Roman" w:hAnsi="Times New Roman" w:cs="Times New Roman"/>
                <w:bCs/>
                <w:spacing w:val="0"/>
                <w:sz w:val="24"/>
                <w:szCs w:val="24"/>
                <w:highlight w:val="none"/>
                <w:lang w:val="en-US" w:eastAsia="zh-CN"/>
              </w:rPr>
              <w:t>交通流量所产生的机动车尾气污染物</w:t>
            </w:r>
            <w:r>
              <w:rPr>
                <w:rFonts w:hint="eastAsia" w:cs="Times New Roman"/>
                <w:bCs/>
                <w:spacing w:val="0"/>
                <w:sz w:val="24"/>
                <w:szCs w:val="24"/>
                <w:highlight w:val="none"/>
                <w:lang w:val="en-US" w:eastAsia="zh-CN"/>
              </w:rPr>
              <w:t>、乏风取热系统废气与道路扬尘</w:t>
            </w:r>
            <w:r>
              <w:rPr>
                <w:rFonts w:hint="default" w:ascii="Times New Roman" w:hAnsi="Times New Roman" w:cs="Times New Roman"/>
                <w:bCs/>
                <w:spacing w:val="0"/>
                <w:sz w:val="24"/>
                <w:szCs w:val="24"/>
                <w:highlight w:val="none"/>
                <w:lang w:val="en-US" w:eastAsia="zh-CN"/>
              </w:rPr>
              <w:t>，</w:t>
            </w: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spacing w:val="0"/>
                <w:kern w:val="0"/>
                <w:sz w:val="24"/>
                <w:szCs w:val="24"/>
                <w:highlight w:val="none"/>
                <w:lang w:val="en-US" w:eastAsia="zh-CN" w:bidi="ar"/>
              </w:rPr>
            </w:pPr>
            <w:r>
              <w:rPr>
                <w:rFonts w:hint="default" w:ascii="Times New Roman" w:hAnsi="Times New Roman" w:eastAsia="宋体" w:cs="Times New Roman"/>
                <w:b w:val="0"/>
                <w:bCs w:val="0"/>
                <w:color w:val="auto"/>
                <w:spacing w:val="0"/>
                <w:kern w:val="0"/>
                <w:sz w:val="24"/>
                <w:szCs w:val="24"/>
                <w:highlight w:val="none"/>
                <w:lang w:val="en-US" w:eastAsia="zh-CN" w:bidi="ar"/>
              </w:rPr>
              <w:t>废水：</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乏风取热设施废水</w:t>
            </w:r>
            <w:r>
              <w:rPr>
                <w:rFonts w:hint="eastAsia" w:cs="Times New Roman"/>
                <w:color w:val="000000" w:themeColor="text1"/>
                <w:spacing w:val="0"/>
                <w:kern w:val="21"/>
                <w:position w:val="0"/>
                <w:sz w:val="24"/>
                <w:szCs w:val="24"/>
                <w:highlight w:val="none"/>
                <w:lang w:val="en-US" w:eastAsia="zh-CN"/>
                <w14:textFill>
                  <w14:solidFill>
                    <w14:schemeClr w14:val="tx1"/>
                  </w14:solidFill>
                </w14:textFill>
              </w:rPr>
              <w:t>、</w:t>
            </w:r>
            <w:r>
              <w:rPr>
                <w:rFonts w:hint="default" w:ascii="Times New Roman" w:hAnsi="Times New Roman" w:eastAsia="宋体" w:cs="Times New Roman"/>
                <w:spacing w:val="0"/>
                <w:kern w:val="21"/>
                <w:position w:val="0"/>
                <w:sz w:val="24"/>
                <w:szCs w:val="24"/>
                <w:highlight w:val="none"/>
              </w:rPr>
              <w:t>初期雨水</w:t>
            </w:r>
            <w:r>
              <w:rPr>
                <w:rFonts w:hint="default" w:ascii="Times New Roman" w:hAnsi="Times New Roman" w:eastAsia="宋体" w:cs="Times New Roman"/>
                <w:b w:val="0"/>
                <w:bCs w:val="0"/>
                <w:color w:val="auto"/>
                <w:spacing w:val="0"/>
                <w:kern w:val="0"/>
                <w:sz w:val="24"/>
                <w:szCs w:val="24"/>
                <w:highlight w:val="none"/>
                <w:lang w:val="en-US" w:eastAsia="zh-CN" w:bidi="ar"/>
              </w:rPr>
              <w:t>。</w:t>
            </w: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spacing w:val="0"/>
                <w:kern w:val="0"/>
                <w:sz w:val="24"/>
                <w:szCs w:val="24"/>
                <w:highlight w:val="none"/>
                <w:lang w:val="en-US" w:eastAsia="zh-CN" w:bidi="ar"/>
              </w:rPr>
            </w:pPr>
            <w:r>
              <w:rPr>
                <w:rFonts w:hint="default" w:ascii="Times New Roman" w:hAnsi="Times New Roman" w:eastAsia="宋体" w:cs="Times New Roman"/>
                <w:b w:val="0"/>
                <w:bCs w:val="0"/>
                <w:color w:val="auto"/>
                <w:spacing w:val="0"/>
                <w:kern w:val="0"/>
                <w:sz w:val="24"/>
                <w:szCs w:val="24"/>
                <w:highlight w:val="none"/>
                <w:lang w:val="en-US" w:eastAsia="zh-CN" w:bidi="ar"/>
              </w:rPr>
              <w:t>噪声：</w:t>
            </w:r>
            <w:r>
              <w:rPr>
                <w:rFonts w:hint="eastAsia" w:cs="Times New Roman"/>
                <w:b w:val="0"/>
                <w:bCs w:val="0"/>
                <w:color w:val="auto"/>
                <w:spacing w:val="0"/>
                <w:kern w:val="0"/>
                <w:sz w:val="24"/>
                <w:szCs w:val="24"/>
                <w:highlight w:val="none"/>
                <w:lang w:val="en-US" w:eastAsia="zh-CN" w:bidi="ar"/>
              </w:rPr>
              <w:t>生产设备噪声</w:t>
            </w:r>
            <w:r>
              <w:rPr>
                <w:rFonts w:hint="default" w:ascii="Times New Roman" w:hAnsi="Times New Roman" w:eastAsia="宋体" w:cs="Times New Roman"/>
                <w:b w:val="0"/>
                <w:bCs w:val="0"/>
                <w:color w:val="auto"/>
                <w:spacing w:val="0"/>
                <w:kern w:val="0"/>
                <w:sz w:val="24"/>
                <w:szCs w:val="24"/>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lang w:eastAsia="zh-CN"/>
              </w:rPr>
            </w:pPr>
            <w:r>
              <w:rPr>
                <w:rFonts w:hint="default" w:ascii="Times New Roman" w:hAnsi="Times New Roman" w:eastAsia="宋体" w:cs="Times New Roman"/>
                <w:b w:val="0"/>
                <w:bCs w:val="0"/>
                <w:color w:val="auto"/>
                <w:spacing w:val="0"/>
                <w:kern w:val="0"/>
                <w:sz w:val="24"/>
                <w:szCs w:val="24"/>
                <w:highlight w:val="none"/>
                <w:lang w:val="en-US" w:eastAsia="zh-CN" w:bidi="ar"/>
              </w:rPr>
              <w:t>固废：</w:t>
            </w:r>
            <w:r>
              <w:rPr>
                <w:rFonts w:hint="eastAsia" w:cs="Times New Roman"/>
                <w:b w:val="0"/>
                <w:bCs w:val="0"/>
                <w:color w:val="auto"/>
                <w:spacing w:val="0"/>
                <w:kern w:val="0"/>
                <w:sz w:val="24"/>
                <w:szCs w:val="24"/>
                <w:highlight w:val="none"/>
                <w:lang w:val="en-US" w:eastAsia="zh-CN" w:bidi="ar"/>
              </w:rPr>
              <w:t>35kv预制舱式变电站产生的</w:t>
            </w:r>
            <w:r>
              <w:rPr>
                <w:rFonts w:hint="eastAsia" w:ascii="Times New Roman" w:hAnsi="Times New Roman" w:cs="Times New Roman"/>
                <w:color w:val="auto"/>
                <w:spacing w:val="0"/>
                <w:sz w:val="24"/>
                <w:szCs w:val="24"/>
                <w:highlight w:val="none"/>
                <w:lang w:val="en-US" w:eastAsia="zh-CN"/>
              </w:rPr>
              <w:t>废蓄电池及废变压油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16" w:hRule="atLeast"/>
        </w:trPr>
        <w:tc>
          <w:tcPr>
            <w:tcW w:w="710" w:type="dxa"/>
            <w:noWrap w:val="0"/>
            <w:vAlign w:val="center"/>
          </w:tcPr>
          <w:p>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其他</w:t>
            </w:r>
          </w:p>
        </w:tc>
        <w:tc>
          <w:tcPr>
            <w:tcW w:w="8380" w:type="dxa"/>
            <w:noWrap w:val="0"/>
            <w:vAlign w:val="center"/>
          </w:tcPr>
          <w:p>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无</w:t>
            </w:r>
          </w:p>
        </w:tc>
      </w:tr>
    </w:tbl>
    <w:p>
      <w:pPr>
        <w:pStyle w:val="21"/>
        <w:jc w:val="center"/>
        <w:outlineLvl w:val="0"/>
        <w:rPr>
          <w:rFonts w:ascii="黑体" w:hAnsi="黑体" w:eastAsia="黑体"/>
          <w:snapToGrid w:val="0"/>
          <w:sz w:val="30"/>
          <w:szCs w:val="30"/>
        </w:rPr>
      </w:pPr>
    </w:p>
    <w:p>
      <w:pPr>
        <w:pStyle w:val="21"/>
        <w:jc w:val="center"/>
        <w:outlineLvl w:val="0"/>
        <w:rPr>
          <w:rFonts w:ascii="黑体" w:hAnsi="黑体" w:eastAsia="黑体"/>
          <w:snapToGrid w:val="0"/>
          <w:sz w:val="30"/>
          <w:szCs w:val="30"/>
        </w:rPr>
      </w:pPr>
      <w:r>
        <w:rPr>
          <w:rFonts w:eastAsia="仿宋_GB2312"/>
          <w:b/>
          <w:bCs/>
        </w:rPr>
        <w:br w:type="page"/>
      </w:r>
      <w:r>
        <w:rPr>
          <w:rFonts w:hint="eastAsia" w:ascii="黑体" w:hAnsi="黑体" w:eastAsia="黑体"/>
          <w:snapToGrid w:val="0"/>
          <w:sz w:val="30"/>
          <w:szCs w:val="30"/>
          <w:lang w:eastAsia="zh-CN"/>
        </w:rPr>
        <w:t>三、</w:t>
      </w:r>
      <w:r>
        <w:rPr>
          <w:rFonts w:hint="eastAsia" w:ascii="黑体" w:hAnsi="黑体" w:eastAsia="黑体"/>
          <w:snapToGrid w:val="0"/>
          <w:sz w:val="30"/>
          <w:szCs w:val="30"/>
        </w:rPr>
        <w:t>生态环境现状、保护目标及评价标准</w:t>
      </w:r>
    </w:p>
    <w:tbl>
      <w:tblPr>
        <w:tblStyle w:val="23"/>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91"/>
        <w:gridCol w:w="813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493" w:type="pct"/>
            <w:noWrap w:val="0"/>
            <w:vAlign w:val="center"/>
          </w:tcPr>
          <w:p>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生态环境现状</w:t>
            </w:r>
          </w:p>
        </w:tc>
        <w:tc>
          <w:tcPr>
            <w:tcW w:w="4506" w:type="pct"/>
            <w:noWrap w:val="0"/>
            <w:vAlign w:val="center"/>
          </w:tcPr>
          <w:p>
            <w:pPr>
              <w:numPr>
                <w:ilvl w:val="0"/>
                <w:numId w:val="0"/>
              </w:numPr>
              <w:spacing w:line="360" w:lineRule="auto"/>
              <w:ind w:firstLine="480" w:firstLineChars="200"/>
              <w:rPr>
                <w:rFonts w:hint="eastAsia" w:ascii="Times New Roman" w:hAnsi="Times New Roman" w:cs="Times New Roman"/>
                <w:color w:val="000000" w:themeColor="text1"/>
                <w:sz w:val="24"/>
                <w:szCs w:val="24"/>
                <w:highlight w:val="none"/>
                <w:lang w:eastAsia="zh-CN"/>
                <w14:textFill>
                  <w14:solidFill>
                    <w14:schemeClr w14:val="tx1"/>
                  </w14:solidFill>
                </w14:textFill>
              </w:rPr>
            </w:pPr>
            <w:r>
              <w:rPr>
                <w:rFonts w:hint="eastAsia" w:ascii="Times New Roman" w:hAnsi="Times New Roman" w:cs="Times New Roman"/>
                <w:color w:val="000000" w:themeColor="text1"/>
                <w:sz w:val="24"/>
                <w:szCs w:val="24"/>
                <w:highlight w:val="none"/>
                <w:lang w:eastAsia="zh-CN"/>
                <w14:textFill>
                  <w14:solidFill>
                    <w14:schemeClr w14:val="tx1"/>
                  </w14:solidFill>
                </w14:textFill>
              </w:rPr>
              <w:t>一、生态环境现状</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本项目位于鄂尔多斯市</w:t>
            </w:r>
            <w:r>
              <w:rPr>
                <w:rFonts w:hint="eastAsia" w:cs="Times New Roman"/>
                <w:color w:val="000000" w:themeColor="text1"/>
                <w:sz w:val="24"/>
                <w:szCs w:val="24"/>
                <w:highlight w:val="none"/>
                <w:lang w:val="en-US" w:eastAsia="zh-CN"/>
                <w14:textFill>
                  <w14:solidFill>
                    <w14:schemeClr w14:val="tx1"/>
                  </w14:solidFill>
                </w14:textFill>
              </w:rPr>
              <w:t>杭锦旗独贵塔拉镇</w:t>
            </w:r>
            <w:r>
              <w:rPr>
                <w:rFonts w:ascii="宋体" w:hAnsi="宋体" w:cs="宋体"/>
                <w:sz w:val="24"/>
                <w:szCs w:val="24"/>
                <w:highlight w:val="none"/>
                <w:lang w:val="en-US" w:eastAsia="zh-CN"/>
              </w:rPr>
              <w:t>乌定补拉格村</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w:t>
            </w:r>
            <w:r>
              <w:rPr>
                <w:rFonts w:ascii="宋体" w:hAnsi="宋体" w:cs="宋体"/>
                <w:sz w:val="24"/>
                <w:szCs w:val="24"/>
                <w:highlight w:val="none"/>
                <w:lang w:val="en-US" w:eastAsia="zh-CN"/>
              </w:rPr>
              <w:t>内蒙古自治区</w:t>
            </w:r>
            <w:r>
              <w:rPr>
                <w:rFonts w:hint="eastAsia" w:ascii="宋体" w:hAnsi="宋体" w:cs="宋体"/>
                <w:sz w:val="24"/>
                <w:szCs w:val="24"/>
                <w:highlight w:val="none"/>
                <w:lang w:val="en-US" w:eastAsia="zh-CN"/>
              </w:rPr>
              <w:t>主体功能区规划》，本项</w:t>
            </w:r>
            <w:r>
              <w:rPr>
                <w:rFonts w:hint="eastAsia" w:cs="Times New Roman"/>
                <w:color w:val="000000" w:themeColor="text1"/>
                <w:sz w:val="24"/>
                <w:szCs w:val="24"/>
                <w:highlight w:val="none"/>
                <w:lang w:val="en-US" w:eastAsia="zh-CN"/>
                <w14:textFill>
                  <w14:solidFill>
                    <w14:schemeClr w14:val="tx1"/>
                  </w14:solidFill>
                </w14:textFill>
              </w:rPr>
              <w:t>目位于国家级重点开发区域—呼包鄂地区。根</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据《内蒙古自治区生态功能区划》，</w:t>
            </w:r>
            <w:r>
              <w:rPr>
                <w:rFonts w:hint="eastAsia" w:cs="Times New Roman"/>
                <w:color w:val="000000" w:themeColor="text1"/>
                <w:sz w:val="24"/>
                <w:szCs w:val="24"/>
                <w:highlight w:val="none"/>
                <w:lang w:val="en-US" w:eastAsia="zh-CN"/>
                <w14:textFill>
                  <w14:solidFill>
                    <w14:schemeClr w14:val="tx1"/>
                  </w14:solidFill>
                </w14:textFill>
              </w:rPr>
              <w:t>本项目所在区域生态功能区划属于</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鄂尔多斯高原典型草原沙漠化控制生态功能区。</w:t>
            </w:r>
          </w:p>
          <w:p>
            <w:pPr>
              <w:pStyle w:val="22"/>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本次生态环境</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现状</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调查</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采用现场调查与</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遥感解译</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结合</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的方式，</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遥感影像数据源为2024年3月9日陆地9卫星数据5</w:t>
            </w:r>
            <w:r>
              <w:rPr>
                <w:rFonts w:hint="eastAsia" w:cs="Times New Roman"/>
                <w:color w:val="000000" w:themeColor="text1"/>
                <w:kern w:val="0"/>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4</w:t>
            </w:r>
            <w:r>
              <w:rPr>
                <w:rFonts w:hint="eastAsia" w:cs="Times New Roman"/>
                <w:color w:val="000000" w:themeColor="text1"/>
                <w:kern w:val="0"/>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3波段合成，融合分辨率15米。</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遥感影像图见图3-1。</w:t>
            </w:r>
          </w:p>
          <w:p>
            <w:pPr>
              <w:jc w:val="center"/>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drawing>
                <wp:inline distT="0" distB="0" distL="114300" distR="114300">
                  <wp:extent cx="5097145" cy="4593590"/>
                  <wp:effectExtent l="0" t="0" r="8255" b="8890"/>
                  <wp:docPr id="91" name="图片 91" descr="遥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遥感"/>
                          <pic:cNvPicPr>
                            <a:picLocks noChangeAspect="1"/>
                          </pic:cNvPicPr>
                        </pic:nvPicPr>
                        <pic:blipFill>
                          <a:blip r:embed="rId8"/>
                          <a:stretch>
                            <a:fillRect/>
                          </a:stretch>
                        </pic:blipFill>
                        <pic:spPr>
                          <a:xfrm>
                            <a:off x="0" y="0"/>
                            <a:ext cx="5097145" cy="4593590"/>
                          </a:xfrm>
                          <a:prstGeom prst="rect">
                            <a:avLst/>
                          </a:prstGeom>
                        </pic:spPr>
                      </pic:pic>
                    </a:graphicData>
                  </a:graphic>
                </wp:inline>
              </w:drawing>
            </w:r>
          </w:p>
          <w:p>
            <w:pPr>
              <w:pStyle w:val="22"/>
              <w:keepNext w:val="0"/>
              <w:keepLines w:val="0"/>
              <w:pageBreakBefore w:val="0"/>
              <w:widowControl/>
              <w:kinsoku/>
              <w:wordWrap/>
              <w:overflowPunct/>
              <w:topLinePunct w:val="0"/>
              <w:autoSpaceDE/>
              <w:autoSpaceDN/>
              <w:bidi w:val="0"/>
              <w:adjustRightInd/>
              <w:snapToGrid w:val="0"/>
              <w:spacing w:before="0" w:after="0" w:line="260" w:lineRule="auto"/>
              <w:ind w:right="0" w:firstLine="0" w:firstLineChars="0"/>
              <w:jc w:val="center"/>
              <w:textAlignment w:val="auto"/>
              <w:rPr>
                <w:rFonts w:hint="eastAsia"/>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图3</w:t>
            </w:r>
            <w:r>
              <w:rPr>
                <w:rFonts w:hint="eastAsia" w:cs="Times New Roman"/>
                <w:color w:val="000000" w:themeColor="text1"/>
                <w:kern w:val="0"/>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1 本项目遥感影像图</w:t>
            </w:r>
          </w:p>
          <w:p>
            <w:pPr>
              <w:numPr>
                <w:ilvl w:val="0"/>
                <w:numId w:val="8"/>
              </w:numPr>
              <w:adjustRightInd w:val="0"/>
              <w:snapToGrid w:val="0"/>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14:textFill>
                  <w14:solidFill>
                    <w14:schemeClr w14:val="tx1"/>
                  </w14:solidFill>
                </w14:textFill>
              </w:rPr>
              <w:t>土地利用现状</w:t>
            </w:r>
          </w:p>
          <w:p>
            <w:pPr>
              <w:pStyle w:val="2"/>
              <w:spacing w:before="0" w:after="0" w:line="360" w:lineRule="auto"/>
              <w:ind w:right="0" w:firstLine="480" w:firstLineChars="200"/>
              <w:rPr>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lang w:val="en-US" w:eastAsia="zh-CN"/>
                <w14:textFill>
                  <w14:solidFill>
                    <w14:schemeClr w14:val="tx1"/>
                  </w14:solidFill>
                </w14:textFill>
              </w:rPr>
              <w:t>参照国土部门GB/T21010</w:t>
            </w:r>
            <w:r>
              <w:rPr>
                <w:rFonts w:hint="eastAsia"/>
                <w:color w:val="000000" w:themeColor="text1"/>
                <w:sz w:val="24"/>
                <w:szCs w:val="24"/>
                <w:highlight w:val="none"/>
                <w:lang w:val="en-US" w:eastAsia="zh-CN"/>
                <w14:textFill>
                  <w14:solidFill>
                    <w14:schemeClr w14:val="tx1"/>
                  </w14:solidFill>
                </w14:textFill>
              </w:rPr>
              <w:t>-</w:t>
            </w:r>
            <w:r>
              <w:rPr>
                <w:rFonts w:hint="default"/>
                <w:color w:val="000000" w:themeColor="text1"/>
                <w:sz w:val="24"/>
                <w:szCs w:val="24"/>
                <w:highlight w:val="none"/>
                <w:lang w:val="en-US" w:eastAsia="zh-CN"/>
                <w14:textFill>
                  <w14:solidFill>
                    <w14:schemeClr w14:val="tx1"/>
                  </w14:solidFill>
                </w14:textFill>
              </w:rPr>
              <w:t>2017土地利用分类</w:t>
            </w:r>
            <w:r>
              <w:rPr>
                <w:rFonts w:hint="eastAsia"/>
                <w:color w:val="000000" w:themeColor="text1"/>
                <w:sz w:val="24"/>
                <w:szCs w:val="24"/>
                <w:highlight w:val="none"/>
                <w:lang w:val="en-US" w:eastAsia="zh-CN"/>
                <w14:textFill>
                  <w14:solidFill>
                    <w14:schemeClr w14:val="tx1"/>
                  </w14:solidFill>
                </w14:textFill>
              </w:rPr>
              <w:t>，</w:t>
            </w:r>
            <w:r>
              <w:rPr>
                <w:rFonts w:hint="default"/>
                <w:color w:val="000000" w:themeColor="text1"/>
                <w:sz w:val="24"/>
                <w:szCs w:val="24"/>
                <w:highlight w:val="none"/>
                <w:lang w:val="en-US" w:eastAsia="zh-CN"/>
                <w14:textFill>
                  <w14:solidFill>
                    <w14:schemeClr w14:val="tx1"/>
                  </w14:solidFill>
                </w14:textFill>
              </w:rPr>
              <w:t>通过遥感解译对本项目区内的土地利用类型现状分析，</w:t>
            </w:r>
            <w:r>
              <w:rPr>
                <w:color w:val="000000" w:themeColor="text1"/>
                <w:sz w:val="24"/>
                <w:szCs w:val="24"/>
                <w:highlight w:val="none"/>
                <w:lang w:val="en-US" w:eastAsia="zh-CN"/>
                <w14:textFill>
                  <w14:solidFill>
                    <w14:schemeClr w14:val="tx1"/>
                  </w14:solidFill>
                </w14:textFill>
              </w:rPr>
              <w:t>土地利用现状结果统计见表3</w:t>
            </w:r>
            <w:r>
              <w:rPr>
                <w:rFonts w:hint="eastAsia"/>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14:textFill>
                  <w14:solidFill>
                    <w14:schemeClr w14:val="tx1"/>
                  </w14:solidFill>
                </w14:textFill>
              </w:rPr>
              <w:t>和</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eastAsia"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lang w:val="en-US" w:eastAsia="zh-CN"/>
                <w14:textFill>
                  <w14:solidFill>
                    <w14:schemeClr w14:val="tx1"/>
                  </w14:solidFill>
                </w14:textFill>
              </w:rPr>
              <w:t>，项目区及评价区土地利用情况见图3</w:t>
            </w: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lang w:val="en-US" w:eastAsia="zh-CN"/>
                <w14:textFill>
                  <w14:solidFill>
                    <w14:schemeClr w14:val="tx1"/>
                  </w14:solidFill>
                </w14:textFill>
              </w:rPr>
              <w:t>。</w:t>
            </w:r>
          </w:p>
          <w:p>
            <w:pPr>
              <w:pStyle w:val="2"/>
              <w:spacing w:before="0" w:after="0" w:line="240" w:lineRule="auto"/>
              <w:ind w:right="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表3</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1评价区土地利用现状统计结果</w:t>
            </w:r>
          </w:p>
          <w:tbl>
            <w:tblPr>
              <w:tblStyle w:val="23"/>
              <w:tblW w:w="7843"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5"/>
              <w:gridCol w:w="1731"/>
              <w:gridCol w:w="1627"/>
              <w:gridCol w:w="1346"/>
              <w:gridCol w:w="1707"/>
              <w:gridCol w:w="14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trPr>
              <w:tc>
                <w:tcPr>
                  <w:tcW w:w="1736"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一级类型</w:t>
                  </w:r>
                </w:p>
              </w:tc>
              <w:tc>
                <w:tcPr>
                  <w:tcW w:w="16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二级类型</w:t>
                  </w:r>
                </w:p>
              </w:tc>
              <w:tc>
                <w:tcPr>
                  <w:tcW w:w="134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斑块数</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个）</w:t>
                  </w:r>
                </w:p>
              </w:tc>
              <w:tc>
                <w:tcPr>
                  <w:tcW w:w="170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面积</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平方米）</w:t>
                  </w:r>
                </w:p>
              </w:tc>
              <w:tc>
                <w:tcPr>
                  <w:tcW w:w="1427" w:type="dxa"/>
                  <w:tcBorders>
                    <w:tl2br w:val="nil"/>
                    <w:tr2bl w:val="nil"/>
                  </w:tcBorders>
                  <w:shd w:val="clear" w:color="auto" w:fill="auto"/>
                  <w:noWrap/>
                  <w:vAlign w:val="center"/>
                </w:tcPr>
                <w:p>
                  <w:pPr>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占评价区面积的%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1736" w:type="dxa"/>
                  <w:gridSpan w:val="2"/>
                  <w:vMerge w:val="restart"/>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林地</w:t>
                  </w:r>
                </w:p>
              </w:tc>
              <w:tc>
                <w:tcPr>
                  <w:tcW w:w="16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乔木林地</w:t>
                  </w:r>
                </w:p>
              </w:tc>
              <w:tc>
                <w:tcPr>
                  <w:tcW w:w="134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34</w:t>
                  </w:r>
                </w:p>
              </w:tc>
              <w:tc>
                <w:tcPr>
                  <w:tcW w:w="170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111103.9837</w:t>
                  </w:r>
                </w:p>
              </w:tc>
              <w:tc>
                <w:tcPr>
                  <w:tcW w:w="14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w:t>
                  </w:r>
                  <w:r>
                    <w:rPr>
                      <w:rFonts w:hint="eastAsia" w:ascii="Times New Roman" w:hAnsi="Times New Roman" w:eastAsia="宋体" w:cs="Times New Roman"/>
                      <w:i w:val="0"/>
                      <w:iCs w:val="0"/>
                      <w:color w:val="000000"/>
                      <w:kern w:val="0"/>
                      <w:sz w:val="21"/>
                      <w:szCs w:val="21"/>
                      <w:highlight w:val="none"/>
                      <w:u w:val="none"/>
                      <w:lang w:val="en-US" w:eastAsia="zh-CN" w:bidi="ar"/>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736" w:type="dxa"/>
                  <w:gridSpan w:val="2"/>
                  <w:vMerge w:val="continue"/>
                  <w:tcBorders>
                    <w:tl2br w:val="nil"/>
                    <w:tr2bl w:val="nil"/>
                  </w:tcBorders>
                  <w:shd w:val="clear" w:color="auto" w:fill="auto"/>
                  <w:noWrap/>
                  <w:vAlign w:val="center"/>
                </w:tcPr>
                <w:p>
                  <w:pPr>
                    <w:jc w:val="center"/>
                    <w:rPr>
                      <w:rFonts w:hint="default" w:ascii="Times New Roman" w:hAnsi="Times New Roman" w:eastAsia="宋体" w:cs="Times New Roman"/>
                      <w:i w:val="0"/>
                      <w:iCs w:val="0"/>
                      <w:color w:val="000000"/>
                      <w:sz w:val="21"/>
                      <w:szCs w:val="21"/>
                      <w:highlight w:val="none"/>
                      <w:u w:val="none"/>
                    </w:rPr>
                  </w:pPr>
                </w:p>
              </w:tc>
              <w:tc>
                <w:tcPr>
                  <w:tcW w:w="16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灌木林地</w:t>
                  </w:r>
                </w:p>
              </w:tc>
              <w:tc>
                <w:tcPr>
                  <w:tcW w:w="134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170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125487.7827</w:t>
                  </w:r>
                </w:p>
              </w:tc>
              <w:tc>
                <w:tcPr>
                  <w:tcW w:w="14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r>
                    <w:rPr>
                      <w:rFonts w:hint="eastAsia" w:ascii="Times New Roman" w:hAnsi="Times New Roman" w:eastAsia="宋体" w:cs="Times New Roman"/>
                      <w:i w:val="0"/>
                      <w:iCs w:val="0"/>
                      <w:color w:val="000000"/>
                      <w:kern w:val="0"/>
                      <w:sz w:val="21"/>
                      <w:szCs w:val="21"/>
                      <w:highlight w:val="none"/>
                      <w:u w:val="none"/>
                      <w:lang w:val="en-US" w:eastAsia="zh-CN"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1736"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草地</w:t>
                  </w:r>
                </w:p>
              </w:tc>
              <w:tc>
                <w:tcPr>
                  <w:tcW w:w="16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天然草地</w:t>
                  </w:r>
                </w:p>
              </w:tc>
              <w:tc>
                <w:tcPr>
                  <w:tcW w:w="134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24</w:t>
                  </w:r>
                </w:p>
              </w:tc>
              <w:tc>
                <w:tcPr>
                  <w:tcW w:w="170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6944612.7</w:t>
                  </w:r>
                </w:p>
              </w:tc>
              <w:tc>
                <w:tcPr>
                  <w:tcW w:w="14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86.08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1736"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耕地</w:t>
                  </w:r>
                </w:p>
              </w:tc>
              <w:tc>
                <w:tcPr>
                  <w:tcW w:w="16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旱地</w:t>
                  </w:r>
                </w:p>
              </w:tc>
              <w:tc>
                <w:tcPr>
                  <w:tcW w:w="134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w:t>
                  </w:r>
                </w:p>
              </w:tc>
              <w:tc>
                <w:tcPr>
                  <w:tcW w:w="170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352418.1492</w:t>
                  </w:r>
                </w:p>
              </w:tc>
              <w:tc>
                <w:tcPr>
                  <w:tcW w:w="14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4.3</w:t>
                  </w:r>
                  <w:r>
                    <w:rPr>
                      <w:rFonts w:hint="eastAsia" w:ascii="Times New Roman" w:hAnsi="Times New Roman" w:eastAsia="宋体" w:cs="Times New Roman"/>
                      <w:i w:val="0"/>
                      <w:iCs w:val="0"/>
                      <w:color w:val="000000"/>
                      <w:kern w:val="0"/>
                      <w:sz w:val="21"/>
                      <w:szCs w:val="21"/>
                      <w:highlight w:val="none"/>
                      <w:u w:val="none"/>
                      <w:lang w:val="en-US" w:eastAsia="zh-CN" w:bidi="ar"/>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1736" w:type="dxa"/>
                  <w:gridSpan w:val="2"/>
                  <w:vMerge w:val="restart"/>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水域或水利设施</w:t>
                  </w:r>
                </w:p>
              </w:tc>
              <w:tc>
                <w:tcPr>
                  <w:tcW w:w="16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库塘水面</w:t>
                  </w:r>
                </w:p>
              </w:tc>
              <w:tc>
                <w:tcPr>
                  <w:tcW w:w="134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70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4271.027442</w:t>
                  </w:r>
                </w:p>
              </w:tc>
              <w:tc>
                <w:tcPr>
                  <w:tcW w:w="14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1736" w:type="dxa"/>
                  <w:gridSpan w:val="2"/>
                  <w:vMerge w:val="continue"/>
                  <w:tcBorders>
                    <w:tl2br w:val="nil"/>
                    <w:tr2bl w:val="nil"/>
                  </w:tcBorders>
                  <w:shd w:val="clear" w:color="auto" w:fill="auto"/>
                  <w:noWrap/>
                  <w:vAlign w:val="center"/>
                </w:tcPr>
                <w:p>
                  <w:pPr>
                    <w:jc w:val="center"/>
                    <w:rPr>
                      <w:rFonts w:hint="default" w:ascii="Times New Roman" w:hAnsi="Times New Roman" w:eastAsia="宋体" w:cs="Times New Roman"/>
                      <w:i w:val="0"/>
                      <w:iCs w:val="0"/>
                      <w:color w:val="000000"/>
                      <w:sz w:val="21"/>
                      <w:szCs w:val="21"/>
                      <w:highlight w:val="none"/>
                      <w:u w:val="none"/>
                    </w:rPr>
                  </w:pPr>
                </w:p>
              </w:tc>
              <w:tc>
                <w:tcPr>
                  <w:tcW w:w="16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滩地</w:t>
                  </w:r>
                </w:p>
              </w:tc>
              <w:tc>
                <w:tcPr>
                  <w:tcW w:w="134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w:t>
                  </w:r>
                </w:p>
              </w:tc>
              <w:tc>
                <w:tcPr>
                  <w:tcW w:w="170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489021.8316</w:t>
                  </w:r>
                </w:p>
              </w:tc>
              <w:tc>
                <w:tcPr>
                  <w:tcW w:w="14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1736"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居住地</w:t>
                  </w:r>
                </w:p>
              </w:tc>
              <w:tc>
                <w:tcPr>
                  <w:tcW w:w="16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农村宅基地</w:t>
                  </w:r>
                </w:p>
              </w:tc>
              <w:tc>
                <w:tcPr>
                  <w:tcW w:w="134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18</w:t>
                  </w:r>
                </w:p>
              </w:tc>
              <w:tc>
                <w:tcPr>
                  <w:tcW w:w="170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18149.34547</w:t>
                  </w:r>
                </w:p>
              </w:tc>
              <w:tc>
                <w:tcPr>
                  <w:tcW w:w="14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1736"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交通建设用地</w:t>
                  </w:r>
                </w:p>
              </w:tc>
              <w:tc>
                <w:tcPr>
                  <w:tcW w:w="16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乡镇村道路</w:t>
                  </w:r>
                </w:p>
              </w:tc>
              <w:tc>
                <w:tcPr>
                  <w:tcW w:w="134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70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22540.65178</w:t>
                  </w:r>
                </w:p>
              </w:tc>
              <w:tc>
                <w:tcPr>
                  <w:tcW w:w="14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0.2</w:t>
                  </w:r>
                  <w:r>
                    <w:rPr>
                      <w:rFonts w:hint="eastAsia" w:ascii="Times New Roman" w:hAnsi="Times New Roman" w:eastAsia="宋体" w:cs="Times New Roman"/>
                      <w:i w:val="0"/>
                      <w:iCs w:val="0"/>
                      <w:color w:val="000000"/>
                      <w:kern w:val="0"/>
                      <w:sz w:val="21"/>
                      <w:szCs w:val="21"/>
                      <w:highlight w:val="none"/>
                      <w:u w:val="none"/>
                      <w:lang w:val="en-US" w:eastAsia="zh-CN" w:bidi="ar"/>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5" w:type="dxa"/>
                <w:trHeight w:val="288" w:hRule="atLeast"/>
              </w:trPr>
              <w:tc>
                <w:tcPr>
                  <w:tcW w:w="3358" w:type="dxa"/>
                  <w:gridSpan w:val="2"/>
                  <w:tcBorders>
                    <w:tl2br w:val="nil"/>
                    <w:tr2bl w:val="nil"/>
                  </w:tcBorders>
                  <w:shd w:val="clear" w:color="auto" w:fill="auto"/>
                  <w:noWrap/>
                  <w:vAlign w:val="center"/>
                </w:tcPr>
                <w:p>
                  <w:pPr>
                    <w:jc w:val="center"/>
                    <w:rPr>
                      <w:rFonts w:hint="default" w:ascii="Times New Roman" w:hAnsi="Times New Roman" w:eastAsia="宋体" w:cs="Times New Roman"/>
                      <w:i w:val="0"/>
                      <w:iCs w:val="0"/>
                      <w:color w:val="000000"/>
                      <w:sz w:val="21"/>
                      <w:szCs w:val="21"/>
                      <w:highlight w:val="none"/>
                      <w:u w:val="none"/>
                      <w:lang w:val="en-US" w:eastAsia="zh-CN"/>
                    </w:rPr>
                  </w:pPr>
                  <w:r>
                    <w:rPr>
                      <w:rFonts w:hint="default" w:ascii="Times New Roman" w:hAnsi="Times New Roman" w:eastAsia="宋体" w:cs="Times New Roman"/>
                      <w:i w:val="0"/>
                      <w:iCs w:val="0"/>
                      <w:color w:val="000000"/>
                      <w:sz w:val="21"/>
                      <w:szCs w:val="21"/>
                      <w:highlight w:val="none"/>
                      <w:u w:val="none"/>
                      <w:lang w:val="en-US" w:eastAsia="zh-CN"/>
                    </w:rPr>
                    <w:t>合计</w:t>
                  </w:r>
                </w:p>
              </w:tc>
              <w:tc>
                <w:tcPr>
                  <w:tcW w:w="1346"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103</w:t>
                  </w:r>
                </w:p>
              </w:tc>
              <w:tc>
                <w:tcPr>
                  <w:tcW w:w="170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8067605.472</w:t>
                  </w:r>
                </w:p>
              </w:tc>
              <w:tc>
                <w:tcPr>
                  <w:tcW w:w="142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100</w:t>
                  </w:r>
                </w:p>
              </w:tc>
            </w:tr>
          </w:tbl>
          <w:p>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表3</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2项目</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区土地利用现状统计结果</w:t>
            </w:r>
          </w:p>
          <w:tbl>
            <w:tblPr>
              <w:tblStyle w:val="23"/>
              <w:tblW w:w="7877"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5"/>
              <w:gridCol w:w="1704"/>
              <w:gridCol w:w="1667"/>
              <w:gridCol w:w="1347"/>
              <w:gridCol w:w="1680"/>
              <w:gridCol w:w="1470"/>
              <w:gridCol w:w="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gridAfter w:val="1"/>
                <w:wAfter w:w="4" w:type="dxa"/>
                <w:trHeight w:val="288" w:hRule="atLeast"/>
              </w:trPr>
              <w:tc>
                <w:tcPr>
                  <w:tcW w:w="1709"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一级类型</w:t>
                  </w:r>
                </w:p>
              </w:tc>
              <w:tc>
                <w:tcPr>
                  <w:tcW w:w="166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二级类型</w:t>
                  </w:r>
                </w:p>
              </w:tc>
              <w:tc>
                <w:tcPr>
                  <w:tcW w:w="134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斑块数</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个）</w:t>
                  </w:r>
                </w:p>
              </w:tc>
              <w:tc>
                <w:tcPr>
                  <w:tcW w:w="1680"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面积</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平米）</w:t>
                  </w:r>
                </w:p>
              </w:tc>
              <w:tc>
                <w:tcPr>
                  <w:tcW w:w="1470" w:type="dxa"/>
                  <w:tcBorders>
                    <w:tl2br w:val="nil"/>
                    <w:tr2bl w:val="nil"/>
                  </w:tcBorders>
                  <w:shd w:val="clear" w:color="auto" w:fill="auto"/>
                  <w:noWrap/>
                  <w:vAlign w:val="center"/>
                </w:tcPr>
                <w:p>
                  <w:pPr>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占项目区面积的%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 w:type="dxa"/>
                <w:trHeight w:val="288" w:hRule="atLeast"/>
              </w:trPr>
              <w:tc>
                <w:tcPr>
                  <w:tcW w:w="1709"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草地</w:t>
                  </w:r>
                </w:p>
              </w:tc>
              <w:tc>
                <w:tcPr>
                  <w:tcW w:w="166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天然草地</w:t>
                  </w:r>
                </w:p>
              </w:tc>
              <w:tc>
                <w:tcPr>
                  <w:tcW w:w="134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1680"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73324.93458</w:t>
                  </w:r>
                </w:p>
              </w:tc>
              <w:tc>
                <w:tcPr>
                  <w:tcW w:w="1470"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 w:type="dxa"/>
                <w:trHeight w:val="288" w:hRule="atLeast"/>
              </w:trPr>
              <w:tc>
                <w:tcPr>
                  <w:tcW w:w="1709" w:type="dxa"/>
                  <w:gridSpan w:val="2"/>
                  <w:tcBorders>
                    <w:tl2br w:val="nil"/>
                    <w:tr2bl w:val="nil"/>
                  </w:tcBorders>
                  <w:shd w:val="clear" w:color="auto" w:fill="auto"/>
                  <w:noWrap/>
                  <w:vAlign w:val="center"/>
                </w:tcPr>
                <w:p>
                  <w:pPr>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水域或水利设施</w:t>
                  </w:r>
                </w:p>
              </w:tc>
              <w:tc>
                <w:tcPr>
                  <w:tcW w:w="166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滩地</w:t>
                  </w:r>
                </w:p>
              </w:tc>
              <w:tc>
                <w:tcPr>
                  <w:tcW w:w="134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680"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429.1827812</w:t>
                  </w:r>
                </w:p>
              </w:tc>
              <w:tc>
                <w:tcPr>
                  <w:tcW w:w="1470"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 w:type="dxa"/>
                <w:trHeight w:val="288" w:hRule="atLeast"/>
              </w:trPr>
              <w:tc>
                <w:tcPr>
                  <w:tcW w:w="1709"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交通建设用地</w:t>
                  </w:r>
                </w:p>
              </w:tc>
              <w:tc>
                <w:tcPr>
                  <w:tcW w:w="166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乡镇村道路</w:t>
                  </w:r>
                </w:p>
              </w:tc>
              <w:tc>
                <w:tcPr>
                  <w:tcW w:w="134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680"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5631.882634</w:t>
                  </w:r>
                </w:p>
              </w:tc>
              <w:tc>
                <w:tcPr>
                  <w:tcW w:w="1470"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7.</w:t>
                  </w:r>
                  <w:r>
                    <w:rPr>
                      <w:rFonts w:hint="eastAsia" w:ascii="Times New Roman" w:hAnsi="Times New Roman" w:eastAsia="宋体" w:cs="Times New Roman"/>
                      <w:i w:val="0"/>
                      <w:iCs w:val="0"/>
                      <w:color w:val="000000"/>
                      <w:kern w:val="0"/>
                      <w:sz w:val="21"/>
                      <w:szCs w:val="21"/>
                      <w:highlight w:val="none"/>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5" w:type="dxa"/>
                <w:trHeight w:val="288" w:hRule="atLeast"/>
              </w:trPr>
              <w:tc>
                <w:tcPr>
                  <w:tcW w:w="3371" w:type="dxa"/>
                  <w:gridSpan w:val="2"/>
                  <w:tcBorders>
                    <w:tl2br w:val="nil"/>
                    <w:tr2bl w:val="nil"/>
                  </w:tcBorders>
                  <w:shd w:val="clear" w:color="auto" w:fill="auto"/>
                  <w:noWrap/>
                  <w:vAlign w:val="center"/>
                </w:tcPr>
                <w:p>
                  <w:pPr>
                    <w:jc w:val="center"/>
                    <w:rPr>
                      <w:rFonts w:hint="default" w:ascii="Times New Roman" w:hAnsi="Times New Roman" w:eastAsia="宋体" w:cs="Times New Roman"/>
                      <w:i w:val="0"/>
                      <w:iCs w:val="0"/>
                      <w:color w:val="000000"/>
                      <w:sz w:val="21"/>
                      <w:szCs w:val="21"/>
                      <w:highlight w:val="none"/>
                      <w:u w:val="none"/>
                      <w:lang w:val="en-US" w:eastAsia="zh-CN"/>
                    </w:rPr>
                  </w:pPr>
                  <w:r>
                    <w:rPr>
                      <w:rFonts w:hint="default" w:ascii="Times New Roman" w:hAnsi="Times New Roman" w:eastAsia="宋体" w:cs="Times New Roman"/>
                      <w:i w:val="0"/>
                      <w:iCs w:val="0"/>
                      <w:color w:val="000000"/>
                      <w:sz w:val="21"/>
                      <w:szCs w:val="21"/>
                      <w:highlight w:val="none"/>
                      <w:u w:val="none"/>
                      <w:lang w:val="en-US" w:eastAsia="zh-CN"/>
                    </w:rPr>
                    <w:t>合计</w:t>
                  </w:r>
                </w:p>
              </w:tc>
              <w:tc>
                <w:tcPr>
                  <w:tcW w:w="1347"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1680"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793</w:t>
                  </w:r>
                  <w:r>
                    <w:rPr>
                      <w:rFonts w:hint="eastAsia" w:cs="Times New Roman"/>
                      <w:i w:val="0"/>
                      <w:iCs w:val="0"/>
                      <w:color w:val="000000"/>
                      <w:kern w:val="0"/>
                      <w:sz w:val="21"/>
                      <w:szCs w:val="21"/>
                      <w:highlight w:val="none"/>
                      <w:u w:val="none"/>
                      <w:lang w:val="en-US" w:eastAsia="zh-CN" w:bidi="ar"/>
                    </w:rPr>
                    <w:t>86</w:t>
                  </w:r>
                </w:p>
              </w:tc>
              <w:tc>
                <w:tcPr>
                  <w:tcW w:w="1474"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100</w:t>
                  </w:r>
                </w:p>
              </w:tc>
            </w:tr>
          </w:tbl>
          <w:p>
            <w:pPr>
              <w:pStyle w:val="2"/>
              <w:keepNext w:val="0"/>
              <w:keepLines w:val="0"/>
              <w:pageBreakBefore w:val="0"/>
              <w:kinsoku/>
              <w:wordWrap/>
              <w:overflowPunct/>
              <w:topLinePunct w:val="0"/>
              <w:autoSpaceDE/>
              <w:autoSpaceDN/>
              <w:bidi w:val="0"/>
              <w:snapToGrid w:val="0"/>
              <w:spacing w:before="0" w:after="0" w:line="360" w:lineRule="auto"/>
              <w:ind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由土地利用现状统计结果可知，</w:t>
            </w:r>
            <w:r>
              <w:rPr>
                <w:color w:val="000000" w:themeColor="text1"/>
                <w:sz w:val="24"/>
                <w:szCs w:val="24"/>
                <w:highlight w:val="none"/>
                <w:lang w:val="en-US" w:eastAsia="zh-CN"/>
                <w14:textFill>
                  <w14:solidFill>
                    <w14:schemeClr w14:val="tx1"/>
                  </w14:solidFill>
                </w14:textFill>
              </w:rPr>
              <w:t>项目区</w:t>
            </w:r>
            <w:r>
              <w:rPr>
                <w:rFonts w:hint="eastAsia"/>
                <w:color w:val="000000" w:themeColor="text1"/>
                <w:sz w:val="24"/>
                <w:szCs w:val="24"/>
                <w:highlight w:val="none"/>
                <w:lang w:val="en-US" w:eastAsia="zh-CN"/>
                <w14:textFill>
                  <w14:solidFill>
                    <w14:schemeClr w14:val="tx1"/>
                  </w14:solidFill>
                </w14:textFill>
              </w:rPr>
              <w:t>土地利用类型主要为天然草地、滩地、乡镇村道路</w:t>
            </w:r>
            <w:r>
              <w:rPr>
                <w:rFonts w:hint="eastAsia"/>
                <w:color w:val="000000" w:themeColor="text1"/>
                <w:sz w:val="24"/>
                <w:szCs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评价区土地利用类型以天然草地为主，面积为6944612.7m</w:t>
            </w:r>
            <w:r>
              <w:rPr>
                <w:rFonts w:ascii="Times New Roman" w:hAnsi="Times New Roman" w:eastAsia="宋体" w:cs="Times New Roman"/>
                <w:color w:val="000000" w:themeColor="text1"/>
                <w:kern w:val="0"/>
                <w:sz w:val="24"/>
                <w:szCs w:val="24"/>
                <w:highlight w:val="none"/>
                <w:vertAlign w:val="superscript"/>
                <w:lang w:val="en-US" w:eastAsia="zh-CN" w:bidi="ar-SA"/>
                <w14:textFill>
                  <w14:solidFill>
                    <w14:schemeClr w14:val="tx1"/>
                  </w14:solidFill>
                </w14:textFill>
              </w:rPr>
              <w:t>2</w:t>
            </w:r>
            <w:r>
              <w:rPr>
                <w:rFonts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，占评价区面积的86.08%，其次是乔木林地、灌木林地、旱地、库塘水面、滩地、农村宅基地、乡镇村道路，分别占评价区面积的</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.38%</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1.56%</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4.37%</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0.05%</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6.06%</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、0.22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w:t>
            </w:r>
            <w:r>
              <w:rPr>
                <w:rFonts w:hint="eastAsia" w:cs="Times New Roman"/>
                <w:color w:val="000000" w:themeColor="text1"/>
                <w:sz w:val="24"/>
                <w:szCs w:val="24"/>
                <w:highlight w:val="none"/>
                <w:lang w:val="en-US" w:eastAsia="zh-CN"/>
                <w14:textFill>
                  <w14:solidFill>
                    <w14:schemeClr w14:val="tx1"/>
                  </w14:solidFill>
                </w14:textFill>
              </w:rPr>
              <w:t>28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pPr>
              <w:jc w:val="center"/>
              <w:rPr>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lang w:val="en-US" w:eastAsia="zh-CN"/>
                <w14:textFill>
                  <w14:solidFill>
                    <w14:schemeClr w14:val="tx1"/>
                  </w14:solidFill>
                </w14:textFill>
              </w:rPr>
              <w:drawing>
                <wp:inline distT="0" distB="0" distL="114300" distR="114300">
                  <wp:extent cx="5097145" cy="3256280"/>
                  <wp:effectExtent l="0" t="0" r="8255" b="5080"/>
                  <wp:docPr id="134" name="图片 134" descr="土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土地2"/>
                          <pic:cNvPicPr>
                            <a:picLocks noChangeAspect="1"/>
                          </pic:cNvPicPr>
                        </pic:nvPicPr>
                        <pic:blipFill>
                          <a:blip r:embed="rId9"/>
                          <a:stretch>
                            <a:fillRect/>
                          </a:stretch>
                        </pic:blipFill>
                        <pic:spPr>
                          <a:xfrm>
                            <a:off x="0" y="0"/>
                            <a:ext cx="5097145" cy="32562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color w:val="000000" w:themeColor="text1"/>
                <w:sz w:val="24"/>
                <w:szCs w:val="24"/>
                <w:highlight w:val="none"/>
                <w:lang w:val="en-US" w:eastAsia="zh-CN"/>
                <w14:textFill>
                  <w14:solidFill>
                    <w14:schemeClr w14:val="tx1"/>
                  </w14:solidFill>
                </w14:textFill>
              </w:rPr>
            </w:pPr>
            <w:r>
              <w:rPr>
                <w:color w:val="000000" w:themeColor="text1"/>
                <w:sz w:val="21"/>
                <w:szCs w:val="21"/>
                <w:highlight w:val="none"/>
                <w:lang w:val="en-US" w:eastAsia="zh-CN"/>
                <w14:textFill>
                  <w14:solidFill>
                    <w14:schemeClr w14:val="tx1"/>
                  </w14:solidFill>
                </w14:textFill>
              </w:rPr>
              <w:t>图3</w:t>
            </w:r>
            <w:r>
              <w:rPr>
                <w:rFonts w:hint="eastAsia"/>
                <w:color w:val="000000" w:themeColor="text1"/>
                <w:sz w:val="21"/>
                <w:szCs w:val="21"/>
                <w:highlight w:val="none"/>
                <w:lang w:val="en-US" w:eastAsia="zh-CN"/>
                <w14:textFill>
                  <w14:solidFill>
                    <w14:schemeClr w14:val="tx1"/>
                  </w14:solidFill>
                </w14:textFill>
              </w:rPr>
              <w:t>-2</w:t>
            </w:r>
            <w:r>
              <w:rPr>
                <w:color w:val="000000" w:themeColor="text1"/>
                <w:sz w:val="21"/>
                <w:szCs w:val="21"/>
                <w:highlight w:val="none"/>
                <w:lang w:val="en-US" w:eastAsia="zh-CN"/>
                <w14:textFill>
                  <w14:solidFill>
                    <w14:schemeClr w14:val="tx1"/>
                  </w14:solidFill>
                </w14:textFill>
              </w:rPr>
              <w:t>项目区及评价区土地利用情况</w:t>
            </w:r>
          </w:p>
          <w:p>
            <w:pPr>
              <w:numPr>
                <w:ilvl w:val="0"/>
                <w:numId w:val="0"/>
              </w:numPr>
              <w:adjustRightInd w:val="0"/>
              <w:snapToGrid w:val="0"/>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2</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植被分布</w:t>
            </w:r>
          </w:p>
          <w:p>
            <w:pPr>
              <w:pStyle w:val="2"/>
              <w:spacing w:before="0" w:after="0" w:line="360" w:lineRule="auto"/>
              <w:ind w:right="0" w:firstLine="480" w:firstLineChars="200"/>
              <w:rPr>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结合实际调查和遥感，利用gis系统进行制图</w:t>
            </w:r>
            <w:r>
              <w:rPr>
                <w:rFonts w:hint="eastAsia"/>
                <w:color w:val="000000" w:themeColor="text1"/>
                <w:sz w:val="24"/>
                <w:szCs w:val="24"/>
                <w:highlight w:val="none"/>
                <w:lang w:val="en-US" w:eastAsia="zh-CN"/>
                <w14:textFill>
                  <w14:solidFill>
                    <w14:schemeClr w14:val="tx1"/>
                  </w14:solidFill>
                </w14:textFill>
              </w:rPr>
              <w:t>，</w:t>
            </w:r>
            <w:r>
              <w:rPr>
                <w:color w:val="000000" w:themeColor="text1"/>
                <w:sz w:val="24"/>
                <w:szCs w:val="24"/>
                <w:highlight w:val="none"/>
                <w:lang w:val="en-US" w:eastAsia="zh-CN"/>
                <w14:textFill>
                  <w14:solidFill>
                    <w14:schemeClr w14:val="tx1"/>
                  </w14:solidFill>
                </w14:textFill>
              </w:rPr>
              <w:t>遥感解译结果对项目区及评价区内植被类型特征进行统计。</w:t>
            </w:r>
            <w:r>
              <w:rPr>
                <w:rFonts w:hint="eastAsia"/>
                <w:color w:val="000000" w:themeColor="text1"/>
                <w:sz w:val="24"/>
                <w:szCs w:val="24"/>
                <w:highlight w:val="none"/>
                <w:lang w:val="en-US" w:eastAsia="zh-CN"/>
                <w14:textFill>
                  <w14:solidFill>
                    <w14:schemeClr w14:val="tx1"/>
                  </w14:solidFill>
                </w14:textFill>
              </w:rPr>
              <w:t>评价范围植被平均覆盖度15%，评价区植被覆盖度类型见图3-4。</w:t>
            </w:r>
            <w:r>
              <w:rPr>
                <w:rFonts w:hint="default"/>
                <w:color w:val="000000" w:themeColor="text1"/>
                <w:sz w:val="24"/>
                <w:szCs w:val="24"/>
                <w:highlight w:val="none"/>
                <w:lang w:val="en-US" w:eastAsia="zh-CN"/>
                <w14:textFill>
                  <w14:solidFill>
                    <w14:schemeClr w14:val="tx1"/>
                  </w14:solidFill>
                </w14:textFill>
              </w:rPr>
              <w:t>本地区无珍稀保护植物资源，</w:t>
            </w:r>
            <w:r>
              <w:rPr>
                <w:rFonts w:hint="eastAsia"/>
                <w:color w:val="000000" w:themeColor="text1"/>
                <w:sz w:val="24"/>
                <w:szCs w:val="24"/>
                <w:highlight w:val="none"/>
                <w:lang w:val="en-US" w:eastAsia="zh-CN"/>
                <w14:textFill>
                  <w14:solidFill>
                    <w14:schemeClr w14:val="tx1"/>
                  </w14:solidFill>
                </w14:textFill>
              </w:rPr>
              <w:t>评价区主要植物名录见表</w:t>
            </w:r>
            <w:r>
              <w:rPr>
                <w:rFonts w:hint="default"/>
                <w:color w:val="000000" w:themeColor="text1"/>
                <w:sz w:val="24"/>
                <w:szCs w:val="24"/>
                <w:highlight w:val="none"/>
                <w:lang w:val="en-US" w:eastAsia="zh-CN"/>
                <w14:textFill>
                  <w14:solidFill>
                    <w14:schemeClr w14:val="tx1"/>
                  </w14:solidFill>
                </w14:textFill>
              </w:rPr>
              <w:t>3</w:t>
            </w:r>
            <w:r>
              <w:rPr>
                <w:rFonts w:hint="eastAsia"/>
                <w:color w:val="000000" w:themeColor="text1"/>
                <w:sz w:val="24"/>
                <w:szCs w:val="24"/>
                <w:highlight w:val="none"/>
                <w:lang w:val="en-US" w:eastAsia="zh-CN"/>
                <w14:textFill>
                  <w14:solidFill>
                    <w14:schemeClr w14:val="tx1"/>
                  </w14:solidFill>
                </w14:textFill>
              </w:rPr>
              <w:t>-</w:t>
            </w:r>
            <w:r>
              <w:rPr>
                <w:rFonts w:hint="default"/>
                <w:color w:val="000000" w:themeColor="text1"/>
                <w:sz w:val="24"/>
                <w:szCs w:val="24"/>
                <w:highlight w:val="none"/>
                <w:lang w:val="en-US" w:eastAsia="zh-CN"/>
                <w14:textFill>
                  <w14:solidFill>
                    <w14:schemeClr w14:val="tx1"/>
                  </w14:solidFill>
                </w14:textFill>
              </w:rPr>
              <w:t>2</w:t>
            </w:r>
            <w:r>
              <w:rPr>
                <w:rFonts w:hint="eastAsia"/>
                <w:color w:val="000000" w:themeColor="text1"/>
                <w:sz w:val="24"/>
                <w:szCs w:val="24"/>
                <w:highlight w:val="none"/>
                <w:lang w:val="en-US" w:eastAsia="zh-CN"/>
                <w14:textFill>
                  <w14:solidFill>
                    <w14:schemeClr w14:val="tx1"/>
                  </w14:solidFill>
                </w14:textFill>
              </w:rPr>
              <w:t>。</w:t>
            </w:r>
            <w:r>
              <w:rPr>
                <w:color w:val="000000" w:themeColor="text1"/>
                <w:sz w:val="24"/>
                <w:szCs w:val="24"/>
                <w:highlight w:val="none"/>
                <w:lang w:val="en-US" w:eastAsia="zh-CN"/>
                <w14:textFill>
                  <w14:solidFill>
                    <w14:schemeClr w14:val="tx1"/>
                  </w14:solidFill>
                </w14:textFill>
              </w:rPr>
              <w:t>植被类型现状结果统计见表3</w:t>
            </w:r>
            <w:r>
              <w:rPr>
                <w:rFonts w:hint="eastAsia"/>
                <w:color w:val="000000" w:themeColor="text1"/>
                <w:sz w:val="24"/>
                <w:szCs w:val="24"/>
                <w:highlight w:val="none"/>
                <w:lang w:val="en-US" w:eastAsia="zh-CN"/>
                <w14:textFill>
                  <w14:solidFill>
                    <w14:schemeClr w14:val="tx1"/>
                  </w14:solidFill>
                </w14:textFill>
              </w:rPr>
              <w:t>-3和表3-4</w:t>
            </w:r>
            <w:r>
              <w:rPr>
                <w:color w:val="000000" w:themeColor="text1"/>
                <w:sz w:val="24"/>
                <w:szCs w:val="24"/>
                <w:highlight w:val="none"/>
                <w:lang w:val="en-US" w:eastAsia="zh-CN"/>
                <w14:textFill>
                  <w14:solidFill>
                    <w14:schemeClr w14:val="tx1"/>
                  </w14:solidFill>
                </w14:textFill>
              </w:rPr>
              <w:t>，项目区及评价区植被类型见图3</w:t>
            </w: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lang w:val="en-US" w:eastAsia="zh-CN"/>
                <w14:textFill>
                  <w14:solidFill>
                    <w14:schemeClr w14:val="tx1"/>
                  </w14:solidFill>
                </w14:textFill>
              </w:rPr>
              <w:t>。</w:t>
            </w:r>
          </w:p>
          <w:p>
            <w:pPr>
              <w:pStyle w:val="2"/>
              <w:spacing w:before="0" w:after="0" w:line="0" w:lineRule="atLeast"/>
              <w:ind w:right="0"/>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color w:val="000000" w:themeColor="text1"/>
                <w:sz w:val="21"/>
                <w:szCs w:val="21"/>
                <w:highlight w:val="none"/>
                <w:lang w:val="en-US" w:eastAsia="zh-CN"/>
                <w14:textFill>
                  <w14:solidFill>
                    <w14:schemeClr w14:val="tx1"/>
                  </w14:solidFill>
                </w14:textFill>
              </w:rPr>
              <w:t>表3</w:t>
            </w:r>
            <w:r>
              <w:rPr>
                <w:rFonts w:hint="eastAsia"/>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评价区植被类型现状统计结果</w:t>
            </w:r>
          </w:p>
          <w:tbl>
            <w:tblPr>
              <w:tblStyle w:val="23"/>
              <w:tblW w:w="76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494"/>
              <w:gridCol w:w="2086"/>
              <w:gridCol w:w="1260"/>
              <w:gridCol w:w="1596"/>
              <w:gridCol w:w="11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1494"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一级类型</w:t>
                  </w:r>
                </w:p>
              </w:tc>
              <w:tc>
                <w:tcPr>
                  <w:tcW w:w="208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二级类型</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斑块数</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个）</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面积</w:t>
                  </w:r>
                  <w:r>
                    <w:rPr>
                      <w:rFonts w:hint="eastAsia" w:cs="Times New Roman"/>
                      <w:i w:val="0"/>
                      <w:iCs w:val="0"/>
                      <w:color w:val="000000"/>
                      <w:kern w:val="0"/>
                      <w:sz w:val="21"/>
                      <w:szCs w:val="21"/>
                      <w:highlight w:val="none"/>
                      <w:u w:val="none"/>
                      <w:lang w:val="en-US" w:eastAsia="zh-CN" w:bidi="ar"/>
                    </w:rPr>
                    <w:t>（</w:t>
                  </w:r>
                  <w:r>
                    <w:rPr>
                      <w:rFonts w:hint="eastAsia" w:ascii="Times New Roman" w:hAnsi="Times New Roman" w:eastAsia="宋体" w:cs="Times New Roman"/>
                      <w:i w:val="0"/>
                      <w:iCs w:val="0"/>
                      <w:color w:val="000000"/>
                      <w:kern w:val="0"/>
                      <w:sz w:val="21"/>
                      <w:szCs w:val="21"/>
                      <w:highlight w:val="none"/>
                      <w:u w:val="none"/>
                      <w:lang w:val="en-US" w:eastAsia="zh-CN" w:bidi="ar"/>
                    </w:rPr>
                    <w:t>平方米</w:t>
                  </w: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1178"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占评价区面积的%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494"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人工林</w:t>
                  </w:r>
                </w:p>
              </w:tc>
              <w:tc>
                <w:tcPr>
                  <w:tcW w:w="208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杨树</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37223.90897</w:t>
                  </w:r>
                </w:p>
              </w:tc>
              <w:tc>
                <w:tcPr>
                  <w:tcW w:w="117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494"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其他人工植被</w:t>
                  </w:r>
                </w:p>
              </w:tc>
              <w:tc>
                <w:tcPr>
                  <w:tcW w:w="208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旱地</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352418.1492</w:t>
                  </w:r>
                </w:p>
              </w:tc>
              <w:tc>
                <w:tcPr>
                  <w:tcW w:w="117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4.3</w:t>
                  </w:r>
                  <w:r>
                    <w:rPr>
                      <w:rFonts w:hint="eastAsia" w:ascii="Times New Roman" w:hAnsi="Times New Roman" w:eastAsia="宋体" w:cs="Times New Roman"/>
                      <w:i w:val="0"/>
                      <w:iCs w:val="0"/>
                      <w:color w:val="000000"/>
                      <w:kern w:val="0"/>
                      <w:sz w:val="21"/>
                      <w:szCs w:val="21"/>
                      <w:highlight w:val="none"/>
                      <w:u w:val="none"/>
                      <w:lang w:val="en-US" w:eastAsia="zh-CN" w:bidi="ar"/>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494"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疏林地</w:t>
                  </w:r>
                </w:p>
              </w:tc>
              <w:tc>
                <w:tcPr>
                  <w:tcW w:w="208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灰榆</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21</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73880.07475</w:t>
                  </w:r>
                </w:p>
              </w:tc>
              <w:tc>
                <w:tcPr>
                  <w:tcW w:w="117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0.9</w:t>
                  </w:r>
                  <w:r>
                    <w:rPr>
                      <w:rFonts w:hint="eastAsia" w:ascii="Times New Roman" w:hAnsi="Times New Roman" w:eastAsia="宋体" w:cs="Times New Roman"/>
                      <w:i w:val="0"/>
                      <w:iCs w:val="0"/>
                      <w:color w:val="000000"/>
                      <w:kern w:val="0"/>
                      <w:sz w:val="21"/>
                      <w:szCs w:val="21"/>
                      <w:highlight w:val="none"/>
                      <w:u w:val="none"/>
                      <w:lang w:val="en-US" w:eastAsia="zh-CN"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494"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草原地带沙地植被</w:t>
                  </w:r>
                </w:p>
              </w:tc>
              <w:tc>
                <w:tcPr>
                  <w:tcW w:w="208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锦鸡儿、蒿类</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125487.7827</w:t>
                  </w:r>
                </w:p>
              </w:tc>
              <w:tc>
                <w:tcPr>
                  <w:tcW w:w="117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r>
                    <w:rPr>
                      <w:rFonts w:hint="eastAsia" w:ascii="Times New Roman" w:hAnsi="Times New Roman" w:eastAsia="宋体" w:cs="Times New Roman"/>
                      <w:i w:val="0"/>
                      <w:iCs w:val="0"/>
                      <w:color w:val="000000"/>
                      <w:kern w:val="0"/>
                      <w:sz w:val="21"/>
                      <w:szCs w:val="21"/>
                      <w:highlight w:val="none"/>
                      <w:u w:val="none"/>
                      <w:lang w:val="en-US" w:eastAsia="zh-CN"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494"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暖温</w:t>
                  </w:r>
                  <w:r>
                    <w:rPr>
                      <w:rFonts w:hint="eastAsia" w:cs="Times New Roman"/>
                      <w:i w:val="0"/>
                      <w:iCs w:val="0"/>
                      <w:color w:val="000000"/>
                      <w:kern w:val="0"/>
                      <w:sz w:val="21"/>
                      <w:szCs w:val="21"/>
                      <w:highlight w:val="none"/>
                      <w:u w:val="none"/>
                      <w:lang w:val="en-US" w:eastAsia="zh-CN" w:bidi="ar"/>
                    </w:rPr>
                    <w:t>带</w:t>
                  </w:r>
                  <w:r>
                    <w:rPr>
                      <w:rFonts w:hint="default" w:ascii="Times New Roman" w:hAnsi="Times New Roman" w:eastAsia="宋体" w:cs="Times New Roman"/>
                      <w:i w:val="0"/>
                      <w:iCs w:val="0"/>
                      <w:color w:val="000000"/>
                      <w:kern w:val="0"/>
                      <w:sz w:val="21"/>
                      <w:szCs w:val="21"/>
                      <w:highlight w:val="none"/>
                      <w:u w:val="none"/>
                      <w:lang w:val="en-US" w:eastAsia="zh-CN" w:bidi="ar"/>
                    </w:rPr>
                    <w:t>平原典型草原植被</w:t>
                  </w:r>
                </w:p>
              </w:tc>
              <w:tc>
                <w:tcPr>
                  <w:tcW w:w="208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百里香、小针茅杂类</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158165.5308</w:t>
                  </w:r>
                </w:p>
              </w:tc>
              <w:tc>
                <w:tcPr>
                  <w:tcW w:w="117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494"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p>
              </w:tc>
              <w:tc>
                <w:tcPr>
                  <w:tcW w:w="208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小针茅、无芒隐子草含蒿类</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6110387.705</w:t>
                  </w:r>
                </w:p>
              </w:tc>
              <w:tc>
                <w:tcPr>
                  <w:tcW w:w="117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75.7</w:t>
                  </w:r>
                  <w:r>
                    <w:rPr>
                      <w:rFonts w:hint="eastAsia" w:ascii="Times New Roman" w:hAnsi="Times New Roman" w:eastAsia="宋体" w:cs="Times New Roman"/>
                      <w:i w:val="0"/>
                      <w:iCs w:val="0"/>
                      <w:color w:val="000000"/>
                      <w:kern w:val="0"/>
                      <w:sz w:val="21"/>
                      <w:szCs w:val="21"/>
                      <w:highlight w:val="none"/>
                      <w:u w:val="none"/>
                      <w:lang w:val="en-US" w:eastAsia="zh-CN"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494"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p>
              </w:tc>
              <w:tc>
                <w:tcPr>
                  <w:tcW w:w="208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隐子草、冷蒿</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15443.65932</w:t>
                  </w:r>
                </w:p>
              </w:tc>
              <w:tc>
                <w:tcPr>
                  <w:tcW w:w="117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494"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p>
              </w:tc>
              <w:tc>
                <w:tcPr>
                  <w:tcW w:w="208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白草、苔草杂类</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19</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660615.8048</w:t>
                  </w:r>
                </w:p>
              </w:tc>
              <w:tc>
                <w:tcPr>
                  <w:tcW w:w="117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8.1</w:t>
                  </w:r>
                  <w:r>
                    <w:rPr>
                      <w:rFonts w:hint="eastAsia" w:ascii="Times New Roman" w:hAnsi="Times New Roman" w:eastAsia="宋体" w:cs="Times New Roman"/>
                      <w:i w:val="0"/>
                      <w:iCs w:val="0"/>
                      <w:color w:val="000000"/>
                      <w:kern w:val="0"/>
                      <w:sz w:val="21"/>
                      <w:szCs w:val="21"/>
                      <w:highlight w:val="none"/>
                      <w:u w:val="none"/>
                      <w:lang w:val="en-US" w:eastAsia="zh-CN" w:bidi="ar"/>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494"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无植被区域</w:t>
                  </w:r>
                </w:p>
              </w:tc>
              <w:tc>
                <w:tcPr>
                  <w:tcW w:w="208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库塘</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4271.027442</w:t>
                  </w:r>
                </w:p>
              </w:tc>
              <w:tc>
                <w:tcPr>
                  <w:tcW w:w="117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494"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p>
              </w:tc>
              <w:tc>
                <w:tcPr>
                  <w:tcW w:w="208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滩地</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489021.8316</w:t>
                  </w:r>
                </w:p>
              </w:tc>
              <w:tc>
                <w:tcPr>
                  <w:tcW w:w="117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494"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p>
              </w:tc>
              <w:tc>
                <w:tcPr>
                  <w:tcW w:w="208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居民点</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18</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18149.34547</w:t>
                  </w:r>
                </w:p>
              </w:tc>
              <w:tc>
                <w:tcPr>
                  <w:tcW w:w="117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494"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p>
              </w:tc>
              <w:tc>
                <w:tcPr>
                  <w:tcW w:w="208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乡镇村道路</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22540.65178</w:t>
                  </w:r>
                </w:p>
              </w:tc>
              <w:tc>
                <w:tcPr>
                  <w:tcW w:w="117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0.2</w:t>
                  </w:r>
                  <w:r>
                    <w:rPr>
                      <w:rFonts w:hint="eastAsia" w:ascii="Times New Roman" w:hAnsi="Times New Roman" w:eastAsia="宋体" w:cs="Times New Roman"/>
                      <w:i w:val="0"/>
                      <w:iCs w:val="0"/>
                      <w:color w:val="000000"/>
                      <w:kern w:val="0"/>
                      <w:sz w:val="21"/>
                      <w:szCs w:val="21"/>
                      <w:highlight w:val="none"/>
                      <w:u w:val="none"/>
                      <w:lang w:val="en-US" w:eastAsia="zh-CN" w:bidi="ar"/>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3580" w:type="dxa"/>
                  <w:gridSpan w:val="2"/>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eastAsia" w:ascii="Times New Roman" w:hAnsi="Times New Roman" w:eastAsia="宋体" w:cs="Times New Roman"/>
                      <w:i w:val="0"/>
                      <w:iCs w:val="0"/>
                      <w:color w:val="000000"/>
                      <w:sz w:val="21"/>
                      <w:szCs w:val="21"/>
                      <w:highlight w:val="none"/>
                      <w:u w:val="none"/>
                      <w:lang w:eastAsia="zh-CN"/>
                    </w:rPr>
                  </w:pPr>
                  <w:r>
                    <w:rPr>
                      <w:rFonts w:hint="eastAsia" w:ascii="Times New Roman" w:hAnsi="Times New Roman" w:eastAsia="宋体" w:cs="Times New Roman"/>
                      <w:i w:val="0"/>
                      <w:iCs w:val="0"/>
                      <w:color w:val="000000"/>
                      <w:sz w:val="21"/>
                      <w:szCs w:val="21"/>
                      <w:highlight w:val="none"/>
                      <w:u w:val="none"/>
                      <w:lang w:eastAsia="zh-CN"/>
                    </w:rPr>
                    <w:t>合计</w:t>
                  </w:r>
                </w:p>
              </w:tc>
              <w:tc>
                <w:tcPr>
                  <w:tcW w:w="126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119</w:t>
                  </w:r>
                </w:p>
              </w:tc>
              <w:tc>
                <w:tcPr>
                  <w:tcW w:w="159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8067605.472</w:t>
                  </w:r>
                </w:p>
              </w:tc>
              <w:tc>
                <w:tcPr>
                  <w:tcW w:w="117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100</w:t>
                  </w:r>
                </w:p>
              </w:tc>
            </w:tr>
          </w:tbl>
          <w:p>
            <w:pPr>
              <w:pStyle w:val="2"/>
              <w:spacing w:before="0" w:after="0" w:line="0" w:lineRule="atLeast"/>
              <w:ind w:right="0"/>
              <w:jc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color w:val="000000" w:themeColor="text1"/>
                <w:sz w:val="21"/>
                <w:szCs w:val="21"/>
                <w:highlight w:val="none"/>
                <w:lang w:val="en-US" w:eastAsia="zh-CN"/>
                <w14:textFill>
                  <w14:solidFill>
                    <w14:schemeClr w14:val="tx1"/>
                  </w14:solidFill>
                </w14:textFill>
              </w:rPr>
              <w:t>表3</w:t>
            </w:r>
            <w:r>
              <w:rPr>
                <w:rFonts w:hint="eastAsia"/>
                <w:color w:val="000000" w:themeColor="text1"/>
                <w:sz w:val="21"/>
                <w:szCs w:val="21"/>
                <w:highlight w:val="none"/>
                <w:lang w:val="en-US" w:eastAsia="zh-CN"/>
                <w14:textFill>
                  <w14:solidFill>
                    <w14:schemeClr w14:val="tx1"/>
                  </w14:solidFill>
                </w14:textFill>
              </w:rPr>
              <w:t>-4为</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项目</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区植被类型现状结果统计</w:t>
            </w:r>
          </w:p>
          <w:tbl>
            <w:tblPr>
              <w:tblStyle w:val="23"/>
              <w:tblW w:w="76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537"/>
              <w:gridCol w:w="2076"/>
              <w:gridCol w:w="1248"/>
              <w:gridCol w:w="1608"/>
              <w:gridCol w:w="12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 w:hRule="atLeast"/>
                <w:jc w:val="center"/>
              </w:trPr>
              <w:tc>
                <w:tcPr>
                  <w:tcW w:w="1537"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一级类型</w:t>
                  </w:r>
                </w:p>
              </w:tc>
              <w:tc>
                <w:tcPr>
                  <w:tcW w:w="207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二级类型</w:t>
                  </w:r>
                </w:p>
              </w:tc>
              <w:tc>
                <w:tcPr>
                  <w:tcW w:w="124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斑块数</w:t>
                  </w:r>
                  <w:r>
                    <w:rPr>
                      <w:rFonts w:hint="eastAsia"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i w:val="0"/>
                      <w:iCs w:val="0"/>
                      <w:color w:val="000000"/>
                      <w:kern w:val="0"/>
                      <w:sz w:val="21"/>
                      <w:szCs w:val="21"/>
                      <w:highlight w:val="none"/>
                      <w:u w:val="none"/>
                      <w:lang w:val="en-US" w:eastAsia="zh-CN" w:bidi="ar"/>
                    </w:rPr>
                    <w:t>个）</w:t>
                  </w:r>
                </w:p>
              </w:tc>
              <w:tc>
                <w:tcPr>
                  <w:tcW w:w="160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面积</w:t>
                  </w:r>
                  <w:r>
                    <w:rPr>
                      <w:rFonts w:hint="eastAsia" w:cs="Times New Roman"/>
                      <w:i w:val="0"/>
                      <w:iCs w:val="0"/>
                      <w:color w:val="000000"/>
                      <w:kern w:val="0"/>
                      <w:sz w:val="21"/>
                      <w:szCs w:val="21"/>
                      <w:highlight w:val="none"/>
                      <w:u w:val="none"/>
                      <w:lang w:val="en-US" w:eastAsia="zh-CN" w:bidi="ar"/>
                    </w:rPr>
                    <w:t>（</w:t>
                  </w:r>
                  <w:r>
                    <w:rPr>
                      <w:rFonts w:hint="eastAsia" w:ascii="Times New Roman" w:hAnsi="Times New Roman" w:eastAsia="宋体" w:cs="Times New Roman"/>
                      <w:i w:val="0"/>
                      <w:iCs w:val="0"/>
                      <w:color w:val="000000"/>
                      <w:kern w:val="0"/>
                      <w:sz w:val="21"/>
                      <w:szCs w:val="21"/>
                      <w:highlight w:val="none"/>
                      <w:u w:val="none"/>
                      <w:lang w:val="en-US" w:eastAsia="zh-CN" w:bidi="ar"/>
                    </w:rPr>
                    <w:t>平方米</w:t>
                  </w: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1212"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占项目区面积的%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537" w:type="dxa"/>
                  <w:vMerge w:val="restar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暖温高平原典型草原植被</w:t>
                  </w:r>
                </w:p>
              </w:tc>
              <w:tc>
                <w:tcPr>
                  <w:tcW w:w="207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小针茅、无芒隐子草含蒿类</w:t>
                  </w:r>
                </w:p>
              </w:tc>
              <w:tc>
                <w:tcPr>
                  <w:tcW w:w="124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60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72389.42169</w:t>
                  </w:r>
                </w:p>
              </w:tc>
              <w:tc>
                <w:tcPr>
                  <w:tcW w:w="1212"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91.18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537"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p>
              </w:tc>
              <w:tc>
                <w:tcPr>
                  <w:tcW w:w="207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隐子草、冷蒿</w:t>
                  </w:r>
                </w:p>
              </w:tc>
              <w:tc>
                <w:tcPr>
                  <w:tcW w:w="124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160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935.5128905</w:t>
                  </w:r>
                </w:p>
              </w:tc>
              <w:tc>
                <w:tcPr>
                  <w:tcW w:w="1212"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1.1</w:t>
                  </w:r>
                  <w:r>
                    <w:rPr>
                      <w:rFonts w:hint="eastAsia" w:ascii="Times New Roman" w:hAnsi="Times New Roman" w:eastAsia="宋体" w:cs="Times New Roman"/>
                      <w:i w:val="0"/>
                      <w:iCs w:val="0"/>
                      <w:color w:val="000000"/>
                      <w:kern w:val="0"/>
                      <w:sz w:val="21"/>
                      <w:szCs w:val="21"/>
                      <w:highlight w:val="none"/>
                      <w:u w:val="none"/>
                      <w:lang w:val="en-US" w:eastAsia="zh-CN" w:bidi="ar"/>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537" w:type="dxa"/>
                  <w:vMerge w:val="restart"/>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无植被区域</w:t>
                  </w:r>
                </w:p>
              </w:tc>
              <w:tc>
                <w:tcPr>
                  <w:tcW w:w="207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滩地</w:t>
                  </w:r>
                </w:p>
              </w:tc>
              <w:tc>
                <w:tcPr>
                  <w:tcW w:w="124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60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429.1827812</w:t>
                  </w:r>
                </w:p>
              </w:tc>
              <w:tc>
                <w:tcPr>
                  <w:tcW w:w="1212"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537"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rPr>
                  </w:pPr>
                </w:p>
              </w:tc>
              <w:tc>
                <w:tcPr>
                  <w:tcW w:w="2076"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乡镇村道路</w:t>
                  </w:r>
                </w:p>
              </w:tc>
              <w:tc>
                <w:tcPr>
                  <w:tcW w:w="124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60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5631.882634</w:t>
                  </w:r>
                </w:p>
              </w:tc>
              <w:tc>
                <w:tcPr>
                  <w:tcW w:w="1212"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default" w:ascii="Times New Roman" w:hAnsi="Times New Roman" w:eastAsia="宋体" w:cs="Times New Roman"/>
                      <w:i w:val="0"/>
                      <w:iCs w:val="0"/>
                      <w:color w:val="000000"/>
                      <w:kern w:val="0"/>
                      <w:sz w:val="21"/>
                      <w:szCs w:val="21"/>
                      <w:highlight w:val="none"/>
                      <w:u w:val="none"/>
                      <w:lang w:val="en-US" w:eastAsia="zh-CN" w:bidi="ar"/>
                    </w:rPr>
                    <w:t>7.</w:t>
                  </w:r>
                  <w:r>
                    <w:rPr>
                      <w:rFonts w:hint="eastAsia" w:ascii="Times New Roman" w:hAnsi="Times New Roman" w:eastAsia="宋体" w:cs="Times New Roman"/>
                      <w:i w:val="0"/>
                      <w:iCs w:val="0"/>
                      <w:color w:val="000000"/>
                      <w:kern w:val="0"/>
                      <w:sz w:val="21"/>
                      <w:szCs w:val="21"/>
                      <w:highlight w:val="none"/>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3613" w:type="dxa"/>
                  <w:gridSpan w:val="2"/>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000000"/>
                      <w:sz w:val="21"/>
                      <w:szCs w:val="21"/>
                      <w:highlight w:val="none"/>
                      <w:u w:val="none"/>
                      <w:lang w:val="en-US" w:eastAsia="zh-CN"/>
                    </w:rPr>
                  </w:pPr>
                  <w:r>
                    <w:rPr>
                      <w:rFonts w:hint="default" w:ascii="Times New Roman" w:hAnsi="Times New Roman" w:eastAsia="宋体" w:cs="Times New Roman"/>
                      <w:i w:val="0"/>
                      <w:iCs w:val="0"/>
                      <w:color w:val="000000"/>
                      <w:sz w:val="21"/>
                      <w:szCs w:val="21"/>
                      <w:highlight w:val="none"/>
                      <w:u w:val="none"/>
                      <w:lang w:val="en-US" w:eastAsia="zh-CN"/>
                    </w:rPr>
                    <w:t>合计</w:t>
                  </w:r>
                </w:p>
              </w:tc>
              <w:tc>
                <w:tcPr>
                  <w:tcW w:w="124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160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lang w:val="en-US"/>
                    </w:rPr>
                  </w:pPr>
                  <w:r>
                    <w:rPr>
                      <w:rFonts w:hint="eastAsia" w:cs="Times New Roman"/>
                      <w:i w:val="0"/>
                      <w:iCs w:val="0"/>
                      <w:color w:val="000000"/>
                      <w:kern w:val="0"/>
                      <w:sz w:val="21"/>
                      <w:szCs w:val="21"/>
                      <w:highlight w:val="none"/>
                      <w:u w:val="none"/>
                      <w:lang w:val="en-US" w:eastAsia="zh-CN" w:bidi="ar"/>
                    </w:rPr>
                    <w:t>79386</w:t>
                  </w:r>
                </w:p>
              </w:tc>
              <w:tc>
                <w:tcPr>
                  <w:tcW w:w="1212"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100</w:t>
                  </w:r>
                </w:p>
              </w:tc>
            </w:tr>
          </w:tbl>
          <w:p>
            <w:pPr>
              <w:pStyle w:val="1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统计结果显示，项目区用地范围内植被类型主要为小针茅、无芒隐子草含蒿类，隐子草、冷蒿等，无植被区域。</w:t>
            </w:r>
          </w:p>
          <w:p>
            <w:pPr>
              <w:pStyle w:val="1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评价区主要植被类型为小针茅、无芒隐子草和蒿类，占评价区面积的75.74%；杨树</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旱地</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灰榆</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锦鸡儿、蒿类</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百里香、小针茅杂类</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隐子草、冷蒿</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白草、苔草杂类</w:t>
            </w:r>
            <w:r>
              <w:rPr>
                <w:rFonts w:hint="eastAsia" w:cs="Times New Roman"/>
                <w:color w:val="000000" w:themeColor="text1"/>
                <w:sz w:val="24"/>
                <w:szCs w:val="24"/>
                <w:highlight w:val="none"/>
                <w:lang w:val="en-US" w:eastAsia="zh-CN"/>
                <w14:textFill>
                  <w14:solidFill>
                    <w14:schemeClr w14:val="tx1"/>
                  </w14:solidFill>
                </w14:textFill>
              </w:rPr>
              <w:t>，无植被区域</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占评价区面积的0.46</w:t>
            </w:r>
            <w:r>
              <w:rPr>
                <w:rFonts w:hint="default"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eastAsia"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4.37</w:t>
            </w:r>
            <w:r>
              <w:rPr>
                <w:rFonts w:hint="default"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eastAsia"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0.92</w:t>
            </w:r>
            <w:r>
              <w:rPr>
                <w:rFonts w:hint="default"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eastAsia"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1.56</w:t>
            </w:r>
            <w:r>
              <w:rPr>
                <w:rFonts w:hint="default"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eastAsia"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1.96</w:t>
            </w:r>
            <w:r>
              <w:rPr>
                <w:rFonts w:hint="default"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eastAsia"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0.19</w:t>
            </w:r>
            <w:r>
              <w:rPr>
                <w:rFonts w:hint="default"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eastAsia"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8.19</w:t>
            </w:r>
            <w:r>
              <w:rPr>
                <w:rFonts w:hint="default"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eastAsia"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eastAsia" w:cs="Times New Roman"/>
                <w:i w:val="0"/>
                <w:iCs w:val="0"/>
                <w:color w:val="000000" w:themeColor="text1"/>
                <w:sz w:val="24"/>
                <w:szCs w:val="24"/>
                <w:highlight w:val="none"/>
                <w:u w:val="none"/>
                <w:lang w:val="en-US" w:eastAsia="zh-CN"/>
                <w14:textFill>
                  <w14:solidFill>
                    <w14:schemeClr w14:val="tx1"/>
                  </w14:solidFill>
                </w14:textFill>
              </w:rPr>
              <w:t>6.61</w:t>
            </w:r>
            <w:r>
              <w:rPr>
                <w:rFonts w:hint="default" w:ascii="Times New Roman" w:hAnsi="Times New Roman" w:eastAsia="宋体" w:cs="Times New Roman"/>
                <w:i w:val="0"/>
                <w:iCs w:val="0"/>
                <w:color w:val="000000" w:themeColor="text1"/>
                <w:sz w:val="24"/>
                <w:szCs w:val="24"/>
                <w:highlight w:val="none"/>
                <w:u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pPr>
              <w:jc w:val="center"/>
              <w:rPr>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lang w:val="en-US" w:eastAsia="zh-CN"/>
                <w14:textFill>
                  <w14:solidFill>
                    <w14:schemeClr w14:val="tx1"/>
                  </w14:solidFill>
                </w14:textFill>
              </w:rPr>
              <w:drawing>
                <wp:inline distT="0" distB="0" distL="114300" distR="114300">
                  <wp:extent cx="5097145" cy="3658870"/>
                  <wp:effectExtent l="0" t="0" r="8255" b="13970"/>
                  <wp:docPr id="156" name="图片 156" descr="植被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植被2"/>
                          <pic:cNvPicPr>
                            <a:picLocks noChangeAspect="1"/>
                          </pic:cNvPicPr>
                        </pic:nvPicPr>
                        <pic:blipFill>
                          <a:blip r:embed="rId10"/>
                          <a:stretch>
                            <a:fillRect/>
                          </a:stretch>
                        </pic:blipFill>
                        <pic:spPr>
                          <a:xfrm>
                            <a:off x="0" y="0"/>
                            <a:ext cx="5097145" cy="3658870"/>
                          </a:xfrm>
                          <a:prstGeom prst="rect">
                            <a:avLst/>
                          </a:prstGeom>
                        </pic:spPr>
                      </pic:pic>
                    </a:graphicData>
                  </a:graphic>
                </wp:inline>
              </w:drawing>
            </w:r>
          </w:p>
          <w:p>
            <w:pPr>
              <w:jc w:val="center"/>
              <w:rPr>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lang w:val="en-US" w:eastAsia="zh-CN"/>
                <w14:textFill>
                  <w14:solidFill>
                    <w14:schemeClr w14:val="tx1"/>
                  </w14:solidFill>
                </w14:textFill>
              </w:rPr>
              <w:t>图3</w:t>
            </w:r>
            <w:r>
              <w:rPr>
                <w:rFonts w:hint="eastAsia"/>
                <w:color w:val="000000" w:themeColor="text1"/>
                <w:sz w:val="21"/>
                <w:szCs w:val="21"/>
                <w:highlight w:val="none"/>
                <w:lang w:val="en-US" w:eastAsia="zh-CN"/>
                <w14:textFill>
                  <w14:solidFill>
                    <w14:schemeClr w14:val="tx1"/>
                  </w14:solidFill>
                </w14:textFill>
              </w:rPr>
              <w:t xml:space="preserve">-3 </w:t>
            </w:r>
            <w:r>
              <w:rPr>
                <w:color w:val="000000" w:themeColor="text1"/>
                <w:sz w:val="21"/>
                <w:szCs w:val="21"/>
                <w:highlight w:val="none"/>
                <w:lang w:val="en-US" w:eastAsia="zh-CN"/>
                <w14:textFill>
                  <w14:solidFill>
                    <w14:schemeClr w14:val="tx1"/>
                  </w14:solidFill>
                </w14:textFill>
              </w:rPr>
              <w:t>项目区及评价区植被类型</w:t>
            </w:r>
          </w:p>
          <w:p>
            <w:pPr>
              <w:pStyle w:val="22"/>
              <w:keepNext w:val="0"/>
              <w:keepLines w:val="0"/>
              <w:pageBreakBefore w:val="0"/>
              <w:widowControl/>
              <w:numPr>
                <w:ilvl w:val="0"/>
                <w:numId w:val="0"/>
              </w:numPr>
              <w:kinsoku/>
              <w:wordWrap/>
              <w:overflowPunct/>
              <w:topLinePunct w:val="0"/>
              <w:autoSpaceDE/>
              <w:autoSpaceDN/>
              <w:bidi w:val="0"/>
              <w:adjustRightInd/>
              <w:snapToGrid w:val="0"/>
              <w:spacing w:before="0" w:after="0" w:line="240" w:lineRule="auto"/>
              <w:ind w:right="0" w:rightChars="0"/>
              <w:jc w:val="both"/>
              <w:textAlignment w:val="auto"/>
              <w:rPr>
                <w:color w:val="000000" w:themeColor="text1"/>
                <w:highlight w:val="none"/>
                <w:lang w:val="en-US" w:eastAsia="zh-CN"/>
                <w14:textFill>
                  <w14:solidFill>
                    <w14:schemeClr w14:val="tx1"/>
                  </w14:solidFill>
                </w14:textFill>
              </w:rPr>
            </w:pPr>
            <w:r>
              <w:rPr>
                <w:color w:val="000000" w:themeColor="text1"/>
                <w:highlight w:val="none"/>
                <w:lang w:val="en-US" w:eastAsia="zh-CN"/>
                <w14:textFill>
                  <w14:solidFill>
                    <w14:schemeClr w14:val="tx1"/>
                  </w14:solidFill>
                </w14:textFill>
              </w:rPr>
              <w:drawing>
                <wp:inline distT="0" distB="0" distL="114300" distR="114300">
                  <wp:extent cx="5097145" cy="3620135"/>
                  <wp:effectExtent l="0" t="0" r="8255" b="6985"/>
                  <wp:docPr id="95" name="图片 95" descr="覆盖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覆盖度"/>
                          <pic:cNvPicPr>
                            <a:picLocks noChangeAspect="1"/>
                          </pic:cNvPicPr>
                        </pic:nvPicPr>
                        <pic:blipFill>
                          <a:blip r:embed="rId11"/>
                          <a:stretch>
                            <a:fillRect/>
                          </a:stretch>
                        </pic:blipFill>
                        <pic:spPr>
                          <a:xfrm>
                            <a:off x="0" y="0"/>
                            <a:ext cx="5097145" cy="3620135"/>
                          </a:xfrm>
                          <a:prstGeom prst="rect">
                            <a:avLst/>
                          </a:prstGeom>
                        </pic:spPr>
                      </pic:pic>
                    </a:graphicData>
                  </a:graphic>
                </wp:inline>
              </w:drawing>
            </w:r>
          </w:p>
          <w:p>
            <w:pPr>
              <w:jc w:val="center"/>
              <w:rPr>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植被覆盖度见图3-4</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（3）野生动物</w:t>
            </w:r>
          </w:p>
          <w:p>
            <w:pPr>
              <w:numPr>
                <w:ilvl w:val="0"/>
                <w:numId w:val="0"/>
              </w:numPr>
              <w:spacing w:line="360" w:lineRule="auto"/>
              <w:ind w:firstLine="472" w:firstLineChars="200"/>
              <w:rPr>
                <w:highlight w:val="none"/>
              </w:rPr>
            </w:pPr>
            <w:r>
              <w:rPr>
                <w:spacing w:val="-2"/>
                <w:sz w:val="24"/>
                <w:szCs w:val="24"/>
                <w:highlight w:val="none"/>
              </w:rPr>
              <w:t>区域内的野生动物主要包括鼠类和蒙古兔，鸟类包括戴胜、石鸡、喜鹊、灰伯劳等，爬行类主要包括沙蜥和麻蜥，此外还有种类和数量众多的昆虫，而其他野生动物则相对较少。评价范围内没有发现国家重点保护野生动物和地方保护野生动物。</w:t>
            </w:r>
            <w:r>
              <w:rPr>
                <w:rFonts w:hint="default"/>
                <w:spacing w:val="-2"/>
                <w:sz w:val="24"/>
                <w:szCs w:val="24"/>
                <w:highlight w:val="none"/>
                <w:lang w:val="en-US" w:eastAsia="zh-CN"/>
              </w:rPr>
              <w:t>不涉及自然保护区</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、风景名胜区、水源保护区等生态敏感区</w:t>
            </w:r>
            <w:r>
              <w:rPr>
                <w:rFonts w:hint="eastAsia"/>
                <w:color w:val="000000" w:themeColor="text1"/>
                <w:sz w:val="24"/>
                <w:szCs w:val="24"/>
                <w:highlight w:val="none"/>
                <w:lang w:val="en-US" w:eastAsia="zh-CN"/>
                <w14:textFill>
                  <w14:solidFill>
                    <w14:schemeClr w14:val="tx1"/>
                  </w14:solidFill>
                </w14:textFill>
              </w:rPr>
              <w:t>。常见野生动物名录见表3-5。</w:t>
            </w:r>
          </w:p>
          <w:p>
            <w:pPr>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eastAsia="zh-CN"/>
              </w:rPr>
              <w:t>表</w:t>
            </w:r>
            <w:r>
              <w:rPr>
                <w:rFonts w:hint="default" w:ascii="Times New Roman" w:hAnsi="Times New Roman" w:eastAsia="宋体" w:cs="Times New Roman"/>
                <w:highlight w:val="none"/>
                <w:lang w:val="en-US" w:eastAsia="zh-CN"/>
              </w:rPr>
              <w:t>3</w:t>
            </w:r>
            <w:r>
              <w:rPr>
                <w:rFonts w:hint="eastAsia" w:cs="Times New Roman"/>
                <w:highlight w:val="none"/>
                <w:lang w:val="en-US" w:eastAsia="zh-CN"/>
              </w:rPr>
              <w:t>-</w:t>
            </w:r>
            <w:r>
              <w:rPr>
                <w:rFonts w:hint="default" w:ascii="Times New Roman" w:hAnsi="Times New Roman" w:eastAsia="宋体" w:cs="Times New Roman"/>
                <w:highlight w:val="none"/>
                <w:lang w:val="en-US" w:eastAsia="zh-CN"/>
              </w:rPr>
              <w:t>5</w:t>
            </w:r>
            <w:r>
              <w:rPr>
                <w:rFonts w:hint="default" w:ascii="Times New Roman" w:hAnsi="Times New Roman" w:eastAsia="宋体" w:cs="Times New Roman"/>
                <w:highlight w:val="none"/>
              </w:rPr>
              <w:t>评价区内主要野生动物名录</w:t>
            </w:r>
          </w:p>
          <w:p>
            <w:pPr>
              <w:spacing w:line="82" w:lineRule="auto"/>
              <w:rPr>
                <w:rFonts w:ascii="Arial"/>
                <w:sz w:val="2"/>
                <w:highlight w:val="none"/>
              </w:rPr>
            </w:pPr>
          </w:p>
          <w:tbl>
            <w:tblPr>
              <w:tblStyle w:val="41"/>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748"/>
              <w:gridCol w:w="1309"/>
              <w:gridCol w:w="1592"/>
              <w:gridCol w:w="1529"/>
              <w:gridCol w:w="1519"/>
              <w:gridCol w:w="2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7"/>
                      <w:sz w:val="21"/>
                      <w:szCs w:val="21"/>
                      <w:highlight w:val="none"/>
                    </w:rPr>
                    <w:t>物种名称</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z w:val="21"/>
                      <w:szCs w:val="21"/>
                      <w:highlight w:val="none"/>
                    </w:rPr>
                    <w:t>纲</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z w:val="21"/>
                      <w:szCs w:val="21"/>
                      <w:highlight w:val="none"/>
                    </w:rPr>
                    <w:t>目</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z w:val="21"/>
                      <w:szCs w:val="21"/>
                      <w:highlight w:val="none"/>
                    </w:rPr>
                    <w:t>科</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z w:val="21"/>
                      <w:szCs w:val="21"/>
                      <w:highlight w:val="none"/>
                    </w:rPr>
                    <w:t>属</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4"/>
                      <w:sz w:val="21"/>
                      <w:szCs w:val="21"/>
                      <w:highlight w:val="none"/>
                    </w:rPr>
                    <w:t>保护</w:t>
                  </w:r>
                  <w:r>
                    <w:rPr>
                      <w:spacing w:val="3"/>
                      <w:sz w:val="21"/>
                      <w:szCs w:val="21"/>
                      <w:highlight w:val="none"/>
                    </w:rPr>
                    <w:t>等级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3"/>
                      <w:sz w:val="21"/>
                      <w:szCs w:val="21"/>
                      <w:highlight w:val="none"/>
                    </w:rPr>
                    <w:t>喜鹊</w:t>
                  </w:r>
                  <w:r>
                    <w:rPr>
                      <w:rFonts w:hint="eastAsia" w:eastAsia="宋体"/>
                      <w:spacing w:val="24"/>
                      <w:sz w:val="21"/>
                      <w:szCs w:val="21"/>
                      <w:highlight w:val="none"/>
                      <w:lang w:eastAsia="zh-CN"/>
                    </w:rPr>
                    <w:t>（</w:t>
                  </w:r>
                  <w:r>
                    <w:rPr>
                      <w:rFonts w:ascii="Times New Roman" w:hAnsi="Times New Roman" w:eastAsia="Times New Roman" w:cs="Times New Roman"/>
                      <w:i/>
                      <w:iCs/>
                      <w:sz w:val="21"/>
                      <w:szCs w:val="21"/>
                      <w:highlight w:val="none"/>
                    </w:rPr>
                    <w:t>Pica</w:t>
                  </w:r>
                  <w:r>
                    <w:rPr>
                      <w:rFonts w:ascii="Times New Roman" w:hAnsi="Times New Roman" w:eastAsia="Times New Roman" w:cs="Times New Roman"/>
                      <w:i/>
                      <w:iCs/>
                      <w:spacing w:val="-19"/>
                      <w:sz w:val="21"/>
                      <w:szCs w:val="21"/>
                      <w:highlight w:val="none"/>
                    </w:rPr>
                    <w:t xml:space="preserve"> </w:t>
                  </w:r>
                  <w:r>
                    <w:rPr>
                      <w:rFonts w:ascii="Times New Roman" w:hAnsi="Times New Roman" w:eastAsia="Times New Roman" w:cs="Times New Roman"/>
                      <w:i/>
                      <w:iCs/>
                      <w:sz w:val="21"/>
                      <w:szCs w:val="21"/>
                      <w:highlight w:val="none"/>
                    </w:rPr>
                    <w:t>pica</w:t>
                  </w:r>
                  <w:r>
                    <w:rPr>
                      <w:spacing w:val="24"/>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2"/>
                      <w:sz w:val="21"/>
                      <w:szCs w:val="21"/>
                      <w:highlight w:val="none"/>
                    </w:rPr>
                    <w:t>鸟纲</w:t>
                  </w:r>
                  <w:r>
                    <w:rPr>
                      <w:rFonts w:hint="eastAsia" w:eastAsia="宋体" w:cs="Times New Roman"/>
                      <w:i/>
                      <w:iCs/>
                      <w:spacing w:val="6"/>
                      <w:position w:val="3"/>
                      <w:sz w:val="21"/>
                      <w:szCs w:val="21"/>
                      <w:highlight w:val="none"/>
                      <w:lang w:eastAsia="zh-CN"/>
                    </w:rPr>
                    <w:t>（</w:t>
                  </w:r>
                  <w:r>
                    <w:rPr>
                      <w:rFonts w:ascii="Times New Roman" w:hAnsi="Times New Roman" w:eastAsia="Times New Roman" w:cs="Times New Roman"/>
                      <w:i/>
                      <w:iCs/>
                      <w:position w:val="3"/>
                      <w:sz w:val="21"/>
                      <w:szCs w:val="21"/>
                      <w:highlight w:val="none"/>
                    </w:rPr>
                    <w:t>Aves</w:t>
                  </w:r>
                  <w:r>
                    <w:rPr>
                      <w:rFonts w:hint="eastAsia" w:eastAsia="宋体" w:cs="Times New Roman"/>
                      <w:i/>
                      <w:iCs/>
                      <w:spacing w:val="6"/>
                      <w:position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6"/>
                      <w:sz w:val="21"/>
                      <w:szCs w:val="21"/>
                      <w:highlight w:val="none"/>
                    </w:rPr>
                    <w:t>雀形目</w:t>
                  </w:r>
                  <w:r>
                    <w:rPr>
                      <w:rFonts w:hint="eastAsia" w:eastAsia="宋体" w:cs="Times New Roman"/>
                      <w:spacing w:val="3"/>
                      <w:position w:val="3"/>
                      <w:sz w:val="21"/>
                      <w:szCs w:val="21"/>
                      <w:highlight w:val="none"/>
                      <w:lang w:eastAsia="zh-CN"/>
                    </w:rPr>
                    <w:t>（</w:t>
                  </w:r>
                  <w:r>
                    <w:rPr>
                      <w:rFonts w:ascii="Times New Roman" w:hAnsi="Times New Roman" w:eastAsia="Times New Roman" w:cs="Times New Roman"/>
                      <w:i/>
                      <w:iCs/>
                      <w:spacing w:val="3"/>
                      <w:position w:val="3"/>
                      <w:sz w:val="21"/>
                      <w:szCs w:val="21"/>
                      <w:highlight w:val="none"/>
                    </w:rPr>
                    <w:t>Passeriformes</w:t>
                  </w:r>
                  <w:r>
                    <w:rPr>
                      <w:rFonts w:hint="eastAsia" w:eastAsia="宋体" w:cs="Times New Roman"/>
                      <w:spacing w:val="3"/>
                      <w:position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4"/>
                      <w:sz w:val="21"/>
                      <w:szCs w:val="21"/>
                      <w:highlight w:val="none"/>
                    </w:rPr>
                    <w:t>鸦科</w:t>
                  </w:r>
                  <w:r>
                    <w:rPr>
                      <w:rFonts w:hint="eastAsia" w:eastAsia="宋体" w:cs="Times New Roman"/>
                      <w:spacing w:val="16"/>
                      <w:position w:val="3"/>
                      <w:sz w:val="21"/>
                      <w:szCs w:val="21"/>
                      <w:highlight w:val="none"/>
                      <w:lang w:eastAsia="zh-CN"/>
                    </w:rPr>
                    <w:t>（</w:t>
                  </w:r>
                  <w:r>
                    <w:rPr>
                      <w:rFonts w:ascii="Times New Roman" w:hAnsi="Times New Roman" w:eastAsia="Times New Roman" w:cs="Times New Roman"/>
                      <w:i/>
                      <w:iCs/>
                      <w:position w:val="3"/>
                      <w:sz w:val="21"/>
                      <w:szCs w:val="21"/>
                      <w:highlight w:val="none"/>
                    </w:rPr>
                    <w:t>Cor</w:t>
                  </w:r>
                  <w:r>
                    <w:rPr>
                      <w:rFonts w:hint="eastAsia" w:ascii="Times New Roman" w:hAnsi="Times New Roman" w:eastAsia="宋体" w:cs="Times New Roman"/>
                      <w:i/>
                      <w:iCs/>
                      <w:position w:val="3"/>
                      <w:sz w:val="21"/>
                      <w:szCs w:val="21"/>
                      <w:highlight w:val="none"/>
                      <w:lang w:eastAsia="zh-CN"/>
                    </w:rPr>
                    <w:t>Ⅵ</w:t>
                  </w:r>
                  <w:r>
                    <w:rPr>
                      <w:rFonts w:ascii="Times New Roman" w:hAnsi="Times New Roman" w:eastAsia="Times New Roman" w:cs="Times New Roman"/>
                      <w:i/>
                      <w:iCs/>
                      <w:position w:val="3"/>
                      <w:sz w:val="21"/>
                      <w:szCs w:val="21"/>
                      <w:highlight w:val="none"/>
                    </w:rPr>
                    <w:t>dae</w:t>
                  </w:r>
                  <w:r>
                    <w:rPr>
                      <w:rFonts w:hint="eastAsia" w:eastAsia="宋体" w:cs="Times New Roman"/>
                      <w:spacing w:val="16"/>
                      <w:position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5"/>
                      <w:position w:val="5"/>
                      <w:sz w:val="21"/>
                      <w:szCs w:val="21"/>
                      <w:highlight w:val="none"/>
                    </w:rPr>
                    <w:t>鹊属</w:t>
                  </w:r>
                  <w:r>
                    <w:rPr>
                      <w:rFonts w:hint="eastAsia" w:eastAsia="宋体" w:cs="Times New Roman"/>
                      <w:spacing w:val="7"/>
                      <w:sz w:val="21"/>
                      <w:szCs w:val="21"/>
                      <w:highlight w:val="none"/>
                      <w:lang w:eastAsia="zh-CN"/>
                    </w:rPr>
                    <w:t>（</w:t>
                  </w:r>
                  <w:r>
                    <w:rPr>
                      <w:rFonts w:ascii="Times New Roman" w:hAnsi="Times New Roman" w:eastAsia="Times New Roman" w:cs="Times New Roman"/>
                      <w:i/>
                      <w:iCs/>
                      <w:sz w:val="21"/>
                      <w:szCs w:val="21"/>
                      <w:highlight w:val="none"/>
                    </w:rPr>
                    <w:t>Pica</w:t>
                  </w:r>
                  <w:r>
                    <w:rPr>
                      <w:rFonts w:hint="eastAsia" w:eastAsia="宋体" w:cs="Times New Roman"/>
                      <w:spacing w:val="7"/>
                      <w:sz w:val="21"/>
                      <w:szCs w:val="21"/>
                      <w:highlight w:val="none"/>
                      <w:lang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4"/>
                      <w:sz w:val="21"/>
                      <w:szCs w:val="21"/>
                      <w:highlight w:val="none"/>
                    </w:rPr>
                    <w:t>石鸡</w:t>
                  </w:r>
                  <w:r>
                    <w:rPr>
                      <w:rFonts w:hint="eastAsia" w:eastAsia="宋体"/>
                      <w:spacing w:val="20"/>
                      <w:position w:val="1"/>
                      <w:sz w:val="21"/>
                      <w:szCs w:val="21"/>
                      <w:highlight w:val="none"/>
                      <w:lang w:eastAsia="zh-CN"/>
                    </w:rPr>
                    <w:t>（</w:t>
                  </w:r>
                  <w:r>
                    <w:rPr>
                      <w:rFonts w:ascii="Times New Roman" w:hAnsi="Times New Roman" w:eastAsia="Times New Roman" w:cs="Times New Roman"/>
                      <w:position w:val="1"/>
                      <w:sz w:val="21"/>
                      <w:szCs w:val="21"/>
                      <w:highlight w:val="none"/>
                    </w:rPr>
                    <w:t>Alectoris</w:t>
                  </w:r>
                  <w:r>
                    <w:rPr>
                      <w:rFonts w:ascii="Times New Roman" w:hAnsi="Times New Roman" w:eastAsia="Times New Roman" w:cs="Times New Roman"/>
                      <w:spacing w:val="20"/>
                      <w:position w:val="1"/>
                      <w:sz w:val="21"/>
                      <w:szCs w:val="21"/>
                      <w:highlight w:val="none"/>
                    </w:rPr>
                    <w:t xml:space="preserve"> </w:t>
                  </w:r>
                  <w:r>
                    <w:rPr>
                      <w:rFonts w:ascii="Times New Roman" w:hAnsi="Times New Roman" w:eastAsia="Times New Roman" w:cs="Times New Roman"/>
                      <w:i/>
                      <w:iCs/>
                      <w:position w:val="1"/>
                      <w:sz w:val="21"/>
                      <w:szCs w:val="21"/>
                      <w:highlight w:val="none"/>
                    </w:rPr>
                    <w:t>chukar</w:t>
                  </w:r>
                  <w:r>
                    <w:rPr>
                      <w:spacing w:val="20"/>
                      <w:position w:val="1"/>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2"/>
                      <w:sz w:val="21"/>
                      <w:szCs w:val="21"/>
                      <w:highlight w:val="none"/>
                    </w:rPr>
                    <w:t>鸟纲</w:t>
                  </w:r>
                  <w:r>
                    <w:rPr>
                      <w:rFonts w:hint="eastAsia" w:eastAsia="宋体" w:cs="Times New Roman"/>
                      <w:i/>
                      <w:iCs/>
                      <w:spacing w:val="6"/>
                      <w:position w:val="3"/>
                      <w:sz w:val="21"/>
                      <w:szCs w:val="21"/>
                      <w:highlight w:val="none"/>
                      <w:lang w:eastAsia="zh-CN"/>
                    </w:rPr>
                    <w:t>（</w:t>
                  </w:r>
                  <w:r>
                    <w:rPr>
                      <w:rFonts w:ascii="Times New Roman" w:hAnsi="Times New Roman" w:eastAsia="Times New Roman" w:cs="Times New Roman"/>
                      <w:i/>
                      <w:iCs/>
                      <w:position w:val="3"/>
                      <w:sz w:val="21"/>
                      <w:szCs w:val="21"/>
                      <w:highlight w:val="none"/>
                    </w:rPr>
                    <w:t>Aves</w:t>
                  </w:r>
                  <w:r>
                    <w:rPr>
                      <w:rFonts w:hint="eastAsia" w:eastAsia="宋体" w:cs="Times New Roman"/>
                      <w:i/>
                      <w:iCs/>
                      <w:spacing w:val="6"/>
                      <w:position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7"/>
                      <w:sz w:val="21"/>
                      <w:szCs w:val="21"/>
                      <w:highlight w:val="none"/>
                    </w:rPr>
                    <w:t>鸡形目</w:t>
                  </w:r>
                  <w:r>
                    <w:rPr>
                      <w:rFonts w:hint="eastAsia" w:eastAsia="宋体"/>
                      <w:spacing w:val="21"/>
                      <w:position w:val="3"/>
                      <w:sz w:val="21"/>
                      <w:szCs w:val="21"/>
                      <w:highlight w:val="none"/>
                      <w:lang w:eastAsia="zh-CN"/>
                    </w:rPr>
                    <w:t>（</w:t>
                  </w:r>
                  <w:r>
                    <w:rPr>
                      <w:rFonts w:ascii="Times New Roman" w:hAnsi="Times New Roman" w:eastAsia="Times New Roman" w:cs="Times New Roman"/>
                      <w:i/>
                      <w:iCs/>
                      <w:position w:val="3"/>
                      <w:sz w:val="21"/>
                      <w:szCs w:val="21"/>
                      <w:highlight w:val="none"/>
                    </w:rPr>
                    <w:t>Galliformes</w:t>
                  </w:r>
                  <w:r>
                    <w:rPr>
                      <w:spacing w:val="21"/>
                      <w:position w:val="3"/>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3"/>
                      <w:sz w:val="21"/>
                      <w:szCs w:val="21"/>
                      <w:highlight w:val="none"/>
                    </w:rPr>
                    <w:t>雉科</w:t>
                  </w:r>
                  <w:r>
                    <w:rPr>
                      <w:rFonts w:hint="eastAsia" w:eastAsia="宋体"/>
                      <w:spacing w:val="22"/>
                      <w:position w:val="1"/>
                      <w:sz w:val="21"/>
                      <w:szCs w:val="21"/>
                      <w:highlight w:val="none"/>
                      <w:lang w:eastAsia="zh-CN"/>
                    </w:rPr>
                    <w:t>（</w:t>
                  </w:r>
                  <w:r>
                    <w:rPr>
                      <w:rFonts w:ascii="Times New Roman" w:hAnsi="Times New Roman" w:eastAsia="Times New Roman" w:cs="Times New Roman"/>
                      <w:i/>
                      <w:iCs/>
                      <w:position w:val="1"/>
                      <w:sz w:val="21"/>
                      <w:szCs w:val="21"/>
                      <w:highlight w:val="none"/>
                    </w:rPr>
                    <w:t>Phasianidae</w:t>
                  </w:r>
                  <w:r>
                    <w:rPr>
                      <w:spacing w:val="22"/>
                      <w:position w:val="1"/>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6"/>
                      <w:sz w:val="21"/>
                      <w:szCs w:val="21"/>
                      <w:highlight w:val="none"/>
                    </w:rPr>
                    <w:t>石鸡属</w:t>
                  </w:r>
                  <w:r>
                    <w:rPr>
                      <w:rFonts w:hint="eastAsia"/>
                      <w:spacing w:val="7"/>
                      <w:sz w:val="21"/>
                      <w:szCs w:val="21"/>
                      <w:highlight w:val="none"/>
                      <w:lang w:eastAsia="zh-CN"/>
                    </w:rPr>
                    <w:t>（</w:t>
                  </w:r>
                  <w:r>
                    <w:rPr>
                      <w:rFonts w:ascii="Times New Roman" w:hAnsi="Times New Roman" w:eastAsia="Times New Roman" w:cs="Times New Roman"/>
                      <w:i/>
                      <w:iCs/>
                      <w:sz w:val="21"/>
                      <w:szCs w:val="21"/>
                      <w:highlight w:val="none"/>
                    </w:rPr>
                    <w:t>Alectoris</w:t>
                  </w:r>
                  <w:r>
                    <w:rPr>
                      <w:spacing w:val="7"/>
                      <w:sz w:val="21"/>
                      <w:szCs w:val="21"/>
                      <w:highlight w:val="none"/>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2"/>
                      <w:sz w:val="21"/>
                      <w:szCs w:val="21"/>
                      <w:highlight w:val="none"/>
                    </w:rPr>
                    <w:t>戴胜</w:t>
                  </w:r>
                  <w:r>
                    <w:rPr>
                      <w:rFonts w:hint="eastAsia" w:eastAsia="宋体"/>
                      <w:spacing w:val="14"/>
                      <w:sz w:val="21"/>
                      <w:szCs w:val="21"/>
                      <w:highlight w:val="none"/>
                      <w:lang w:eastAsia="zh-CN"/>
                    </w:rPr>
                    <w:t>（</w:t>
                  </w:r>
                  <w:r>
                    <w:rPr>
                      <w:rFonts w:ascii="Times New Roman" w:hAnsi="Times New Roman" w:eastAsia="Times New Roman" w:cs="Times New Roman"/>
                      <w:sz w:val="21"/>
                      <w:szCs w:val="21"/>
                      <w:highlight w:val="none"/>
                    </w:rPr>
                    <w:t>Upupa</w:t>
                  </w:r>
                  <w:r>
                    <w:rPr>
                      <w:rFonts w:ascii="Times New Roman" w:hAnsi="Times New Roman" w:eastAsia="Times New Roman" w:cs="Times New Roman"/>
                      <w:spacing w:val="14"/>
                      <w:sz w:val="21"/>
                      <w:szCs w:val="21"/>
                      <w:highlight w:val="none"/>
                    </w:rPr>
                    <w:t xml:space="preserve"> </w:t>
                  </w:r>
                  <w:r>
                    <w:rPr>
                      <w:rFonts w:ascii="Times New Roman" w:hAnsi="Times New Roman" w:eastAsia="Times New Roman" w:cs="Times New Roman"/>
                      <w:sz w:val="21"/>
                      <w:szCs w:val="21"/>
                      <w:highlight w:val="none"/>
                    </w:rPr>
                    <w:t>epops</w:t>
                  </w:r>
                  <w:r>
                    <w:rPr>
                      <w:spacing w:val="14"/>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2"/>
                      <w:position w:val="5"/>
                      <w:sz w:val="21"/>
                      <w:szCs w:val="21"/>
                      <w:highlight w:val="none"/>
                    </w:rPr>
                    <w:t>鸟纲</w:t>
                  </w:r>
                  <w:r>
                    <w:rPr>
                      <w:rFonts w:hint="eastAsia" w:eastAsia="宋体" w:cs="Times New Roman"/>
                      <w:spacing w:val="9"/>
                      <w:sz w:val="21"/>
                      <w:szCs w:val="21"/>
                      <w:highlight w:val="none"/>
                      <w:lang w:eastAsia="zh-CN"/>
                    </w:rPr>
                    <w:t>（</w:t>
                  </w:r>
                  <w:r>
                    <w:rPr>
                      <w:rFonts w:ascii="Times New Roman" w:hAnsi="Times New Roman" w:eastAsia="Times New Roman" w:cs="Times New Roman"/>
                      <w:i/>
                      <w:iCs/>
                      <w:sz w:val="21"/>
                      <w:szCs w:val="21"/>
                      <w:highlight w:val="none"/>
                    </w:rPr>
                    <w:t>Aves</w:t>
                  </w:r>
                  <w:r>
                    <w:rPr>
                      <w:rFonts w:hint="eastAsia" w:eastAsia="宋体" w:cs="Times New Roman"/>
                      <w:spacing w:val="9"/>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6"/>
                      <w:sz w:val="21"/>
                      <w:szCs w:val="21"/>
                      <w:highlight w:val="none"/>
                    </w:rPr>
                    <w:t>犀鸟目</w:t>
                  </w:r>
                  <w:r>
                    <w:rPr>
                      <w:rFonts w:hint="eastAsia" w:eastAsia="宋体"/>
                      <w:spacing w:val="-5"/>
                      <w:position w:val="3"/>
                      <w:sz w:val="21"/>
                      <w:szCs w:val="21"/>
                      <w:highlight w:val="none"/>
                      <w:lang w:eastAsia="zh-CN"/>
                    </w:rPr>
                    <w:t>（</w:t>
                  </w:r>
                  <w:r>
                    <w:rPr>
                      <w:rFonts w:ascii="Times New Roman" w:hAnsi="Times New Roman" w:eastAsia="Times New Roman" w:cs="Times New Roman"/>
                      <w:i/>
                      <w:iCs/>
                      <w:spacing w:val="-5"/>
                      <w:position w:val="3"/>
                      <w:sz w:val="21"/>
                      <w:szCs w:val="21"/>
                      <w:highlight w:val="none"/>
                    </w:rPr>
                    <w:t>Bucerotiformes</w:t>
                  </w:r>
                  <w:r>
                    <w:rPr>
                      <w:spacing w:val="-5"/>
                      <w:position w:val="3"/>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5"/>
                      <w:sz w:val="21"/>
                      <w:szCs w:val="21"/>
                      <w:highlight w:val="none"/>
                    </w:rPr>
                    <w:t>戴胜科</w:t>
                  </w:r>
                  <w:r>
                    <w:rPr>
                      <w:rFonts w:hint="eastAsia" w:eastAsia="宋体"/>
                      <w:spacing w:val="16"/>
                      <w:position w:val="3"/>
                      <w:sz w:val="21"/>
                      <w:szCs w:val="21"/>
                      <w:highlight w:val="none"/>
                      <w:lang w:eastAsia="zh-CN"/>
                    </w:rPr>
                    <w:t>（</w:t>
                  </w:r>
                  <w:r>
                    <w:rPr>
                      <w:rFonts w:ascii="Times New Roman" w:hAnsi="Times New Roman" w:eastAsia="Times New Roman" w:cs="Times New Roman"/>
                      <w:i/>
                      <w:iCs/>
                      <w:position w:val="3"/>
                      <w:sz w:val="21"/>
                      <w:szCs w:val="21"/>
                      <w:highlight w:val="none"/>
                    </w:rPr>
                    <w:t>Upupidae</w:t>
                  </w:r>
                  <w:r>
                    <w:rPr>
                      <w:spacing w:val="16"/>
                      <w:position w:val="3"/>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5"/>
                      <w:sz w:val="21"/>
                      <w:szCs w:val="21"/>
                      <w:highlight w:val="none"/>
                    </w:rPr>
                    <w:t>戴胜属</w:t>
                  </w:r>
                  <w:r>
                    <w:rPr>
                      <w:rFonts w:hint="eastAsia"/>
                      <w:spacing w:val="3"/>
                      <w:sz w:val="21"/>
                      <w:szCs w:val="21"/>
                      <w:highlight w:val="none"/>
                      <w:lang w:eastAsia="zh-CN"/>
                    </w:rPr>
                    <w:t>（</w:t>
                  </w:r>
                  <w:r>
                    <w:rPr>
                      <w:rFonts w:ascii="Times New Roman" w:hAnsi="Times New Roman" w:eastAsia="Times New Roman" w:cs="Times New Roman"/>
                      <w:i/>
                      <w:iCs/>
                      <w:sz w:val="21"/>
                      <w:szCs w:val="21"/>
                      <w:highlight w:val="none"/>
                    </w:rPr>
                    <w:t>Upupa</w:t>
                  </w:r>
                  <w:r>
                    <w:rPr>
                      <w:spacing w:val="3"/>
                      <w:sz w:val="21"/>
                      <w:szCs w:val="21"/>
                      <w:highlight w:val="none"/>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7"/>
                      <w:sz w:val="21"/>
                      <w:szCs w:val="21"/>
                      <w:highlight w:val="none"/>
                    </w:rPr>
                    <w:t>毛腿沙鸡</w:t>
                  </w:r>
                  <w:r>
                    <w:rPr>
                      <w:rFonts w:hint="eastAsia" w:eastAsia="宋体"/>
                      <w:spacing w:val="24"/>
                      <w:sz w:val="21"/>
                      <w:szCs w:val="21"/>
                      <w:highlight w:val="none"/>
                      <w:lang w:eastAsia="zh-CN"/>
                    </w:rPr>
                    <w:t>（</w:t>
                  </w:r>
                  <w:r>
                    <w:rPr>
                      <w:rFonts w:ascii="Times New Roman" w:hAnsi="Times New Roman" w:eastAsia="Times New Roman" w:cs="Times New Roman"/>
                      <w:sz w:val="21"/>
                      <w:szCs w:val="21"/>
                      <w:highlight w:val="none"/>
                    </w:rPr>
                    <w:t>Syrrhaptes</w:t>
                  </w:r>
                  <w:r>
                    <w:rPr>
                      <w:rFonts w:ascii="Times New Roman" w:hAnsi="Times New Roman" w:eastAsia="Times New Roman" w:cs="Times New Roman"/>
                      <w:spacing w:val="24"/>
                      <w:sz w:val="21"/>
                      <w:szCs w:val="21"/>
                      <w:highlight w:val="none"/>
                    </w:rPr>
                    <w:t xml:space="preserve"> </w:t>
                  </w:r>
                  <w:r>
                    <w:rPr>
                      <w:rFonts w:ascii="Times New Roman" w:hAnsi="Times New Roman" w:eastAsia="Times New Roman" w:cs="Times New Roman"/>
                      <w:sz w:val="21"/>
                      <w:szCs w:val="21"/>
                      <w:highlight w:val="none"/>
                    </w:rPr>
                    <w:t>paradoxus</w:t>
                  </w:r>
                  <w:r>
                    <w:rPr>
                      <w:spacing w:val="24"/>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2"/>
                      <w:position w:val="6"/>
                      <w:sz w:val="21"/>
                      <w:szCs w:val="21"/>
                      <w:highlight w:val="none"/>
                    </w:rPr>
                    <w:t>鸟纲</w:t>
                  </w:r>
                  <w:r>
                    <w:rPr>
                      <w:rFonts w:hint="eastAsia" w:eastAsia="宋体" w:cs="Times New Roman"/>
                      <w:spacing w:val="9"/>
                      <w:sz w:val="21"/>
                      <w:szCs w:val="21"/>
                      <w:highlight w:val="none"/>
                      <w:lang w:eastAsia="zh-CN"/>
                    </w:rPr>
                    <w:t>（</w:t>
                  </w:r>
                  <w:r>
                    <w:rPr>
                      <w:rFonts w:ascii="Times New Roman" w:hAnsi="Times New Roman" w:eastAsia="Times New Roman" w:cs="Times New Roman"/>
                      <w:i/>
                      <w:iCs/>
                      <w:sz w:val="21"/>
                      <w:szCs w:val="21"/>
                      <w:highlight w:val="none"/>
                    </w:rPr>
                    <w:t>Aves</w:t>
                  </w:r>
                  <w:r>
                    <w:rPr>
                      <w:rFonts w:hint="eastAsia" w:eastAsia="宋体" w:cs="Times New Roman"/>
                      <w:spacing w:val="9"/>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7"/>
                      <w:sz w:val="21"/>
                      <w:szCs w:val="21"/>
                      <w:highlight w:val="none"/>
                    </w:rPr>
                    <w:t>鹳形目</w:t>
                  </w:r>
                  <w:r>
                    <w:rPr>
                      <w:rFonts w:hint="eastAsia" w:eastAsia="宋体" w:cs="Times New Roman"/>
                      <w:spacing w:val="3"/>
                      <w:position w:val="3"/>
                      <w:sz w:val="21"/>
                      <w:szCs w:val="21"/>
                      <w:highlight w:val="none"/>
                      <w:lang w:eastAsia="zh-CN"/>
                    </w:rPr>
                    <w:t>（</w:t>
                  </w:r>
                  <w:r>
                    <w:rPr>
                      <w:rFonts w:ascii="Times New Roman" w:hAnsi="Times New Roman" w:eastAsia="Times New Roman" w:cs="Times New Roman"/>
                      <w:i/>
                      <w:iCs/>
                      <w:spacing w:val="3"/>
                      <w:position w:val="3"/>
                      <w:sz w:val="21"/>
                      <w:szCs w:val="21"/>
                      <w:highlight w:val="none"/>
                    </w:rPr>
                    <w:t>Ciconiiformes</w:t>
                  </w:r>
                  <w:r>
                    <w:rPr>
                      <w:rFonts w:hint="eastAsia" w:eastAsia="宋体" w:cs="Times New Roman"/>
                      <w:spacing w:val="3"/>
                      <w:position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6"/>
                      <w:sz w:val="21"/>
                      <w:szCs w:val="21"/>
                      <w:highlight w:val="none"/>
                    </w:rPr>
                    <w:t>沙鸡科</w:t>
                  </w:r>
                  <w:r>
                    <w:rPr>
                      <w:rFonts w:hint="eastAsia" w:eastAsia="宋体" w:cs="Times New Roman"/>
                      <w:spacing w:val="3"/>
                      <w:position w:val="3"/>
                      <w:sz w:val="21"/>
                      <w:szCs w:val="21"/>
                      <w:highlight w:val="none"/>
                      <w:lang w:eastAsia="zh-CN"/>
                    </w:rPr>
                    <w:t>（</w:t>
                  </w:r>
                  <w:r>
                    <w:rPr>
                      <w:rFonts w:ascii="Times New Roman" w:hAnsi="Times New Roman" w:eastAsia="Times New Roman" w:cs="Times New Roman"/>
                      <w:i/>
                      <w:iCs/>
                      <w:spacing w:val="3"/>
                      <w:position w:val="3"/>
                      <w:sz w:val="21"/>
                      <w:szCs w:val="21"/>
                      <w:highlight w:val="none"/>
                    </w:rPr>
                    <w:t>Pteroclididae</w:t>
                  </w:r>
                  <w:r>
                    <w:rPr>
                      <w:rFonts w:hint="eastAsia" w:eastAsia="宋体" w:cs="Times New Roman"/>
                      <w:spacing w:val="3"/>
                      <w:position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8"/>
                      <w:sz w:val="21"/>
                      <w:szCs w:val="21"/>
                      <w:highlight w:val="none"/>
                    </w:rPr>
                    <w:t>毛腿沙鸡属</w:t>
                  </w:r>
                  <w:r>
                    <w:rPr>
                      <w:rFonts w:hint="eastAsia" w:ascii="Times New Roman" w:hAnsi="Times New Roman" w:eastAsia="宋体" w:cs="Times New Roman"/>
                      <w:spacing w:val="19"/>
                      <w:sz w:val="21"/>
                      <w:szCs w:val="21"/>
                      <w:highlight w:val="none"/>
                      <w:lang w:eastAsia="zh-CN"/>
                    </w:rPr>
                    <w:t>（</w:t>
                  </w:r>
                  <w:r>
                    <w:rPr>
                      <w:rFonts w:ascii="Times New Roman" w:hAnsi="Times New Roman" w:eastAsia="Times New Roman" w:cs="Times New Roman"/>
                      <w:i/>
                      <w:iCs/>
                      <w:sz w:val="21"/>
                      <w:szCs w:val="21"/>
                      <w:highlight w:val="none"/>
                    </w:rPr>
                    <w:t>Syrrhaptes</w:t>
                  </w:r>
                  <w:r>
                    <w:rPr>
                      <w:rFonts w:hint="eastAsia" w:ascii="Times New Roman" w:hAnsi="Times New Roman" w:eastAsia="宋体" w:cs="Times New Roman"/>
                      <w:spacing w:val="19"/>
                      <w:sz w:val="21"/>
                      <w:szCs w:val="21"/>
                      <w:highlight w:val="none"/>
                      <w:lang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6"/>
                      <w:sz w:val="21"/>
                      <w:szCs w:val="21"/>
                      <w:highlight w:val="none"/>
                    </w:rPr>
                    <w:t>灰伯劳</w:t>
                  </w:r>
                  <w:r>
                    <w:rPr>
                      <w:rFonts w:hint="eastAsia" w:eastAsia="宋体"/>
                      <w:spacing w:val="21"/>
                      <w:position w:val="1"/>
                      <w:sz w:val="21"/>
                      <w:szCs w:val="21"/>
                      <w:highlight w:val="none"/>
                      <w:lang w:eastAsia="zh-CN"/>
                    </w:rPr>
                    <w:t>（</w:t>
                  </w:r>
                  <w:r>
                    <w:rPr>
                      <w:rFonts w:ascii="Times New Roman" w:hAnsi="Times New Roman" w:eastAsia="Times New Roman" w:cs="Times New Roman"/>
                      <w:position w:val="1"/>
                      <w:sz w:val="21"/>
                      <w:szCs w:val="21"/>
                      <w:highlight w:val="none"/>
                    </w:rPr>
                    <w:t>Lanius</w:t>
                  </w:r>
                  <w:r>
                    <w:rPr>
                      <w:rFonts w:ascii="Times New Roman" w:hAnsi="Times New Roman" w:eastAsia="Times New Roman" w:cs="Times New Roman"/>
                      <w:spacing w:val="21"/>
                      <w:position w:val="1"/>
                      <w:sz w:val="21"/>
                      <w:szCs w:val="21"/>
                      <w:highlight w:val="none"/>
                    </w:rPr>
                    <w:t xml:space="preserve"> </w:t>
                  </w:r>
                  <w:r>
                    <w:rPr>
                      <w:rFonts w:ascii="Times New Roman" w:hAnsi="Times New Roman" w:eastAsia="Times New Roman" w:cs="Times New Roman"/>
                      <w:i/>
                      <w:iCs/>
                      <w:position w:val="1"/>
                      <w:sz w:val="21"/>
                      <w:szCs w:val="21"/>
                      <w:highlight w:val="none"/>
                    </w:rPr>
                    <w:t>excubitor</w:t>
                  </w:r>
                  <w:r>
                    <w:rPr>
                      <w:spacing w:val="21"/>
                      <w:position w:val="1"/>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2"/>
                      <w:position w:val="5"/>
                      <w:sz w:val="21"/>
                      <w:szCs w:val="21"/>
                      <w:highlight w:val="none"/>
                    </w:rPr>
                    <w:t>鸟纲</w:t>
                  </w:r>
                  <w:r>
                    <w:rPr>
                      <w:rFonts w:hint="eastAsia" w:eastAsia="宋体" w:cs="Times New Roman"/>
                      <w:spacing w:val="9"/>
                      <w:sz w:val="21"/>
                      <w:szCs w:val="21"/>
                      <w:highlight w:val="none"/>
                      <w:lang w:eastAsia="zh-CN"/>
                    </w:rPr>
                    <w:t>（</w:t>
                  </w:r>
                  <w:r>
                    <w:rPr>
                      <w:rFonts w:ascii="Times New Roman" w:hAnsi="Times New Roman" w:eastAsia="Times New Roman" w:cs="Times New Roman"/>
                      <w:i/>
                      <w:iCs/>
                      <w:sz w:val="21"/>
                      <w:szCs w:val="21"/>
                      <w:highlight w:val="none"/>
                    </w:rPr>
                    <w:t>Aves</w:t>
                  </w:r>
                  <w:r>
                    <w:rPr>
                      <w:rFonts w:hint="eastAsia" w:eastAsia="宋体" w:cs="Times New Roman"/>
                      <w:spacing w:val="9"/>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6"/>
                      <w:sz w:val="21"/>
                      <w:szCs w:val="21"/>
                      <w:highlight w:val="none"/>
                    </w:rPr>
                    <w:t>雀形目</w:t>
                  </w:r>
                  <w:r>
                    <w:rPr>
                      <w:rFonts w:hint="eastAsia" w:eastAsia="宋体" w:cs="Times New Roman"/>
                      <w:spacing w:val="3"/>
                      <w:position w:val="3"/>
                      <w:sz w:val="21"/>
                      <w:szCs w:val="21"/>
                      <w:highlight w:val="none"/>
                      <w:lang w:eastAsia="zh-CN"/>
                    </w:rPr>
                    <w:t>（</w:t>
                  </w:r>
                  <w:r>
                    <w:rPr>
                      <w:rFonts w:ascii="Times New Roman" w:hAnsi="Times New Roman" w:eastAsia="Times New Roman" w:cs="Times New Roman"/>
                      <w:i/>
                      <w:iCs/>
                      <w:spacing w:val="3"/>
                      <w:position w:val="3"/>
                      <w:sz w:val="21"/>
                      <w:szCs w:val="21"/>
                      <w:highlight w:val="none"/>
                    </w:rPr>
                    <w:t>Passeriformes</w:t>
                  </w:r>
                  <w:r>
                    <w:rPr>
                      <w:rFonts w:hint="eastAsia" w:eastAsia="宋体" w:cs="Times New Roman"/>
                      <w:spacing w:val="3"/>
                      <w:position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6"/>
                      <w:sz w:val="21"/>
                      <w:szCs w:val="21"/>
                      <w:highlight w:val="none"/>
                    </w:rPr>
                    <w:t>伯劳科</w:t>
                  </w:r>
                  <w:r>
                    <w:rPr>
                      <w:rFonts w:hint="eastAsia"/>
                      <w:spacing w:val="9"/>
                      <w:sz w:val="21"/>
                      <w:szCs w:val="21"/>
                      <w:highlight w:val="none"/>
                      <w:lang w:eastAsia="zh-CN"/>
                    </w:rPr>
                    <w:t>（</w:t>
                  </w:r>
                  <w:r>
                    <w:rPr>
                      <w:rFonts w:ascii="Times New Roman" w:hAnsi="Times New Roman" w:eastAsia="Times New Roman" w:cs="Times New Roman"/>
                      <w:i/>
                      <w:iCs/>
                      <w:sz w:val="21"/>
                      <w:szCs w:val="21"/>
                      <w:highlight w:val="none"/>
                    </w:rPr>
                    <w:t>Laniidae</w:t>
                  </w:r>
                  <w:r>
                    <w:rPr>
                      <w:spacing w:val="9"/>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6"/>
                      <w:sz w:val="21"/>
                      <w:szCs w:val="21"/>
                      <w:highlight w:val="none"/>
                    </w:rPr>
                    <w:t>伯劳属</w:t>
                  </w:r>
                  <w:r>
                    <w:rPr>
                      <w:rFonts w:hint="eastAsia"/>
                      <w:spacing w:val="3"/>
                      <w:sz w:val="21"/>
                      <w:szCs w:val="21"/>
                      <w:highlight w:val="none"/>
                      <w:lang w:eastAsia="zh-CN"/>
                    </w:rPr>
                    <w:t>（</w:t>
                  </w:r>
                  <w:r>
                    <w:rPr>
                      <w:rFonts w:ascii="Times New Roman" w:hAnsi="Times New Roman" w:eastAsia="Times New Roman" w:cs="Times New Roman"/>
                      <w:i/>
                      <w:iCs/>
                      <w:sz w:val="21"/>
                      <w:szCs w:val="21"/>
                      <w:highlight w:val="none"/>
                    </w:rPr>
                    <w:t>Lanius</w:t>
                  </w:r>
                  <w:r>
                    <w:rPr>
                      <w:spacing w:val="3"/>
                      <w:sz w:val="21"/>
                      <w:szCs w:val="21"/>
                      <w:highlight w:val="none"/>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6"/>
                      <w:sz w:val="21"/>
                      <w:szCs w:val="21"/>
                      <w:highlight w:val="none"/>
                    </w:rPr>
                    <w:t>家麻雀</w:t>
                  </w:r>
                  <w:r>
                    <w:rPr>
                      <w:rFonts w:hint="eastAsia" w:eastAsia="宋体" w:cs="Times New Roman"/>
                      <w:spacing w:val="4"/>
                      <w:position w:val="4"/>
                      <w:sz w:val="21"/>
                      <w:szCs w:val="21"/>
                      <w:highlight w:val="none"/>
                      <w:lang w:eastAsia="zh-CN"/>
                    </w:rPr>
                    <w:t>（</w:t>
                  </w:r>
                  <w:r>
                    <w:rPr>
                      <w:rFonts w:ascii="Times New Roman" w:hAnsi="Times New Roman" w:eastAsia="Times New Roman" w:cs="Times New Roman"/>
                      <w:i/>
                      <w:iCs/>
                      <w:spacing w:val="4"/>
                      <w:position w:val="4"/>
                      <w:sz w:val="21"/>
                      <w:szCs w:val="21"/>
                      <w:highlight w:val="none"/>
                    </w:rPr>
                    <w:t>Passer domesticus</w:t>
                  </w:r>
                  <w:r>
                    <w:rPr>
                      <w:rFonts w:ascii="Times New Roman" w:hAnsi="Times New Roman" w:eastAsia="Times New Roman" w:cs="Times New Roman"/>
                      <w:sz w:val="21"/>
                      <w:szCs w:val="21"/>
                      <w:highlight w:val="none"/>
                    </w:rPr>
                    <w:t>Laeus</w:t>
                  </w:r>
                  <w:r>
                    <w:rPr>
                      <w:rFonts w:ascii="Times New Roman" w:hAnsi="Times New Roman" w:eastAsia="Times New Roman" w:cs="Times New Roman"/>
                      <w:spacing w:val="12"/>
                      <w:sz w:val="21"/>
                      <w:szCs w:val="21"/>
                      <w:highlight w:val="none"/>
                    </w:rPr>
                    <w:t xml:space="preserve"> </w:t>
                  </w:r>
                  <w:r>
                    <w:rPr>
                      <w:rFonts w:hint="eastAsia" w:eastAsia="宋体" w:cs="Times New Roman"/>
                      <w:spacing w:val="12"/>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2"/>
                      <w:position w:val="5"/>
                      <w:sz w:val="21"/>
                      <w:szCs w:val="21"/>
                      <w:highlight w:val="none"/>
                    </w:rPr>
                    <w:t>鸟纲</w:t>
                  </w:r>
                  <w:r>
                    <w:rPr>
                      <w:rFonts w:hint="eastAsia" w:eastAsia="宋体" w:cs="Times New Roman"/>
                      <w:spacing w:val="7"/>
                      <w:sz w:val="21"/>
                      <w:szCs w:val="21"/>
                      <w:highlight w:val="none"/>
                      <w:lang w:eastAsia="zh-CN"/>
                    </w:rPr>
                    <w:t>（</w:t>
                  </w:r>
                  <w:r>
                    <w:rPr>
                      <w:rFonts w:ascii="Times New Roman" w:hAnsi="Times New Roman" w:eastAsia="Times New Roman" w:cs="Times New Roman"/>
                      <w:sz w:val="21"/>
                      <w:szCs w:val="21"/>
                      <w:highlight w:val="none"/>
                    </w:rPr>
                    <w:t>Aves</w:t>
                  </w:r>
                  <w:r>
                    <w:rPr>
                      <w:rFonts w:hint="eastAsia" w:eastAsia="宋体" w:cs="Times New Roman"/>
                      <w:spacing w:val="7"/>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6"/>
                      <w:sz w:val="21"/>
                      <w:szCs w:val="21"/>
                      <w:highlight w:val="none"/>
                    </w:rPr>
                    <w:t>雀形目</w:t>
                  </w:r>
                  <w:r>
                    <w:rPr>
                      <w:rFonts w:hint="eastAsia" w:eastAsia="宋体" w:cs="Times New Roman"/>
                      <w:spacing w:val="3"/>
                      <w:position w:val="4"/>
                      <w:sz w:val="21"/>
                      <w:szCs w:val="21"/>
                      <w:highlight w:val="none"/>
                      <w:lang w:eastAsia="zh-CN"/>
                    </w:rPr>
                    <w:t>（</w:t>
                  </w:r>
                  <w:r>
                    <w:rPr>
                      <w:rFonts w:ascii="Times New Roman" w:hAnsi="Times New Roman" w:eastAsia="Times New Roman" w:cs="Times New Roman"/>
                      <w:i/>
                      <w:iCs/>
                      <w:spacing w:val="3"/>
                      <w:position w:val="4"/>
                      <w:sz w:val="21"/>
                      <w:szCs w:val="21"/>
                      <w:highlight w:val="none"/>
                    </w:rPr>
                    <w:t>Passeriformes</w:t>
                  </w:r>
                  <w:r>
                    <w:rPr>
                      <w:rFonts w:hint="eastAsia" w:eastAsia="宋体" w:cs="Times New Roman"/>
                      <w:spacing w:val="3"/>
                      <w:position w:val="4"/>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6"/>
                      <w:sz w:val="21"/>
                      <w:szCs w:val="21"/>
                      <w:highlight w:val="none"/>
                    </w:rPr>
                    <w:t>文鸟科</w:t>
                  </w:r>
                  <w:r>
                    <w:rPr>
                      <w:rFonts w:hint="eastAsia" w:ascii="Times New Roman" w:hAnsi="Times New Roman" w:eastAsia="宋体" w:cs="Times New Roman"/>
                      <w:spacing w:val="17"/>
                      <w:sz w:val="21"/>
                      <w:szCs w:val="21"/>
                      <w:highlight w:val="none"/>
                      <w:lang w:eastAsia="zh-CN"/>
                    </w:rPr>
                    <w:t>（</w:t>
                  </w:r>
                  <w:r>
                    <w:rPr>
                      <w:rFonts w:ascii="Times New Roman" w:hAnsi="Times New Roman" w:eastAsia="Times New Roman" w:cs="Times New Roman"/>
                      <w:i/>
                      <w:iCs/>
                      <w:sz w:val="21"/>
                      <w:szCs w:val="21"/>
                      <w:highlight w:val="none"/>
                    </w:rPr>
                    <w:t>Ploceidae</w:t>
                  </w:r>
                  <w:r>
                    <w:rPr>
                      <w:rFonts w:hint="eastAsia" w:ascii="Times New Roman" w:hAnsi="Times New Roman" w:eastAsia="宋体" w:cs="Times New Roman"/>
                      <w:spacing w:val="17"/>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6"/>
                      <w:position w:val="5"/>
                      <w:sz w:val="21"/>
                      <w:szCs w:val="21"/>
                      <w:highlight w:val="none"/>
                    </w:rPr>
                    <w:t>麻雀属</w:t>
                  </w:r>
                  <w:r>
                    <w:rPr>
                      <w:rFonts w:hint="eastAsia" w:eastAsia="宋体" w:cs="Times New Roman"/>
                      <w:spacing w:val="12"/>
                      <w:sz w:val="21"/>
                      <w:szCs w:val="21"/>
                      <w:highlight w:val="none"/>
                      <w:lang w:eastAsia="zh-CN"/>
                    </w:rPr>
                    <w:t>（</w:t>
                  </w:r>
                  <w:r>
                    <w:rPr>
                      <w:rFonts w:ascii="Times New Roman" w:hAnsi="Times New Roman" w:eastAsia="Times New Roman" w:cs="Times New Roman"/>
                      <w:i/>
                      <w:iCs/>
                      <w:sz w:val="21"/>
                      <w:szCs w:val="21"/>
                      <w:highlight w:val="none"/>
                    </w:rPr>
                    <w:t>Passer</w:t>
                  </w:r>
                  <w:r>
                    <w:rPr>
                      <w:rFonts w:hint="eastAsia" w:eastAsia="宋体" w:cs="Times New Roman"/>
                      <w:spacing w:val="12"/>
                      <w:sz w:val="21"/>
                      <w:szCs w:val="21"/>
                      <w:highlight w:val="none"/>
                      <w:lang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4"/>
                      <w:sz w:val="21"/>
                      <w:szCs w:val="21"/>
                      <w:highlight w:val="none"/>
                    </w:rPr>
                    <w:t>鹌鹑</w:t>
                  </w:r>
                </w:p>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rFonts w:hint="eastAsia" w:eastAsia="宋体" w:cs="Times New Roman"/>
                      <w:spacing w:val="3"/>
                      <w:sz w:val="21"/>
                      <w:szCs w:val="21"/>
                      <w:highlight w:val="none"/>
                      <w:lang w:eastAsia="zh-CN"/>
                    </w:rPr>
                    <w:t>（</w:t>
                  </w:r>
                  <w:r>
                    <w:rPr>
                      <w:rFonts w:ascii="Times New Roman" w:hAnsi="Times New Roman" w:eastAsia="Times New Roman" w:cs="Times New Roman"/>
                      <w:i/>
                      <w:iCs/>
                      <w:spacing w:val="3"/>
                      <w:sz w:val="21"/>
                      <w:szCs w:val="21"/>
                      <w:highlight w:val="none"/>
                    </w:rPr>
                    <w:t>Coturnix coturnix</w:t>
                  </w:r>
                  <w:r>
                    <w:rPr>
                      <w:rFonts w:hint="eastAsia" w:eastAsia="宋体" w:cs="Times New Roman"/>
                      <w:spacing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2"/>
                      <w:position w:val="5"/>
                      <w:sz w:val="21"/>
                      <w:szCs w:val="21"/>
                      <w:highlight w:val="none"/>
                    </w:rPr>
                    <w:t>鸟纲</w:t>
                  </w:r>
                  <w:r>
                    <w:rPr>
                      <w:rFonts w:hint="eastAsia" w:eastAsia="宋体" w:cs="Times New Roman"/>
                      <w:spacing w:val="9"/>
                      <w:sz w:val="21"/>
                      <w:szCs w:val="21"/>
                      <w:highlight w:val="none"/>
                      <w:lang w:eastAsia="zh-CN"/>
                    </w:rPr>
                    <w:t>（</w:t>
                  </w:r>
                  <w:r>
                    <w:rPr>
                      <w:rFonts w:ascii="Times New Roman" w:hAnsi="Times New Roman" w:eastAsia="Times New Roman" w:cs="Times New Roman"/>
                      <w:i/>
                      <w:iCs/>
                      <w:sz w:val="21"/>
                      <w:szCs w:val="21"/>
                      <w:highlight w:val="none"/>
                    </w:rPr>
                    <w:t>Aves</w:t>
                  </w:r>
                  <w:r>
                    <w:rPr>
                      <w:rFonts w:hint="eastAsia" w:eastAsia="宋体" w:cs="Times New Roman"/>
                      <w:spacing w:val="9"/>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7"/>
                      <w:sz w:val="21"/>
                      <w:szCs w:val="21"/>
                      <w:highlight w:val="none"/>
                    </w:rPr>
                    <w:t>鸡形目</w:t>
                  </w:r>
                  <w:r>
                    <w:rPr>
                      <w:rFonts w:hint="eastAsia" w:eastAsia="宋体" w:cs="Times New Roman"/>
                      <w:spacing w:val="3"/>
                      <w:position w:val="3"/>
                      <w:sz w:val="21"/>
                      <w:szCs w:val="21"/>
                      <w:highlight w:val="none"/>
                      <w:lang w:eastAsia="zh-CN"/>
                    </w:rPr>
                    <w:t>（</w:t>
                  </w:r>
                  <w:r>
                    <w:rPr>
                      <w:rFonts w:ascii="Times New Roman" w:hAnsi="Times New Roman" w:eastAsia="Times New Roman" w:cs="Times New Roman"/>
                      <w:i/>
                      <w:iCs/>
                      <w:spacing w:val="3"/>
                      <w:position w:val="3"/>
                      <w:sz w:val="21"/>
                      <w:szCs w:val="21"/>
                      <w:highlight w:val="none"/>
                    </w:rPr>
                    <w:t>Galliformes</w:t>
                  </w:r>
                  <w:r>
                    <w:rPr>
                      <w:rFonts w:hint="eastAsia" w:eastAsia="宋体" w:cs="Times New Roman"/>
                      <w:spacing w:val="3"/>
                      <w:position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3"/>
                      <w:sz w:val="21"/>
                      <w:szCs w:val="21"/>
                      <w:highlight w:val="none"/>
                    </w:rPr>
                    <w:t>雉科</w:t>
                  </w:r>
                  <w:r>
                    <w:rPr>
                      <w:rFonts w:hint="eastAsia" w:eastAsia="宋体" w:cs="Times New Roman"/>
                      <w:spacing w:val="3"/>
                      <w:position w:val="3"/>
                      <w:sz w:val="21"/>
                      <w:szCs w:val="21"/>
                      <w:highlight w:val="none"/>
                      <w:lang w:eastAsia="zh-CN"/>
                    </w:rPr>
                    <w:t>（</w:t>
                  </w:r>
                  <w:r>
                    <w:rPr>
                      <w:rFonts w:ascii="Times New Roman" w:hAnsi="Times New Roman" w:eastAsia="Times New Roman" w:cs="Times New Roman"/>
                      <w:i/>
                      <w:iCs/>
                      <w:spacing w:val="3"/>
                      <w:position w:val="3"/>
                      <w:sz w:val="21"/>
                      <w:szCs w:val="21"/>
                      <w:highlight w:val="none"/>
                    </w:rPr>
                    <w:t>Phasianidae</w:t>
                  </w:r>
                  <w:r>
                    <w:rPr>
                      <w:rFonts w:hint="eastAsia" w:eastAsia="宋体" w:cs="Times New Roman"/>
                      <w:spacing w:val="3"/>
                      <w:position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4"/>
                      <w:sz w:val="21"/>
                      <w:szCs w:val="21"/>
                      <w:highlight w:val="none"/>
                    </w:rPr>
                    <w:t>鹑属</w:t>
                  </w:r>
                  <w:r>
                    <w:rPr>
                      <w:rFonts w:hint="eastAsia" w:eastAsia="宋体" w:cs="Times New Roman"/>
                      <w:spacing w:val="16"/>
                      <w:sz w:val="21"/>
                      <w:szCs w:val="21"/>
                      <w:highlight w:val="none"/>
                      <w:lang w:eastAsia="zh-CN"/>
                    </w:rPr>
                    <w:t>（</w:t>
                  </w:r>
                  <w:r>
                    <w:rPr>
                      <w:rFonts w:ascii="Times New Roman" w:hAnsi="Times New Roman" w:eastAsia="Times New Roman" w:cs="Times New Roman"/>
                      <w:i/>
                      <w:iCs/>
                      <w:sz w:val="21"/>
                      <w:szCs w:val="21"/>
                      <w:highlight w:val="none"/>
                    </w:rPr>
                    <w:t>Coturnix</w:t>
                  </w:r>
                  <w:r>
                    <w:rPr>
                      <w:rFonts w:hint="eastAsia" w:eastAsia="宋体" w:cs="Times New Roman"/>
                      <w:spacing w:val="16"/>
                      <w:sz w:val="21"/>
                      <w:szCs w:val="21"/>
                      <w:highlight w:val="none"/>
                      <w:lang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7"/>
                      <w:sz w:val="21"/>
                      <w:szCs w:val="21"/>
                      <w:highlight w:val="none"/>
                    </w:rPr>
                    <w:t>大斑啄木鸟</w:t>
                  </w:r>
                  <w:r>
                    <w:rPr>
                      <w:rFonts w:hint="eastAsia" w:eastAsia="宋体" w:cs="Times New Roman"/>
                      <w:spacing w:val="4"/>
                      <w:position w:val="4"/>
                      <w:sz w:val="21"/>
                      <w:szCs w:val="21"/>
                      <w:highlight w:val="none"/>
                      <w:lang w:eastAsia="zh-CN"/>
                    </w:rPr>
                    <w:t>（</w:t>
                  </w:r>
                  <w:r>
                    <w:rPr>
                      <w:rFonts w:ascii="Times New Roman" w:hAnsi="Times New Roman" w:eastAsia="Times New Roman" w:cs="Times New Roman"/>
                      <w:i/>
                      <w:iCs/>
                      <w:spacing w:val="4"/>
                      <w:position w:val="4"/>
                      <w:sz w:val="21"/>
                      <w:szCs w:val="21"/>
                      <w:highlight w:val="none"/>
                    </w:rPr>
                    <w:t>Dendrocopos major</w:t>
                  </w:r>
                  <w:r>
                    <w:rPr>
                      <w:rFonts w:hint="eastAsia" w:eastAsia="宋体" w:cs="Times New Roman"/>
                      <w:spacing w:val="4"/>
                      <w:position w:val="4"/>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2"/>
                      <w:position w:val="6"/>
                      <w:sz w:val="21"/>
                      <w:szCs w:val="21"/>
                      <w:highlight w:val="none"/>
                    </w:rPr>
                    <w:t>鸟纲</w:t>
                  </w:r>
                  <w:r>
                    <w:rPr>
                      <w:rFonts w:hint="eastAsia" w:eastAsia="宋体" w:cs="Times New Roman"/>
                      <w:spacing w:val="9"/>
                      <w:sz w:val="21"/>
                      <w:szCs w:val="21"/>
                      <w:highlight w:val="none"/>
                      <w:lang w:eastAsia="zh-CN"/>
                    </w:rPr>
                    <w:t>（</w:t>
                  </w:r>
                  <w:r>
                    <w:rPr>
                      <w:rFonts w:ascii="Times New Roman" w:hAnsi="Times New Roman" w:eastAsia="Times New Roman" w:cs="Times New Roman"/>
                      <w:i/>
                      <w:iCs/>
                      <w:sz w:val="21"/>
                      <w:szCs w:val="21"/>
                      <w:highlight w:val="none"/>
                    </w:rPr>
                    <w:t>Aves</w:t>
                  </w:r>
                  <w:r>
                    <w:rPr>
                      <w:rFonts w:hint="eastAsia" w:eastAsia="宋体" w:cs="Times New Roman"/>
                      <w:spacing w:val="9"/>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5"/>
                      <w:sz w:val="21"/>
                      <w:szCs w:val="21"/>
                      <w:highlight w:val="none"/>
                    </w:rPr>
                    <w:t>鸳形目</w:t>
                  </w:r>
                  <w:r>
                    <w:rPr>
                      <w:rFonts w:hint="eastAsia" w:eastAsia="宋体" w:cs="Times New Roman"/>
                      <w:spacing w:val="3"/>
                      <w:position w:val="4"/>
                      <w:sz w:val="21"/>
                      <w:szCs w:val="21"/>
                      <w:highlight w:val="none"/>
                      <w:lang w:eastAsia="zh-CN"/>
                    </w:rPr>
                    <w:t>（</w:t>
                  </w:r>
                  <w:r>
                    <w:rPr>
                      <w:rFonts w:ascii="Times New Roman" w:hAnsi="Times New Roman" w:eastAsia="Times New Roman" w:cs="Times New Roman"/>
                      <w:i/>
                      <w:iCs/>
                      <w:spacing w:val="3"/>
                      <w:position w:val="4"/>
                      <w:sz w:val="21"/>
                      <w:szCs w:val="21"/>
                      <w:highlight w:val="none"/>
                    </w:rPr>
                    <w:t>Piciformes</w:t>
                  </w:r>
                  <w:r>
                    <w:rPr>
                      <w:rFonts w:hint="eastAsia" w:eastAsia="宋体" w:cs="Times New Roman"/>
                      <w:spacing w:val="3"/>
                      <w:position w:val="4"/>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5"/>
                      <w:sz w:val="21"/>
                      <w:szCs w:val="21"/>
                      <w:highlight w:val="none"/>
                    </w:rPr>
                    <w:t>啄木鸟科</w:t>
                  </w:r>
                  <w:r>
                    <w:rPr>
                      <w:rFonts w:hint="eastAsia" w:eastAsia="宋体" w:cs="Times New Roman"/>
                      <w:spacing w:val="13"/>
                      <w:position w:val="4"/>
                      <w:sz w:val="21"/>
                      <w:szCs w:val="21"/>
                      <w:highlight w:val="none"/>
                      <w:lang w:eastAsia="zh-CN"/>
                    </w:rPr>
                    <w:t>（</w:t>
                  </w:r>
                  <w:r>
                    <w:rPr>
                      <w:rFonts w:ascii="Times New Roman" w:hAnsi="Times New Roman" w:eastAsia="Times New Roman" w:cs="Times New Roman"/>
                      <w:i/>
                      <w:iCs/>
                      <w:position w:val="4"/>
                      <w:sz w:val="21"/>
                      <w:szCs w:val="21"/>
                      <w:highlight w:val="none"/>
                    </w:rPr>
                    <w:t>Picidae</w:t>
                  </w:r>
                  <w:r>
                    <w:rPr>
                      <w:rFonts w:hint="eastAsia" w:eastAsia="宋体" w:cs="Times New Roman"/>
                      <w:spacing w:val="13"/>
                      <w:position w:val="4"/>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5"/>
                      <w:sz w:val="21"/>
                      <w:szCs w:val="21"/>
                      <w:highlight w:val="none"/>
                    </w:rPr>
                    <w:t>啄木鸟属</w:t>
                  </w:r>
                  <w:r>
                    <w:rPr>
                      <w:rFonts w:hint="eastAsia" w:eastAsia="宋体" w:cs="Times New Roman"/>
                      <w:spacing w:val="4"/>
                      <w:position w:val="4"/>
                      <w:sz w:val="21"/>
                      <w:szCs w:val="21"/>
                      <w:highlight w:val="none"/>
                      <w:lang w:eastAsia="zh-CN"/>
                    </w:rPr>
                    <w:t>（</w:t>
                  </w:r>
                  <w:r>
                    <w:rPr>
                      <w:rFonts w:ascii="Times New Roman" w:hAnsi="Times New Roman" w:eastAsia="Times New Roman" w:cs="Times New Roman"/>
                      <w:i/>
                      <w:iCs/>
                      <w:spacing w:val="4"/>
                      <w:position w:val="4"/>
                      <w:sz w:val="21"/>
                      <w:szCs w:val="21"/>
                      <w:highlight w:val="none"/>
                    </w:rPr>
                    <w:t>Dendrocopos</w:t>
                  </w:r>
                  <w:r>
                    <w:rPr>
                      <w:rFonts w:hint="eastAsia" w:eastAsia="宋体" w:cs="Times New Roman"/>
                      <w:sz w:val="21"/>
                      <w:szCs w:val="21"/>
                      <w:highlight w:val="none"/>
                      <w:lang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5"/>
                      <w:sz w:val="21"/>
                      <w:szCs w:val="21"/>
                      <w:highlight w:val="none"/>
                    </w:rPr>
                    <w:t>蒙古兔</w:t>
                  </w:r>
                  <w:r>
                    <w:rPr>
                      <w:rFonts w:hint="eastAsia" w:eastAsia="宋体"/>
                      <w:spacing w:val="16"/>
                      <w:position w:val="3"/>
                      <w:sz w:val="21"/>
                      <w:szCs w:val="21"/>
                      <w:highlight w:val="none"/>
                      <w:lang w:eastAsia="zh-CN"/>
                    </w:rPr>
                    <w:t>（</w:t>
                  </w:r>
                  <w:r>
                    <w:rPr>
                      <w:rFonts w:ascii="Times New Roman" w:hAnsi="Times New Roman" w:eastAsia="Times New Roman" w:cs="Times New Roman"/>
                      <w:i/>
                      <w:iCs/>
                      <w:position w:val="3"/>
                      <w:sz w:val="21"/>
                      <w:szCs w:val="21"/>
                      <w:highlight w:val="none"/>
                    </w:rPr>
                    <w:t>Lepus</w:t>
                  </w:r>
                  <w:r>
                    <w:rPr>
                      <w:rFonts w:ascii="Times New Roman" w:hAnsi="Times New Roman" w:eastAsia="Times New Roman" w:cs="Times New Roman"/>
                      <w:i/>
                      <w:iCs/>
                      <w:spacing w:val="16"/>
                      <w:position w:val="3"/>
                      <w:sz w:val="21"/>
                      <w:szCs w:val="21"/>
                      <w:highlight w:val="none"/>
                    </w:rPr>
                    <w:t xml:space="preserve"> </w:t>
                  </w:r>
                  <w:r>
                    <w:rPr>
                      <w:rFonts w:ascii="Times New Roman" w:hAnsi="Times New Roman" w:eastAsia="Times New Roman" w:cs="Times New Roman"/>
                      <w:i/>
                      <w:iCs/>
                      <w:position w:val="3"/>
                      <w:sz w:val="21"/>
                      <w:szCs w:val="21"/>
                      <w:highlight w:val="none"/>
                    </w:rPr>
                    <w:t>tolai</w:t>
                  </w:r>
                  <w:r>
                    <w:rPr>
                      <w:rFonts w:ascii="Times New Roman" w:hAnsi="Times New Roman" w:eastAsia="Times New Roman" w:cs="Times New Roman"/>
                      <w:i/>
                      <w:iCs/>
                      <w:spacing w:val="8"/>
                      <w:position w:val="3"/>
                      <w:sz w:val="21"/>
                      <w:szCs w:val="21"/>
                      <w:highlight w:val="none"/>
                    </w:rPr>
                    <w:t xml:space="preserve"> </w:t>
                  </w:r>
                  <w:r>
                    <w:rPr>
                      <w:rFonts w:ascii="Times New Roman" w:hAnsi="Times New Roman" w:eastAsia="Times New Roman" w:cs="Times New Roman"/>
                      <w:i/>
                      <w:iCs/>
                      <w:position w:val="3"/>
                      <w:sz w:val="21"/>
                      <w:szCs w:val="21"/>
                      <w:highlight w:val="none"/>
                    </w:rPr>
                    <w:t>tolai</w:t>
                  </w:r>
                  <w:r>
                    <w:rPr>
                      <w:spacing w:val="16"/>
                      <w:position w:val="3"/>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5"/>
                      <w:sz w:val="21"/>
                      <w:szCs w:val="21"/>
                      <w:highlight w:val="none"/>
                    </w:rPr>
                    <w:t>哺乳纲</w:t>
                  </w:r>
                  <w:r>
                    <w:rPr>
                      <w:rFonts w:hint="eastAsia" w:eastAsia="宋体" w:cs="Times New Roman"/>
                      <w:spacing w:val="4"/>
                      <w:position w:val="4"/>
                      <w:sz w:val="21"/>
                      <w:szCs w:val="21"/>
                      <w:highlight w:val="none"/>
                      <w:lang w:eastAsia="zh-CN"/>
                    </w:rPr>
                    <w:t>（</w:t>
                  </w:r>
                  <w:r>
                    <w:rPr>
                      <w:rFonts w:ascii="Times New Roman" w:hAnsi="Times New Roman" w:eastAsia="Times New Roman" w:cs="Times New Roman"/>
                      <w:i/>
                      <w:iCs/>
                      <w:spacing w:val="4"/>
                      <w:position w:val="4"/>
                      <w:sz w:val="21"/>
                      <w:szCs w:val="21"/>
                      <w:highlight w:val="none"/>
                    </w:rPr>
                    <w:t>Mammali</w:t>
                  </w:r>
                  <w:r>
                    <w:rPr>
                      <w:rFonts w:ascii="Times New Roman" w:hAnsi="Times New Roman" w:eastAsia="Times New Roman" w:cs="Times New Roman"/>
                      <w:i/>
                      <w:iCs/>
                      <w:spacing w:val="3"/>
                      <w:sz w:val="21"/>
                      <w:szCs w:val="21"/>
                      <w:highlight w:val="none"/>
                    </w:rPr>
                    <w:t>a</w:t>
                  </w:r>
                  <w:r>
                    <w:rPr>
                      <w:rFonts w:hint="eastAsia" w:eastAsia="宋体" w:cs="Times New Roman"/>
                      <w:spacing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5"/>
                      <w:sz w:val="21"/>
                      <w:szCs w:val="21"/>
                      <w:highlight w:val="none"/>
                    </w:rPr>
                    <w:t>兔形目</w:t>
                  </w:r>
                  <w:r>
                    <w:rPr>
                      <w:rFonts w:hint="eastAsia" w:eastAsia="宋体"/>
                      <w:spacing w:val="21"/>
                      <w:position w:val="3"/>
                      <w:sz w:val="21"/>
                      <w:szCs w:val="21"/>
                      <w:highlight w:val="none"/>
                      <w:lang w:eastAsia="zh-CN"/>
                    </w:rPr>
                    <w:t>（</w:t>
                  </w:r>
                  <w:r>
                    <w:rPr>
                      <w:rFonts w:ascii="Times New Roman" w:hAnsi="Times New Roman" w:eastAsia="Times New Roman" w:cs="Times New Roman"/>
                      <w:i/>
                      <w:iCs/>
                      <w:position w:val="3"/>
                      <w:sz w:val="21"/>
                      <w:szCs w:val="21"/>
                      <w:highlight w:val="none"/>
                    </w:rPr>
                    <w:t>Lagomorpha</w:t>
                  </w:r>
                  <w:r>
                    <w:rPr>
                      <w:spacing w:val="21"/>
                      <w:position w:val="3"/>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2"/>
                      <w:sz w:val="21"/>
                      <w:szCs w:val="21"/>
                      <w:highlight w:val="none"/>
                    </w:rPr>
                    <w:t>兔科</w:t>
                  </w:r>
                  <w:r>
                    <w:rPr>
                      <w:rFonts w:hint="eastAsia" w:eastAsia="宋体"/>
                      <w:spacing w:val="18"/>
                      <w:position w:val="3"/>
                      <w:sz w:val="21"/>
                      <w:szCs w:val="21"/>
                      <w:highlight w:val="none"/>
                      <w:lang w:eastAsia="zh-CN"/>
                    </w:rPr>
                    <w:t>（</w:t>
                  </w:r>
                  <w:r>
                    <w:rPr>
                      <w:rFonts w:ascii="Times New Roman" w:hAnsi="Times New Roman" w:eastAsia="Times New Roman" w:cs="Times New Roman"/>
                      <w:i/>
                      <w:iCs/>
                      <w:position w:val="3"/>
                      <w:sz w:val="21"/>
                      <w:szCs w:val="21"/>
                      <w:highlight w:val="none"/>
                    </w:rPr>
                    <w:t>Leporidae</w:t>
                  </w:r>
                  <w:r>
                    <w:rPr>
                      <w:spacing w:val="18"/>
                      <w:position w:val="3"/>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2"/>
                      <w:position w:val="4"/>
                      <w:sz w:val="21"/>
                      <w:szCs w:val="21"/>
                      <w:highlight w:val="none"/>
                    </w:rPr>
                    <w:t>兔属</w:t>
                  </w:r>
                  <w:r>
                    <w:rPr>
                      <w:rFonts w:hint="eastAsia" w:eastAsia="宋体"/>
                      <w:spacing w:val="9"/>
                      <w:sz w:val="21"/>
                      <w:szCs w:val="21"/>
                      <w:highlight w:val="none"/>
                      <w:lang w:eastAsia="zh-CN"/>
                    </w:rPr>
                    <w:t>（</w:t>
                  </w:r>
                  <w:r>
                    <w:rPr>
                      <w:rFonts w:ascii="Times New Roman" w:hAnsi="Times New Roman" w:eastAsia="Times New Roman" w:cs="Times New Roman"/>
                      <w:i/>
                      <w:iCs/>
                      <w:sz w:val="21"/>
                      <w:szCs w:val="21"/>
                      <w:highlight w:val="none"/>
                    </w:rPr>
                    <w:t>Lepus</w:t>
                  </w:r>
                  <w:r>
                    <w:rPr>
                      <w:spacing w:val="9"/>
                      <w:sz w:val="21"/>
                      <w:szCs w:val="21"/>
                      <w:highlight w:val="none"/>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3"/>
                      <w:sz w:val="21"/>
                      <w:szCs w:val="21"/>
                      <w:highlight w:val="none"/>
                    </w:rPr>
                    <w:t>草兔</w:t>
                  </w:r>
                  <w:r>
                    <w:rPr>
                      <w:rFonts w:hint="eastAsia" w:eastAsia="宋体"/>
                      <w:spacing w:val="16"/>
                      <w:sz w:val="21"/>
                      <w:szCs w:val="21"/>
                      <w:highlight w:val="none"/>
                      <w:lang w:eastAsia="zh-CN"/>
                    </w:rPr>
                    <w:t>（</w:t>
                  </w:r>
                  <w:r>
                    <w:rPr>
                      <w:rFonts w:ascii="Times New Roman" w:hAnsi="Times New Roman" w:eastAsia="Times New Roman" w:cs="Times New Roman"/>
                      <w:i/>
                      <w:iCs/>
                      <w:sz w:val="21"/>
                      <w:szCs w:val="21"/>
                      <w:highlight w:val="none"/>
                    </w:rPr>
                    <w:t>Capensis</w:t>
                  </w:r>
                  <w:r>
                    <w:rPr>
                      <w:spacing w:val="16"/>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1"/>
                      <w:szCs w:val="21"/>
                      <w:highlight w:val="none"/>
                      <w:lang w:eastAsia="zh-CN"/>
                    </w:rPr>
                  </w:pPr>
                  <w:r>
                    <w:rPr>
                      <w:spacing w:val="5"/>
                      <w:sz w:val="21"/>
                      <w:szCs w:val="21"/>
                      <w:highlight w:val="none"/>
                    </w:rPr>
                    <w:t>哺乳纲</w:t>
                  </w:r>
                  <w:r>
                    <w:rPr>
                      <w:rFonts w:hint="eastAsia" w:eastAsia="宋体" w:cs="Times New Roman"/>
                      <w:spacing w:val="4"/>
                      <w:position w:val="4"/>
                      <w:sz w:val="21"/>
                      <w:szCs w:val="21"/>
                      <w:highlight w:val="none"/>
                      <w:lang w:eastAsia="zh-CN"/>
                    </w:rPr>
                    <w:t>（</w:t>
                  </w:r>
                  <w:r>
                    <w:rPr>
                      <w:rFonts w:ascii="Times New Roman" w:hAnsi="Times New Roman" w:eastAsia="Times New Roman" w:cs="Times New Roman"/>
                      <w:i/>
                      <w:iCs/>
                      <w:spacing w:val="4"/>
                      <w:position w:val="4"/>
                      <w:sz w:val="21"/>
                      <w:szCs w:val="21"/>
                      <w:highlight w:val="none"/>
                    </w:rPr>
                    <w:t>Mammali</w:t>
                  </w:r>
                  <w:r>
                    <w:rPr>
                      <w:rFonts w:ascii="Times New Roman" w:hAnsi="Times New Roman" w:eastAsia="Times New Roman" w:cs="Times New Roman"/>
                      <w:i/>
                      <w:iCs/>
                      <w:spacing w:val="3"/>
                      <w:sz w:val="21"/>
                      <w:szCs w:val="21"/>
                      <w:highlight w:val="none"/>
                    </w:rPr>
                    <w:t>a</w:t>
                  </w:r>
                  <w:r>
                    <w:rPr>
                      <w:rFonts w:hint="eastAsia" w:eastAsia="宋体" w:cs="Times New Roman"/>
                      <w:spacing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5"/>
                      <w:sz w:val="21"/>
                      <w:szCs w:val="21"/>
                      <w:highlight w:val="none"/>
                    </w:rPr>
                    <w:t>兔形目</w:t>
                  </w:r>
                  <w:r>
                    <w:rPr>
                      <w:rFonts w:hint="eastAsia" w:eastAsia="宋体"/>
                      <w:spacing w:val="21"/>
                      <w:position w:val="3"/>
                      <w:sz w:val="21"/>
                      <w:szCs w:val="21"/>
                      <w:highlight w:val="none"/>
                      <w:lang w:eastAsia="zh-CN"/>
                    </w:rPr>
                    <w:t>（</w:t>
                  </w:r>
                  <w:r>
                    <w:rPr>
                      <w:rFonts w:ascii="Times New Roman" w:hAnsi="Times New Roman" w:eastAsia="Times New Roman" w:cs="Times New Roman"/>
                      <w:i/>
                      <w:iCs/>
                      <w:position w:val="3"/>
                      <w:sz w:val="21"/>
                      <w:szCs w:val="21"/>
                      <w:highlight w:val="none"/>
                    </w:rPr>
                    <w:t>Lagomorpha</w:t>
                  </w:r>
                  <w:r>
                    <w:rPr>
                      <w:spacing w:val="21"/>
                      <w:position w:val="3"/>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2"/>
                      <w:sz w:val="21"/>
                      <w:szCs w:val="21"/>
                      <w:highlight w:val="none"/>
                    </w:rPr>
                    <w:t>兔科</w:t>
                  </w:r>
                  <w:r>
                    <w:rPr>
                      <w:rFonts w:hint="eastAsia" w:eastAsia="宋体"/>
                      <w:spacing w:val="18"/>
                      <w:position w:val="3"/>
                      <w:sz w:val="21"/>
                      <w:szCs w:val="21"/>
                      <w:highlight w:val="none"/>
                      <w:lang w:eastAsia="zh-CN"/>
                    </w:rPr>
                    <w:t>（</w:t>
                  </w:r>
                  <w:r>
                    <w:rPr>
                      <w:rFonts w:ascii="Times New Roman" w:hAnsi="Times New Roman" w:eastAsia="Times New Roman" w:cs="Times New Roman"/>
                      <w:i/>
                      <w:iCs/>
                      <w:position w:val="3"/>
                      <w:sz w:val="21"/>
                      <w:szCs w:val="21"/>
                      <w:highlight w:val="none"/>
                    </w:rPr>
                    <w:t>Leporidae</w:t>
                  </w:r>
                  <w:r>
                    <w:rPr>
                      <w:spacing w:val="18"/>
                      <w:position w:val="3"/>
                      <w:sz w:val="21"/>
                      <w:szCs w:val="21"/>
                      <w:highlight w:val="none"/>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1"/>
                      <w:szCs w:val="21"/>
                      <w:highlight w:val="none"/>
                    </w:rPr>
                  </w:pPr>
                  <w:r>
                    <w:rPr>
                      <w:spacing w:val="2"/>
                      <w:position w:val="4"/>
                      <w:sz w:val="21"/>
                      <w:szCs w:val="21"/>
                      <w:highlight w:val="none"/>
                    </w:rPr>
                    <w:t>兔属</w:t>
                  </w:r>
                  <w:r>
                    <w:rPr>
                      <w:rFonts w:hint="eastAsia" w:eastAsia="宋体"/>
                      <w:spacing w:val="9"/>
                      <w:sz w:val="21"/>
                      <w:szCs w:val="21"/>
                      <w:highlight w:val="none"/>
                      <w:lang w:eastAsia="zh-CN"/>
                    </w:rPr>
                    <w:t>（</w:t>
                  </w:r>
                  <w:r>
                    <w:rPr>
                      <w:rFonts w:ascii="Times New Roman" w:hAnsi="Times New Roman" w:eastAsia="Times New Roman" w:cs="Times New Roman"/>
                      <w:i/>
                      <w:iCs/>
                      <w:sz w:val="21"/>
                      <w:szCs w:val="21"/>
                      <w:highlight w:val="none"/>
                    </w:rPr>
                    <w:t>Lepus</w:t>
                  </w:r>
                  <w:r>
                    <w:rPr>
                      <w:spacing w:val="9"/>
                      <w:sz w:val="21"/>
                      <w:szCs w:val="21"/>
                      <w:highlight w:val="none"/>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pacing w:val="3"/>
                      <w:sz w:val="21"/>
                      <w:szCs w:val="21"/>
                      <w:highlight w:val="none"/>
                      <w:lang w:val="en-US" w:eastAsia="en-US"/>
                    </w:rPr>
                  </w:pPr>
                  <w:r>
                    <w:rPr>
                      <w:spacing w:val="3"/>
                      <w:sz w:val="21"/>
                      <w:szCs w:val="21"/>
                      <w:highlight w:val="none"/>
                    </w:rPr>
                    <w:t>五趾跳鼠</w:t>
                  </w:r>
                  <w:r>
                    <w:rPr>
                      <w:rFonts w:hint="eastAsia"/>
                      <w:spacing w:val="3"/>
                      <w:sz w:val="21"/>
                      <w:szCs w:val="21"/>
                      <w:highlight w:val="none"/>
                      <w:lang w:eastAsia="zh-CN"/>
                    </w:rPr>
                    <w:t>（</w:t>
                  </w:r>
                  <w:r>
                    <w:rPr>
                      <w:spacing w:val="3"/>
                      <w:sz w:val="21"/>
                      <w:szCs w:val="21"/>
                      <w:highlight w:val="none"/>
                    </w:rPr>
                    <w:t>Allactaga sibirica）</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宋体"/>
                      <w:spacing w:val="3"/>
                      <w:sz w:val="21"/>
                      <w:szCs w:val="21"/>
                      <w:highlight w:val="none"/>
                      <w:lang w:val="en-US" w:eastAsia="zh-CN"/>
                    </w:rPr>
                  </w:pPr>
                  <w:r>
                    <w:rPr>
                      <w:spacing w:val="3"/>
                      <w:sz w:val="21"/>
                      <w:szCs w:val="21"/>
                      <w:highlight w:val="none"/>
                    </w:rPr>
                    <w:t>哺乳纲</w:t>
                  </w:r>
                  <w:r>
                    <w:rPr>
                      <w:rFonts w:hint="eastAsia"/>
                      <w:spacing w:val="3"/>
                      <w:sz w:val="21"/>
                      <w:szCs w:val="21"/>
                      <w:highlight w:val="none"/>
                      <w:lang w:eastAsia="zh-CN"/>
                    </w:rPr>
                    <w:t>（</w:t>
                  </w:r>
                  <w:r>
                    <w:rPr>
                      <w:spacing w:val="3"/>
                      <w:sz w:val="21"/>
                      <w:szCs w:val="21"/>
                      <w:highlight w:val="none"/>
                    </w:rPr>
                    <w:t>Mammalia</w:t>
                  </w:r>
                  <w:r>
                    <w:rPr>
                      <w:rFonts w:hint="eastAsia"/>
                      <w:spacing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宋体"/>
                      <w:spacing w:val="3"/>
                      <w:sz w:val="21"/>
                      <w:szCs w:val="21"/>
                      <w:highlight w:val="none"/>
                      <w:lang w:val="en-US" w:eastAsia="zh-CN"/>
                    </w:rPr>
                  </w:pPr>
                  <w:r>
                    <w:rPr>
                      <w:spacing w:val="3"/>
                      <w:sz w:val="21"/>
                      <w:szCs w:val="21"/>
                      <w:highlight w:val="none"/>
                    </w:rPr>
                    <w:t>啮齿目</w:t>
                  </w:r>
                  <w:r>
                    <w:rPr>
                      <w:rFonts w:hint="eastAsia"/>
                      <w:spacing w:val="3"/>
                      <w:sz w:val="21"/>
                      <w:szCs w:val="21"/>
                      <w:highlight w:val="none"/>
                      <w:lang w:eastAsia="zh-CN"/>
                    </w:rPr>
                    <w:t>（</w:t>
                  </w:r>
                  <w:r>
                    <w:rPr>
                      <w:spacing w:val="3"/>
                      <w:sz w:val="21"/>
                      <w:szCs w:val="21"/>
                      <w:highlight w:val="none"/>
                    </w:rPr>
                    <w:t>Rodentia</w:t>
                  </w:r>
                  <w:r>
                    <w:rPr>
                      <w:rFonts w:hint="eastAsia"/>
                      <w:spacing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宋体"/>
                      <w:spacing w:val="3"/>
                      <w:sz w:val="21"/>
                      <w:szCs w:val="21"/>
                      <w:highlight w:val="none"/>
                      <w:lang w:val="en-US" w:eastAsia="zh-CN"/>
                    </w:rPr>
                  </w:pPr>
                  <w:r>
                    <w:rPr>
                      <w:spacing w:val="3"/>
                      <w:sz w:val="21"/>
                      <w:szCs w:val="21"/>
                      <w:highlight w:val="none"/>
                    </w:rPr>
                    <w:t>跳鼠科</w:t>
                  </w:r>
                  <w:r>
                    <w:rPr>
                      <w:rFonts w:hint="eastAsia"/>
                      <w:spacing w:val="3"/>
                      <w:sz w:val="21"/>
                      <w:szCs w:val="21"/>
                      <w:highlight w:val="none"/>
                      <w:lang w:eastAsia="zh-CN"/>
                    </w:rPr>
                    <w:t>（</w:t>
                  </w:r>
                  <w:r>
                    <w:rPr>
                      <w:spacing w:val="3"/>
                      <w:sz w:val="21"/>
                      <w:szCs w:val="21"/>
                      <w:highlight w:val="none"/>
                    </w:rPr>
                    <w:t>Dipodidae</w:t>
                  </w:r>
                  <w:r>
                    <w:rPr>
                      <w:rFonts w:hint="eastAsia"/>
                      <w:spacing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pacing w:val="3"/>
                      <w:sz w:val="21"/>
                      <w:szCs w:val="21"/>
                      <w:highlight w:val="none"/>
                      <w:lang w:val="en-US" w:eastAsia="en-US"/>
                    </w:rPr>
                  </w:pPr>
                  <w:r>
                    <w:rPr>
                      <w:spacing w:val="3"/>
                      <w:sz w:val="21"/>
                      <w:szCs w:val="21"/>
                      <w:highlight w:val="none"/>
                    </w:rPr>
                    <w:t>五趾跳鼠属</w:t>
                  </w:r>
                  <w:r>
                    <w:rPr>
                      <w:rFonts w:hint="eastAsia"/>
                      <w:spacing w:val="3"/>
                      <w:sz w:val="21"/>
                      <w:szCs w:val="21"/>
                      <w:highlight w:val="none"/>
                      <w:lang w:eastAsia="zh-CN"/>
                    </w:rPr>
                    <w:t>（</w:t>
                  </w:r>
                  <w:r>
                    <w:rPr>
                      <w:spacing w:val="3"/>
                      <w:sz w:val="21"/>
                      <w:szCs w:val="21"/>
                      <w:highlight w:val="none"/>
                    </w:rPr>
                    <w:t>Allactaga）</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宋体"/>
                      <w:spacing w:val="3"/>
                      <w:sz w:val="21"/>
                      <w:szCs w:val="21"/>
                      <w:highlight w:val="none"/>
                      <w:lang w:val="en-US" w:eastAsia="zh-CN"/>
                    </w:rPr>
                  </w:pPr>
                  <w:r>
                    <w:rPr>
                      <w:spacing w:val="3"/>
                      <w:sz w:val="21"/>
                      <w:szCs w:val="21"/>
                      <w:highlight w:val="none"/>
                    </w:rPr>
                    <w:t>褐家鼠</w:t>
                  </w:r>
                  <w:r>
                    <w:rPr>
                      <w:rFonts w:hint="eastAsia"/>
                      <w:spacing w:val="3"/>
                      <w:sz w:val="21"/>
                      <w:szCs w:val="21"/>
                      <w:highlight w:val="none"/>
                      <w:lang w:eastAsia="zh-CN"/>
                    </w:rPr>
                    <w:t>（</w:t>
                  </w:r>
                  <w:r>
                    <w:rPr>
                      <w:spacing w:val="3"/>
                      <w:sz w:val="21"/>
                      <w:szCs w:val="21"/>
                      <w:highlight w:val="none"/>
                    </w:rPr>
                    <w:t>Rattus norvegicus</w:t>
                  </w:r>
                  <w:r>
                    <w:rPr>
                      <w:rFonts w:hint="eastAsia"/>
                      <w:spacing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宋体"/>
                      <w:spacing w:val="3"/>
                      <w:sz w:val="21"/>
                      <w:szCs w:val="21"/>
                      <w:highlight w:val="none"/>
                      <w:lang w:val="en-US" w:eastAsia="zh-CN"/>
                    </w:rPr>
                  </w:pPr>
                  <w:r>
                    <w:rPr>
                      <w:spacing w:val="3"/>
                      <w:sz w:val="21"/>
                      <w:szCs w:val="21"/>
                      <w:highlight w:val="none"/>
                    </w:rPr>
                    <w:t>哺乳纲</w:t>
                  </w:r>
                  <w:r>
                    <w:rPr>
                      <w:rFonts w:hint="eastAsia"/>
                      <w:spacing w:val="3"/>
                      <w:sz w:val="21"/>
                      <w:szCs w:val="21"/>
                      <w:highlight w:val="none"/>
                      <w:lang w:eastAsia="zh-CN"/>
                    </w:rPr>
                    <w:t>（</w:t>
                  </w:r>
                  <w:r>
                    <w:rPr>
                      <w:spacing w:val="3"/>
                      <w:sz w:val="21"/>
                      <w:szCs w:val="21"/>
                      <w:highlight w:val="none"/>
                    </w:rPr>
                    <w:t>Mammalia</w:t>
                  </w:r>
                  <w:r>
                    <w:rPr>
                      <w:rFonts w:hint="eastAsia"/>
                      <w:spacing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宋体"/>
                      <w:spacing w:val="3"/>
                      <w:sz w:val="21"/>
                      <w:szCs w:val="21"/>
                      <w:highlight w:val="none"/>
                      <w:lang w:val="en-US" w:eastAsia="zh-CN"/>
                    </w:rPr>
                  </w:pPr>
                  <w:r>
                    <w:rPr>
                      <w:spacing w:val="3"/>
                      <w:sz w:val="21"/>
                      <w:szCs w:val="21"/>
                      <w:highlight w:val="none"/>
                    </w:rPr>
                    <w:t>啮齿目</w:t>
                  </w:r>
                  <w:r>
                    <w:rPr>
                      <w:rFonts w:hint="eastAsia"/>
                      <w:spacing w:val="3"/>
                      <w:sz w:val="21"/>
                      <w:szCs w:val="21"/>
                      <w:highlight w:val="none"/>
                      <w:lang w:eastAsia="zh-CN"/>
                    </w:rPr>
                    <w:t>（</w:t>
                  </w:r>
                  <w:r>
                    <w:rPr>
                      <w:spacing w:val="3"/>
                      <w:sz w:val="21"/>
                      <w:szCs w:val="21"/>
                      <w:highlight w:val="none"/>
                    </w:rPr>
                    <w:t>Rodentia</w:t>
                  </w:r>
                  <w:r>
                    <w:rPr>
                      <w:rFonts w:hint="eastAsia"/>
                      <w:spacing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宋体"/>
                      <w:spacing w:val="3"/>
                      <w:sz w:val="21"/>
                      <w:szCs w:val="21"/>
                      <w:highlight w:val="none"/>
                      <w:lang w:val="en-US" w:eastAsia="zh-CN"/>
                    </w:rPr>
                  </w:pPr>
                  <w:r>
                    <w:rPr>
                      <w:spacing w:val="3"/>
                      <w:sz w:val="21"/>
                      <w:szCs w:val="21"/>
                      <w:highlight w:val="none"/>
                    </w:rPr>
                    <w:t>鼠科</w:t>
                  </w:r>
                  <w:r>
                    <w:rPr>
                      <w:rFonts w:hint="eastAsia"/>
                      <w:spacing w:val="3"/>
                      <w:sz w:val="21"/>
                      <w:szCs w:val="21"/>
                      <w:highlight w:val="none"/>
                      <w:lang w:eastAsia="zh-CN"/>
                    </w:rPr>
                    <w:t>（</w:t>
                  </w:r>
                  <w:r>
                    <w:rPr>
                      <w:spacing w:val="3"/>
                      <w:sz w:val="21"/>
                      <w:szCs w:val="21"/>
                      <w:highlight w:val="none"/>
                    </w:rPr>
                    <w:t>Muridae</w:t>
                  </w:r>
                  <w:r>
                    <w:rPr>
                      <w:rFonts w:hint="eastAsia"/>
                      <w:spacing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宋体"/>
                      <w:spacing w:val="3"/>
                      <w:sz w:val="21"/>
                      <w:szCs w:val="21"/>
                      <w:highlight w:val="none"/>
                      <w:lang w:val="en-US" w:eastAsia="zh-CN"/>
                    </w:rPr>
                  </w:pPr>
                  <w:r>
                    <w:rPr>
                      <w:spacing w:val="3"/>
                      <w:sz w:val="21"/>
                      <w:szCs w:val="21"/>
                      <w:highlight w:val="none"/>
                    </w:rPr>
                    <w:t>家鼠属</w:t>
                  </w:r>
                  <w:r>
                    <w:rPr>
                      <w:rFonts w:hint="eastAsia"/>
                      <w:spacing w:val="3"/>
                      <w:sz w:val="21"/>
                      <w:szCs w:val="21"/>
                      <w:highlight w:val="none"/>
                      <w:lang w:eastAsia="zh-CN"/>
                    </w:rPr>
                    <w:t>（</w:t>
                  </w:r>
                  <w:r>
                    <w:rPr>
                      <w:spacing w:val="3"/>
                      <w:sz w:val="21"/>
                      <w:szCs w:val="21"/>
                      <w:highlight w:val="none"/>
                    </w:rPr>
                    <w:t>Rattus</w:t>
                  </w:r>
                  <w:r>
                    <w:rPr>
                      <w:rFonts w:hint="eastAsia"/>
                      <w:spacing w:val="3"/>
                      <w:sz w:val="21"/>
                      <w:szCs w:val="21"/>
                      <w:highlight w:val="none"/>
                      <w:lang w:eastAsia="zh-CN"/>
                    </w:rPr>
                    <w:t>）</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 w:hRule="atLeast"/>
                <w:jc w:val="center"/>
              </w:trPr>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pacing w:val="3"/>
                      <w:sz w:val="21"/>
                      <w:szCs w:val="21"/>
                      <w:highlight w:val="none"/>
                      <w:lang w:val="en-US" w:eastAsia="en-US"/>
                    </w:rPr>
                  </w:pPr>
                  <w:r>
                    <w:rPr>
                      <w:spacing w:val="3"/>
                      <w:sz w:val="21"/>
                      <w:szCs w:val="21"/>
                      <w:highlight w:val="none"/>
                    </w:rPr>
                    <w:t>麻蜥</w:t>
                  </w:r>
                  <w:r>
                    <w:rPr>
                      <w:rFonts w:hint="eastAsia"/>
                      <w:spacing w:val="3"/>
                      <w:sz w:val="21"/>
                      <w:szCs w:val="21"/>
                      <w:highlight w:val="none"/>
                      <w:lang w:eastAsia="zh-CN"/>
                    </w:rPr>
                    <w:t>（</w:t>
                  </w:r>
                  <w:r>
                    <w:rPr>
                      <w:spacing w:val="3"/>
                      <w:sz w:val="21"/>
                      <w:szCs w:val="21"/>
                      <w:highlight w:val="none"/>
                    </w:rPr>
                    <w:t>Eremias argus）</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宋体"/>
                      <w:spacing w:val="3"/>
                      <w:sz w:val="21"/>
                      <w:szCs w:val="21"/>
                      <w:highlight w:val="none"/>
                      <w:lang w:val="en-US" w:eastAsia="zh-CN"/>
                    </w:rPr>
                  </w:pPr>
                  <w:r>
                    <w:rPr>
                      <w:spacing w:val="3"/>
                      <w:sz w:val="21"/>
                      <w:szCs w:val="21"/>
                      <w:highlight w:val="none"/>
                    </w:rPr>
                    <w:t>爬行纲</w:t>
                  </w:r>
                  <w:r>
                    <w:rPr>
                      <w:rFonts w:hint="eastAsia"/>
                      <w:spacing w:val="3"/>
                      <w:sz w:val="21"/>
                      <w:szCs w:val="21"/>
                      <w:highlight w:val="none"/>
                      <w:lang w:eastAsia="zh-CN"/>
                    </w:rPr>
                    <w:t>（</w:t>
                  </w:r>
                  <w:r>
                    <w:rPr>
                      <w:spacing w:val="3"/>
                      <w:sz w:val="21"/>
                      <w:szCs w:val="21"/>
                      <w:highlight w:val="none"/>
                    </w:rPr>
                    <w:t>Reptilia</w:t>
                  </w:r>
                  <w:r>
                    <w:rPr>
                      <w:rFonts w:hint="eastAsia"/>
                      <w:spacing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宋体"/>
                      <w:spacing w:val="3"/>
                      <w:sz w:val="21"/>
                      <w:szCs w:val="21"/>
                      <w:highlight w:val="none"/>
                      <w:lang w:val="en-US" w:eastAsia="zh-CN"/>
                    </w:rPr>
                  </w:pPr>
                  <w:r>
                    <w:rPr>
                      <w:spacing w:val="3"/>
                      <w:sz w:val="21"/>
                      <w:szCs w:val="21"/>
                      <w:highlight w:val="none"/>
                    </w:rPr>
                    <w:t>蜥蜴目</w:t>
                  </w:r>
                  <w:r>
                    <w:rPr>
                      <w:rFonts w:hint="eastAsia"/>
                      <w:spacing w:val="3"/>
                      <w:sz w:val="21"/>
                      <w:szCs w:val="21"/>
                      <w:highlight w:val="none"/>
                      <w:lang w:eastAsia="zh-CN"/>
                    </w:rPr>
                    <w:t>（</w:t>
                  </w:r>
                  <w:r>
                    <w:rPr>
                      <w:spacing w:val="3"/>
                      <w:sz w:val="21"/>
                      <w:szCs w:val="21"/>
                      <w:highlight w:val="none"/>
                    </w:rPr>
                    <w:t xml:space="preserve"> Lacertilia</w:t>
                  </w:r>
                  <w:r>
                    <w:rPr>
                      <w:rFonts w:hint="eastAsia"/>
                      <w:spacing w:val="3"/>
                      <w:sz w:val="21"/>
                      <w:szCs w:val="21"/>
                      <w:highlight w:val="none"/>
                      <w:lang w:eastAsia="zh-CN"/>
                    </w:rPr>
                    <w:t>）</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pacing w:val="3"/>
                      <w:sz w:val="21"/>
                      <w:szCs w:val="21"/>
                      <w:highlight w:val="none"/>
                      <w:lang w:val="en-US" w:eastAsia="en-US"/>
                    </w:rPr>
                  </w:pPr>
                  <w:r>
                    <w:rPr>
                      <w:spacing w:val="3"/>
                      <w:sz w:val="21"/>
                      <w:szCs w:val="21"/>
                      <w:highlight w:val="none"/>
                    </w:rPr>
                    <w:t>蜥蜴科</w:t>
                  </w:r>
                  <w:r>
                    <w:rPr>
                      <w:rFonts w:hint="eastAsia"/>
                      <w:spacing w:val="3"/>
                      <w:sz w:val="21"/>
                      <w:szCs w:val="21"/>
                      <w:highlight w:val="none"/>
                      <w:lang w:eastAsia="zh-CN"/>
                    </w:rPr>
                    <w:t>（</w:t>
                  </w:r>
                  <w:r>
                    <w:rPr>
                      <w:spacing w:val="3"/>
                      <w:sz w:val="21"/>
                      <w:szCs w:val="21"/>
                      <w:highlight w:val="none"/>
                    </w:rPr>
                    <w:t>Lacertian）</w:t>
                  </w:r>
                </w:p>
              </w:tc>
              <w:tc>
                <w:tcPr>
                  <w:tcW w:w="0" w:type="auto"/>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pacing w:val="3"/>
                      <w:sz w:val="21"/>
                      <w:szCs w:val="21"/>
                      <w:highlight w:val="none"/>
                      <w:lang w:val="en-US" w:eastAsia="en-US"/>
                    </w:rPr>
                  </w:pPr>
                  <w:r>
                    <w:rPr>
                      <w:spacing w:val="3"/>
                      <w:sz w:val="21"/>
                      <w:szCs w:val="21"/>
                      <w:highlight w:val="none"/>
                    </w:rPr>
                    <w:t>麻蜥属</w:t>
                  </w:r>
                  <w:r>
                    <w:rPr>
                      <w:rFonts w:hint="eastAsia"/>
                      <w:spacing w:val="3"/>
                      <w:sz w:val="21"/>
                      <w:szCs w:val="21"/>
                      <w:highlight w:val="none"/>
                      <w:lang w:eastAsia="zh-CN"/>
                    </w:rPr>
                    <w:t>（</w:t>
                  </w:r>
                  <w:r>
                    <w:rPr>
                      <w:spacing w:val="3"/>
                      <w:sz w:val="21"/>
                      <w:szCs w:val="21"/>
                      <w:highlight w:val="none"/>
                    </w:rPr>
                    <w:t>Eremias）</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szCs w:val="21"/>
                      <w:highlight w:val="none"/>
                    </w:rPr>
                  </w:pPr>
                </w:p>
              </w:tc>
            </w:tr>
          </w:tbl>
          <w:p>
            <w:pPr>
              <w:rPr>
                <w:rFonts w:ascii="Arial"/>
                <w:sz w:val="21"/>
                <w:highlight w:val="none"/>
              </w:rPr>
            </w:pPr>
          </w:p>
          <w:p>
            <w:pPr>
              <w:numPr>
                <w:ilvl w:val="0"/>
                <w:numId w:val="0"/>
              </w:numPr>
              <w:spacing w:line="360" w:lineRule="auto"/>
              <w:ind w:firstLine="480" w:firstLineChars="200"/>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eastAsia" w:ascii="Times New Roman" w:hAnsi="Times New Roman" w:cs="Times New Roman"/>
                <w:color w:val="000000" w:themeColor="text1"/>
                <w:sz w:val="24"/>
                <w:szCs w:val="24"/>
                <w:highlight w:val="none"/>
                <w:lang w:eastAsia="zh-CN"/>
                <w14:textFill>
                  <w14:solidFill>
                    <w14:schemeClr w14:val="tx1"/>
                  </w14:solidFill>
                </w14:textFill>
              </w:rPr>
              <w:t>二、</w:t>
            </w:r>
            <w:r>
              <w:rPr>
                <w:rFonts w:hint="default" w:ascii="Times New Roman" w:hAnsi="Times New Roman" w:cs="Times New Roman"/>
                <w:color w:val="000000" w:themeColor="text1"/>
                <w:sz w:val="24"/>
                <w:szCs w:val="24"/>
                <w:highlight w:val="none"/>
                <w:lang w:eastAsia="zh-CN"/>
                <w14:textFill>
                  <w14:solidFill>
                    <w14:schemeClr w14:val="tx1"/>
                  </w14:solidFill>
                </w14:textFill>
              </w:rPr>
              <w:t>大气环境质量现状评价</w:t>
            </w:r>
          </w:p>
          <w:p>
            <w:pPr>
              <w:adjustRightInd w:val="0"/>
              <w:snapToGrid w:val="0"/>
              <w:spacing w:line="360" w:lineRule="auto"/>
              <w:ind w:firstLine="480" w:firstLineChars="200"/>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1</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大气环境质量达标区判定</w:t>
            </w:r>
          </w:p>
          <w:p>
            <w:pPr>
              <w:adjustRightInd w:val="0"/>
              <w:snapToGrid w:val="0"/>
              <w:spacing w:line="360" w:lineRule="auto"/>
              <w:ind w:firstLine="480" w:firstLineChars="200"/>
              <w:jc w:val="both"/>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根据</w:t>
            </w:r>
            <w:r>
              <w:rPr>
                <w:rFonts w:hint="default" w:ascii="Times New Roman" w:hAnsi="Times New Roman" w:cs="Times New Roman"/>
                <w:color w:val="000000" w:themeColor="text1"/>
                <w:sz w:val="24"/>
                <w:szCs w:val="24"/>
                <w:highlight w:val="none"/>
                <w:lang w:eastAsia="zh-CN"/>
                <w14:textFill>
                  <w14:solidFill>
                    <w14:schemeClr w14:val="tx1"/>
                  </w14:solidFill>
                </w14:textFill>
              </w:rPr>
              <w:t>2022年《内蒙古自治区生态环境状况公报》统计</w:t>
            </w:r>
            <w:r>
              <w:rPr>
                <w:rFonts w:hint="default" w:ascii="Times New Roman" w:hAnsi="Times New Roman" w:cs="Times New Roman"/>
                <w:color w:val="000000" w:themeColor="text1"/>
                <w:sz w:val="24"/>
                <w:highlight w:val="none"/>
                <w14:textFill>
                  <w14:solidFill>
                    <w14:schemeClr w14:val="tx1"/>
                  </w14:solidFill>
                </w14:textFill>
              </w:rPr>
              <w:t>数据，鄂尔多斯市202</w:t>
            </w:r>
            <w:r>
              <w:rPr>
                <w:rFonts w:hint="default" w:ascii="Times New Roman" w:hAnsi="Times New Roman" w:cs="Times New Roman"/>
                <w:color w:val="000000" w:themeColor="text1"/>
                <w:sz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年PM</w:t>
            </w:r>
            <w:r>
              <w:rPr>
                <w:rFonts w:hint="default" w:ascii="Times New Roman" w:hAnsi="Times New Roman" w:cs="Times New Roman"/>
                <w:color w:val="000000" w:themeColor="text1"/>
                <w:sz w:val="24"/>
                <w:highlight w:val="none"/>
                <w:vertAlign w:val="subscript"/>
                <w14:textFill>
                  <w14:solidFill>
                    <w14:schemeClr w14:val="tx1"/>
                  </w14:solidFill>
                </w14:textFill>
              </w:rPr>
              <w:t>2.5</w:t>
            </w:r>
            <w:r>
              <w:rPr>
                <w:rFonts w:hint="default" w:ascii="Times New Roman" w:hAnsi="Times New Roman" w:cs="Times New Roman"/>
                <w:color w:val="000000" w:themeColor="text1"/>
                <w:sz w:val="24"/>
                <w:highlight w:val="none"/>
                <w14:textFill>
                  <w14:solidFill>
                    <w14:schemeClr w14:val="tx1"/>
                  </w14:solidFill>
                </w14:textFill>
              </w:rPr>
              <w:t>、PM</w:t>
            </w:r>
            <w:r>
              <w:rPr>
                <w:rFonts w:hint="default" w:ascii="Times New Roman" w:hAnsi="Times New Roman" w:cs="Times New Roman"/>
                <w:color w:val="000000" w:themeColor="text1"/>
                <w:sz w:val="24"/>
                <w:highlight w:val="none"/>
                <w:vertAlign w:val="subscript"/>
                <w14:textFill>
                  <w14:solidFill>
                    <w14:schemeClr w14:val="tx1"/>
                  </w14:solidFill>
                </w14:textFill>
              </w:rPr>
              <w:t>10</w:t>
            </w:r>
            <w:r>
              <w:rPr>
                <w:rFonts w:hint="default" w:ascii="Times New Roman" w:hAnsi="Times New Roman" w:cs="Times New Roman"/>
                <w:color w:val="000000" w:themeColor="text1"/>
                <w:sz w:val="24"/>
                <w:highlight w:val="none"/>
                <w14:textFill>
                  <w14:solidFill>
                    <w14:schemeClr w14:val="tx1"/>
                  </w14:solidFill>
                </w14:textFill>
              </w:rPr>
              <w:t>、SO</w:t>
            </w:r>
            <w:r>
              <w:rPr>
                <w:rFonts w:hint="default" w:ascii="Times New Roman" w:hAnsi="Times New Roman" w:cs="Times New Roman"/>
                <w:color w:val="000000" w:themeColor="text1"/>
                <w:sz w:val="24"/>
                <w:highlight w:val="none"/>
                <w:vertAlign w:val="subscript"/>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、NO</w:t>
            </w:r>
            <w:r>
              <w:rPr>
                <w:rFonts w:hint="default" w:ascii="Times New Roman" w:hAnsi="Times New Roman" w:cs="Times New Roman"/>
                <w:color w:val="000000" w:themeColor="text1"/>
                <w:sz w:val="24"/>
                <w:highlight w:val="none"/>
                <w:vertAlign w:val="subscript"/>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年均浓度分别为；2</w:t>
            </w:r>
            <w:r>
              <w:rPr>
                <w:rFonts w:hint="default" w:ascii="Times New Roman" w:hAnsi="Times New Roman" w:cs="Times New Roman"/>
                <w:color w:val="000000" w:themeColor="text1"/>
                <w:sz w:val="24"/>
                <w:highlight w:val="none"/>
                <w:lang w:val="en-US" w:eastAsia="zh-CN"/>
                <w14:textFill>
                  <w14:solidFill>
                    <w14:schemeClr w14:val="tx1"/>
                  </w14:solidFill>
                </w14:textFill>
              </w:rPr>
              <w:t>0</w:t>
            </w:r>
            <w:r>
              <w:rPr>
                <w:rFonts w:hint="default" w:ascii="Times New Roman" w:hAnsi="Times New Roman" w:cs="Times New Roman"/>
                <w:color w:val="000000" w:themeColor="text1"/>
                <w:sz w:val="24"/>
                <w:highlight w:val="none"/>
                <w:lang w:eastAsia="zh-CN"/>
                <w14:textFill>
                  <w14:solidFill>
                    <w14:schemeClr w14:val="tx1"/>
                  </w14:solidFill>
                </w14:textFill>
              </w:rPr>
              <w:t>μ</w:t>
            </w:r>
            <w:r>
              <w:rPr>
                <w:rFonts w:hint="default" w:ascii="Times New Roman" w:hAnsi="Times New Roman" w:cs="Times New Roman"/>
                <w:color w:val="000000" w:themeColor="text1"/>
                <w:sz w:val="24"/>
                <w:highlight w:val="none"/>
                <w14:textFill>
                  <w14:solidFill>
                    <w14:schemeClr w14:val="tx1"/>
                  </w14:solidFill>
                </w14:textFill>
              </w:rPr>
              <w:t>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、5</w:t>
            </w:r>
            <w:r>
              <w:rPr>
                <w:rFonts w:hint="default" w:ascii="Times New Roman" w:hAnsi="Times New Roman" w:cs="Times New Roman"/>
                <w:color w:val="000000" w:themeColor="text1"/>
                <w:sz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highlight w:val="none"/>
                <w:lang w:eastAsia="zh-CN"/>
                <w14:textFill>
                  <w14:solidFill>
                    <w14:schemeClr w14:val="tx1"/>
                  </w14:solidFill>
                </w14:textFill>
              </w:rPr>
              <w:t>μ</w:t>
            </w:r>
            <w:r>
              <w:rPr>
                <w:rFonts w:hint="default" w:ascii="Times New Roman" w:hAnsi="Times New Roman" w:cs="Times New Roman"/>
                <w:color w:val="000000" w:themeColor="text1"/>
                <w:sz w:val="24"/>
                <w:highlight w:val="none"/>
                <w14:textFill>
                  <w14:solidFill>
                    <w14:schemeClr w14:val="tx1"/>
                  </w14:solidFill>
                </w14:textFill>
              </w:rPr>
              <w:t>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、1</w:t>
            </w:r>
            <w:r>
              <w:rPr>
                <w:rFonts w:hint="default" w:ascii="Times New Roman" w:hAnsi="Times New Roman" w:cs="Times New Roman"/>
                <w:color w:val="000000" w:themeColor="text1"/>
                <w:sz w:val="24"/>
                <w:highlight w:val="none"/>
                <w:lang w:val="en-US" w:eastAsia="zh-CN"/>
                <w14:textFill>
                  <w14:solidFill>
                    <w14:schemeClr w14:val="tx1"/>
                  </w14:solidFill>
                </w14:textFill>
              </w:rPr>
              <w:t>0</w:t>
            </w:r>
            <w:r>
              <w:rPr>
                <w:rFonts w:hint="default" w:ascii="Times New Roman" w:hAnsi="Times New Roman" w:cs="Times New Roman"/>
                <w:color w:val="000000" w:themeColor="text1"/>
                <w:sz w:val="24"/>
                <w:highlight w:val="none"/>
                <w:lang w:eastAsia="zh-CN"/>
                <w14:textFill>
                  <w14:solidFill>
                    <w14:schemeClr w14:val="tx1"/>
                  </w14:solidFill>
                </w14:textFill>
              </w:rPr>
              <w:t>μ</w:t>
            </w:r>
            <w:r>
              <w:rPr>
                <w:rFonts w:hint="default" w:ascii="Times New Roman" w:hAnsi="Times New Roman" w:cs="Times New Roman"/>
                <w:color w:val="000000" w:themeColor="text1"/>
                <w:sz w:val="24"/>
                <w:highlight w:val="none"/>
                <w14:textFill>
                  <w14:solidFill>
                    <w14:schemeClr w14:val="tx1"/>
                  </w14:solidFill>
                </w14:textFill>
              </w:rPr>
              <w:t>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、2</w:t>
            </w:r>
            <w:r>
              <w:rPr>
                <w:rFonts w:hint="default" w:ascii="Times New Roman" w:hAnsi="Times New Roman" w:cs="Times New Roman"/>
                <w:color w:val="000000" w:themeColor="text1"/>
                <w:sz w:val="24"/>
                <w:highlight w:val="none"/>
                <w:lang w:val="en-US" w:eastAsia="zh-CN"/>
                <w14:textFill>
                  <w14:solidFill>
                    <w14:schemeClr w14:val="tx1"/>
                  </w14:solidFill>
                </w14:textFill>
              </w:rPr>
              <w:t>3</w:t>
            </w:r>
            <w:r>
              <w:rPr>
                <w:rFonts w:hint="default" w:ascii="Times New Roman" w:hAnsi="Times New Roman" w:cs="Times New Roman"/>
                <w:color w:val="000000" w:themeColor="text1"/>
                <w:sz w:val="24"/>
                <w:highlight w:val="none"/>
                <w:lang w:eastAsia="zh-CN"/>
                <w14:textFill>
                  <w14:solidFill>
                    <w14:schemeClr w14:val="tx1"/>
                  </w14:solidFill>
                </w14:textFill>
              </w:rPr>
              <w:t>μ</w:t>
            </w:r>
            <w:r>
              <w:rPr>
                <w:rFonts w:hint="default" w:ascii="Times New Roman" w:hAnsi="Times New Roman" w:cs="Times New Roman"/>
                <w:color w:val="000000" w:themeColor="text1"/>
                <w:sz w:val="24"/>
                <w:highlight w:val="none"/>
                <w14:textFill>
                  <w14:solidFill>
                    <w14:schemeClr w14:val="tx1"/>
                  </w14:solidFill>
                </w14:textFill>
              </w:rPr>
              <w:t>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；CO</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24小时平均第95百分位数浓度为0.9mg/m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，O3日最大平均值第90百分位数浓度为148ug/m</w:t>
            </w:r>
            <w:r>
              <w:rPr>
                <w:rFonts w:hint="default" w:ascii="Times New Roman" w:hAnsi="Times New Roman" w:cs="Times New Roman"/>
                <w:color w:val="000000" w:themeColor="text1"/>
                <w:sz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。各污染物的平均浓度均低于《环境空气质量标准》（GB3095</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2012）及其修改单二级标准。因此，鄂尔多斯市的环境空气质量属于达标区。区域空气质量现状评价见</w:t>
            </w:r>
            <w:r>
              <w:rPr>
                <w:rFonts w:hint="default" w:ascii="Times New Roman" w:hAnsi="Times New Roman" w:cs="Times New Roman"/>
                <w:color w:val="000000" w:themeColor="text1"/>
                <w:sz w:val="24"/>
                <w:highlight w:val="none"/>
                <w:lang w:eastAsia="zh-CN"/>
                <w14:textFill>
                  <w14:solidFill>
                    <w14:schemeClr w14:val="tx1"/>
                  </w14:solidFill>
                </w14:textFill>
              </w:rPr>
              <w:t>下</w:t>
            </w:r>
            <w:r>
              <w:rPr>
                <w:rFonts w:ascii="Times New Roman" w:hAnsi="Times New Roman" w:cs="Times New Roman"/>
                <w:color w:val="000000" w:themeColor="text1"/>
                <w:sz w:val="24"/>
                <w:highlight w:val="none"/>
                <w14:textFill>
                  <w14:solidFill>
                    <w14:schemeClr w14:val="tx1"/>
                  </w14:solidFill>
                </w14:textFill>
              </w:rPr>
              <w:t>表</w:t>
            </w:r>
            <w:r>
              <w:rPr>
                <w:rFonts w:ascii="Times New Roman" w:hAnsi="Times New Roman" w:cs="Times New Roman"/>
                <w:color w:val="000000" w:themeColor="text1"/>
                <w:highlight w:val="none"/>
                <w14:textFill>
                  <w14:solidFill>
                    <w14:schemeClr w14:val="tx1"/>
                  </w14:solidFill>
                </w14:textFill>
              </w:rPr>
              <w:t>。</w:t>
            </w:r>
          </w:p>
          <w:p>
            <w:pPr>
              <w:adjustRightInd w:val="0"/>
              <w:snapToGrid w:val="0"/>
              <w:spacing w:line="240" w:lineRule="auto"/>
              <w:jc w:val="center"/>
              <w:rPr>
                <w:b/>
                <w:bCs/>
                <w:color w:val="000000" w:themeColor="text1"/>
                <w:sz w:val="24"/>
                <w:highlight w:val="none"/>
                <w14:textFill>
                  <w14:solidFill>
                    <w14:schemeClr w14:val="tx1"/>
                  </w14:solidFill>
                </w14:textFill>
              </w:rPr>
            </w:pPr>
            <w:r>
              <w:rPr>
                <w:b w:val="0"/>
                <w:bCs w:val="0"/>
                <w:color w:val="000000" w:themeColor="text1"/>
                <w:sz w:val="21"/>
                <w:szCs w:val="21"/>
                <w:highlight w:val="none"/>
                <w14:textFill>
                  <w14:solidFill>
                    <w14:schemeClr w14:val="tx1"/>
                  </w14:solidFill>
                </w14:textFill>
              </w:rPr>
              <w:t>表3</w:t>
            </w:r>
            <w:r>
              <w:rPr>
                <w:rFonts w:hint="eastAsia"/>
                <w:b w:val="0"/>
                <w:bCs w:val="0"/>
                <w:color w:val="000000" w:themeColor="text1"/>
                <w:sz w:val="21"/>
                <w:szCs w:val="21"/>
                <w:highlight w:val="none"/>
                <w:lang w:eastAsia="zh-CN"/>
                <w14:textFill>
                  <w14:solidFill>
                    <w14:schemeClr w14:val="tx1"/>
                  </w14:solidFill>
                </w14:textFill>
              </w:rPr>
              <w:t>-</w:t>
            </w:r>
            <w:r>
              <w:rPr>
                <w:rFonts w:hint="eastAsia"/>
                <w:b w:val="0"/>
                <w:bCs w:val="0"/>
                <w:color w:val="000000" w:themeColor="text1"/>
                <w:sz w:val="21"/>
                <w:szCs w:val="21"/>
                <w:highlight w:val="none"/>
                <w:lang w:val="en-US" w:eastAsia="zh-CN"/>
                <w14:textFill>
                  <w14:solidFill>
                    <w14:schemeClr w14:val="tx1"/>
                  </w14:solidFill>
                </w14:textFill>
              </w:rPr>
              <w:t>6</w:t>
            </w:r>
            <w:r>
              <w:rPr>
                <w:b w:val="0"/>
                <w:bCs w:val="0"/>
                <w:color w:val="000000" w:themeColor="text1"/>
                <w:sz w:val="21"/>
                <w:szCs w:val="21"/>
                <w:highlight w:val="none"/>
                <w14:textFill>
                  <w14:solidFill>
                    <w14:schemeClr w14:val="tx1"/>
                  </w14:solidFill>
                </w14:textFill>
              </w:rPr>
              <w:t>区域空气质量现状评价表</w:t>
            </w:r>
          </w:p>
          <w:tbl>
            <w:tblPr>
              <w:tblStyle w:val="23"/>
              <w:tblW w:w="805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57" w:type="dxa"/>
                <w:bottom w:w="0" w:type="dxa"/>
                <w:right w:w="57" w:type="dxa"/>
              </w:tblCellMar>
            </w:tblPr>
            <w:tblGrid>
              <w:gridCol w:w="853"/>
              <w:gridCol w:w="2412"/>
              <w:gridCol w:w="1296"/>
              <w:gridCol w:w="1272"/>
              <w:gridCol w:w="1104"/>
              <w:gridCol w:w="112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97" w:hRule="atLeast"/>
                <w:jc w:val="center"/>
              </w:trPr>
              <w:tc>
                <w:tcPr>
                  <w:tcW w:w="853"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污染物</w:t>
                  </w:r>
                </w:p>
              </w:tc>
              <w:tc>
                <w:tcPr>
                  <w:tcW w:w="2412"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年评价指标</w:t>
                  </w:r>
                </w:p>
              </w:tc>
              <w:tc>
                <w:tcPr>
                  <w:tcW w:w="1296"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现状浓度</w:t>
                  </w:r>
                  <w:r>
                    <w:rPr>
                      <w:rFonts w:hint="eastAsia" w:cs="Times New Roman"/>
                      <w:color w:val="000000" w:themeColor="text1"/>
                      <w:sz w:val="21"/>
                      <w:szCs w:val="21"/>
                      <w:highlight w:val="none"/>
                      <w:lang w:eastAsia="zh-CN"/>
                      <w14:textFill>
                        <w14:solidFill>
                          <w14:schemeClr w14:val="tx1"/>
                        </w14:solidFill>
                      </w14:textFill>
                    </w:rPr>
                    <w:t>（</w:t>
                  </w:r>
                  <w:r>
                    <w:rPr>
                      <w:rFonts w:ascii="Times New Roman" w:hAnsi="Times New Roman" w:cs="Times New Roman"/>
                      <w:color w:val="000000" w:themeColor="text1"/>
                      <w:sz w:val="21"/>
                      <w:szCs w:val="21"/>
                      <w:highlight w:val="none"/>
                      <w14:textFill>
                        <w14:solidFill>
                          <w14:schemeClr w14:val="tx1"/>
                        </w14:solidFill>
                      </w14:textFill>
                    </w:rPr>
                    <w:t>μg/m</w:t>
                  </w:r>
                  <w:r>
                    <w:rPr>
                      <w:rFonts w:ascii="Times New Roman" w:hAnsi="Times New Roman" w:cs="Times New Roman"/>
                      <w:color w:val="000000" w:themeColor="text1"/>
                      <w:sz w:val="21"/>
                      <w:szCs w:val="21"/>
                      <w:highlight w:val="none"/>
                      <w:vertAlign w:val="superscript"/>
                      <w14:textFill>
                        <w14:solidFill>
                          <w14:schemeClr w14:val="tx1"/>
                        </w14:solidFill>
                      </w14:textFill>
                    </w:rPr>
                    <w:t>3</w:t>
                  </w:r>
                  <w:r>
                    <w:rPr>
                      <w:rFonts w:ascii="Times New Roman" w:hAnsi="Times New Roman" w:cs="Times New Roman"/>
                      <w:color w:val="000000" w:themeColor="text1"/>
                      <w:sz w:val="21"/>
                      <w:szCs w:val="21"/>
                      <w:highlight w:val="none"/>
                      <w14:textFill>
                        <w14:solidFill>
                          <w14:schemeClr w14:val="tx1"/>
                        </w14:solidFill>
                      </w14:textFill>
                    </w:rPr>
                    <w:t>）</w:t>
                  </w:r>
                </w:p>
              </w:tc>
              <w:tc>
                <w:tcPr>
                  <w:tcW w:w="1272"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标准值</w:t>
                  </w:r>
                </w:p>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ascii="Times New Roman" w:hAnsi="Times New Roman" w:cs="Times New Roman"/>
                      <w:color w:val="000000" w:themeColor="text1"/>
                      <w:sz w:val="21"/>
                      <w:szCs w:val="21"/>
                      <w:highlight w:val="none"/>
                      <w14:textFill>
                        <w14:solidFill>
                          <w14:schemeClr w14:val="tx1"/>
                        </w14:solidFill>
                      </w14:textFill>
                    </w:rPr>
                    <w:t>μg/m</w:t>
                  </w:r>
                  <w:r>
                    <w:rPr>
                      <w:rFonts w:ascii="Times New Roman" w:hAnsi="Times New Roman" w:cs="Times New Roman"/>
                      <w:color w:val="000000" w:themeColor="text1"/>
                      <w:sz w:val="21"/>
                      <w:szCs w:val="21"/>
                      <w:highlight w:val="none"/>
                      <w:vertAlign w:val="superscript"/>
                      <w14:textFill>
                        <w14:solidFill>
                          <w14:schemeClr w14:val="tx1"/>
                        </w14:solidFill>
                      </w14:textFill>
                    </w:rPr>
                    <w:t>3</w:t>
                  </w:r>
                  <w:r>
                    <w:rPr>
                      <w:rFonts w:ascii="Times New Roman" w:hAnsi="Times New Roman" w:cs="Times New Roman"/>
                      <w:color w:val="000000" w:themeColor="text1"/>
                      <w:sz w:val="21"/>
                      <w:szCs w:val="21"/>
                      <w:highlight w:val="none"/>
                      <w14:textFill>
                        <w14:solidFill>
                          <w14:schemeClr w14:val="tx1"/>
                        </w14:solidFill>
                      </w14:textFill>
                    </w:rPr>
                    <w:t>）</w:t>
                  </w:r>
                </w:p>
              </w:tc>
              <w:tc>
                <w:tcPr>
                  <w:tcW w:w="1104"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占标率/%</w:t>
                  </w:r>
                </w:p>
              </w:tc>
              <w:tc>
                <w:tcPr>
                  <w:tcW w:w="1121"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39" w:hRule="atLeast"/>
                <w:jc w:val="center"/>
              </w:trPr>
              <w:tc>
                <w:tcPr>
                  <w:tcW w:w="853"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SO</w:t>
                  </w:r>
                  <w:r>
                    <w:rPr>
                      <w:rFonts w:ascii="Times New Roman" w:hAnsi="Times New Roman" w:cs="Times New Roman"/>
                      <w:color w:val="000000" w:themeColor="text1"/>
                      <w:sz w:val="21"/>
                      <w:szCs w:val="21"/>
                      <w:highlight w:val="none"/>
                      <w:vertAlign w:val="subscript"/>
                      <w14:textFill>
                        <w14:solidFill>
                          <w14:schemeClr w14:val="tx1"/>
                        </w14:solidFill>
                      </w14:textFill>
                    </w:rPr>
                    <w:t>2</w:t>
                  </w:r>
                </w:p>
              </w:tc>
              <w:tc>
                <w:tcPr>
                  <w:tcW w:w="2412"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年平均质量浓度</w:t>
                  </w:r>
                </w:p>
              </w:tc>
              <w:tc>
                <w:tcPr>
                  <w:tcW w:w="1296"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1</w:t>
                  </w:r>
                  <w:r>
                    <w:rPr>
                      <w:rFonts w:ascii="Times New Roman" w:hAnsi="Times New Roman" w:cs="Times New Roman"/>
                      <w:color w:val="000000" w:themeColor="text1"/>
                      <w:sz w:val="21"/>
                      <w:szCs w:val="21"/>
                      <w:highlight w:val="none"/>
                      <w:lang w:eastAsia="zh-CN"/>
                      <w14:textFill>
                        <w14:solidFill>
                          <w14:schemeClr w14:val="tx1"/>
                        </w14:solidFill>
                      </w14:textFill>
                    </w:rPr>
                    <w:t>0</w:t>
                  </w:r>
                </w:p>
              </w:tc>
              <w:tc>
                <w:tcPr>
                  <w:tcW w:w="1272"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60</w:t>
                  </w:r>
                </w:p>
              </w:tc>
              <w:tc>
                <w:tcPr>
                  <w:tcW w:w="1104"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16.67</w:t>
                  </w:r>
                </w:p>
              </w:tc>
              <w:tc>
                <w:tcPr>
                  <w:tcW w:w="1121"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39" w:hRule="atLeast"/>
                <w:jc w:val="center"/>
              </w:trPr>
              <w:tc>
                <w:tcPr>
                  <w:tcW w:w="853"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NO</w:t>
                  </w:r>
                  <w:r>
                    <w:rPr>
                      <w:rFonts w:ascii="Times New Roman" w:hAnsi="Times New Roman" w:cs="Times New Roman"/>
                      <w:color w:val="000000" w:themeColor="text1"/>
                      <w:sz w:val="21"/>
                      <w:szCs w:val="21"/>
                      <w:highlight w:val="none"/>
                      <w:vertAlign w:val="subscript"/>
                      <w14:textFill>
                        <w14:solidFill>
                          <w14:schemeClr w14:val="tx1"/>
                        </w14:solidFill>
                      </w14:textFill>
                    </w:rPr>
                    <w:t>2</w:t>
                  </w:r>
                </w:p>
              </w:tc>
              <w:tc>
                <w:tcPr>
                  <w:tcW w:w="2412"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年平均质量浓度</w:t>
                  </w:r>
                </w:p>
              </w:tc>
              <w:tc>
                <w:tcPr>
                  <w:tcW w:w="1296"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2</w:t>
                  </w:r>
                  <w:r>
                    <w:rPr>
                      <w:rFonts w:ascii="Times New Roman" w:hAnsi="Times New Roman" w:cs="Times New Roman"/>
                      <w:color w:val="000000" w:themeColor="text1"/>
                      <w:sz w:val="21"/>
                      <w:szCs w:val="21"/>
                      <w:highlight w:val="none"/>
                      <w:lang w:eastAsia="zh-CN"/>
                      <w14:textFill>
                        <w14:solidFill>
                          <w14:schemeClr w14:val="tx1"/>
                        </w14:solidFill>
                      </w14:textFill>
                    </w:rPr>
                    <w:t>3</w:t>
                  </w:r>
                </w:p>
              </w:tc>
              <w:tc>
                <w:tcPr>
                  <w:tcW w:w="1272"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40</w:t>
                  </w:r>
                </w:p>
              </w:tc>
              <w:tc>
                <w:tcPr>
                  <w:tcW w:w="1104"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57.50</w:t>
                  </w:r>
                </w:p>
              </w:tc>
              <w:tc>
                <w:tcPr>
                  <w:tcW w:w="1121"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39" w:hRule="atLeast"/>
                <w:jc w:val="center"/>
              </w:trPr>
              <w:tc>
                <w:tcPr>
                  <w:tcW w:w="853"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PM</w:t>
                  </w:r>
                  <w:r>
                    <w:rPr>
                      <w:rFonts w:ascii="Times New Roman" w:hAnsi="Times New Roman" w:cs="Times New Roman"/>
                      <w:color w:val="000000" w:themeColor="text1"/>
                      <w:sz w:val="21"/>
                      <w:szCs w:val="21"/>
                      <w:highlight w:val="none"/>
                      <w:vertAlign w:val="subscript"/>
                      <w14:textFill>
                        <w14:solidFill>
                          <w14:schemeClr w14:val="tx1"/>
                        </w14:solidFill>
                      </w14:textFill>
                    </w:rPr>
                    <w:t>10</w:t>
                  </w:r>
                </w:p>
              </w:tc>
              <w:tc>
                <w:tcPr>
                  <w:tcW w:w="2412"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年平均质量浓度</w:t>
                  </w:r>
                </w:p>
              </w:tc>
              <w:tc>
                <w:tcPr>
                  <w:tcW w:w="1296"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5</w:t>
                  </w:r>
                  <w:r>
                    <w:rPr>
                      <w:rFonts w:ascii="Times New Roman" w:hAnsi="Times New Roman" w:cs="Times New Roman"/>
                      <w:color w:val="000000" w:themeColor="text1"/>
                      <w:sz w:val="21"/>
                      <w:szCs w:val="21"/>
                      <w:highlight w:val="none"/>
                      <w:lang w:eastAsia="zh-CN"/>
                      <w14:textFill>
                        <w14:solidFill>
                          <w14:schemeClr w14:val="tx1"/>
                        </w14:solidFill>
                      </w14:textFill>
                    </w:rPr>
                    <w:t>1</w:t>
                  </w:r>
                </w:p>
              </w:tc>
              <w:tc>
                <w:tcPr>
                  <w:tcW w:w="1272"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70</w:t>
                  </w:r>
                </w:p>
              </w:tc>
              <w:tc>
                <w:tcPr>
                  <w:tcW w:w="1104"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72.86</w:t>
                  </w:r>
                </w:p>
              </w:tc>
              <w:tc>
                <w:tcPr>
                  <w:tcW w:w="1121"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39" w:hRule="atLeast"/>
                <w:jc w:val="center"/>
              </w:trPr>
              <w:tc>
                <w:tcPr>
                  <w:tcW w:w="853"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PM</w:t>
                  </w:r>
                  <w:r>
                    <w:rPr>
                      <w:rFonts w:ascii="Times New Roman" w:hAnsi="Times New Roman" w:cs="Times New Roman"/>
                      <w:color w:val="000000" w:themeColor="text1"/>
                      <w:sz w:val="21"/>
                      <w:szCs w:val="21"/>
                      <w:highlight w:val="none"/>
                      <w:vertAlign w:val="subscript"/>
                      <w14:textFill>
                        <w14:solidFill>
                          <w14:schemeClr w14:val="tx1"/>
                        </w14:solidFill>
                      </w14:textFill>
                    </w:rPr>
                    <w:t>2.5</w:t>
                  </w:r>
                </w:p>
              </w:tc>
              <w:tc>
                <w:tcPr>
                  <w:tcW w:w="2412"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年平均质量浓度</w:t>
                  </w:r>
                </w:p>
              </w:tc>
              <w:tc>
                <w:tcPr>
                  <w:tcW w:w="1296"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20</w:t>
                  </w:r>
                </w:p>
              </w:tc>
              <w:tc>
                <w:tcPr>
                  <w:tcW w:w="1272"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35</w:t>
                  </w:r>
                </w:p>
              </w:tc>
              <w:tc>
                <w:tcPr>
                  <w:tcW w:w="1104"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57.14</w:t>
                  </w:r>
                </w:p>
              </w:tc>
              <w:tc>
                <w:tcPr>
                  <w:tcW w:w="1121"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39" w:hRule="atLeast"/>
                <w:jc w:val="center"/>
              </w:trPr>
              <w:tc>
                <w:tcPr>
                  <w:tcW w:w="853"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O</w:t>
                  </w:r>
                  <w:r>
                    <w:rPr>
                      <w:rFonts w:ascii="Times New Roman" w:hAnsi="Times New Roman" w:cs="Times New Roman"/>
                      <w:color w:val="000000" w:themeColor="text1"/>
                      <w:sz w:val="21"/>
                      <w:szCs w:val="21"/>
                      <w:highlight w:val="none"/>
                      <w:vertAlign w:val="subscript"/>
                      <w14:textFill>
                        <w14:solidFill>
                          <w14:schemeClr w14:val="tx1"/>
                        </w14:solidFill>
                      </w14:textFill>
                    </w:rPr>
                    <w:t>3</w:t>
                  </w:r>
                </w:p>
              </w:tc>
              <w:tc>
                <w:tcPr>
                  <w:tcW w:w="2412" w:type="dxa"/>
                  <w:tcBorders>
                    <w:tl2br w:val="nil"/>
                    <w:tr2bl w:val="nil"/>
                  </w:tcBorders>
                  <w:vAlign w:val="center"/>
                </w:tcPr>
                <w:p>
                  <w:pPr>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8小时平均质量浓度</w:t>
                  </w:r>
                </w:p>
              </w:tc>
              <w:tc>
                <w:tcPr>
                  <w:tcW w:w="1296"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1</w:t>
                  </w:r>
                  <w:r>
                    <w:rPr>
                      <w:rFonts w:ascii="Times New Roman" w:hAnsi="Times New Roman" w:cs="Times New Roman"/>
                      <w:color w:val="000000" w:themeColor="text1"/>
                      <w:sz w:val="21"/>
                      <w:szCs w:val="21"/>
                      <w:highlight w:val="none"/>
                      <w:lang w:eastAsia="zh-CN"/>
                      <w14:textFill>
                        <w14:solidFill>
                          <w14:schemeClr w14:val="tx1"/>
                        </w14:solidFill>
                      </w14:textFill>
                    </w:rPr>
                    <w:t>48</w:t>
                  </w:r>
                </w:p>
              </w:tc>
              <w:tc>
                <w:tcPr>
                  <w:tcW w:w="1272"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160</w:t>
                  </w:r>
                </w:p>
              </w:tc>
              <w:tc>
                <w:tcPr>
                  <w:tcW w:w="1104"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92.50</w:t>
                  </w:r>
                </w:p>
              </w:tc>
              <w:tc>
                <w:tcPr>
                  <w:tcW w:w="1121"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98" w:hRule="atLeast"/>
                <w:jc w:val="center"/>
              </w:trPr>
              <w:tc>
                <w:tcPr>
                  <w:tcW w:w="853"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CO</w:t>
                  </w:r>
                </w:p>
              </w:tc>
              <w:tc>
                <w:tcPr>
                  <w:tcW w:w="2412"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第95百分位数日平均</w:t>
                  </w:r>
                </w:p>
              </w:tc>
              <w:tc>
                <w:tcPr>
                  <w:tcW w:w="1296"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0.9mg/m</w:t>
                  </w:r>
                  <w:r>
                    <w:rPr>
                      <w:rFonts w:ascii="Times New Roman" w:hAnsi="Times New Roman" w:cs="Times New Roman"/>
                      <w:color w:val="000000" w:themeColor="text1"/>
                      <w:sz w:val="21"/>
                      <w:szCs w:val="21"/>
                      <w:highlight w:val="none"/>
                      <w:vertAlign w:val="superscript"/>
                      <w14:textFill>
                        <w14:solidFill>
                          <w14:schemeClr w14:val="tx1"/>
                        </w14:solidFill>
                      </w14:textFill>
                    </w:rPr>
                    <w:t>3</w:t>
                  </w:r>
                </w:p>
              </w:tc>
              <w:tc>
                <w:tcPr>
                  <w:tcW w:w="1272"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4mg/m</w:t>
                  </w:r>
                  <w:r>
                    <w:rPr>
                      <w:rFonts w:ascii="Times New Roman" w:hAnsi="Times New Roman" w:cs="Times New Roman"/>
                      <w:color w:val="000000" w:themeColor="text1"/>
                      <w:sz w:val="21"/>
                      <w:szCs w:val="21"/>
                      <w:highlight w:val="none"/>
                      <w:vertAlign w:val="superscript"/>
                      <w14:textFill>
                        <w14:solidFill>
                          <w14:schemeClr w14:val="tx1"/>
                        </w14:solidFill>
                      </w14:textFill>
                    </w:rPr>
                    <w:t>3</w:t>
                  </w:r>
                </w:p>
              </w:tc>
              <w:tc>
                <w:tcPr>
                  <w:tcW w:w="1104"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22.50</w:t>
                  </w:r>
                </w:p>
              </w:tc>
              <w:tc>
                <w:tcPr>
                  <w:tcW w:w="1121" w:type="dxa"/>
                  <w:tcBorders>
                    <w:tl2br w:val="nil"/>
                    <w:tr2bl w:val="nil"/>
                  </w:tcBorders>
                  <w:vAlign w:val="center"/>
                </w:tcPr>
                <w:p>
                  <w:pPr>
                    <w:widowControl/>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达标</w:t>
                  </w:r>
                </w:p>
              </w:tc>
            </w:tr>
          </w:tbl>
          <w:p>
            <w:pPr>
              <w:spacing w:line="360" w:lineRule="auto"/>
              <w:ind w:firstLine="480" w:firstLineChars="200"/>
              <w:rPr>
                <w:rFonts w:hint="eastAsia" w:eastAsia="宋体"/>
                <w:sz w:val="24"/>
                <w:highlight w:val="none"/>
                <w:lang w:val="en-US" w:eastAsia="zh-CN"/>
              </w:rPr>
            </w:pPr>
            <w:r>
              <w:rPr>
                <w:rFonts w:hint="eastAsia"/>
                <w:sz w:val="24"/>
                <w:highlight w:val="none"/>
                <w:lang w:val="en-US" w:eastAsia="zh-CN"/>
              </w:rPr>
              <w:t>2.其他污染物补充监测</w:t>
            </w:r>
          </w:p>
          <w:p>
            <w:pPr>
              <w:spacing w:line="360" w:lineRule="auto"/>
              <w:ind w:firstLine="480" w:firstLineChars="200"/>
              <w:rPr>
                <w:sz w:val="24"/>
                <w:szCs w:val="24"/>
                <w:highlight w:val="none"/>
              </w:rPr>
            </w:pPr>
            <w:r>
              <w:rPr>
                <w:kern w:val="0"/>
                <w:sz w:val="24"/>
                <w:highlight w:val="none"/>
              </w:rPr>
              <w:t>为</w:t>
            </w:r>
            <w:r>
              <w:rPr>
                <w:rFonts w:hint="eastAsia"/>
                <w:kern w:val="0"/>
                <w:sz w:val="24"/>
                <w:highlight w:val="none"/>
                <w:lang w:val="en-US" w:eastAsia="zh-CN"/>
              </w:rPr>
              <w:t>了解</w:t>
            </w:r>
            <w:r>
              <w:rPr>
                <w:kern w:val="0"/>
                <w:sz w:val="24"/>
                <w:highlight w:val="none"/>
              </w:rPr>
              <w:t>项目区</w:t>
            </w:r>
            <w:r>
              <w:rPr>
                <w:rFonts w:hint="eastAsia"/>
                <w:kern w:val="0"/>
                <w:sz w:val="24"/>
                <w:highlight w:val="none"/>
              </w:rPr>
              <w:t>TSP</w:t>
            </w:r>
            <w:r>
              <w:rPr>
                <w:kern w:val="0"/>
                <w:sz w:val="24"/>
                <w:highlight w:val="none"/>
              </w:rPr>
              <w:t>环境空气质量现状，</w:t>
            </w:r>
            <w:r>
              <w:rPr>
                <w:rFonts w:hint="eastAsia" w:ascii="宋体" w:hAnsi="宋体" w:eastAsia="宋体" w:cs="宋体"/>
                <w:sz w:val="24"/>
                <w:szCs w:val="24"/>
                <w:highlight w:val="none"/>
                <w:lang w:val="en-US" w:eastAsia="zh-CN"/>
              </w:rPr>
              <w:t>本项目</w:t>
            </w:r>
            <w:r>
              <w:rPr>
                <w:rFonts w:hint="eastAsia"/>
                <w:kern w:val="0"/>
                <w:sz w:val="24"/>
                <w:highlight w:val="none"/>
              </w:rPr>
              <w:t>TSP</w:t>
            </w:r>
            <w:r>
              <w:rPr>
                <w:rFonts w:ascii="宋体" w:hAnsi="宋体" w:eastAsia="宋体" w:cs="宋体"/>
                <w:sz w:val="24"/>
                <w:szCs w:val="24"/>
                <w:highlight w:val="none"/>
              </w:rPr>
              <w:t>监测数据引用</w:t>
            </w:r>
            <w:r>
              <w:rPr>
                <w:rFonts w:hint="eastAsia" w:ascii="宋体" w:hAnsi="宋体" w:eastAsia="宋体" w:cs="宋体"/>
                <w:sz w:val="24"/>
                <w:szCs w:val="24"/>
                <w:highlight w:val="none"/>
                <w:lang w:eastAsia="zh-CN"/>
              </w:rPr>
              <w:t>内蒙古</w:t>
            </w:r>
            <w:r>
              <w:rPr>
                <w:rFonts w:hint="eastAsia" w:ascii="宋体" w:hAnsi="宋体" w:eastAsia="宋体" w:cs="宋体"/>
                <w:sz w:val="24"/>
                <w:szCs w:val="24"/>
                <w:highlight w:val="none"/>
                <w:lang w:val="en-US" w:eastAsia="zh-CN"/>
              </w:rPr>
              <w:t>八</w:t>
            </w:r>
            <w:r>
              <w:rPr>
                <w:rFonts w:hint="eastAsia" w:ascii="宋体" w:hAnsi="宋体" w:eastAsia="宋体" w:cs="宋体"/>
                <w:sz w:val="24"/>
                <w:szCs w:val="24"/>
                <w:highlight w:val="none"/>
                <w:lang w:eastAsia="zh-CN"/>
              </w:rPr>
              <w:t>思巴环保科技有限公司</w:t>
            </w:r>
            <w:r>
              <w:rPr>
                <w:rFonts w:hint="eastAsia" w:ascii="宋体" w:hAnsi="宋体" w:eastAsia="宋体" w:cs="宋体"/>
                <w:sz w:val="24"/>
                <w:szCs w:val="24"/>
                <w:highlight w:val="none"/>
                <w:lang w:val="en-US" w:eastAsia="zh-CN"/>
              </w:rPr>
              <w:t>于</w:t>
            </w:r>
            <w:r>
              <w:rPr>
                <w:rFonts w:ascii="宋体" w:hAnsi="宋体" w:eastAsia="宋体" w:cs="宋体"/>
                <w:sz w:val="24"/>
                <w:szCs w:val="24"/>
                <w:highlight w:val="none"/>
              </w:rPr>
              <w:t>20</w:t>
            </w:r>
            <w:r>
              <w:rPr>
                <w:rFonts w:hint="eastAsia" w:ascii="宋体" w:hAnsi="宋体" w:eastAsia="宋体" w:cs="宋体"/>
                <w:sz w:val="24"/>
                <w:szCs w:val="24"/>
                <w:highlight w:val="none"/>
                <w:lang w:val="en-US" w:eastAsia="zh-CN"/>
              </w:rPr>
              <w:t>23</w:t>
            </w:r>
            <w:r>
              <w:rPr>
                <w:rFonts w:ascii="宋体" w:hAnsi="宋体" w:eastAsia="宋体" w:cs="宋体"/>
                <w:sz w:val="24"/>
                <w:szCs w:val="24"/>
                <w:highlight w:val="none"/>
              </w:rPr>
              <w:t>年</w:t>
            </w:r>
            <w:r>
              <w:rPr>
                <w:rFonts w:hint="eastAsia" w:ascii="宋体" w:hAnsi="宋体" w:eastAsia="宋体" w:cs="宋体"/>
                <w:sz w:val="24"/>
                <w:szCs w:val="24"/>
                <w:highlight w:val="none"/>
                <w:lang w:val="en-US" w:eastAsia="zh-CN"/>
              </w:rPr>
              <w:t>7</w:t>
            </w:r>
            <w:r>
              <w:rPr>
                <w:rFonts w:ascii="宋体" w:hAnsi="宋体" w:eastAsia="宋体" w:cs="宋体"/>
                <w:sz w:val="24"/>
                <w:szCs w:val="24"/>
                <w:highlight w:val="none"/>
              </w:rPr>
              <w:t>月</w:t>
            </w:r>
            <w:r>
              <w:rPr>
                <w:rFonts w:hint="eastAsia" w:ascii="宋体" w:hAnsi="宋体" w:eastAsia="宋体" w:cs="宋体"/>
                <w:sz w:val="24"/>
                <w:szCs w:val="24"/>
                <w:highlight w:val="none"/>
                <w:lang w:val="en-US" w:eastAsia="zh-CN"/>
              </w:rPr>
              <w:t>23</w:t>
            </w:r>
            <w:r>
              <w:rPr>
                <w:rFonts w:ascii="宋体" w:hAnsi="宋体" w:eastAsia="宋体" w:cs="宋体"/>
                <w:sz w:val="24"/>
                <w:szCs w:val="24"/>
                <w:highlight w:val="none"/>
              </w:rPr>
              <w:t>日</w:t>
            </w:r>
            <w:r>
              <w:rPr>
                <w:kern w:val="0"/>
                <w:sz w:val="24"/>
                <w:highlight w:val="none"/>
              </w:rPr>
              <w:t>至</w:t>
            </w:r>
            <w:r>
              <w:rPr>
                <w:rFonts w:ascii="宋体" w:hAnsi="宋体" w:eastAsia="宋体" w:cs="宋体"/>
                <w:sz w:val="24"/>
                <w:szCs w:val="24"/>
                <w:highlight w:val="none"/>
              </w:rPr>
              <w:t>20</w:t>
            </w:r>
            <w:r>
              <w:rPr>
                <w:rFonts w:hint="eastAsia" w:ascii="宋体" w:hAnsi="宋体" w:eastAsia="宋体" w:cs="宋体"/>
                <w:sz w:val="24"/>
                <w:szCs w:val="24"/>
                <w:highlight w:val="none"/>
                <w:lang w:val="en-US" w:eastAsia="zh-CN"/>
              </w:rPr>
              <w:t>23</w:t>
            </w:r>
            <w:r>
              <w:rPr>
                <w:rFonts w:ascii="宋体" w:hAnsi="宋体" w:eastAsia="宋体" w:cs="宋体"/>
                <w:sz w:val="24"/>
                <w:szCs w:val="24"/>
                <w:highlight w:val="none"/>
              </w:rPr>
              <w:t>年</w:t>
            </w:r>
            <w:r>
              <w:rPr>
                <w:rFonts w:hint="eastAsia" w:ascii="宋体" w:hAnsi="宋体" w:eastAsia="宋体" w:cs="宋体"/>
                <w:sz w:val="24"/>
                <w:szCs w:val="24"/>
                <w:highlight w:val="none"/>
                <w:lang w:val="en-US" w:eastAsia="zh-CN"/>
              </w:rPr>
              <w:t>7</w:t>
            </w:r>
            <w:r>
              <w:rPr>
                <w:rFonts w:ascii="宋体" w:hAnsi="宋体" w:eastAsia="宋体" w:cs="宋体"/>
                <w:sz w:val="24"/>
                <w:szCs w:val="24"/>
                <w:highlight w:val="none"/>
              </w:rPr>
              <w:t>月</w:t>
            </w:r>
            <w:r>
              <w:rPr>
                <w:rFonts w:hint="eastAsia" w:ascii="宋体" w:hAnsi="宋体" w:eastAsia="宋体" w:cs="宋体"/>
                <w:sz w:val="24"/>
                <w:szCs w:val="24"/>
                <w:highlight w:val="none"/>
                <w:lang w:val="en-US" w:eastAsia="zh-CN"/>
              </w:rPr>
              <w:t>29</w:t>
            </w:r>
            <w:r>
              <w:rPr>
                <w:rFonts w:ascii="宋体" w:hAnsi="宋体" w:eastAsia="宋体" w:cs="宋体"/>
                <w:sz w:val="24"/>
                <w:szCs w:val="24"/>
                <w:highlight w:val="none"/>
              </w:rPr>
              <w:t>日《</w:t>
            </w:r>
            <w:r>
              <w:rPr>
                <w:rFonts w:hint="eastAsia" w:ascii="宋体" w:hAnsi="宋体" w:eastAsia="宋体" w:cs="宋体"/>
                <w:sz w:val="24"/>
                <w:szCs w:val="24"/>
                <w:highlight w:val="none"/>
              </w:rPr>
              <w:t>塔然高勒矿井及选煤厂项目</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1000万吨/年</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变更环境影响评价</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环境空气</w:t>
            </w:r>
            <w:r>
              <w:rPr>
                <w:rFonts w:hint="eastAsia" w:ascii="宋体" w:hAnsi="宋体" w:cs="宋体"/>
                <w:sz w:val="24"/>
                <w:szCs w:val="24"/>
                <w:highlight w:val="none"/>
                <w:lang w:eastAsia="zh-CN"/>
              </w:rPr>
              <w:t>）</w:t>
            </w:r>
            <w:r>
              <w:rPr>
                <w:rFonts w:ascii="宋体" w:hAnsi="宋体" w:eastAsia="宋体" w:cs="宋体"/>
                <w:sz w:val="24"/>
                <w:szCs w:val="24"/>
                <w:highlight w:val="none"/>
              </w:rPr>
              <w:t>》中的监测数据</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本项目位于该</w:t>
            </w:r>
            <w:r>
              <w:rPr>
                <w:rFonts w:hint="eastAsia" w:ascii="宋体" w:hAnsi="宋体" w:cs="宋体"/>
                <w:sz w:val="24"/>
                <w:szCs w:val="24"/>
                <w:highlight w:val="none"/>
                <w:lang w:val="en-US" w:eastAsia="zh-CN"/>
              </w:rPr>
              <w:t>监测</w:t>
            </w:r>
            <w:r>
              <w:rPr>
                <w:rFonts w:hint="eastAsia" w:ascii="宋体" w:hAnsi="宋体" w:eastAsia="宋体" w:cs="宋体"/>
                <w:sz w:val="24"/>
                <w:szCs w:val="24"/>
                <w:highlight w:val="none"/>
                <w:lang w:val="en-US" w:eastAsia="zh-CN"/>
              </w:rPr>
              <w:t>点下风向4.9公里处，可反映本区域</w:t>
            </w:r>
            <w:r>
              <w:rPr>
                <w:rFonts w:hint="eastAsia" w:ascii="宋体" w:hAnsi="宋体" w:cs="宋体"/>
                <w:sz w:val="24"/>
                <w:szCs w:val="24"/>
                <w:highlight w:val="none"/>
                <w:lang w:val="en-US" w:eastAsia="zh-CN"/>
              </w:rPr>
              <w:t>内</w:t>
            </w:r>
            <w:r>
              <w:rPr>
                <w:rFonts w:hint="eastAsia" w:ascii="宋体" w:hAnsi="宋体" w:eastAsia="宋体" w:cs="宋体"/>
                <w:sz w:val="24"/>
                <w:szCs w:val="24"/>
                <w:highlight w:val="none"/>
                <w:lang w:val="en-US" w:eastAsia="zh-CN"/>
              </w:rPr>
              <w:t>的TSP现状</w:t>
            </w:r>
            <w:r>
              <w:rPr>
                <w:rFonts w:hint="eastAsia"/>
                <w:color w:val="auto"/>
                <w:kern w:val="0"/>
                <w:sz w:val="24"/>
                <w:highlight w:val="none"/>
                <w:lang w:eastAsia="zh-CN"/>
              </w:rPr>
              <w:t>，</w:t>
            </w:r>
            <w:r>
              <w:rPr>
                <w:sz w:val="24"/>
                <w:szCs w:val="24"/>
                <w:highlight w:val="none"/>
              </w:rPr>
              <w:t>监测结果见表</w:t>
            </w:r>
            <w:r>
              <w:rPr>
                <w:rFonts w:hint="eastAsia"/>
                <w:sz w:val="24"/>
                <w:szCs w:val="24"/>
                <w:highlight w:val="none"/>
              </w:rPr>
              <w:t>3</w:t>
            </w:r>
            <w:r>
              <w:rPr>
                <w:rFonts w:hint="eastAsia"/>
                <w:sz w:val="24"/>
                <w:szCs w:val="24"/>
                <w:highlight w:val="none"/>
                <w:lang w:eastAsia="zh-CN"/>
              </w:rPr>
              <w:t>-</w:t>
            </w:r>
            <w:r>
              <w:rPr>
                <w:rFonts w:hint="eastAsia"/>
                <w:sz w:val="24"/>
                <w:szCs w:val="24"/>
                <w:highlight w:val="none"/>
                <w:lang w:val="en-US" w:eastAsia="zh-CN"/>
              </w:rPr>
              <w:t>7</w:t>
            </w:r>
            <w:r>
              <w:rPr>
                <w:sz w:val="24"/>
                <w:szCs w:val="24"/>
                <w:highlight w:val="none"/>
              </w:rPr>
              <w:t>。</w:t>
            </w:r>
          </w:p>
          <w:p>
            <w:pPr>
              <w:adjustRightInd w:val="0"/>
              <w:snapToGrid w:val="0"/>
              <w:jc w:val="center"/>
              <w:rPr>
                <w:b w:val="0"/>
                <w:bCs/>
                <w:sz w:val="21"/>
                <w:szCs w:val="21"/>
                <w:highlight w:val="none"/>
              </w:rPr>
            </w:pPr>
            <w:r>
              <w:rPr>
                <w:b w:val="0"/>
                <w:bCs/>
                <w:sz w:val="21"/>
                <w:szCs w:val="21"/>
                <w:highlight w:val="none"/>
              </w:rPr>
              <w:t>表</w:t>
            </w:r>
            <w:r>
              <w:rPr>
                <w:rFonts w:hint="eastAsia"/>
                <w:b w:val="0"/>
                <w:bCs/>
                <w:sz w:val="21"/>
                <w:szCs w:val="21"/>
                <w:highlight w:val="none"/>
              </w:rPr>
              <w:t>3</w:t>
            </w:r>
            <w:r>
              <w:rPr>
                <w:rFonts w:hint="eastAsia"/>
                <w:b w:val="0"/>
                <w:bCs/>
                <w:sz w:val="21"/>
                <w:szCs w:val="21"/>
                <w:highlight w:val="none"/>
                <w:lang w:eastAsia="zh-CN"/>
              </w:rPr>
              <w:t>-</w:t>
            </w:r>
            <w:r>
              <w:rPr>
                <w:rFonts w:hint="eastAsia"/>
                <w:b w:val="0"/>
                <w:bCs/>
                <w:sz w:val="21"/>
                <w:szCs w:val="21"/>
                <w:highlight w:val="none"/>
                <w:lang w:val="en-US" w:eastAsia="zh-CN"/>
              </w:rPr>
              <w:t>7</w:t>
            </w:r>
            <w:r>
              <w:rPr>
                <w:b w:val="0"/>
                <w:bCs/>
                <w:sz w:val="21"/>
                <w:szCs w:val="21"/>
                <w:highlight w:val="none"/>
              </w:rPr>
              <w:t xml:space="preserve">  </w:t>
            </w:r>
            <w:r>
              <w:rPr>
                <w:rFonts w:hint="eastAsia"/>
                <w:b w:val="0"/>
                <w:bCs/>
                <w:sz w:val="21"/>
                <w:szCs w:val="21"/>
                <w:highlight w:val="none"/>
              </w:rPr>
              <w:t xml:space="preserve"> </w:t>
            </w:r>
            <w:r>
              <w:rPr>
                <w:b w:val="0"/>
                <w:bCs/>
                <w:sz w:val="21"/>
                <w:szCs w:val="21"/>
                <w:highlight w:val="none"/>
              </w:rPr>
              <w:t>补充监测统计结果一览表     单位：</w:t>
            </w:r>
            <w:r>
              <w:rPr>
                <w:rFonts w:hint="eastAsia"/>
                <w:b w:val="0"/>
                <w:bCs/>
                <w:sz w:val="21"/>
                <w:szCs w:val="21"/>
                <w:highlight w:val="none"/>
              </w:rPr>
              <w:t>μ</w:t>
            </w:r>
            <w:r>
              <w:rPr>
                <w:b w:val="0"/>
                <w:bCs/>
                <w:sz w:val="21"/>
                <w:szCs w:val="21"/>
                <w:highlight w:val="none"/>
              </w:rPr>
              <w:t>g/m</w:t>
            </w:r>
            <w:r>
              <w:rPr>
                <w:b w:val="0"/>
                <w:bCs/>
                <w:sz w:val="21"/>
                <w:szCs w:val="21"/>
                <w:highlight w:val="none"/>
                <w:vertAlign w:val="superscript"/>
              </w:rPr>
              <w:t>3</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3"/>
              <w:gridCol w:w="4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dxa"/>
                  <w:noWrap w:val="0"/>
                  <w:vAlign w:val="top"/>
                  <mc:AlternateContent>
                    <mc:Choice Requires="wpsCustomData">
                      <wpsCustomData:diagonals>
                        <wpsCustomData:diagonal from="10000" to="30000">
                          <wpsCustomData:border w:val="single" w:color="auto" w:sz="4" w:space="0"/>
                        </wpsCustomData:diagonal>
                      </wpsCustomData:diagonals>
                    </mc:Choice>
                  </mc:AlternateContent>
                </w:tcPr>
                <w:p>
                  <w:pPr>
                    <w:keepNext w:val="0"/>
                    <w:keepLines w:val="0"/>
                    <w:pageBreakBefore w:val="0"/>
                    <w:kinsoku/>
                    <w:wordWrap/>
                    <w:overflowPunct/>
                    <w:topLinePunct w:val="0"/>
                    <w:autoSpaceDE/>
                    <w:autoSpaceDN/>
                    <w:bidi w:val="0"/>
                    <w:adjustRightInd/>
                    <w:snapToGrid/>
                    <w:spacing w:line="240" w:lineRule="auto"/>
                    <w:outlineLvl w:val="0"/>
                    <w:rPr>
                      <w:rFonts w:hint="default" w:ascii="Times New Roman" w:hAnsi="Times New Roman" w:cs="Times New Roman"/>
                      <w:sz w:val="21"/>
                      <w:szCs w:val="21"/>
                      <w:highlight w:val="none"/>
                    </w:rPr>
                  </w:pPr>
                </w:p>
                <w:p>
                  <w:pPr>
                    <w:keepNext w:val="0"/>
                    <w:keepLines w:val="0"/>
                    <w:pageBreakBefore w:val="0"/>
                    <w:kinsoku/>
                    <w:wordWrap/>
                    <w:overflowPunct/>
                    <w:topLinePunct w:val="0"/>
                    <w:autoSpaceDE/>
                    <w:autoSpaceDN/>
                    <w:bidi w:val="0"/>
                    <w:adjustRightInd/>
                    <w:snapToGrid/>
                    <w:spacing w:line="240" w:lineRule="auto"/>
                    <w:outlineLvl w:val="0"/>
                    <mc:AlternateContent>
                      <mc:Choice Requires="wpsCustomData">
                        <wpsCustomData:diagonalParaType/>
                      </mc:Choice>
                    </mc:AlternateConten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采样时间</w:t>
                  </w:r>
                </w:p>
                <w:p>
                  <w:pPr>
                    <w:keepNext w:val="0"/>
                    <w:keepLines w:val="0"/>
                    <w:pageBreakBefore w:val="0"/>
                    <w:kinsoku/>
                    <w:wordWrap/>
                    <w:overflowPunct/>
                    <w:topLinePunct w:val="0"/>
                    <w:autoSpaceDE/>
                    <w:autoSpaceDN/>
                    <w:bidi w:val="0"/>
                    <w:adjustRightInd/>
                    <w:snapToGrid/>
                    <w:spacing w:line="240" w:lineRule="auto"/>
                    <w:jc w:val="both"/>
                    <w:outlineLvl w:val="0"/>
                    <w:rPr>
                      <w:rFonts w:hint="eastAsia"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rPr>
                    <w:t>结果记</w:t>
                  </w:r>
                  <w:r>
                    <w:rPr>
                      <w:rFonts w:hint="eastAsia" w:cs="Times New Roman"/>
                      <w:sz w:val="21"/>
                      <w:szCs w:val="21"/>
                      <w:highlight w:val="none"/>
                      <w:lang w:val="en-US" w:eastAsia="zh-CN"/>
                    </w:rPr>
                    <w:t>录</w:t>
                  </w:r>
                </w:p>
              </w:tc>
              <w:tc>
                <w:tcPr>
                  <w:tcW w:w="502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1#胡金高勒四社  TSP日均值  测定结果 </w:t>
                  </w:r>
                  <w:r>
                    <w:rPr>
                      <w:rFonts w:hint="eastAsia" w:cs="Times New Roman"/>
                      <w:sz w:val="21"/>
                      <w:szCs w:val="21"/>
                      <w:highlight w:val="none"/>
                      <w:lang w:eastAsia="zh-CN"/>
                    </w:rPr>
                    <w:t>（</w:t>
                  </w:r>
                  <w:r>
                    <w:rPr>
                      <w:rFonts w:hint="default" w:ascii="Times New Roman" w:hAnsi="Times New Roman" w:cs="Times New Roman"/>
                      <w:sz w:val="21"/>
                      <w:szCs w:val="21"/>
                      <w:highlight w:val="none"/>
                    </w:rPr>
                    <w:t>μg/m</w:t>
                  </w:r>
                  <w:r>
                    <w:rPr>
                      <w:rFonts w:hint="default" w:ascii="Times New Roman" w:hAnsi="Times New Roman" w:cs="Times New Roman"/>
                      <w:sz w:val="21"/>
                      <w:szCs w:val="21"/>
                      <w:highlight w:val="none"/>
                      <w:vertAlign w:val="superscript"/>
                    </w:rPr>
                    <w:t>3</w:t>
                  </w:r>
                  <w:r>
                    <w:rPr>
                      <w:rFonts w:hint="default" w:ascii="Times New Roman" w:hAnsi="Times New Roman" w:cs="Times New Roman"/>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07月23日</w:t>
                  </w:r>
                </w:p>
              </w:tc>
              <w:tc>
                <w:tcPr>
                  <w:tcW w:w="502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07月24日</w:t>
                  </w:r>
                </w:p>
              </w:tc>
              <w:tc>
                <w:tcPr>
                  <w:tcW w:w="502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07月</w:t>
                  </w:r>
                  <w:r>
                    <w:rPr>
                      <w:rFonts w:hint="eastAsia" w:cs="Times New Roman"/>
                      <w:sz w:val="21"/>
                      <w:szCs w:val="21"/>
                      <w:highlight w:val="none"/>
                      <w:lang w:val="en-US" w:eastAsia="zh-CN"/>
                    </w:rPr>
                    <w:t>2</w:t>
                  </w:r>
                  <w:r>
                    <w:rPr>
                      <w:rFonts w:hint="default" w:ascii="Times New Roman" w:hAnsi="Times New Roman" w:cs="Times New Roman"/>
                      <w:sz w:val="21"/>
                      <w:szCs w:val="21"/>
                      <w:highlight w:val="none"/>
                    </w:rPr>
                    <w:t>5日</w:t>
                  </w:r>
                </w:p>
              </w:tc>
              <w:tc>
                <w:tcPr>
                  <w:tcW w:w="502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07月26日</w:t>
                  </w:r>
                </w:p>
              </w:tc>
              <w:tc>
                <w:tcPr>
                  <w:tcW w:w="502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07月27日</w:t>
                  </w:r>
                </w:p>
              </w:tc>
              <w:tc>
                <w:tcPr>
                  <w:tcW w:w="502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07月28日</w:t>
                  </w:r>
                </w:p>
              </w:tc>
              <w:tc>
                <w:tcPr>
                  <w:tcW w:w="502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07月29日</w:t>
                  </w:r>
                </w:p>
              </w:tc>
              <w:tc>
                <w:tcPr>
                  <w:tcW w:w="502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right="-111" w:rightChars="-53"/>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参照标准：《环境空气质量标准》</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GB 3095</w:t>
                  </w:r>
                  <w:r>
                    <w:rPr>
                      <w:rFonts w:hint="eastAsia" w:cs="Times New Roman"/>
                      <w:sz w:val="21"/>
                      <w:szCs w:val="21"/>
                      <w:highlight w:val="none"/>
                      <w:lang w:eastAsia="zh-CN"/>
                    </w:rPr>
                    <w:t>-</w:t>
                  </w:r>
                  <w:r>
                    <w:rPr>
                      <w:rFonts w:hint="default" w:ascii="Times New Roman" w:hAnsi="Times New Roman" w:cs="Times New Roman"/>
                      <w:sz w:val="21"/>
                      <w:szCs w:val="21"/>
                      <w:highlight w:val="none"/>
                    </w:rPr>
                    <w:t>2012二级浓度限值</w:t>
                  </w:r>
                </w:p>
              </w:tc>
              <w:tc>
                <w:tcPr>
                  <w:tcW w:w="5026"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300</w:t>
                  </w:r>
                </w:p>
              </w:tc>
            </w:tr>
          </w:tbl>
          <w:p>
            <w:pPr>
              <w:adjustRightInd w:val="0"/>
              <w:snapToGrid w:val="0"/>
              <w:spacing w:line="360" w:lineRule="auto"/>
              <w:ind w:firstLine="480" w:firstLineChars="200"/>
              <w:jc w:val="both"/>
              <w:rPr>
                <w:rFonts w:hint="eastAsia" w:cs="Times New Roman"/>
                <w:b/>
                <w:bCs/>
                <w:color w:val="000000" w:themeColor="text1"/>
                <w:sz w:val="24"/>
                <w:szCs w:val="24"/>
                <w:highlight w:val="none"/>
                <w:lang w:eastAsia="zh-CN"/>
                <w14:textFill>
                  <w14:solidFill>
                    <w14:schemeClr w14:val="tx1"/>
                  </w14:solidFill>
                </w14:textFill>
              </w:rPr>
            </w:pPr>
            <w:r>
              <w:rPr>
                <w:sz w:val="24"/>
                <w:highlight w:val="none"/>
              </w:rPr>
              <w:t>监测结果表明，监测</w:t>
            </w:r>
            <w:r>
              <w:rPr>
                <w:rFonts w:hint="eastAsia"/>
                <w:sz w:val="24"/>
                <w:highlight w:val="none"/>
              </w:rPr>
              <w:t>区域</w:t>
            </w:r>
            <w:r>
              <w:rPr>
                <w:sz w:val="24"/>
                <w:highlight w:val="none"/>
              </w:rPr>
              <w:t>TSP日均浓度满足《环境空气质量标准》</w:t>
            </w:r>
            <w:r>
              <w:rPr>
                <w:rFonts w:hint="eastAsia"/>
                <w:sz w:val="24"/>
                <w:highlight w:val="none"/>
                <w:lang w:eastAsia="zh-CN"/>
              </w:rPr>
              <w:t>（</w:t>
            </w:r>
            <w:r>
              <w:rPr>
                <w:sz w:val="24"/>
                <w:highlight w:val="none"/>
              </w:rPr>
              <w:t>GB3095</w:t>
            </w:r>
            <w:r>
              <w:rPr>
                <w:rFonts w:hint="eastAsia"/>
                <w:sz w:val="24"/>
                <w:highlight w:val="none"/>
                <w:lang w:eastAsia="zh-CN"/>
              </w:rPr>
              <w:t>-</w:t>
            </w:r>
            <w:r>
              <w:rPr>
                <w:sz w:val="24"/>
                <w:highlight w:val="none"/>
              </w:rPr>
              <w:t>2012）中二级标准</w:t>
            </w:r>
            <w:r>
              <w:rPr>
                <w:rFonts w:hint="eastAsia"/>
                <w:sz w:val="24"/>
                <w:highlight w:val="none"/>
              </w:rPr>
              <w:t>。</w:t>
            </w:r>
          </w:p>
          <w:p>
            <w:pPr>
              <w:adjustRightInd w:val="0"/>
              <w:snapToGrid w:val="0"/>
              <w:spacing w:line="360" w:lineRule="auto"/>
              <w:ind w:firstLine="482" w:firstLineChars="200"/>
              <w:jc w:val="left"/>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eastAsia" w:cs="Times New Roman"/>
                <w:b/>
                <w:bCs/>
                <w:color w:val="000000" w:themeColor="text1"/>
                <w:sz w:val="24"/>
                <w:szCs w:val="24"/>
                <w:highlight w:val="none"/>
                <w:lang w:eastAsia="zh-CN"/>
                <w14:textFill>
                  <w14:solidFill>
                    <w14:schemeClr w14:val="tx1"/>
                  </w14:solidFill>
                </w14:textFill>
              </w:rPr>
              <w:t>三</w:t>
            </w:r>
            <w:r>
              <w:rPr>
                <w:rFonts w:hint="default" w:ascii="Times New Roman" w:hAnsi="Times New Roman" w:cs="Times New Roman"/>
                <w:b/>
                <w:bCs/>
                <w:color w:val="000000" w:themeColor="text1"/>
                <w:sz w:val="24"/>
                <w:szCs w:val="24"/>
                <w:highlight w:val="none"/>
                <w14:textFill>
                  <w14:solidFill>
                    <w14:schemeClr w14:val="tx1"/>
                  </w14:solidFill>
                </w14:textFill>
              </w:rPr>
              <w:t>、声环境质量现状</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项目风井场地周边</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5</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0m范围内不涉及敏感点。</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场外</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道路</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西</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侧</w:t>
            </w:r>
            <w:r>
              <w:rPr>
                <w:rFonts w:hint="eastAsia" w:cs="Times New Roman"/>
                <w:color w:val="000000" w:themeColor="text1"/>
                <w:kern w:val="2"/>
                <w:sz w:val="24"/>
                <w:szCs w:val="24"/>
                <w:highlight w:val="none"/>
                <w:lang w:val="en-US" w:eastAsia="zh-CN" w:bidi="ar-SA"/>
                <w14:textFill>
                  <w14:solidFill>
                    <w14:schemeClr w14:val="tx1"/>
                  </w14:solidFill>
                </w14:textFill>
              </w:rPr>
              <w:t>49m处</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涉及噪声敏感点</w:t>
            </w:r>
            <w:r>
              <w:rPr>
                <w:rFonts w:hint="eastAsia"/>
                <w:sz w:val="24"/>
                <w:szCs w:val="24"/>
                <w:highlight w:val="none"/>
                <w:lang w:val="en-US" w:eastAsia="zh-CN"/>
              </w:rPr>
              <w:t>居民住户1处</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。本次评价对噪声敏感点布设监测点。委托内蒙古皓天环境检测有限责任公司于2024年4月</w:t>
            </w:r>
            <w:r>
              <w:rPr>
                <w:rFonts w:hint="eastAsia" w:cs="Times New Roman"/>
                <w:color w:val="000000" w:themeColor="text1"/>
                <w:kern w:val="2"/>
                <w:sz w:val="24"/>
                <w:szCs w:val="24"/>
                <w:highlight w:val="none"/>
                <w:lang w:val="en-US" w:eastAsia="zh-CN" w:bidi="ar-SA"/>
                <w14:textFill>
                  <w14:solidFill>
                    <w14:schemeClr w14:val="tx1"/>
                  </w14:solidFill>
                </w14:textFill>
              </w:rPr>
              <w:t>29</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日</w:t>
            </w:r>
            <w:r>
              <w:rPr>
                <w:rFonts w:hint="eastAsia" w:cs="Times New Roman"/>
                <w:color w:val="000000" w:themeColor="text1"/>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2024</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年</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月</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30</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日进行声环境质量检测，共设置</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1</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个监测点，具体监测点布置及各点位监测结果见表3</w:t>
            </w:r>
            <w:r>
              <w:rPr>
                <w:rFonts w:hint="eastAsia" w:cs="Times New Roman"/>
                <w:color w:val="000000" w:themeColor="text1"/>
                <w:kern w:val="2"/>
                <w:sz w:val="24"/>
                <w:szCs w:val="24"/>
                <w:highlight w:val="none"/>
                <w:lang w:val="en-US" w:eastAsia="zh-CN" w:bidi="ar-SA"/>
                <w14:textFill>
                  <w14:solidFill>
                    <w14:schemeClr w14:val="tx1"/>
                  </w14:solidFill>
                </w14:textFill>
              </w:rPr>
              <w:t>-8</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snapToGrid w:val="0"/>
              <w:spacing w:before="0" w:after="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b w:val="0"/>
                <w:bCs w:val="0"/>
                <w:spacing w:val="-3"/>
                <w:sz w:val="21"/>
                <w:szCs w:val="21"/>
                <w:highlight w:val="none"/>
              </w:rPr>
              <w:t>表</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3</w:t>
            </w:r>
            <w:r>
              <w:rPr>
                <w:rFonts w:hint="eastAsia" w:cs="Times New Roman"/>
                <w:color w:val="000000" w:themeColor="text1"/>
                <w:kern w:val="2"/>
                <w:sz w:val="21"/>
                <w:szCs w:val="21"/>
                <w:highlight w:val="none"/>
                <w:lang w:val="en-US" w:eastAsia="zh-CN" w:bidi="ar-SA"/>
                <w14:textFill>
                  <w14:solidFill>
                    <w14:schemeClr w14:val="tx1"/>
                  </w14:solidFill>
                </w14:textFill>
              </w:rPr>
              <w:t>-8</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声环境质量现状监测结果单位：dB</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w:t>
            </w:r>
            <w:r>
              <w:rPr>
                <w:rFonts w:hint="eastAsia" w:cs="Times New Roman"/>
                <w:color w:val="000000" w:themeColor="text1"/>
                <w:kern w:val="2"/>
                <w:sz w:val="21"/>
                <w:szCs w:val="21"/>
                <w:highlight w:val="none"/>
                <w:lang w:val="en-US" w:eastAsia="zh-CN" w:bidi="ar-SA"/>
                <w14:textFill>
                  <w14:solidFill>
                    <w14:schemeClr w14:val="tx1"/>
                  </w14:solidFill>
                </w14:textFill>
              </w:rPr>
              <w:t>）</w:t>
            </w:r>
          </w:p>
          <w:p>
            <w:pPr>
              <w:spacing w:line="40" w:lineRule="exact"/>
              <w:rPr>
                <w:highlight w:val="none"/>
              </w:rPr>
            </w:pPr>
          </w:p>
          <w:tbl>
            <w:tblPr>
              <w:tblStyle w:val="41"/>
              <w:tblW w:w="7781"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53"/>
              <w:gridCol w:w="4524"/>
              <w:gridCol w:w="1344"/>
              <w:gridCol w:w="12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653" w:type="dxa"/>
                  <w:vMerge w:val="restart"/>
                  <w:tcBorders>
                    <w:bottom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pacing w:val="0"/>
                      <w:sz w:val="21"/>
                      <w:szCs w:val="21"/>
                      <w:highlight w:val="none"/>
                    </w:rPr>
                  </w:pPr>
                  <w:r>
                    <w:rPr>
                      <w:rFonts w:hint="default" w:ascii="Times New Roman" w:hAnsi="Times New Roman" w:cs="Times New Roman"/>
                      <w:spacing w:val="0"/>
                      <w:sz w:val="21"/>
                      <w:szCs w:val="21"/>
                      <w:highlight w:val="none"/>
                    </w:rPr>
                    <w:t>序号</w:t>
                  </w:r>
                </w:p>
              </w:tc>
              <w:tc>
                <w:tcPr>
                  <w:tcW w:w="4524" w:type="dxa"/>
                  <w:vMerge w:val="restart"/>
                  <w:tcBorders>
                    <w:bottom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pacing w:val="0"/>
                      <w:sz w:val="21"/>
                      <w:szCs w:val="21"/>
                      <w:highlight w:val="none"/>
                    </w:rPr>
                  </w:pPr>
                  <w:r>
                    <w:rPr>
                      <w:rFonts w:hint="default" w:ascii="Times New Roman" w:hAnsi="Times New Roman" w:cs="Times New Roman"/>
                      <w:spacing w:val="0"/>
                      <w:sz w:val="21"/>
                      <w:szCs w:val="21"/>
                      <w:highlight w:val="none"/>
                    </w:rPr>
                    <w:t>监测点位</w:t>
                  </w:r>
                </w:p>
              </w:tc>
              <w:tc>
                <w:tcPr>
                  <w:tcW w:w="2604" w:type="dxa"/>
                  <w:gridSpan w:val="2"/>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pacing w:val="0"/>
                      <w:sz w:val="21"/>
                      <w:szCs w:val="21"/>
                      <w:highlight w:val="none"/>
                    </w:rPr>
                  </w:pPr>
                  <w:r>
                    <w:rPr>
                      <w:rFonts w:hint="default" w:ascii="Times New Roman" w:hAnsi="Times New Roman" w:cs="Times New Roman"/>
                      <w:spacing w:val="0"/>
                      <w:sz w:val="21"/>
                      <w:szCs w:val="21"/>
                      <w:highlight w:val="none"/>
                    </w:rPr>
                    <w:t>监测结果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653"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pacing w:val="0"/>
                      <w:sz w:val="21"/>
                      <w:szCs w:val="21"/>
                      <w:highlight w:val="none"/>
                    </w:rPr>
                  </w:pPr>
                </w:p>
              </w:tc>
              <w:tc>
                <w:tcPr>
                  <w:tcW w:w="452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pacing w:val="0"/>
                      <w:sz w:val="21"/>
                      <w:szCs w:val="21"/>
                      <w:highlight w:val="none"/>
                    </w:rPr>
                  </w:pPr>
                </w:p>
              </w:tc>
              <w:tc>
                <w:tcPr>
                  <w:tcW w:w="1344"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pacing w:val="0"/>
                      <w:sz w:val="21"/>
                      <w:szCs w:val="21"/>
                      <w:highlight w:val="none"/>
                    </w:rPr>
                  </w:pPr>
                  <w:r>
                    <w:rPr>
                      <w:rFonts w:hint="default" w:ascii="Times New Roman" w:hAnsi="Times New Roman" w:cs="Times New Roman"/>
                      <w:spacing w:val="0"/>
                      <w:sz w:val="21"/>
                      <w:szCs w:val="21"/>
                      <w:highlight w:val="none"/>
                    </w:rPr>
                    <w:t>昼间</w:t>
                  </w:r>
                </w:p>
              </w:tc>
              <w:tc>
                <w:tcPr>
                  <w:tcW w:w="1260"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pacing w:val="0"/>
                      <w:sz w:val="21"/>
                      <w:szCs w:val="21"/>
                      <w:highlight w:val="none"/>
                    </w:rPr>
                  </w:pPr>
                  <w:r>
                    <w:rPr>
                      <w:rFonts w:hint="default" w:ascii="Times New Roman" w:hAnsi="Times New Roman" w:cs="Times New Roman"/>
                      <w:spacing w:val="0"/>
                      <w:sz w:val="21"/>
                      <w:szCs w:val="21"/>
                      <w:highlight w:val="none"/>
                    </w:rPr>
                    <w:t>夜间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65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spacing w:val="0"/>
                      <w:sz w:val="21"/>
                      <w:szCs w:val="21"/>
                      <w:highlight w:val="none"/>
                    </w:rPr>
                  </w:pPr>
                  <w:r>
                    <w:rPr>
                      <w:rFonts w:hint="default" w:ascii="Times New Roman" w:hAnsi="Times New Roman" w:eastAsia="宋体" w:cs="Times New Roman"/>
                      <w:spacing w:val="0"/>
                      <w:sz w:val="21"/>
                      <w:szCs w:val="21"/>
                      <w:highlight w:val="none"/>
                      <w:lang w:val="en-US" w:eastAsia="zh-CN"/>
                    </w:rPr>
                    <w:t>1</w:t>
                  </w:r>
                  <w:r>
                    <w:rPr>
                      <w:rFonts w:hint="default" w:ascii="Times New Roman" w:hAnsi="Times New Roman" w:eastAsia="Times New Roman" w:cs="Times New Roman"/>
                      <w:spacing w:val="0"/>
                      <w:sz w:val="21"/>
                      <w:szCs w:val="21"/>
                      <w:highlight w:val="none"/>
                    </w:rPr>
                    <w:t>#</w:t>
                  </w:r>
                </w:p>
              </w:tc>
              <w:tc>
                <w:tcPr>
                  <w:tcW w:w="4524" w:type="dxa"/>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pacing w:val="0"/>
                      <w:sz w:val="21"/>
                      <w:szCs w:val="21"/>
                      <w:highlight w:val="none"/>
                    </w:rPr>
                  </w:pPr>
                  <w:r>
                    <w:rPr>
                      <w:rFonts w:hint="default" w:ascii="Times New Roman" w:hAnsi="Times New Roman" w:cs="Times New Roman"/>
                      <w:spacing w:val="0"/>
                      <w:sz w:val="21"/>
                      <w:szCs w:val="21"/>
                      <w:highlight w:val="none"/>
                      <w:lang w:val="en-US" w:eastAsia="zh-CN"/>
                    </w:rPr>
                    <w:t>乌定补拉格村住户</w:t>
                  </w:r>
                  <w:r>
                    <w:rPr>
                      <w:rFonts w:hint="eastAsia" w:ascii="Times New Roman" w:hAnsi="Times New Roman" w:cs="Times New Roman"/>
                      <w:spacing w:val="0"/>
                      <w:sz w:val="21"/>
                      <w:szCs w:val="21"/>
                      <w:highlight w:val="none"/>
                      <w:lang w:eastAsia="zh-CN"/>
                    </w:rPr>
                    <w:t>（</w:t>
                  </w:r>
                  <w:r>
                    <w:rPr>
                      <w:rFonts w:hint="default" w:ascii="Times New Roman" w:hAnsi="Times New Roman" w:cs="Times New Roman"/>
                      <w:spacing w:val="0"/>
                      <w:sz w:val="21"/>
                      <w:szCs w:val="21"/>
                      <w:highlight w:val="none"/>
                    </w:rPr>
                    <w:t>北部风井道路</w:t>
                  </w:r>
                  <w:r>
                    <w:rPr>
                      <w:rFonts w:hint="default" w:ascii="Times New Roman" w:hAnsi="Times New Roman" w:cs="Times New Roman"/>
                      <w:spacing w:val="0"/>
                      <w:sz w:val="21"/>
                      <w:szCs w:val="21"/>
                      <w:highlight w:val="none"/>
                      <w:lang w:val="en-US" w:eastAsia="zh-CN"/>
                    </w:rPr>
                    <w:t>西侧49m处</w:t>
                  </w:r>
                  <w:r>
                    <w:rPr>
                      <w:rFonts w:hint="default" w:ascii="Times New Roman" w:hAnsi="Times New Roman" w:cs="Times New Roman"/>
                      <w:spacing w:val="0"/>
                      <w:sz w:val="21"/>
                      <w:szCs w:val="21"/>
                      <w:highlight w:val="none"/>
                    </w:rPr>
                    <w:t>）</w:t>
                  </w:r>
                </w:p>
              </w:tc>
              <w:tc>
                <w:tcPr>
                  <w:tcW w:w="1344"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sz w:val="21"/>
                      <w:szCs w:val="21"/>
                      <w:highlight w:val="none"/>
                      <w:lang w:val="en-US" w:eastAsia="zh-CN"/>
                    </w:rPr>
                  </w:pPr>
                  <w:r>
                    <w:rPr>
                      <w:rFonts w:hint="default" w:ascii="Times New Roman" w:hAnsi="Times New Roman" w:eastAsia="宋体" w:cs="Times New Roman"/>
                      <w:spacing w:val="0"/>
                      <w:sz w:val="21"/>
                      <w:szCs w:val="21"/>
                      <w:highlight w:val="none"/>
                      <w:lang w:val="en-US" w:eastAsia="zh-CN"/>
                    </w:rPr>
                    <w:t>46.5</w:t>
                  </w:r>
                </w:p>
              </w:tc>
              <w:tc>
                <w:tcPr>
                  <w:tcW w:w="1260"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pacing w:val="0"/>
                      <w:sz w:val="21"/>
                      <w:szCs w:val="21"/>
                      <w:highlight w:val="none"/>
                      <w:lang w:val="en-US" w:eastAsia="zh-CN"/>
                    </w:rPr>
                  </w:pPr>
                  <w:r>
                    <w:rPr>
                      <w:rFonts w:hint="default" w:ascii="Times New Roman" w:hAnsi="Times New Roman" w:eastAsia="Times New Roman" w:cs="Times New Roman"/>
                      <w:spacing w:val="0"/>
                      <w:sz w:val="21"/>
                      <w:szCs w:val="21"/>
                      <w:highlight w:val="none"/>
                    </w:rPr>
                    <w:t>39.</w:t>
                  </w:r>
                  <w:r>
                    <w:rPr>
                      <w:rFonts w:hint="eastAsia" w:ascii="Times New Roman" w:hAnsi="Times New Roman" w:eastAsia="宋体" w:cs="Times New Roman"/>
                      <w:spacing w:val="0"/>
                      <w:sz w:val="21"/>
                      <w:szCs w:val="21"/>
                      <w:highlight w:val="none"/>
                      <w:lang w:val="en-US" w:eastAsia="zh-CN"/>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5177" w:type="dxa"/>
                  <w:gridSpan w:val="2"/>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spacing w:val="0"/>
                      <w:sz w:val="21"/>
                      <w:szCs w:val="21"/>
                      <w:highlight w:val="none"/>
                    </w:rPr>
                  </w:pPr>
                  <w:r>
                    <w:rPr>
                      <w:rFonts w:hint="default" w:ascii="Times New Roman" w:hAnsi="Times New Roman" w:cs="Times New Roman"/>
                      <w:spacing w:val="0"/>
                      <w:sz w:val="21"/>
                      <w:szCs w:val="21"/>
                      <w:highlight w:val="none"/>
                    </w:rPr>
                    <w:t>《声环境质量标准》</w:t>
                  </w:r>
                  <w:r>
                    <w:rPr>
                      <w:rFonts w:hint="eastAsia" w:ascii="Times New Roman" w:hAnsi="Times New Roman" w:cs="Times New Roman"/>
                      <w:spacing w:val="0"/>
                      <w:sz w:val="21"/>
                      <w:szCs w:val="21"/>
                      <w:highlight w:val="none"/>
                      <w:lang w:eastAsia="zh-CN"/>
                    </w:rPr>
                    <w:t>（</w:t>
                  </w:r>
                  <w:r>
                    <w:rPr>
                      <w:rFonts w:hint="default" w:ascii="Times New Roman" w:hAnsi="Times New Roman" w:eastAsia="Times New Roman" w:cs="Times New Roman"/>
                      <w:spacing w:val="0"/>
                      <w:sz w:val="21"/>
                      <w:szCs w:val="21"/>
                      <w:highlight w:val="none"/>
                    </w:rPr>
                    <w:t>GB3096</w:t>
                  </w:r>
                  <w:r>
                    <w:rPr>
                      <w:rFonts w:hint="eastAsia" w:ascii="Times New Roman" w:hAnsi="Times New Roman" w:cs="Times New Roman"/>
                      <w:spacing w:val="0"/>
                      <w:sz w:val="21"/>
                      <w:szCs w:val="21"/>
                      <w:highlight w:val="none"/>
                      <w:lang w:eastAsia="zh-CN"/>
                    </w:rPr>
                    <w:t>-</w:t>
                  </w:r>
                  <w:r>
                    <w:rPr>
                      <w:rFonts w:hint="default" w:ascii="Times New Roman" w:hAnsi="Times New Roman" w:eastAsia="Times New Roman" w:cs="Times New Roman"/>
                      <w:spacing w:val="0"/>
                      <w:sz w:val="21"/>
                      <w:szCs w:val="21"/>
                      <w:highlight w:val="none"/>
                    </w:rPr>
                    <w:t>2008</w:t>
                  </w:r>
                  <w:r>
                    <w:rPr>
                      <w:rFonts w:hint="default" w:ascii="Times New Roman" w:hAnsi="Times New Roman" w:cs="Times New Roman"/>
                      <w:spacing w:val="0"/>
                      <w:sz w:val="21"/>
                      <w:szCs w:val="21"/>
                      <w:highlight w:val="none"/>
                    </w:rPr>
                    <w:t>）</w:t>
                  </w:r>
                  <w:r>
                    <w:rPr>
                      <w:rFonts w:hint="default" w:ascii="Times New Roman" w:hAnsi="Times New Roman" w:eastAsia="Times New Roman" w:cs="Times New Roman"/>
                      <w:spacing w:val="0"/>
                      <w:sz w:val="21"/>
                      <w:szCs w:val="21"/>
                      <w:highlight w:val="none"/>
                    </w:rPr>
                    <w:t>1</w:t>
                  </w:r>
                  <w:r>
                    <w:rPr>
                      <w:rFonts w:hint="default" w:ascii="Times New Roman" w:hAnsi="Times New Roman" w:cs="Times New Roman"/>
                      <w:spacing w:val="0"/>
                      <w:sz w:val="21"/>
                      <w:szCs w:val="21"/>
                      <w:highlight w:val="none"/>
                    </w:rPr>
                    <w:t>类标准</w:t>
                  </w:r>
                </w:p>
              </w:tc>
              <w:tc>
                <w:tcPr>
                  <w:tcW w:w="1344"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spacing w:val="0"/>
                      <w:sz w:val="21"/>
                      <w:szCs w:val="21"/>
                      <w:highlight w:val="none"/>
                    </w:rPr>
                  </w:pPr>
                  <w:r>
                    <w:rPr>
                      <w:rFonts w:hint="default" w:ascii="Times New Roman" w:hAnsi="Times New Roman" w:eastAsia="Times New Roman" w:cs="Times New Roman"/>
                      <w:spacing w:val="0"/>
                      <w:sz w:val="21"/>
                      <w:szCs w:val="21"/>
                      <w:highlight w:val="none"/>
                    </w:rPr>
                    <w:t>55</w:t>
                  </w:r>
                </w:p>
              </w:tc>
              <w:tc>
                <w:tcPr>
                  <w:tcW w:w="1260"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spacing w:val="0"/>
                      <w:sz w:val="21"/>
                      <w:szCs w:val="21"/>
                      <w:highlight w:val="none"/>
                    </w:rPr>
                  </w:pPr>
                  <w:r>
                    <w:rPr>
                      <w:rFonts w:hint="default" w:ascii="Times New Roman" w:hAnsi="Times New Roman" w:eastAsia="Times New Roman" w:cs="Times New Roman"/>
                      <w:spacing w:val="0"/>
                      <w:sz w:val="21"/>
                      <w:szCs w:val="21"/>
                      <w:highlight w:val="none"/>
                    </w:rPr>
                    <w:t>45</w:t>
                  </w:r>
                </w:p>
              </w:tc>
            </w:tr>
          </w:tbl>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leftChars="0" w:right="0" w:rightChars="0" w:firstLine="472" w:firstLineChars="200"/>
              <w:jc w:val="both"/>
              <w:textAlignment w:val="auto"/>
              <w:outlineLvl w:val="9"/>
              <w:rPr>
                <w:sz w:val="24"/>
                <w:szCs w:val="24"/>
                <w:highlight w:val="none"/>
              </w:rPr>
            </w:pPr>
            <w:r>
              <w:rPr>
                <w:spacing w:val="-2"/>
                <w:sz w:val="24"/>
                <w:szCs w:val="24"/>
                <w:highlight w:val="none"/>
              </w:rPr>
              <w:t>根据监测结果可知，</w:t>
            </w:r>
            <w:r>
              <w:rPr>
                <w:rFonts w:hint="default" w:ascii="Times New Roman" w:hAnsi="Times New Roman" w:cs="Times New Roman"/>
                <w:spacing w:val="0"/>
                <w:sz w:val="24"/>
                <w:szCs w:val="24"/>
                <w:highlight w:val="none"/>
                <w:lang w:val="en-US" w:eastAsia="zh-CN"/>
              </w:rPr>
              <w:t>乌定补拉格村住户</w:t>
            </w:r>
            <w:r>
              <w:rPr>
                <w:rFonts w:hint="eastAsia" w:ascii="Times New Roman" w:hAnsi="Times New Roman" w:cs="Times New Roman"/>
                <w:spacing w:val="0"/>
                <w:sz w:val="24"/>
                <w:szCs w:val="24"/>
                <w:highlight w:val="none"/>
                <w:lang w:val="en-US" w:eastAsia="zh-CN"/>
              </w:rPr>
              <w:t>处</w:t>
            </w:r>
            <w:r>
              <w:rPr>
                <w:sz w:val="24"/>
                <w:szCs w:val="24"/>
                <w:highlight w:val="none"/>
              </w:rPr>
              <w:t>监测点昼间</w:t>
            </w:r>
            <w:r>
              <w:rPr>
                <w:rFonts w:hint="eastAsia"/>
                <w:sz w:val="24"/>
                <w:szCs w:val="24"/>
                <w:highlight w:val="none"/>
                <w:lang w:eastAsia="zh-CN"/>
              </w:rPr>
              <w:t>、</w:t>
            </w:r>
            <w:r>
              <w:rPr>
                <w:sz w:val="24"/>
                <w:szCs w:val="24"/>
                <w:highlight w:val="none"/>
              </w:rPr>
              <w:t>夜间噪声满足《声环境质量标准》</w:t>
            </w:r>
            <w:r>
              <w:rPr>
                <w:rFonts w:hint="eastAsia"/>
                <w:sz w:val="24"/>
                <w:szCs w:val="24"/>
                <w:highlight w:val="none"/>
                <w:lang w:eastAsia="zh-CN"/>
              </w:rPr>
              <w:t>（</w:t>
            </w:r>
            <w:r>
              <w:rPr>
                <w:sz w:val="24"/>
                <w:szCs w:val="24"/>
                <w:highlight w:val="none"/>
              </w:rPr>
              <w:t>GB3096</w:t>
            </w:r>
            <w:r>
              <w:rPr>
                <w:rFonts w:hint="eastAsia"/>
                <w:sz w:val="24"/>
                <w:szCs w:val="24"/>
                <w:highlight w:val="none"/>
                <w:lang w:eastAsia="zh-CN"/>
              </w:rPr>
              <w:t>-</w:t>
            </w:r>
            <w:r>
              <w:rPr>
                <w:sz w:val="24"/>
                <w:szCs w:val="24"/>
                <w:highlight w:val="none"/>
              </w:rPr>
              <w:t>2008）1类标准。</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2" w:firstLineChars="200"/>
              <w:jc w:val="both"/>
              <w:textAlignment w:val="auto"/>
              <w:outlineLvl w:val="9"/>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四、</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地下水环境</w:t>
            </w:r>
            <w:r>
              <w:rPr>
                <w:rFonts w:hint="default" w:ascii="Times New Roman" w:hAnsi="Times New Roman" w:cs="Times New Roman"/>
                <w:b/>
                <w:bCs/>
                <w:color w:val="000000" w:themeColor="text1"/>
                <w:sz w:val="24"/>
                <w:szCs w:val="24"/>
                <w:highlight w:val="none"/>
                <w14:textFill>
                  <w14:solidFill>
                    <w14:schemeClr w14:val="tx1"/>
                  </w14:solidFill>
                </w14:textFill>
              </w:rPr>
              <w:t>质量现状</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72" w:firstLineChars="200"/>
              <w:jc w:val="both"/>
              <w:textAlignment w:val="auto"/>
              <w:outlineLvl w:val="9"/>
              <w:rPr>
                <w:rFonts w:hint="eastAsia" w:ascii="Times New Roman" w:hAnsi="Times New Roman" w:eastAsia="宋体" w:cs="Times New Roman"/>
                <w:spacing w:val="-2"/>
                <w:sz w:val="24"/>
                <w:szCs w:val="24"/>
                <w:highlight w:val="none"/>
                <w:lang w:val="en-US" w:eastAsia="zh-CN"/>
              </w:rPr>
            </w:pPr>
            <w:r>
              <w:rPr>
                <w:rFonts w:hint="default" w:ascii="Times New Roman" w:hAnsi="Times New Roman" w:eastAsia="宋体" w:cs="Times New Roman"/>
                <w:spacing w:val="-2"/>
                <w:sz w:val="24"/>
                <w:szCs w:val="24"/>
                <w:highlight w:val="none"/>
              </w:rPr>
              <w:t>本次环评引用内蒙古</w:t>
            </w:r>
            <w:r>
              <w:rPr>
                <w:rFonts w:hint="eastAsia" w:ascii="Times New Roman" w:hAnsi="Times New Roman" w:eastAsia="宋体" w:cs="Times New Roman"/>
                <w:spacing w:val="-2"/>
                <w:sz w:val="24"/>
                <w:szCs w:val="24"/>
                <w:highlight w:val="none"/>
                <w:lang w:val="en-US" w:eastAsia="zh-CN"/>
              </w:rPr>
              <w:t>八思巴环保科技</w:t>
            </w:r>
            <w:r>
              <w:rPr>
                <w:rFonts w:hint="default" w:ascii="Times New Roman" w:hAnsi="Times New Roman" w:eastAsia="宋体" w:cs="Times New Roman"/>
                <w:spacing w:val="-2"/>
                <w:sz w:val="24"/>
                <w:szCs w:val="24"/>
                <w:highlight w:val="none"/>
              </w:rPr>
              <w:t>有限责任公司对《</w:t>
            </w:r>
            <w:r>
              <w:rPr>
                <w:rFonts w:hint="eastAsia" w:ascii="宋体" w:hAnsi="宋体" w:eastAsia="宋体" w:cs="宋体"/>
                <w:sz w:val="24"/>
                <w:szCs w:val="24"/>
                <w:highlight w:val="none"/>
              </w:rPr>
              <w:t>塔然高勒矿井及选煤厂项目</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1000万吨/年</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变更环境影响评价</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val="en-US" w:eastAsia="zh-CN"/>
              </w:rPr>
              <w:t>地下水和废水</w:t>
            </w:r>
            <w:r>
              <w:rPr>
                <w:rFonts w:hint="eastAsia" w:ascii="宋体" w:hAnsi="宋体" w:eastAsia="宋体" w:cs="宋体"/>
                <w:sz w:val="24"/>
                <w:szCs w:val="24"/>
                <w:highlight w:val="none"/>
                <w:lang w:eastAsia="zh-CN"/>
              </w:rPr>
              <w:t>）</w:t>
            </w:r>
            <w:r>
              <w:rPr>
                <w:rFonts w:hint="default" w:ascii="Times New Roman" w:hAnsi="Times New Roman" w:eastAsia="宋体" w:cs="Times New Roman"/>
                <w:spacing w:val="-2"/>
                <w:sz w:val="24"/>
                <w:szCs w:val="24"/>
                <w:highlight w:val="none"/>
              </w:rPr>
              <w:t>》</w:t>
            </w:r>
            <w:r>
              <w:rPr>
                <w:rFonts w:hint="eastAsia" w:ascii="Times New Roman" w:hAnsi="Times New Roman" w:eastAsia="宋体" w:cs="Times New Roman"/>
                <w:spacing w:val="-2"/>
                <w:sz w:val="24"/>
                <w:szCs w:val="24"/>
                <w:highlight w:val="none"/>
                <w:lang w:val="en-US" w:eastAsia="zh-CN"/>
              </w:rPr>
              <w:t>中的</w:t>
            </w:r>
            <w:r>
              <w:rPr>
                <w:rFonts w:hint="eastAsia" w:ascii="宋体" w:hAnsi="宋体" w:eastAsia="宋体" w:cs="宋体"/>
                <w:sz w:val="24"/>
                <w:szCs w:val="24"/>
                <w:highlight w:val="none"/>
                <w:lang w:val="en-US" w:eastAsia="zh-CN"/>
              </w:rPr>
              <w:t>地下水</w:t>
            </w:r>
            <w:r>
              <w:rPr>
                <w:rFonts w:hint="default" w:ascii="Times New Roman" w:hAnsi="Times New Roman" w:eastAsia="宋体" w:cs="Times New Roman"/>
                <w:spacing w:val="-2"/>
                <w:sz w:val="24"/>
                <w:szCs w:val="24"/>
                <w:highlight w:val="none"/>
              </w:rPr>
              <w:t>现状监测数据，采样时间为202</w:t>
            </w:r>
            <w:r>
              <w:rPr>
                <w:rFonts w:hint="eastAsia" w:ascii="Times New Roman" w:hAnsi="Times New Roman" w:eastAsia="宋体" w:cs="Times New Roman"/>
                <w:spacing w:val="-2"/>
                <w:sz w:val="24"/>
                <w:szCs w:val="24"/>
                <w:highlight w:val="none"/>
                <w:lang w:val="en-US" w:eastAsia="zh-CN"/>
              </w:rPr>
              <w:t>3</w:t>
            </w:r>
            <w:r>
              <w:rPr>
                <w:rFonts w:hint="default" w:ascii="Times New Roman" w:hAnsi="Times New Roman" w:eastAsia="宋体" w:cs="Times New Roman"/>
                <w:spacing w:val="-2"/>
                <w:sz w:val="24"/>
                <w:szCs w:val="24"/>
                <w:highlight w:val="none"/>
              </w:rPr>
              <w:t>年</w:t>
            </w:r>
            <w:r>
              <w:rPr>
                <w:rFonts w:hint="eastAsia" w:ascii="Times New Roman" w:hAnsi="Times New Roman" w:eastAsia="宋体" w:cs="Times New Roman"/>
                <w:spacing w:val="-2"/>
                <w:sz w:val="24"/>
                <w:szCs w:val="24"/>
                <w:highlight w:val="none"/>
                <w:lang w:val="en-US" w:eastAsia="zh-CN"/>
              </w:rPr>
              <w:t>7</w:t>
            </w:r>
            <w:r>
              <w:rPr>
                <w:rFonts w:hint="default" w:ascii="Times New Roman" w:hAnsi="Times New Roman" w:eastAsia="宋体" w:cs="Times New Roman"/>
                <w:spacing w:val="-2"/>
                <w:sz w:val="24"/>
                <w:szCs w:val="24"/>
                <w:highlight w:val="none"/>
              </w:rPr>
              <w:t>月</w:t>
            </w:r>
            <w:r>
              <w:rPr>
                <w:rFonts w:hint="eastAsia" w:ascii="Times New Roman" w:hAnsi="Times New Roman" w:eastAsia="宋体" w:cs="Times New Roman"/>
                <w:spacing w:val="-2"/>
                <w:sz w:val="24"/>
                <w:szCs w:val="24"/>
                <w:highlight w:val="none"/>
                <w:lang w:val="en-US" w:eastAsia="zh-CN"/>
              </w:rPr>
              <w:t>27</w:t>
            </w:r>
            <w:r>
              <w:rPr>
                <w:rFonts w:hint="default" w:ascii="Times New Roman" w:hAnsi="Times New Roman" w:eastAsia="宋体" w:cs="Times New Roman"/>
                <w:spacing w:val="-2"/>
                <w:sz w:val="24"/>
                <w:szCs w:val="24"/>
                <w:highlight w:val="none"/>
              </w:rPr>
              <w:t>日，距离本项目</w:t>
            </w:r>
            <w:r>
              <w:rPr>
                <w:rFonts w:hint="eastAsia" w:ascii="Times New Roman" w:hAnsi="Times New Roman" w:eastAsia="宋体" w:cs="Times New Roman"/>
                <w:spacing w:val="-2"/>
                <w:sz w:val="24"/>
                <w:szCs w:val="24"/>
                <w:highlight w:val="none"/>
                <w:lang w:val="en-US" w:eastAsia="zh-CN"/>
              </w:rPr>
              <w:t>最近</w:t>
            </w:r>
            <w:r>
              <w:rPr>
                <w:rFonts w:hint="eastAsia" w:cs="Times New Roman"/>
                <w:spacing w:val="-2"/>
                <w:sz w:val="24"/>
                <w:szCs w:val="24"/>
                <w:highlight w:val="none"/>
                <w:lang w:val="en-US" w:eastAsia="zh-CN"/>
              </w:rPr>
              <w:t>监</w:t>
            </w:r>
            <w:r>
              <w:rPr>
                <w:rFonts w:hint="eastAsia" w:ascii="Times New Roman" w:hAnsi="Times New Roman" w:eastAsia="宋体" w:cs="Times New Roman"/>
                <w:spacing w:val="-2"/>
                <w:sz w:val="24"/>
                <w:szCs w:val="24"/>
                <w:highlight w:val="none"/>
                <w:lang w:val="en-US" w:eastAsia="zh-CN"/>
              </w:rPr>
              <w:t>测点编号为5#，</w:t>
            </w:r>
            <w:r>
              <w:rPr>
                <w:rFonts w:hint="default" w:ascii="Times New Roman" w:hAnsi="Times New Roman" w:eastAsia="宋体" w:cs="Times New Roman"/>
                <w:spacing w:val="-2"/>
                <w:sz w:val="24"/>
                <w:szCs w:val="24"/>
                <w:highlight w:val="none"/>
              </w:rPr>
              <w:t>距离本项目</w:t>
            </w:r>
            <w:r>
              <w:rPr>
                <w:rFonts w:hint="eastAsia" w:ascii="Times New Roman" w:hAnsi="Times New Roman" w:eastAsia="宋体" w:cs="Times New Roman"/>
                <w:spacing w:val="-2"/>
                <w:sz w:val="24"/>
                <w:szCs w:val="24"/>
                <w:highlight w:val="none"/>
                <w:lang w:val="en-US" w:eastAsia="zh-CN"/>
              </w:rPr>
              <w:t>约</w:t>
            </w:r>
            <w:r>
              <w:rPr>
                <w:rFonts w:hint="default" w:ascii="Times New Roman" w:hAnsi="Times New Roman" w:eastAsia="宋体" w:cs="Times New Roman"/>
                <w:spacing w:val="-2"/>
                <w:sz w:val="24"/>
                <w:szCs w:val="24"/>
                <w:highlight w:val="none"/>
              </w:rPr>
              <w:t>3.7公里，监测点位情况见表3</w:t>
            </w:r>
            <w:r>
              <w:rPr>
                <w:rFonts w:hint="eastAsia" w:cs="Times New Roman"/>
                <w:spacing w:val="-2"/>
                <w:sz w:val="24"/>
                <w:szCs w:val="24"/>
                <w:highlight w:val="none"/>
                <w:lang w:eastAsia="zh-CN"/>
              </w:rPr>
              <w:t>-</w:t>
            </w:r>
            <w:r>
              <w:rPr>
                <w:rFonts w:hint="eastAsia" w:cs="Times New Roman"/>
                <w:spacing w:val="-2"/>
                <w:sz w:val="24"/>
                <w:szCs w:val="24"/>
                <w:highlight w:val="none"/>
                <w:lang w:val="en-US" w:eastAsia="zh-CN"/>
              </w:rPr>
              <w:t>9</w:t>
            </w:r>
            <w:r>
              <w:rPr>
                <w:rFonts w:hint="default" w:ascii="Times New Roman" w:hAnsi="Times New Roman" w:eastAsia="宋体" w:cs="Times New Roman"/>
                <w:spacing w:val="-2"/>
                <w:sz w:val="24"/>
                <w:szCs w:val="24"/>
                <w:highlight w:val="none"/>
              </w:rPr>
              <w:t>，监测结果见表3</w:t>
            </w:r>
            <w:r>
              <w:rPr>
                <w:rFonts w:hint="eastAsia" w:cs="Times New Roman"/>
                <w:spacing w:val="-2"/>
                <w:sz w:val="24"/>
                <w:szCs w:val="24"/>
                <w:highlight w:val="none"/>
                <w:lang w:eastAsia="zh-CN"/>
              </w:rPr>
              <w:t>-</w:t>
            </w:r>
            <w:r>
              <w:rPr>
                <w:rFonts w:hint="eastAsia" w:cs="Times New Roman"/>
                <w:spacing w:val="-2"/>
                <w:sz w:val="24"/>
                <w:szCs w:val="24"/>
                <w:highlight w:val="none"/>
                <w:lang w:val="en-US" w:eastAsia="zh-CN"/>
              </w:rPr>
              <w:t>10</w:t>
            </w:r>
            <w:r>
              <w:rPr>
                <w:rFonts w:hint="eastAsia" w:ascii="Times New Roman" w:hAnsi="Times New Roman" w:eastAsia="宋体" w:cs="Times New Roman"/>
                <w:spacing w:val="-2"/>
                <w:sz w:val="24"/>
                <w:szCs w:val="24"/>
                <w:highlight w:val="none"/>
                <w:lang w:val="en-US" w:eastAsia="zh-CN"/>
              </w:rPr>
              <w:t>。</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after="0" w:line="240" w:lineRule="auto"/>
              <w:ind w:right="0" w:rightChars="0" w:firstLine="0" w:firstLineChars="0"/>
              <w:jc w:val="center"/>
              <w:textAlignment w:val="auto"/>
              <w:outlineLvl w:val="9"/>
              <w:rPr>
                <w:rFonts w:hint="default" w:ascii="Times New Roman" w:hAnsi="Times New Roman" w:eastAsia="宋体" w:cs="Times New Roman"/>
                <w:spacing w:val="-2"/>
                <w:sz w:val="21"/>
                <w:szCs w:val="21"/>
                <w:highlight w:val="none"/>
                <w:lang w:val="en-US" w:eastAsia="zh-CN"/>
              </w:rPr>
            </w:pPr>
            <w:r>
              <w:rPr>
                <w:rFonts w:hint="default" w:ascii="Times New Roman" w:hAnsi="Times New Roman" w:eastAsia="宋体" w:cs="Times New Roman"/>
                <w:spacing w:val="-2"/>
                <w:sz w:val="21"/>
                <w:szCs w:val="21"/>
                <w:highlight w:val="none"/>
              </w:rPr>
              <w:t>表3</w:t>
            </w:r>
            <w:r>
              <w:rPr>
                <w:rFonts w:hint="eastAsia" w:cs="Times New Roman"/>
                <w:spacing w:val="-2"/>
                <w:sz w:val="21"/>
                <w:szCs w:val="21"/>
                <w:highlight w:val="none"/>
                <w:lang w:eastAsia="zh-CN"/>
              </w:rPr>
              <w:t>-</w:t>
            </w:r>
            <w:r>
              <w:rPr>
                <w:rFonts w:hint="eastAsia" w:cs="Times New Roman"/>
                <w:spacing w:val="-2"/>
                <w:sz w:val="21"/>
                <w:szCs w:val="21"/>
                <w:highlight w:val="none"/>
                <w:lang w:val="en-US" w:eastAsia="zh-CN"/>
              </w:rPr>
              <w:t>9</w:t>
            </w:r>
            <w:r>
              <w:rPr>
                <w:rFonts w:hint="default" w:ascii="Times New Roman" w:hAnsi="Times New Roman" w:eastAsia="宋体" w:cs="Times New Roman"/>
                <w:spacing w:val="-2"/>
                <w:sz w:val="21"/>
                <w:szCs w:val="21"/>
                <w:highlight w:val="none"/>
                <w:lang w:val="en-US" w:eastAsia="zh-CN"/>
              </w:rPr>
              <w:t>地下水水质监测点信息表</w:t>
            </w:r>
          </w:p>
          <w:tbl>
            <w:tblPr>
              <w:tblStyle w:val="41"/>
              <w:tblW w:w="77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14"/>
              <w:gridCol w:w="1800"/>
              <w:gridCol w:w="1440"/>
              <w:gridCol w:w="1209"/>
              <w:gridCol w:w="732"/>
              <w:gridCol w:w="1024"/>
              <w:gridCol w:w="8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714" w:type="dxa"/>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highlight w:val="none"/>
                    </w:rPr>
                  </w:pPr>
                  <w:r>
                    <w:rPr>
                      <w:spacing w:val="5"/>
                      <w:highlight w:val="none"/>
                      <w14:textOutline w14:w="3795" w14:cap="flat" w14:cmpd="sng">
                        <w14:solidFill>
                          <w14:srgbClr w14:val="000000"/>
                        </w14:solidFill>
                        <w14:prstDash w14:val="solid"/>
                        <w14:miter w14:val="0"/>
                      </w14:textOutline>
                    </w:rPr>
                    <w:t>编号</w:t>
                  </w:r>
                </w:p>
              </w:tc>
              <w:tc>
                <w:tcPr>
                  <w:tcW w:w="1800" w:type="dxa"/>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highlight w:val="none"/>
                    </w:rPr>
                  </w:pPr>
                  <w:r>
                    <w:rPr>
                      <w:spacing w:val="5"/>
                      <w:highlight w:val="none"/>
                      <w14:textOutline w14:w="3795" w14:cap="flat" w14:cmpd="sng">
                        <w14:solidFill>
                          <w14:srgbClr w14:val="000000"/>
                        </w14:solidFill>
                        <w14:prstDash w14:val="solid"/>
                        <w14:miter w14:val="0"/>
                      </w14:textOutline>
                    </w:rPr>
                    <w:t>经度</w:t>
                  </w:r>
                </w:p>
              </w:tc>
              <w:tc>
                <w:tcPr>
                  <w:tcW w:w="1440" w:type="dxa"/>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highlight w:val="none"/>
                    </w:rPr>
                  </w:pPr>
                  <w:r>
                    <w:rPr>
                      <w:spacing w:val="5"/>
                      <w:highlight w:val="none"/>
                      <w14:textOutline w14:w="3795" w14:cap="flat" w14:cmpd="sng">
                        <w14:solidFill>
                          <w14:srgbClr w14:val="000000"/>
                        </w14:solidFill>
                        <w14:prstDash w14:val="solid"/>
                        <w14:miter w14:val="0"/>
                      </w14:textOutline>
                    </w:rPr>
                    <w:t>纬度</w:t>
                  </w:r>
                </w:p>
              </w:tc>
              <w:tc>
                <w:tcPr>
                  <w:tcW w:w="1209" w:type="dxa"/>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highlight w:val="none"/>
                    </w:rPr>
                  </w:pPr>
                  <w:r>
                    <w:rPr>
                      <w:spacing w:val="6"/>
                      <w:highlight w:val="none"/>
                      <w14:textOutline w14:w="3795" w14:cap="flat" w14:cmpd="sng">
                        <w14:solidFill>
                          <w14:srgbClr w14:val="000000"/>
                        </w14:solidFill>
                        <w14:prstDash w14:val="solid"/>
                        <w14:miter w14:val="0"/>
                      </w14:textOutline>
                    </w:rPr>
                    <w:t>水位标高</w:t>
                  </w:r>
                  <w:r>
                    <w:rPr>
                      <w:rFonts w:ascii="Times New Roman" w:hAnsi="Times New Roman" w:eastAsia="Times New Roman" w:cs="Times New Roman"/>
                      <w:b/>
                      <w:bCs/>
                      <w:spacing w:val="6"/>
                      <w:highlight w:val="none"/>
                    </w:rPr>
                    <w:t>/m</w:t>
                  </w:r>
                </w:p>
              </w:tc>
              <w:tc>
                <w:tcPr>
                  <w:tcW w:w="732" w:type="dxa"/>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highlight w:val="none"/>
                    </w:rPr>
                  </w:pPr>
                  <w:r>
                    <w:rPr>
                      <w:spacing w:val="5"/>
                      <w:highlight w:val="none"/>
                      <w14:textOutline w14:w="3795" w14:cap="flat" w14:cmpd="sng">
                        <w14:solidFill>
                          <w14:srgbClr w14:val="000000"/>
                        </w14:solidFill>
                        <w14:prstDash w14:val="solid"/>
                        <w14:miter w14:val="0"/>
                      </w14:textOutline>
                    </w:rPr>
                    <w:t>井深</w:t>
                  </w:r>
                  <w:r>
                    <w:rPr>
                      <w:rFonts w:ascii="Times New Roman" w:hAnsi="Times New Roman" w:eastAsia="Times New Roman" w:cs="Times New Roman"/>
                      <w:b/>
                      <w:bCs/>
                      <w:spacing w:val="5"/>
                      <w:highlight w:val="none"/>
                    </w:rPr>
                    <w:t>/m</w:t>
                  </w:r>
                </w:p>
              </w:tc>
              <w:tc>
                <w:tcPr>
                  <w:tcW w:w="1024" w:type="dxa"/>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highlight w:val="none"/>
                    </w:rPr>
                  </w:pPr>
                  <w:r>
                    <w:rPr>
                      <w:spacing w:val="6"/>
                      <w:highlight w:val="none"/>
                      <w14:textOutline w14:w="3795" w14:cap="flat" w14:cmpd="sng">
                        <w14:solidFill>
                          <w14:srgbClr w14:val="000000"/>
                        </w14:solidFill>
                        <w14:prstDash w14:val="solid"/>
                        <w14:miter w14:val="0"/>
                      </w14:textOutline>
                    </w:rPr>
                    <w:t>水位埋深</w:t>
                  </w:r>
                  <w:r>
                    <w:rPr>
                      <w:rFonts w:ascii="Times New Roman" w:hAnsi="Times New Roman" w:eastAsia="Times New Roman" w:cs="Times New Roman"/>
                      <w:b/>
                      <w:bCs/>
                      <w:spacing w:val="6"/>
                      <w:highlight w:val="none"/>
                    </w:rPr>
                    <w:t>/m</w:t>
                  </w:r>
                </w:p>
              </w:tc>
              <w:tc>
                <w:tcPr>
                  <w:tcW w:w="817" w:type="dxa"/>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highlight w:val="none"/>
                    </w:rPr>
                  </w:pPr>
                  <w:r>
                    <w:rPr>
                      <w:spacing w:val="7"/>
                      <w:highlight w:val="none"/>
                      <w14:textOutline w14:w="3795" w14:cap="flat" w14:cmpd="sng">
                        <w14:solidFill>
                          <w14:srgbClr w14:val="000000"/>
                        </w14:solidFill>
                        <w14:prstDash w14:val="solid"/>
                        <w14:miter w14:val="0"/>
                      </w14:textOutline>
                    </w:rPr>
                    <w:t>监测层位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71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8"/>
                      <w:sz w:val="20"/>
                      <w:szCs w:val="20"/>
                      <w:highlight w:val="none"/>
                    </w:rPr>
                    <w:t>1#</w:t>
                  </w:r>
                </w:p>
              </w:tc>
              <w:tc>
                <w:tcPr>
                  <w:tcW w:w="180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E</w:t>
                  </w:r>
                  <w:r>
                    <w:rPr>
                      <w:rFonts w:ascii="Times New Roman" w:hAnsi="Times New Roman" w:eastAsia="Times New Roman" w:cs="Times New Roman"/>
                      <w:spacing w:val="32"/>
                      <w:w w:val="101"/>
                      <w:sz w:val="20"/>
                      <w:szCs w:val="20"/>
                      <w:highlight w:val="none"/>
                    </w:rPr>
                    <w:t xml:space="preserve"> </w:t>
                  </w:r>
                  <w:r>
                    <w:rPr>
                      <w:rFonts w:ascii="Times New Roman" w:hAnsi="Times New Roman" w:eastAsia="Times New Roman" w:cs="Times New Roman"/>
                      <w:sz w:val="20"/>
                      <w:szCs w:val="20"/>
                      <w:highlight w:val="none"/>
                    </w:rPr>
                    <w:t>109°</w:t>
                  </w:r>
                  <w:r>
                    <w:rPr>
                      <w:rFonts w:ascii="Times New Roman" w:hAnsi="Times New Roman" w:eastAsia="Times New Roman" w:cs="Times New Roman"/>
                      <w:spacing w:val="-25"/>
                      <w:sz w:val="20"/>
                      <w:szCs w:val="20"/>
                      <w:highlight w:val="none"/>
                    </w:rPr>
                    <w:t xml:space="preserve"> </w:t>
                  </w:r>
                  <w:r>
                    <w:rPr>
                      <w:rFonts w:ascii="Times New Roman" w:hAnsi="Times New Roman" w:eastAsia="Times New Roman" w:cs="Times New Roman"/>
                      <w:sz w:val="20"/>
                      <w:szCs w:val="20"/>
                      <w:highlight w:val="none"/>
                    </w:rPr>
                    <w:t>12'0.99"</w:t>
                  </w:r>
                </w:p>
              </w:tc>
              <w:tc>
                <w:tcPr>
                  <w:tcW w:w="144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4"/>
                      <w:sz w:val="20"/>
                      <w:szCs w:val="20"/>
                      <w:highlight w:val="none"/>
                    </w:rPr>
                    <w:t>N 39°58'58.99"</w:t>
                  </w:r>
                </w:p>
              </w:tc>
              <w:tc>
                <w:tcPr>
                  <w:tcW w:w="1209"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1461.22</w:t>
                  </w:r>
                </w:p>
              </w:tc>
              <w:tc>
                <w:tcPr>
                  <w:tcW w:w="732"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3"/>
                      <w:sz w:val="20"/>
                      <w:szCs w:val="20"/>
                      <w:highlight w:val="none"/>
                    </w:rPr>
                    <w:t>90.17</w:t>
                  </w:r>
                </w:p>
              </w:tc>
              <w:tc>
                <w:tcPr>
                  <w:tcW w:w="102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4"/>
                      <w:sz w:val="20"/>
                      <w:szCs w:val="20"/>
                      <w:highlight w:val="none"/>
                    </w:rPr>
                    <w:t>45.51</w:t>
                  </w:r>
                </w:p>
              </w:tc>
              <w:tc>
                <w:tcPr>
                  <w:tcW w:w="817"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Q</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71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2"/>
                      <w:sz w:val="20"/>
                      <w:szCs w:val="20"/>
                      <w:highlight w:val="none"/>
                    </w:rPr>
                    <w:t>2#</w:t>
                  </w:r>
                </w:p>
              </w:tc>
              <w:tc>
                <w:tcPr>
                  <w:tcW w:w="180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E</w:t>
                  </w:r>
                  <w:r>
                    <w:rPr>
                      <w:rFonts w:ascii="Times New Roman" w:hAnsi="Times New Roman" w:eastAsia="Times New Roman" w:cs="Times New Roman"/>
                      <w:spacing w:val="26"/>
                      <w:w w:val="101"/>
                      <w:sz w:val="20"/>
                      <w:szCs w:val="20"/>
                      <w:highlight w:val="none"/>
                    </w:rPr>
                    <w:t xml:space="preserve"> </w:t>
                  </w:r>
                  <w:r>
                    <w:rPr>
                      <w:rFonts w:ascii="Times New Roman" w:hAnsi="Times New Roman" w:eastAsia="Times New Roman" w:cs="Times New Roman"/>
                      <w:spacing w:val="1"/>
                      <w:sz w:val="20"/>
                      <w:szCs w:val="20"/>
                      <w:highlight w:val="none"/>
                    </w:rPr>
                    <w:t>109°</w:t>
                  </w:r>
                  <w:r>
                    <w:rPr>
                      <w:rFonts w:ascii="Times New Roman" w:hAnsi="Times New Roman" w:eastAsia="Times New Roman" w:cs="Times New Roman"/>
                      <w:spacing w:val="-25"/>
                      <w:sz w:val="20"/>
                      <w:szCs w:val="20"/>
                      <w:highlight w:val="none"/>
                    </w:rPr>
                    <w:t xml:space="preserve"> </w:t>
                  </w:r>
                  <w:r>
                    <w:rPr>
                      <w:rFonts w:ascii="Times New Roman" w:hAnsi="Times New Roman" w:eastAsia="Times New Roman" w:cs="Times New Roman"/>
                      <w:spacing w:val="1"/>
                      <w:sz w:val="20"/>
                      <w:szCs w:val="20"/>
                      <w:highlight w:val="none"/>
                    </w:rPr>
                    <w:t>11'21.34"</w:t>
                  </w:r>
                </w:p>
              </w:tc>
              <w:tc>
                <w:tcPr>
                  <w:tcW w:w="144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4"/>
                      <w:sz w:val="20"/>
                      <w:szCs w:val="20"/>
                      <w:highlight w:val="none"/>
                    </w:rPr>
                    <w:t>N 39°59'24.71"</w:t>
                  </w:r>
                </w:p>
              </w:tc>
              <w:tc>
                <w:tcPr>
                  <w:tcW w:w="1209"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1509.41</w:t>
                  </w:r>
                </w:p>
              </w:tc>
              <w:tc>
                <w:tcPr>
                  <w:tcW w:w="732"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6"/>
                      <w:sz w:val="20"/>
                      <w:szCs w:val="20"/>
                      <w:highlight w:val="none"/>
                    </w:rPr>
                    <w:t>15.</w:t>
                  </w:r>
                  <w:r>
                    <w:rPr>
                      <w:rFonts w:ascii="Times New Roman" w:hAnsi="Times New Roman" w:eastAsia="Times New Roman" w:cs="Times New Roman"/>
                      <w:spacing w:val="-22"/>
                      <w:sz w:val="20"/>
                      <w:szCs w:val="20"/>
                      <w:highlight w:val="none"/>
                    </w:rPr>
                    <w:t xml:space="preserve"> </w:t>
                  </w:r>
                  <w:r>
                    <w:rPr>
                      <w:rFonts w:ascii="Times New Roman" w:hAnsi="Times New Roman" w:eastAsia="Times New Roman" w:cs="Times New Roman"/>
                      <w:spacing w:val="-6"/>
                      <w:sz w:val="20"/>
                      <w:szCs w:val="20"/>
                      <w:highlight w:val="none"/>
                    </w:rPr>
                    <w:t>14</w:t>
                  </w:r>
                </w:p>
              </w:tc>
              <w:tc>
                <w:tcPr>
                  <w:tcW w:w="102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2"/>
                      <w:sz w:val="20"/>
                      <w:szCs w:val="20"/>
                      <w:highlight w:val="none"/>
                    </w:rPr>
                    <w:t>5.24</w:t>
                  </w:r>
                </w:p>
              </w:tc>
              <w:tc>
                <w:tcPr>
                  <w:tcW w:w="817"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Q</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1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3#</w:t>
                  </w:r>
                </w:p>
              </w:tc>
              <w:tc>
                <w:tcPr>
                  <w:tcW w:w="180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E</w:t>
                  </w:r>
                  <w:r>
                    <w:rPr>
                      <w:rFonts w:ascii="Times New Roman" w:hAnsi="Times New Roman" w:eastAsia="Times New Roman" w:cs="Times New Roman"/>
                      <w:spacing w:val="26"/>
                      <w:w w:val="101"/>
                      <w:sz w:val="20"/>
                      <w:szCs w:val="20"/>
                      <w:highlight w:val="none"/>
                    </w:rPr>
                    <w:t xml:space="preserve"> </w:t>
                  </w:r>
                  <w:r>
                    <w:rPr>
                      <w:rFonts w:ascii="Times New Roman" w:hAnsi="Times New Roman" w:eastAsia="Times New Roman" w:cs="Times New Roman"/>
                      <w:spacing w:val="1"/>
                      <w:sz w:val="20"/>
                      <w:szCs w:val="20"/>
                      <w:highlight w:val="none"/>
                    </w:rPr>
                    <w:t>109°</w:t>
                  </w:r>
                  <w:r>
                    <w:rPr>
                      <w:rFonts w:ascii="Times New Roman" w:hAnsi="Times New Roman" w:eastAsia="Times New Roman" w:cs="Times New Roman"/>
                      <w:spacing w:val="-25"/>
                      <w:sz w:val="20"/>
                      <w:szCs w:val="20"/>
                      <w:highlight w:val="none"/>
                    </w:rPr>
                    <w:t xml:space="preserve"> </w:t>
                  </w:r>
                  <w:r>
                    <w:rPr>
                      <w:rFonts w:ascii="Times New Roman" w:hAnsi="Times New Roman" w:eastAsia="Times New Roman" w:cs="Times New Roman"/>
                      <w:spacing w:val="1"/>
                      <w:sz w:val="20"/>
                      <w:szCs w:val="20"/>
                      <w:highlight w:val="none"/>
                    </w:rPr>
                    <w:t>11'35.83"</w:t>
                  </w:r>
                </w:p>
              </w:tc>
              <w:tc>
                <w:tcPr>
                  <w:tcW w:w="144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4"/>
                      <w:sz w:val="20"/>
                      <w:szCs w:val="20"/>
                      <w:highlight w:val="none"/>
                    </w:rPr>
                    <w:t>N 39°59'54.61"</w:t>
                  </w:r>
                </w:p>
              </w:tc>
              <w:tc>
                <w:tcPr>
                  <w:tcW w:w="1209"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1483.43</w:t>
                  </w:r>
                </w:p>
              </w:tc>
              <w:tc>
                <w:tcPr>
                  <w:tcW w:w="732"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15.47</w:t>
                  </w:r>
                </w:p>
              </w:tc>
              <w:tc>
                <w:tcPr>
                  <w:tcW w:w="102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2"/>
                      <w:sz w:val="20"/>
                      <w:szCs w:val="20"/>
                      <w:highlight w:val="none"/>
                    </w:rPr>
                    <w:t>9.21</w:t>
                  </w:r>
                </w:p>
              </w:tc>
              <w:tc>
                <w:tcPr>
                  <w:tcW w:w="817"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4"/>
                      <w:sz w:val="20"/>
                      <w:szCs w:val="20"/>
                      <w:highlight w:val="none"/>
                    </w:rPr>
                    <w:t>K</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71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3"/>
                      <w:sz w:val="20"/>
                      <w:szCs w:val="20"/>
                      <w:highlight w:val="none"/>
                    </w:rPr>
                    <w:t>4#</w:t>
                  </w:r>
                </w:p>
              </w:tc>
              <w:tc>
                <w:tcPr>
                  <w:tcW w:w="180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E</w:t>
                  </w:r>
                  <w:r>
                    <w:rPr>
                      <w:rFonts w:ascii="Times New Roman" w:hAnsi="Times New Roman" w:eastAsia="Times New Roman" w:cs="Times New Roman"/>
                      <w:spacing w:val="26"/>
                      <w:w w:val="101"/>
                      <w:sz w:val="20"/>
                      <w:szCs w:val="20"/>
                      <w:highlight w:val="none"/>
                    </w:rPr>
                    <w:t xml:space="preserve"> </w:t>
                  </w:r>
                  <w:r>
                    <w:rPr>
                      <w:rFonts w:ascii="Times New Roman" w:hAnsi="Times New Roman" w:eastAsia="Times New Roman" w:cs="Times New Roman"/>
                      <w:spacing w:val="1"/>
                      <w:sz w:val="20"/>
                      <w:szCs w:val="20"/>
                      <w:highlight w:val="none"/>
                    </w:rPr>
                    <w:t>109°</w:t>
                  </w:r>
                  <w:r>
                    <w:rPr>
                      <w:rFonts w:ascii="Times New Roman" w:hAnsi="Times New Roman" w:eastAsia="Times New Roman" w:cs="Times New Roman"/>
                      <w:spacing w:val="-25"/>
                      <w:sz w:val="20"/>
                      <w:szCs w:val="20"/>
                      <w:highlight w:val="none"/>
                    </w:rPr>
                    <w:t xml:space="preserve"> </w:t>
                  </w:r>
                  <w:r>
                    <w:rPr>
                      <w:rFonts w:ascii="Times New Roman" w:hAnsi="Times New Roman" w:eastAsia="Times New Roman" w:cs="Times New Roman"/>
                      <w:spacing w:val="1"/>
                      <w:sz w:val="20"/>
                      <w:szCs w:val="20"/>
                      <w:highlight w:val="none"/>
                    </w:rPr>
                    <w:t>11'48.20"</w:t>
                  </w:r>
                </w:p>
              </w:tc>
              <w:tc>
                <w:tcPr>
                  <w:tcW w:w="144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4"/>
                      <w:sz w:val="20"/>
                      <w:szCs w:val="20"/>
                      <w:highlight w:val="none"/>
                    </w:rPr>
                    <w:t>N 40°00'24.23"</w:t>
                  </w:r>
                </w:p>
              </w:tc>
              <w:tc>
                <w:tcPr>
                  <w:tcW w:w="1209"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1456.34</w:t>
                  </w:r>
                </w:p>
              </w:tc>
              <w:tc>
                <w:tcPr>
                  <w:tcW w:w="732"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3"/>
                      <w:sz w:val="20"/>
                      <w:szCs w:val="20"/>
                      <w:highlight w:val="none"/>
                    </w:rPr>
                    <w:t>30.51</w:t>
                  </w:r>
                </w:p>
              </w:tc>
              <w:tc>
                <w:tcPr>
                  <w:tcW w:w="102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3"/>
                      <w:sz w:val="20"/>
                      <w:szCs w:val="20"/>
                      <w:highlight w:val="none"/>
                    </w:rPr>
                    <w:t>25.01</w:t>
                  </w:r>
                </w:p>
              </w:tc>
              <w:tc>
                <w:tcPr>
                  <w:tcW w:w="817"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4"/>
                      <w:sz w:val="20"/>
                      <w:szCs w:val="20"/>
                      <w:highlight w:val="none"/>
                    </w:rPr>
                    <w:t>K</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71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5#</w:t>
                  </w:r>
                </w:p>
              </w:tc>
              <w:tc>
                <w:tcPr>
                  <w:tcW w:w="180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E</w:t>
                  </w:r>
                  <w:r>
                    <w:rPr>
                      <w:rFonts w:ascii="Times New Roman" w:hAnsi="Times New Roman" w:eastAsia="Times New Roman" w:cs="Times New Roman"/>
                      <w:spacing w:val="26"/>
                      <w:w w:val="101"/>
                      <w:sz w:val="20"/>
                      <w:szCs w:val="20"/>
                      <w:highlight w:val="none"/>
                    </w:rPr>
                    <w:t xml:space="preserve"> </w:t>
                  </w:r>
                  <w:r>
                    <w:rPr>
                      <w:rFonts w:ascii="Times New Roman" w:hAnsi="Times New Roman" w:eastAsia="Times New Roman" w:cs="Times New Roman"/>
                      <w:spacing w:val="1"/>
                      <w:sz w:val="20"/>
                      <w:szCs w:val="20"/>
                      <w:highlight w:val="none"/>
                    </w:rPr>
                    <w:t>109°</w:t>
                  </w:r>
                  <w:r>
                    <w:rPr>
                      <w:rFonts w:ascii="Times New Roman" w:hAnsi="Times New Roman" w:eastAsia="Times New Roman" w:cs="Times New Roman"/>
                      <w:spacing w:val="-25"/>
                      <w:sz w:val="20"/>
                      <w:szCs w:val="20"/>
                      <w:highlight w:val="none"/>
                    </w:rPr>
                    <w:t xml:space="preserve"> </w:t>
                  </w:r>
                  <w:r>
                    <w:rPr>
                      <w:rFonts w:ascii="Times New Roman" w:hAnsi="Times New Roman" w:eastAsia="Times New Roman" w:cs="Times New Roman"/>
                      <w:spacing w:val="1"/>
                      <w:sz w:val="20"/>
                      <w:szCs w:val="20"/>
                      <w:highlight w:val="none"/>
                    </w:rPr>
                    <w:t>11'54.17"</w:t>
                  </w:r>
                </w:p>
              </w:tc>
              <w:tc>
                <w:tcPr>
                  <w:tcW w:w="144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3"/>
                      <w:sz w:val="20"/>
                      <w:szCs w:val="20"/>
                      <w:highlight w:val="none"/>
                    </w:rPr>
                    <w:t>N 40°00'38.</w:t>
                  </w:r>
                  <w:r>
                    <w:rPr>
                      <w:rFonts w:ascii="Times New Roman" w:hAnsi="Times New Roman" w:eastAsia="Times New Roman" w:cs="Times New Roman"/>
                      <w:spacing w:val="-25"/>
                      <w:sz w:val="20"/>
                      <w:szCs w:val="20"/>
                      <w:highlight w:val="none"/>
                    </w:rPr>
                    <w:t xml:space="preserve"> </w:t>
                  </w:r>
                  <w:r>
                    <w:rPr>
                      <w:rFonts w:ascii="Times New Roman" w:hAnsi="Times New Roman" w:eastAsia="Times New Roman" w:cs="Times New Roman"/>
                      <w:spacing w:val="3"/>
                      <w:sz w:val="20"/>
                      <w:szCs w:val="20"/>
                      <w:highlight w:val="none"/>
                    </w:rPr>
                    <w:t>11"</w:t>
                  </w:r>
                </w:p>
              </w:tc>
              <w:tc>
                <w:tcPr>
                  <w:tcW w:w="1209"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1468.71</w:t>
                  </w:r>
                </w:p>
              </w:tc>
              <w:tc>
                <w:tcPr>
                  <w:tcW w:w="732"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10.23</w:t>
                  </w:r>
                </w:p>
              </w:tc>
              <w:tc>
                <w:tcPr>
                  <w:tcW w:w="102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5"/>
                      <w:sz w:val="20"/>
                      <w:szCs w:val="20"/>
                      <w:highlight w:val="none"/>
                    </w:rPr>
                    <w:t>8.</w:t>
                  </w:r>
                  <w:r>
                    <w:rPr>
                      <w:rFonts w:ascii="Times New Roman" w:hAnsi="Times New Roman" w:eastAsia="Times New Roman" w:cs="Times New Roman"/>
                      <w:spacing w:val="-25"/>
                      <w:sz w:val="20"/>
                      <w:szCs w:val="20"/>
                      <w:highlight w:val="none"/>
                    </w:rPr>
                    <w:t xml:space="preserve"> </w:t>
                  </w:r>
                  <w:r>
                    <w:rPr>
                      <w:rFonts w:ascii="Times New Roman" w:hAnsi="Times New Roman" w:eastAsia="Times New Roman" w:cs="Times New Roman"/>
                      <w:spacing w:val="-5"/>
                      <w:sz w:val="20"/>
                      <w:szCs w:val="20"/>
                      <w:highlight w:val="none"/>
                    </w:rPr>
                    <w:t>14</w:t>
                  </w:r>
                </w:p>
              </w:tc>
              <w:tc>
                <w:tcPr>
                  <w:tcW w:w="817"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Q</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71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6#</w:t>
                  </w:r>
                </w:p>
              </w:tc>
              <w:tc>
                <w:tcPr>
                  <w:tcW w:w="180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E</w:t>
                  </w:r>
                  <w:r>
                    <w:rPr>
                      <w:rFonts w:ascii="Times New Roman" w:hAnsi="Times New Roman" w:eastAsia="Times New Roman" w:cs="Times New Roman"/>
                      <w:spacing w:val="26"/>
                      <w:w w:val="101"/>
                      <w:sz w:val="20"/>
                      <w:szCs w:val="20"/>
                      <w:highlight w:val="none"/>
                    </w:rPr>
                    <w:t xml:space="preserve"> </w:t>
                  </w:r>
                  <w:r>
                    <w:rPr>
                      <w:rFonts w:ascii="Times New Roman" w:hAnsi="Times New Roman" w:eastAsia="Times New Roman" w:cs="Times New Roman"/>
                      <w:spacing w:val="1"/>
                      <w:sz w:val="20"/>
                      <w:szCs w:val="20"/>
                      <w:highlight w:val="none"/>
                    </w:rPr>
                    <w:t>109°</w:t>
                  </w:r>
                  <w:r>
                    <w:rPr>
                      <w:rFonts w:ascii="Times New Roman" w:hAnsi="Times New Roman" w:eastAsia="Times New Roman" w:cs="Times New Roman"/>
                      <w:spacing w:val="-25"/>
                      <w:sz w:val="20"/>
                      <w:szCs w:val="20"/>
                      <w:highlight w:val="none"/>
                    </w:rPr>
                    <w:t xml:space="preserve"> </w:t>
                  </w:r>
                  <w:r>
                    <w:rPr>
                      <w:rFonts w:ascii="Times New Roman" w:hAnsi="Times New Roman" w:eastAsia="Times New Roman" w:cs="Times New Roman"/>
                      <w:spacing w:val="1"/>
                      <w:sz w:val="20"/>
                      <w:szCs w:val="20"/>
                      <w:highlight w:val="none"/>
                    </w:rPr>
                    <w:t>12'21.50"</w:t>
                  </w:r>
                </w:p>
              </w:tc>
              <w:tc>
                <w:tcPr>
                  <w:tcW w:w="144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3"/>
                      <w:sz w:val="20"/>
                      <w:szCs w:val="20"/>
                      <w:highlight w:val="none"/>
                    </w:rPr>
                    <w:t>N 40°00'</w:t>
                  </w:r>
                  <w:r>
                    <w:rPr>
                      <w:rFonts w:ascii="Times New Roman" w:hAnsi="Times New Roman" w:eastAsia="Times New Roman" w:cs="Times New Roman"/>
                      <w:spacing w:val="-26"/>
                      <w:sz w:val="20"/>
                      <w:szCs w:val="20"/>
                      <w:highlight w:val="none"/>
                    </w:rPr>
                    <w:t xml:space="preserve"> </w:t>
                  </w:r>
                  <w:r>
                    <w:rPr>
                      <w:rFonts w:ascii="Times New Roman" w:hAnsi="Times New Roman" w:eastAsia="Times New Roman" w:cs="Times New Roman"/>
                      <w:spacing w:val="3"/>
                      <w:sz w:val="20"/>
                      <w:szCs w:val="20"/>
                      <w:highlight w:val="none"/>
                    </w:rPr>
                    <w:t>18.52"</w:t>
                  </w:r>
                </w:p>
              </w:tc>
              <w:tc>
                <w:tcPr>
                  <w:tcW w:w="1209"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1435.92</w:t>
                  </w:r>
                </w:p>
              </w:tc>
              <w:tc>
                <w:tcPr>
                  <w:tcW w:w="732"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3"/>
                      <w:sz w:val="20"/>
                      <w:szCs w:val="20"/>
                      <w:highlight w:val="none"/>
                    </w:rPr>
                    <w:t>60.13</w:t>
                  </w:r>
                </w:p>
              </w:tc>
              <w:tc>
                <w:tcPr>
                  <w:tcW w:w="102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4"/>
                      <w:sz w:val="20"/>
                      <w:szCs w:val="20"/>
                      <w:highlight w:val="none"/>
                    </w:rPr>
                    <w:t>48.05</w:t>
                  </w:r>
                </w:p>
              </w:tc>
              <w:tc>
                <w:tcPr>
                  <w:tcW w:w="817"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Q</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71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7#</w:t>
                  </w:r>
                </w:p>
              </w:tc>
              <w:tc>
                <w:tcPr>
                  <w:tcW w:w="180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E</w:t>
                  </w:r>
                  <w:r>
                    <w:rPr>
                      <w:rFonts w:ascii="Times New Roman" w:hAnsi="Times New Roman" w:eastAsia="Times New Roman" w:cs="Times New Roman"/>
                      <w:spacing w:val="26"/>
                      <w:w w:val="101"/>
                      <w:sz w:val="20"/>
                      <w:szCs w:val="20"/>
                      <w:highlight w:val="none"/>
                    </w:rPr>
                    <w:t xml:space="preserve"> </w:t>
                  </w:r>
                  <w:r>
                    <w:rPr>
                      <w:rFonts w:ascii="Times New Roman" w:hAnsi="Times New Roman" w:eastAsia="Times New Roman" w:cs="Times New Roman"/>
                      <w:spacing w:val="1"/>
                      <w:sz w:val="20"/>
                      <w:szCs w:val="20"/>
                      <w:highlight w:val="none"/>
                    </w:rPr>
                    <w:t>109°</w:t>
                  </w:r>
                  <w:r>
                    <w:rPr>
                      <w:rFonts w:ascii="Times New Roman" w:hAnsi="Times New Roman" w:eastAsia="Times New Roman" w:cs="Times New Roman"/>
                      <w:spacing w:val="-25"/>
                      <w:sz w:val="20"/>
                      <w:szCs w:val="20"/>
                      <w:highlight w:val="none"/>
                    </w:rPr>
                    <w:t xml:space="preserve"> </w:t>
                  </w:r>
                  <w:r>
                    <w:rPr>
                      <w:rFonts w:ascii="Times New Roman" w:hAnsi="Times New Roman" w:eastAsia="Times New Roman" w:cs="Times New Roman"/>
                      <w:spacing w:val="1"/>
                      <w:sz w:val="20"/>
                      <w:szCs w:val="20"/>
                      <w:highlight w:val="none"/>
                    </w:rPr>
                    <w:t>12'27.77"</w:t>
                  </w:r>
                </w:p>
              </w:tc>
              <w:tc>
                <w:tcPr>
                  <w:tcW w:w="144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3"/>
                      <w:sz w:val="20"/>
                      <w:szCs w:val="20"/>
                      <w:highlight w:val="none"/>
                    </w:rPr>
                    <w:t>N 40°00'</w:t>
                  </w:r>
                  <w:r>
                    <w:rPr>
                      <w:rFonts w:ascii="Times New Roman" w:hAnsi="Times New Roman" w:eastAsia="Times New Roman" w:cs="Times New Roman"/>
                      <w:spacing w:val="-26"/>
                      <w:sz w:val="20"/>
                      <w:szCs w:val="20"/>
                      <w:highlight w:val="none"/>
                    </w:rPr>
                    <w:t xml:space="preserve"> </w:t>
                  </w:r>
                  <w:r>
                    <w:rPr>
                      <w:rFonts w:ascii="Times New Roman" w:hAnsi="Times New Roman" w:eastAsia="Times New Roman" w:cs="Times New Roman"/>
                      <w:spacing w:val="3"/>
                      <w:sz w:val="20"/>
                      <w:szCs w:val="20"/>
                      <w:highlight w:val="none"/>
                    </w:rPr>
                    <w:t>13.10"</w:t>
                  </w:r>
                </w:p>
              </w:tc>
              <w:tc>
                <w:tcPr>
                  <w:tcW w:w="1209"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1481.81</w:t>
                  </w:r>
                </w:p>
              </w:tc>
              <w:tc>
                <w:tcPr>
                  <w:tcW w:w="732"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10.31</w:t>
                  </w:r>
                </w:p>
              </w:tc>
              <w:tc>
                <w:tcPr>
                  <w:tcW w:w="102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2"/>
                      <w:sz w:val="20"/>
                      <w:szCs w:val="20"/>
                      <w:highlight w:val="none"/>
                    </w:rPr>
                    <w:t>7.04</w:t>
                  </w:r>
                </w:p>
              </w:tc>
              <w:tc>
                <w:tcPr>
                  <w:tcW w:w="817"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Q</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71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2"/>
                      <w:sz w:val="20"/>
                      <w:szCs w:val="20"/>
                      <w:highlight w:val="none"/>
                    </w:rPr>
                    <w:t>8#</w:t>
                  </w:r>
                </w:p>
              </w:tc>
              <w:tc>
                <w:tcPr>
                  <w:tcW w:w="180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E</w:t>
                  </w:r>
                  <w:r>
                    <w:rPr>
                      <w:rFonts w:ascii="Times New Roman" w:hAnsi="Times New Roman" w:eastAsia="Times New Roman" w:cs="Times New Roman"/>
                      <w:spacing w:val="26"/>
                      <w:w w:val="101"/>
                      <w:sz w:val="20"/>
                      <w:szCs w:val="20"/>
                      <w:highlight w:val="none"/>
                    </w:rPr>
                    <w:t xml:space="preserve"> </w:t>
                  </w:r>
                  <w:r>
                    <w:rPr>
                      <w:rFonts w:ascii="Times New Roman" w:hAnsi="Times New Roman" w:eastAsia="Times New Roman" w:cs="Times New Roman"/>
                      <w:spacing w:val="1"/>
                      <w:sz w:val="20"/>
                      <w:szCs w:val="20"/>
                      <w:highlight w:val="none"/>
                    </w:rPr>
                    <w:t>109°</w:t>
                  </w:r>
                  <w:r>
                    <w:rPr>
                      <w:rFonts w:ascii="Times New Roman" w:hAnsi="Times New Roman" w:eastAsia="Times New Roman" w:cs="Times New Roman"/>
                      <w:spacing w:val="-25"/>
                      <w:sz w:val="20"/>
                      <w:szCs w:val="20"/>
                      <w:highlight w:val="none"/>
                    </w:rPr>
                    <w:t xml:space="preserve"> </w:t>
                  </w:r>
                  <w:r>
                    <w:rPr>
                      <w:rFonts w:ascii="Times New Roman" w:hAnsi="Times New Roman" w:eastAsia="Times New Roman" w:cs="Times New Roman"/>
                      <w:spacing w:val="1"/>
                      <w:sz w:val="20"/>
                      <w:szCs w:val="20"/>
                      <w:highlight w:val="none"/>
                    </w:rPr>
                    <w:t>13'26.52"</w:t>
                  </w:r>
                </w:p>
              </w:tc>
              <w:tc>
                <w:tcPr>
                  <w:tcW w:w="144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4"/>
                      <w:sz w:val="20"/>
                      <w:szCs w:val="20"/>
                      <w:highlight w:val="none"/>
                    </w:rPr>
                    <w:t>N 40°00'30.43"</w:t>
                  </w:r>
                </w:p>
              </w:tc>
              <w:tc>
                <w:tcPr>
                  <w:tcW w:w="1209"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1485.</w:t>
                  </w:r>
                  <w:r>
                    <w:rPr>
                      <w:rFonts w:ascii="Times New Roman" w:hAnsi="Times New Roman" w:eastAsia="Times New Roman" w:cs="Times New Roman"/>
                      <w:spacing w:val="-23"/>
                      <w:sz w:val="20"/>
                      <w:szCs w:val="20"/>
                      <w:highlight w:val="none"/>
                    </w:rPr>
                    <w:t xml:space="preserve"> </w:t>
                  </w:r>
                  <w:r>
                    <w:rPr>
                      <w:rFonts w:ascii="Times New Roman" w:hAnsi="Times New Roman" w:eastAsia="Times New Roman" w:cs="Times New Roman"/>
                      <w:spacing w:val="-1"/>
                      <w:sz w:val="20"/>
                      <w:szCs w:val="20"/>
                      <w:highlight w:val="none"/>
                    </w:rPr>
                    <w:t>1</w:t>
                  </w:r>
                </w:p>
              </w:tc>
              <w:tc>
                <w:tcPr>
                  <w:tcW w:w="732"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5.35</w:t>
                  </w:r>
                </w:p>
              </w:tc>
              <w:tc>
                <w:tcPr>
                  <w:tcW w:w="102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3"/>
                      <w:sz w:val="20"/>
                      <w:szCs w:val="20"/>
                      <w:highlight w:val="none"/>
                    </w:rPr>
                    <w:t>4.08</w:t>
                  </w:r>
                </w:p>
              </w:tc>
              <w:tc>
                <w:tcPr>
                  <w:tcW w:w="817"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Q</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1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9#</w:t>
                  </w:r>
                </w:p>
              </w:tc>
              <w:tc>
                <w:tcPr>
                  <w:tcW w:w="180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E</w:t>
                  </w:r>
                  <w:r>
                    <w:rPr>
                      <w:rFonts w:ascii="Times New Roman" w:hAnsi="Times New Roman" w:eastAsia="Times New Roman" w:cs="Times New Roman"/>
                      <w:spacing w:val="31"/>
                      <w:w w:val="101"/>
                      <w:sz w:val="20"/>
                      <w:szCs w:val="20"/>
                      <w:highlight w:val="none"/>
                    </w:rPr>
                    <w:t xml:space="preserve"> </w:t>
                  </w:r>
                  <w:r>
                    <w:rPr>
                      <w:rFonts w:ascii="Times New Roman" w:hAnsi="Times New Roman" w:eastAsia="Times New Roman" w:cs="Times New Roman"/>
                      <w:spacing w:val="-1"/>
                      <w:sz w:val="20"/>
                      <w:szCs w:val="20"/>
                      <w:highlight w:val="none"/>
                    </w:rPr>
                    <w:t>109°</w:t>
                  </w:r>
                  <w:r>
                    <w:rPr>
                      <w:rFonts w:ascii="Times New Roman" w:hAnsi="Times New Roman" w:eastAsia="Times New Roman" w:cs="Times New Roman"/>
                      <w:spacing w:val="-25"/>
                      <w:sz w:val="20"/>
                      <w:szCs w:val="20"/>
                      <w:highlight w:val="none"/>
                    </w:rPr>
                    <w:t xml:space="preserve"> </w:t>
                  </w:r>
                  <w:r>
                    <w:rPr>
                      <w:rFonts w:ascii="Times New Roman" w:hAnsi="Times New Roman" w:eastAsia="Times New Roman" w:cs="Times New Roman"/>
                      <w:spacing w:val="-1"/>
                      <w:sz w:val="20"/>
                      <w:szCs w:val="20"/>
                      <w:highlight w:val="none"/>
                    </w:rPr>
                    <w:t>13'</w:t>
                  </w:r>
                  <w:r>
                    <w:rPr>
                      <w:rFonts w:ascii="Times New Roman" w:hAnsi="Times New Roman" w:eastAsia="Times New Roman" w:cs="Times New Roman"/>
                      <w:spacing w:val="-27"/>
                      <w:sz w:val="20"/>
                      <w:szCs w:val="20"/>
                      <w:highlight w:val="none"/>
                    </w:rPr>
                    <w:t xml:space="preserve"> </w:t>
                  </w:r>
                  <w:r>
                    <w:rPr>
                      <w:rFonts w:ascii="Times New Roman" w:hAnsi="Times New Roman" w:eastAsia="Times New Roman" w:cs="Times New Roman"/>
                      <w:spacing w:val="-1"/>
                      <w:sz w:val="20"/>
                      <w:szCs w:val="20"/>
                      <w:highlight w:val="none"/>
                    </w:rPr>
                    <w:t>10.67"</w:t>
                  </w:r>
                </w:p>
              </w:tc>
              <w:tc>
                <w:tcPr>
                  <w:tcW w:w="144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4"/>
                      <w:sz w:val="20"/>
                      <w:szCs w:val="20"/>
                      <w:highlight w:val="none"/>
                    </w:rPr>
                    <w:t>N 39°59'44.16"</w:t>
                  </w:r>
                </w:p>
              </w:tc>
              <w:tc>
                <w:tcPr>
                  <w:tcW w:w="1209"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1503.67</w:t>
                  </w:r>
                </w:p>
              </w:tc>
              <w:tc>
                <w:tcPr>
                  <w:tcW w:w="732"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130.48</w:t>
                  </w:r>
                </w:p>
              </w:tc>
              <w:tc>
                <w:tcPr>
                  <w:tcW w:w="102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4"/>
                      <w:sz w:val="20"/>
                      <w:szCs w:val="20"/>
                      <w:highlight w:val="none"/>
                    </w:rPr>
                    <w:t>45.07</w:t>
                  </w:r>
                </w:p>
              </w:tc>
              <w:tc>
                <w:tcPr>
                  <w:tcW w:w="817"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4"/>
                      <w:sz w:val="20"/>
                      <w:szCs w:val="20"/>
                      <w:highlight w:val="none"/>
                    </w:rPr>
                    <w:t>K</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714" w:type="dxa"/>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宋体" w:cs="Times New Roman"/>
                      <w:highlight w:val="none"/>
                      <w:lang w:eastAsia="zh-CN"/>
                    </w:rPr>
                  </w:pPr>
                  <w:r>
                    <w:rPr>
                      <w:rFonts w:ascii="Times New Roman" w:hAnsi="Times New Roman" w:eastAsia="Times New Roman" w:cs="Times New Roman"/>
                      <w:spacing w:val="5"/>
                      <w:highlight w:val="none"/>
                    </w:rPr>
                    <w:t>10#</w:t>
                  </w:r>
                  <w:r>
                    <w:rPr>
                      <w:rFonts w:hint="eastAsia" w:ascii="Times New Roman" w:hAnsi="Times New Roman" w:eastAsia="宋体" w:cs="Times New Roman"/>
                      <w:spacing w:val="5"/>
                      <w:highlight w:val="none"/>
                      <w:lang w:eastAsia="zh-CN"/>
                    </w:rPr>
                    <w:t>（</w:t>
                  </w:r>
                  <w:r>
                    <w:rPr>
                      <w:spacing w:val="5"/>
                      <w:highlight w:val="none"/>
                    </w:rPr>
                    <w:t>什股壕水源地</w:t>
                  </w:r>
                  <w:r>
                    <w:rPr>
                      <w:rFonts w:hint="eastAsia" w:ascii="Times New Roman" w:hAnsi="Times New Roman" w:eastAsia="宋体" w:cs="Times New Roman"/>
                      <w:spacing w:val="5"/>
                      <w:highlight w:val="none"/>
                      <w:lang w:eastAsia="zh-CN"/>
                    </w:rPr>
                    <w:t>）</w:t>
                  </w:r>
                </w:p>
              </w:tc>
              <w:tc>
                <w:tcPr>
                  <w:tcW w:w="180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E</w:t>
                  </w:r>
                  <w:r>
                    <w:rPr>
                      <w:rFonts w:ascii="Times New Roman" w:hAnsi="Times New Roman" w:eastAsia="Times New Roman" w:cs="Times New Roman"/>
                      <w:spacing w:val="29"/>
                      <w:w w:val="101"/>
                      <w:sz w:val="20"/>
                      <w:szCs w:val="20"/>
                      <w:highlight w:val="none"/>
                    </w:rPr>
                    <w:t xml:space="preserve"> </w:t>
                  </w:r>
                  <w:r>
                    <w:rPr>
                      <w:rFonts w:ascii="Times New Roman" w:hAnsi="Times New Roman" w:eastAsia="Times New Roman" w:cs="Times New Roman"/>
                      <w:spacing w:val="-1"/>
                      <w:sz w:val="20"/>
                      <w:szCs w:val="20"/>
                      <w:highlight w:val="none"/>
                    </w:rPr>
                    <w:t>109°</w:t>
                  </w:r>
                  <w:r>
                    <w:rPr>
                      <w:rFonts w:ascii="Times New Roman" w:hAnsi="Times New Roman" w:eastAsia="Times New Roman" w:cs="Times New Roman"/>
                      <w:spacing w:val="-25"/>
                      <w:sz w:val="20"/>
                      <w:szCs w:val="20"/>
                      <w:highlight w:val="none"/>
                    </w:rPr>
                    <w:t xml:space="preserve"> </w:t>
                  </w:r>
                  <w:r>
                    <w:rPr>
                      <w:rFonts w:ascii="Times New Roman" w:hAnsi="Times New Roman" w:eastAsia="Times New Roman" w:cs="Times New Roman"/>
                      <w:spacing w:val="-1"/>
                      <w:sz w:val="20"/>
                      <w:szCs w:val="20"/>
                      <w:highlight w:val="none"/>
                    </w:rPr>
                    <w:t>17'06.</w:t>
                  </w:r>
                  <w:r>
                    <w:rPr>
                      <w:rFonts w:ascii="Times New Roman" w:hAnsi="Times New Roman" w:eastAsia="Times New Roman" w:cs="Times New Roman"/>
                      <w:spacing w:val="-25"/>
                      <w:sz w:val="20"/>
                      <w:szCs w:val="20"/>
                      <w:highlight w:val="none"/>
                    </w:rPr>
                    <w:t xml:space="preserve"> </w:t>
                  </w:r>
                  <w:r>
                    <w:rPr>
                      <w:rFonts w:ascii="Times New Roman" w:hAnsi="Times New Roman" w:eastAsia="Times New Roman" w:cs="Times New Roman"/>
                      <w:spacing w:val="-1"/>
                      <w:sz w:val="20"/>
                      <w:szCs w:val="20"/>
                      <w:highlight w:val="none"/>
                    </w:rPr>
                    <w:t>11"</w:t>
                  </w:r>
                </w:p>
              </w:tc>
              <w:tc>
                <w:tcPr>
                  <w:tcW w:w="1440"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4"/>
                      <w:sz w:val="20"/>
                      <w:szCs w:val="20"/>
                      <w:highlight w:val="none"/>
                    </w:rPr>
                    <w:t>N 39°56'50.13"</w:t>
                  </w:r>
                </w:p>
              </w:tc>
              <w:tc>
                <w:tcPr>
                  <w:tcW w:w="1209"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1431.74</w:t>
                  </w:r>
                </w:p>
              </w:tc>
              <w:tc>
                <w:tcPr>
                  <w:tcW w:w="732"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2"/>
                      <w:sz w:val="20"/>
                      <w:szCs w:val="20"/>
                      <w:highlight w:val="none"/>
                    </w:rPr>
                    <w:t>22</w:t>
                  </w:r>
                </w:p>
              </w:tc>
              <w:tc>
                <w:tcPr>
                  <w:tcW w:w="1024"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pacing w:val="2"/>
                      <w:sz w:val="20"/>
                      <w:szCs w:val="20"/>
                      <w:highlight w:val="none"/>
                    </w:rPr>
                    <w:t>9.03</w:t>
                  </w:r>
                </w:p>
              </w:tc>
              <w:tc>
                <w:tcPr>
                  <w:tcW w:w="817"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Q</w:t>
                  </w:r>
                </w:p>
              </w:tc>
            </w:tr>
          </w:tbl>
          <w:p>
            <w:pPr>
              <w:pStyle w:val="2"/>
              <w:keepNext w:val="0"/>
              <w:keepLines w:val="0"/>
              <w:pageBreakBefore w:val="0"/>
              <w:widowControl/>
              <w:numPr>
                <w:ilvl w:val="0"/>
                <w:numId w:val="0"/>
              </w:numPr>
              <w:kinsoku/>
              <w:wordWrap/>
              <w:overflowPunct/>
              <w:topLinePunct w:val="0"/>
              <w:autoSpaceDE/>
              <w:autoSpaceDN/>
              <w:bidi w:val="0"/>
              <w:adjustRightInd/>
              <w:snapToGrid w:val="0"/>
              <w:spacing w:before="0" w:after="0" w:line="240" w:lineRule="auto"/>
              <w:ind w:right="0" w:rightChars="0" w:firstLine="0" w:firstLineChars="0"/>
              <w:jc w:val="center"/>
              <w:textAlignment w:val="auto"/>
              <w:outlineLvl w:val="9"/>
              <w:rPr>
                <w:rFonts w:hint="default" w:ascii="Times New Roman" w:hAnsi="Times New Roman" w:eastAsia="宋体" w:cs="Times New Roman"/>
                <w:spacing w:val="-2"/>
                <w:sz w:val="21"/>
                <w:szCs w:val="21"/>
                <w:highlight w:val="none"/>
              </w:rPr>
            </w:pPr>
            <w:r>
              <w:rPr>
                <w:rFonts w:hint="default" w:ascii="Times New Roman" w:hAnsi="Times New Roman" w:eastAsia="宋体" w:cs="Times New Roman"/>
                <w:spacing w:val="-2"/>
                <w:sz w:val="21"/>
                <w:szCs w:val="21"/>
                <w:highlight w:val="none"/>
              </w:rPr>
              <w:t>表3</w:t>
            </w:r>
            <w:r>
              <w:rPr>
                <w:rFonts w:hint="eastAsia" w:cs="Times New Roman"/>
                <w:spacing w:val="-2"/>
                <w:sz w:val="21"/>
                <w:szCs w:val="21"/>
                <w:highlight w:val="none"/>
                <w:lang w:eastAsia="zh-CN"/>
              </w:rPr>
              <w:t>-</w:t>
            </w:r>
            <w:r>
              <w:rPr>
                <w:rFonts w:hint="eastAsia" w:cs="Times New Roman"/>
                <w:spacing w:val="-2"/>
                <w:sz w:val="21"/>
                <w:szCs w:val="21"/>
                <w:highlight w:val="none"/>
                <w:lang w:val="en-US" w:eastAsia="zh-CN"/>
              </w:rPr>
              <w:t>10</w:t>
            </w:r>
            <w:r>
              <w:rPr>
                <w:rFonts w:hint="default" w:ascii="Times New Roman" w:hAnsi="Times New Roman" w:eastAsia="宋体" w:cs="Times New Roman"/>
                <w:spacing w:val="-2"/>
                <w:sz w:val="21"/>
                <w:szCs w:val="21"/>
                <w:highlight w:val="none"/>
              </w:rPr>
              <w:t>地下水水质监测结果汇总表</w:t>
            </w:r>
          </w:p>
          <w:tbl>
            <w:tblPr>
              <w:tblStyle w:val="41"/>
              <w:tblW w:w="80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229"/>
              <w:gridCol w:w="947"/>
              <w:gridCol w:w="190"/>
              <w:gridCol w:w="602"/>
              <w:gridCol w:w="602"/>
              <w:gridCol w:w="602"/>
              <w:gridCol w:w="602"/>
              <w:gridCol w:w="602"/>
              <w:gridCol w:w="602"/>
              <w:gridCol w:w="602"/>
              <w:gridCol w:w="603"/>
              <w:gridCol w:w="603"/>
              <w:gridCol w:w="603"/>
              <w:gridCol w:w="51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2" w:hRule="atLeast"/>
                <w:jc w:val="center"/>
              </w:trPr>
              <w:tc>
                <w:tcPr>
                  <w:tcW w:w="695" w:type="dxa"/>
                  <w:vMerge w:val="restart"/>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检测项目</w:t>
                  </w:r>
                </w:p>
              </w:tc>
              <w:tc>
                <w:tcPr>
                  <w:tcW w:w="540" w:type="dxa"/>
                  <w:vMerge w:val="restart"/>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单位</w:t>
                  </w:r>
                </w:p>
              </w:tc>
              <w:tc>
                <w:tcPr>
                  <w:tcW w:w="907" w:type="dxa"/>
                  <w:vMerge w:val="restart"/>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类别</w:t>
                  </w:r>
                </w:p>
              </w:tc>
              <w:tc>
                <w:tcPr>
                  <w:tcW w:w="5916" w:type="dxa"/>
                  <w:gridSpan w:val="11"/>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pacing w:val="0"/>
                      <w:position w:val="0"/>
                      <w:sz w:val="21"/>
                      <w:szCs w:val="21"/>
                      <w:highlight w:val="none"/>
                    </w:rPr>
                  </w:pPr>
                  <w:r>
                    <w:rPr>
                      <w:spacing w:val="0"/>
                      <w:position w:val="0"/>
                      <w:sz w:val="21"/>
                      <w:szCs w:val="21"/>
                      <w:highlight w:val="none"/>
                    </w:rPr>
                    <w:t>监测及评价结果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vMerge w:val="continue"/>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pacing w:val="0"/>
                      <w:position w:val="0"/>
                      <w:sz w:val="21"/>
                      <w:szCs w:val="21"/>
                      <w:highlight w:val="none"/>
                    </w:rPr>
                  </w:pPr>
                </w:p>
              </w:tc>
              <w:tc>
                <w:tcPr>
                  <w:tcW w:w="540" w:type="dxa"/>
                  <w:vMerge w:val="continue"/>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pacing w:val="0"/>
                      <w:position w:val="0"/>
                      <w:sz w:val="21"/>
                      <w:szCs w:val="21"/>
                      <w:highlight w:val="none"/>
                    </w:rPr>
                  </w:pPr>
                </w:p>
              </w:tc>
              <w:tc>
                <w:tcPr>
                  <w:tcW w:w="907" w:type="dxa"/>
                  <w:vMerge w:val="continue"/>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pacing w:val="0"/>
                      <w:position w:val="0"/>
                      <w:sz w:val="21"/>
                      <w:szCs w:val="21"/>
                      <w:highlight w:val="none"/>
                    </w:rPr>
                  </w:pP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2#</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3#</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4#</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5#</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6#</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7#</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8#</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9#</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10#</w:t>
                  </w:r>
                </w:p>
              </w:tc>
              <w:tc>
                <w:tcPr>
                  <w:tcW w:w="518"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9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pH</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7.9</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8</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7.5</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8.1</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8.1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7.9</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7.8</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8</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7.9</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8.3</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6.5</w:t>
                  </w:r>
                  <w:r>
                    <w:rPr>
                      <w:rFonts w:hint="eastAsia" w:cs="Times New Roman"/>
                      <w:spacing w:val="0"/>
                      <w:position w:val="0"/>
                      <w:sz w:val="21"/>
                      <w:szCs w:val="21"/>
                      <w:highlight w:val="none"/>
                      <w:lang w:eastAsia="zh-CN"/>
                    </w:rPr>
                    <w:t>-</w:t>
                  </w:r>
                  <w:r>
                    <w:rPr>
                      <w:rFonts w:ascii="Times New Roman" w:hAnsi="Times New Roman" w:eastAsia="Times New Roman" w:cs="Times New Roman"/>
                      <w:spacing w:val="0"/>
                      <w:position w:val="0"/>
                      <w:sz w:val="21"/>
                      <w:szCs w:val="21"/>
                      <w:highlight w:val="none"/>
                    </w:rPr>
                    <w:t>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总硬度</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398</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345</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304</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194</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361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b/>
                      <w:bCs/>
                      <w:color w:val="000000" w:themeColor="text1"/>
                      <w:spacing w:val="0"/>
                      <w:position w:val="0"/>
                      <w:sz w:val="21"/>
                      <w:szCs w:val="21"/>
                      <w:highlight w:val="none"/>
                      <w14:textFill>
                        <w14:solidFill>
                          <w14:schemeClr w14:val="tx1"/>
                        </w14:solidFill>
                      </w14:textFill>
                    </w:rPr>
                    <w:t>615</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246</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b/>
                      <w:bCs/>
                      <w:spacing w:val="0"/>
                      <w:position w:val="0"/>
                      <w:sz w:val="21"/>
                      <w:szCs w:val="21"/>
                      <w:highlight w:val="none"/>
                    </w:rPr>
                    <w:t>478</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10.4</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b/>
                      <w:bCs/>
                      <w:color w:val="000000" w:themeColor="text1"/>
                      <w:spacing w:val="0"/>
                      <w:position w:val="0"/>
                      <w:sz w:val="21"/>
                      <w:szCs w:val="21"/>
                      <w:highlight w:val="none"/>
                      <w14:textFill>
                        <w14:solidFill>
                          <w14:schemeClr w14:val="tx1"/>
                        </w14:solidFill>
                      </w14:textFill>
                    </w:rPr>
                    <w:t>631</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450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溶解性总固体</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558</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612</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538</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793</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618</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811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322</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612</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465</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874</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硫酸盐</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86</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54</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104</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228</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56.8</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115</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41.4</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97.8</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43.2</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114</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250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氯化物</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44.5</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29</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50.1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152</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31.4</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135</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15.2</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75.8</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39</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95.8</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250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8"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铁</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0.03L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0.03L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0.03L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0.03L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0.03L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0.03L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0.03L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0.03L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0.03L</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0.03L</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锰</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0.01L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0.01L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0.01L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0.01L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0.01L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0.01L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0.01L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0.01L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0.01L</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0.01L</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挥发酚</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0.0003L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0.0003L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0.0003L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0.0003L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0.0003L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0.0003L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0.0003L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0.0003L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0.0003L</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0.0003L</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耗氧量</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1.6</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1.2</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1.2</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1.3</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1.5</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1.7</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1.4</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1.5</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1.4</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氨氮</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0.042</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0.089</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0.042</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0.168</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0.033</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0.071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0.044</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0.059</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0.025</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0.043</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亚硝酸盐</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spacing w:val="0"/>
                      <w:position w:val="0"/>
                      <w:sz w:val="21"/>
                      <w:szCs w:val="21"/>
                      <w:highlight w:val="none"/>
                    </w:rPr>
                  </w:pPr>
                  <w:r>
                    <w:rPr>
                      <w:spacing w:val="0"/>
                      <w:position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0.101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0.003L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0.004</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0.031</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0.005</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0.004</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0.003L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0.012</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0.003L</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0.008</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Times New Roman" w:cs="Times New Roman"/>
                      <w:spacing w:val="0"/>
                      <w:position w:val="0"/>
                      <w:sz w:val="21"/>
                      <w:szCs w:val="21"/>
                      <w:highlight w:val="none"/>
                    </w:rPr>
                  </w:pPr>
                  <w:r>
                    <w:rPr>
                      <w:rFonts w:ascii="Times New Roman" w:hAnsi="Times New Roman" w:eastAsia="Times New Roman" w:cs="Times New Roman"/>
                      <w:spacing w:val="0"/>
                      <w:position w:val="0"/>
                      <w:sz w:val="21"/>
                      <w:szCs w:val="21"/>
                      <w:highlight w:val="none"/>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硝酸盐</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b/>
                      <w:bCs/>
                      <w:spacing w:val="0"/>
                      <w:sz w:val="21"/>
                      <w:szCs w:val="21"/>
                      <w:highlight w:val="none"/>
                    </w:rPr>
                    <w:t>24.6</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9.01</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6.62</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7. 12</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7.28</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b/>
                      <w:bCs/>
                      <w:spacing w:val="0"/>
                      <w:sz w:val="21"/>
                      <w:szCs w:val="21"/>
                      <w:highlight w:val="none"/>
                    </w:rPr>
                    <w:t>52.6</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7.21</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8.94</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0.73</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b/>
                      <w:bCs/>
                      <w:spacing w:val="0"/>
                      <w:sz w:val="21"/>
                      <w:szCs w:val="21"/>
                      <w:highlight w:val="none"/>
                    </w:rPr>
                    <w:t>40.2</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氰化物</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0.002L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0.002L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0.002L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0.002L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0.002L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0.002L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0.002L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0.002L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0.002L</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0.002L</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氟化物</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0.602</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0.636</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0.701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0.502</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0.727</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0.461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0.337</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0.527</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0.978</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0.527</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汞</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μg/L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0.04L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0.04L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0.04L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0.04L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0.04L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0.04L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0.04L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0.04L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0.04L</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0.04L</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砷</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μg/L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0.4</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0.3L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0.3L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2. 1</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0.3</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0.9</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0.9</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1. 1</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0.3L</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镉</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μg/L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0.554</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0.298</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0.636</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0.991</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0.405</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1.73</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0.075</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0.908</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0.578</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1.08</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六价铬</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mg/L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0.004L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0.004L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0.004L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0.004L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0.004L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0.004L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0.004L</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0.004L</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0.004L</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0.004L</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铅</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μg/L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2.94</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1.32</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3.71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4.74</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1.91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8. 15</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0.38</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5.68</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3.2</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6.32</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菌落总数</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CFU/mL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59</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72</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61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85</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77</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91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65</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57</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72</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68</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总大肠菌群</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MPN/100mL</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监测结果</w:t>
                  </w:r>
                </w:p>
              </w:tc>
              <w:tc>
                <w:tcPr>
                  <w:tcW w:w="538"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未检出</w:t>
                  </w:r>
                </w:p>
              </w:tc>
              <w:tc>
                <w:tcPr>
                  <w:tcW w:w="538"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未检出</w:t>
                  </w:r>
                </w:p>
              </w:tc>
              <w:tc>
                <w:tcPr>
                  <w:tcW w:w="539"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未检出</w:t>
                  </w:r>
                </w:p>
              </w:tc>
              <w:tc>
                <w:tcPr>
                  <w:tcW w:w="538"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未检出</w:t>
                  </w:r>
                </w:p>
              </w:tc>
              <w:tc>
                <w:tcPr>
                  <w:tcW w:w="539"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未检出</w:t>
                  </w:r>
                </w:p>
              </w:tc>
              <w:tc>
                <w:tcPr>
                  <w:tcW w:w="538"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未检出</w:t>
                  </w:r>
                </w:p>
              </w:tc>
              <w:tc>
                <w:tcPr>
                  <w:tcW w:w="538"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未检出</w:t>
                  </w:r>
                </w:p>
              </w:tc>
              <w:tc>
                <w:tcPr>
                  <w:tcW w:w="539"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未检出</w:t>
                  </w:r>
                </w:p>
              </w:tc>
              <w:tc>
                <w:tcPr>
                  <w:tcW w:w="538"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未检出</w:t>
                  </w:r>
                </w:p>
              </w:tc>
              <w:tc>
                <w:tcPr>
                  <w:tcW w:w="553"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未检出</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695"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水温</w:t>
                  </w:r>
                </w:p>
              </w:tc>
              <w:tc>
                <w:tcPr>
                  <w:tcW w:w="540"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w:t>
                  </w:r>
                </w:p>
              </w:tc>
              <w:tc>
                <w:tcPr>
                  <w:tcW w:w="907" w:type="dxa"/>
                  <w:tcBorders>
                    <w:tl2br w:val="nil"/>
                    <w:tr2bl w:val="nil"/>
                  </w:tcBorders>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监测结果</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8. 1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7.6</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7.9</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8.3</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7.7</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8. 1</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8.3</w:t>
                  </w:r>
                </w:p>
              </w:tc>
              <w:tc>
                <w:tcPr>
                  <w:tcW w:w="539"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8.4</w:t>
                  </w:r>
                </w:p>
              </w:tc>
              <w:tc>
                <w:tcPr>
                  <w:tcW w:w="53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8.5</w:t>
                  </w:r>
                </w:p>
              </w:tc>
              <w:tc>
                <w:tcPr>
                  <w:tcW w:w="5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7.3</w:t>
                  </w:r>
                </w:p>
              </w:tc>
              <w:tc>
                <w:tcPr>
                  <w:tcW w:w="518"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0"/>
                      <w:position w:val="0"/>
                      <w:sz w:val="21"/>
                      <w:szCs w:val="21"/>
                      <w:highlight w:val="none"/>
                    </w:rPr>
                  </w:pPr>
                  <w:r>
                    <w:rPr>
                      <w:rFonts w:hint="default" w:ascii="Times New Roman" w:hAnsi="Times New Roman" w:eastAsia="宋体" w:cs="Times New Roman"/>
                      <w:spacing w:val="0"/>
                      <w:sz w:val="21"/>
                      <w:szCs w:val="21"/>
                      <w:highlight w:val="none"/>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8058" w:type="dxa"/>
                  <w:gridSpan w:val="14"/>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default" w:ascii="Times New Roman" w:hAnsi="Times New Roman" w:eastAsia="宋体" w:cs="Times New Roman"/>
                      <w:spacing w:val="0"/>
                      <w:sz w:val="21"/>
                      <w:szCs w:val="21"/>
                      <w:highlight w:val="none"/>
                    </w:rPr>
                  </w:pPr>
                  <w:r>
                    <w:rPr>
                      <w:spacing w:val="7"/>
                      <w:sz w:val="20"/>
                      <w:szCs w:val="20"/>
                      <w:highlight w:val="none"/>
                    </w:rPr>
                    <w:t>注：</w:t>
                  </w:r>
                  <w:r>
                    <w:rPr>
                      <w:rFonts w:hint="eastAsia"/>
                      <w:spacing w:val="7"/>
                      <w:sz w:val="20"/>
                      <w:szCs w:val="20"/>
                      <w:highlight w:val="none"/>
                      <w:lang w:val="en-US" w:eastAsia="zh-CN"/>
                    </w:rPr>
                    <w:t>L</w:t>
                  </w:r>
                  <w:r>
                    <w:rPr>
                      <w:spacing w:val="7"/>
                      <w:sz w:val="20"/>
                      <w:szCs w:val="20"/>
                      <w:highlight w:val="none"/>
                    </w:rPr>
                    <w:t>指未检出</w:t>
                  </w:r>
                </w:p>
              </w:tc>
            </w:tr>
          </w:tbl>
          <w:p>
            <w:pPr>
              <w:pStyle w:val="2"/>
              <w:keepNext w:val="0"/>
              <w:keepLines w:val="0"/>
              <w:pageBreakBefore w:val="0"/>
              <w:kinsoku/>
              <w:wordWrap/>
              <w:overflowPunct/>
              <w:topLinePunct w:val="0"/>
              <w:autoSpaceDE/>
              <w:autoSpaceDN/>
              <w:bidi w:val="0"/>
              <w:adjustRightInd/>
              <w:spacing w:before="0" w:after="0" w:line="360" w:lineRule="auto"/>
              <w:ind w:left="0" w:right="0" w:firstLine="480" w:firstLineChars="200"/>
              <w:jc w:val="both"/>
              <w:textAlignment w:val="auto"/>
              <w:rPr>
                <w:rFonts w:hint="default" w:ascii="Times New Roman" w:hAnsi="Times New Roman" w:eastAsia="宋体" w:cs="Times New Roman"/>
                <w:spacing w:val="0"/>
                <w:position w:val="0"/>
                <w:sz w:val="24"/>
                <w:szCs w:val="24"/>
                <w:highlight w:val="none"/>
              </w:rPr>
            </w:pPr>
            <w:r>
              <w:rPr>
                <w:rFonts w:hint="default" w:ascii="Times New Roman" w:hAnsi="Times New Roman" w:eastAsia="宋体" w:cs="Times New Roman"/>
                <w:spacing w:val="0"/>
                <w:position w:val="0"/>
                <w:sz w:val="24"/>
                <w:szCs w:val="24"/>
                <w:highlight w:val="none"/>
              </w:rPr>
              <w:t>根据监测结果，10个监测点各项地下水水质指标中，仅总硬度及硝酸盐出现超标。其中：总硬度：3个点位</w:t>
            </w:r>
            <w:r>
              <w:rPr>
                <w:rFonts w:hint="eastAsia" w:cs="Times New Roman"/>
                <w:spacing w:val="0"/>
                <w:position w:val="0"/>
                <w:sz w:val="24"/>
                <w:szCs w:val="24"/>
                <w:highlight w:val="none"/>
                <w:lang w:eastAsia="zh-CN"/>
              </w:rPr>
              <w:t>（</w:t>
            </w:r>
            <w:r>
              <w:rPr>
                <w:rFonts w:hint="default" w:ascii="Times New Roman" w:hAnsi="Times New Roman" w:eastAsia="宋体" w:cs="Times New Roman"/>
                <w:spacing w:val="0"/>
                <w:position w:val="0"/>
                <w:sz w:val="24"/>
                <w:szCs w:val="24"/>
                <w:highlight w:val="none"/>
              </w:rPr>
              <w:t>6#、8#、10#）轻微超标，超标倍数0.06~0.4。井田气候特征属于干旱～半干旱的温带高原大陆性气候，太阳辐射强烈，日照较丰富，干燥少雨，总硬度个别点位超标与气候及地质背景有关。</w:t>
            </w:r>
          </w:p>
          <w:p>
            <w:pPr>
              <w:pStyle w:val="2"/>
              <w:keepNext w:val="0"/>
              <w:keepLines w:val="0"/>
              <w:pageBreakBefore w:val="0"/>
              <w:kinsoku/>
              <w:wordWrap/>
              <w:overflowPunct/>
              <w:topLinePunct w:val="0"/>
              <w:autoSpaceDE/>
              <w:autoSpaceDN/>
              <w:bidi w:val="0"/>
              <w:adjustRightInd/>
              <w:spacing w:before="0" w:after="0" w:line="360" w:lineRule="auto"/>
              <w:ind w:left="0" w:right="0" w:firstLine="480" w:firstLineChars="200"/>
              <w:jc w:val="both"/>
              <w:textAlignment w:val="auto"/>
              <w:rPr>
                <w:rFonts w:hint="eastAsia" w:ascii="Times New Roman" w:hAnsi="Times New Roman" w:eastAsia="宋体" w:cs="Times New Roman"/>
                <w:spacing w:val="-2"/>
                <w:sz w:val="24"/>
                <w:szCs w:val="24"/>
                <w:highlight w:val="none"/>
                <w:lang w:val="en-US" w:eastAsia="zh-CN"/>
              </w:rPr>
            </w:pPr>
            <w:r>
              <w:rPr>
                <w:rFonts w:hint="default" w:ascii="Times New Roman" w:hAnsi="Times New Roman" w:eastAsia="宋体" w:cs="Times New Roman"/>
                <w:spacing w:val="0"/>
                <w:position w:val="0"/>
                <w:sz w:val="24"/>
                <w:szCs w:val="24"/>
                <w:highlight w:val="none"/>
              </w:rPr>
              <w:t>硝酸盐：3个点位</w:t>
            </w:r>
            <w:r>
              <w:rPr>
                <w:rFonts w:hint="eastAsia" w:cs="Times New Roman"/>
                <w:spacing w:val="0"/>
                <w:position w:val="0"/>
                <w:sz w:val="24"/>
                <w:szCs w:val="24"/>
                <w:highlight w:val="none"/>
                <w:lang w:eastAsia="zh-CN"/>
              </w:rPr>
              <w:t>（</w:t>
            </w:r>
            <w:r>
              <w:rPr>
                <w:rFonts w:hint="default" w:ascii="Times New Roman" w:hAnsi="Times New Roman" w:eastAsia="宋体" w:cs="Times New Roman"/>
                <w:spacing w:val="0"/>
                <w:position w:val="0"/>
                <w:sz w:val="24"/>
                <w:szCs w:val="24"/>
                <w:highlight w:val="none"/>
              </w:rPr>
              <w:t>1#、6#、10#）硝酸盐超标，超标倍数0.23~1.63，可能是井口管理不善，卫生条件差导致。其余各项水质指标均符合《地下水质量标准》</w:t>
            </w:r>
            <w:r>
              <w:rPr>
                <w:rFonts w:hint="eastAsia" w:cs="Times New Roman"/>
                <w:spacing w:val="0"/>
                <w:position w:val="0"/>
                <w:sz w:val="24"/>
                <w:szCs w:val="24"/>
                <w:highlight w:val="none"/>
                <w:lang w:eastAsia="zh-CN"/>
              </w:rPr>
              <w:t>（</w:t>
            </w:r>
            <w:r>
              <w:rPr>
                <w:rFonts w:hint="default" w:ascii="Times New Roman" w:hAnsi="Times New Roman" w:eastAsia="宋体" w:cs="Times New Roman"/>
                <w:spacing w:val="0"/>
                <w:position w:val="0"/>
                <w:sz w:val="24"/>
                <w:szCs w:val="24"/>
                <w:highlight w:val="none"/>
              </w:rPr>
              <w:t>GB/T</w:t>
            </w:r>
            <w:r>
              <w:rPr>
                <w:rFonts w:hint="default" w:ascii="Times New Roman" w:hAnsi="Times New Roman" w:eastAsia="宋体" w:cs="Times New Roman"/>
                <w:spacing w:val="0"/>
                <w:w w:val="101"/>
                <w:position w:val="0"/>
                <w:sz w:val="24"/>
                <w:szCs w:val="24"/>
                <w:highlight w:val="none"/>
              </w:rPr>
              <w:t xml:space="preserve"> </w:t>
            </w:r>
            <w:r>
              <w:rPr>
                <w:rFonts w:hint="default" w:ascii="Times New Roman" w:hAnsi="Times New Roman" w:eastAsia="宋体" w:cs="Times New Roman"/>
                <w:spacing w:val="0"/>
                <w:position w:val="0"/>
                <w:sz w:val="24"/>
                <w:szCs w:val="24"/>
                <w:highlight w:val="none"/>
              </w:rPr>
              <w:t>14848</w:t>
            </w:r>
            <w:r>
              <w:rPr>
                <w:rFonts w:hint="eastAsia" w:cs="Times New Roman"/>
                <w:spacing w:val="0"/>
                <w:position w:val="0"/>
                <w:sz w:val="24"/>
                <w:szCs w:val="24"/>
                <w:highlight w:val="none"/>
                <w:lang w:eastAsia="zh-CN"/>
              </w:rPr>
              <w:t>-</w:t>
            </w:r>
            <w:r>
              <w:rPr>
                <w:rFonts w:hint="default" w:ascii="Times New Roman" w:hAnsi="Times New Roman" w:eastAsia="宋体" w:cs="Times New Roman"/>
                <w:spacing w:val="0"/>
                <w:position w:val="0"/>
                <w:sz w:val="24"/>
                <w:szCs w:val="24"/>
                <w:highlight w:val="none"/>
              </w:rPr>
              <w:t>2017）Ⅲ类标准。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3" w:type="pct"/>
            <w:noWrap w:val="0"/>
            <w:vAlign w:val="center"/>
          </w:tcPr>
          <w:p>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与项目有关的原有环境污染和生态破坏问题</w:t>
            </w:r>
          </w:p>
        </w:tc>
        <w:tc>
          <w:tcPr>
            <w:tcW w:w="450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本项目为新建项目，不存在与项目有关的原有环境污染和生态破坏问题。</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原</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煤矿</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初步设计在距离工业场地东侧3.5km处设有刘家渠风井场地，该场地未开工建设，因受铀矿压覆、阻隔影响，先期开采区域发生变化，不再布置刘家渠风井场地。</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塔然高勒煤矿</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工业场地已布置有3条立井井筒，即主立井、副立井、中央回风立井；北部风井场地新增北部进、回风立井2条井筒；共5条立井井筒。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4" w:hRule="atLeast"/>
          <w:jc w:val="center"/>
        </w:trPr>
        <w:tc>
          <w:tcPr>
            <w:tcW w:w="493" w:type="pct"/>
            <w:noWrap w:val="0"/>
            <w:vAlign w:val="center"/>
          </w:tcPr>
          <w:p>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生态环境保护目标</w:t>
            </w:r>
          </w:p>
        </w:tc>
        <w:tc>
          <w:tcPr>
            <w:tcW w:w="4506" w:type="pct"/>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本项目</w:t>
            </w:r>
            <w:r>
              <w:rPr>
                <w:rFonts w:hint="eastAsia"/>
                <w:color w:val="000000" w:themeColor="text1"/>
                <w:sz w:val="24"/>
                <w:highlight w:val="none"/>
                <w:lang w:val="en-US" w:eastAsia="zh-CN"/>
                <w14:textFill>
                  <w14:solidFill>
                    <w14:schemeClr w14:val="tx1"/>
                  </w14:solidFill>
                </w14:textFill>
              </w:rPr>
              <w:t>建设内容包括风井场地、场外道路及其他配套工程</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，位于</w:t>
            </w:r>
            <w:r>
              <w:rPr>
                <w:rFonts w:ascii="宋体" w:hAnsi="宋体" w:cs="宋体"/>
                <w:sz w:val="24"/>
                <w:szCs w:val="24"/>
                <w:highlight w:val="none"/>
                <w:lang w:val="en-US" w:eastAsia="zh-CN"/>
              </w:rPr>
              <w:t>内蒙古自治区鄂尔多斯市杭锦旗独贵塔拉镇乌定补拉格村</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w:t>
            </w:r>
            <w:r>
              <w:rPr>
                <w:rFonts w:hint="eastAsia" w:cs="Times New Roman"/>
                <w:color w:val="000000" w:themeColor="text1"/>
                <w:spacing w:val="0"/>
                <w:w w:val="100"/>
                <w:position w:val="0"/>
                <w:sz w:val="24"/>
                <w:szCs w:val="24"/>
                <w:highlight w:val="none"/>
                <w:lang w:eastAsia="zh-CN"/>
                <w14:textFill>
                  <w14:solidFill>
                    <w14:schemeClr w14:val="tx1"/>
                  </w14:solidFill>
                </w14:textFill>
              </w:rPr>
              <w:t>本项目用地</w:t>
            </w:r>
            <w:r>
              <w:rPr>
                <w:rFonts w:hint="eastAsia"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范围内</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没有国家和地方保护的文物古迹</w:t>
            </w:r>
            <w:r>
              <w:rPr>
                <w:rFonts w:hint="eastAsia" w:cs="Times New Roman"/>
                <w:color w:val="000000" w:themeColor="text1"/>
                <w:spacing w:val="0"/>
                <w:w w:val="100"/>
                <w:positio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无重点保护文物</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无饮用水水源保护区</w:t>
            </w:r>
            <w:r>
              <w:rPr>
                <w:rFonts w:hint="eastAsia"/>
                <w:color w:val="000000" w:themeColor="text1"/>
                <w:sz w:val="24"/>
                <w:szCs w:val="24"/>
                <w:highlight w:val="none"/>
                <w:lang w:val="en-US" w:eastAsia="zh-CN"/>
                <w14:textFill>
                  <w14:solidFill>
                    <w14:schemeClr w14:val="tx1"/>
                  </w14:solidFill>
                </w14:textFill>
              </w:rPr>
              <w:t>、风景名胜区</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不涉及国家公园、自然保护区、自然公园等自然保护地、世界自然遗产、生态保护红线等区域；</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本项目范围内以及周边</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第四系与白垩系含水层地下水分布广泛，是区内城镇及农村人、畜供水及农牧业供水的主要供水水源。基于第四系、白垩系地下水的供水意义，确定第四系与白垩系含水层</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以及居民分散水井</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为本项目</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地下水环境</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保护目标。</w:t>
            </w:r>
            <w:r>
              <w:rPr>
                <w:rFonts w:hint="eastAsia"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主要环境保护目标见表</w:t>
            </w:r>
            <w:r>
              <w:rPr>
                <w:rFonts w:hint="eastAsia"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t>3</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-11</w:t>
            </w:r>
            <w:r>
              <w:rPr>
                <w:rFonts w:hint="eastAsia"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b/>
                <w:bCs/>
                <w:color w:val="000000" w:themeColor="text1"/>
                <w:spacing w:val="0"/>
                <w:w w:val="100"/>
                <w:position w:val="0"/>
                <w:sz w:val="24"/>
                <w:szCs w:val="24"/>
                <w:highlight w:val="none"/>
                <w:lang w:eastAsia="zh-CN"/>
                <w14:textFill>
                  <w14:solidFill>
                    <w14:schemeClr w14:val="tx1"/>
                  </w14:solidFill>
                </w14:textFill>
              </w:rPr>
            </w:pPr>
            <w:r>
              <w:rPr>
                <w:rFonts w:hint="eastAsia" w:ascii="Times New Roman" w:hAnsi="Times New Roman" w:eastAsia="宋体" w:cs="Times New Roman"/>
                <w:b w:val="0"/>
                <w:bCs w:val="0"/>
                <w:color w:val="000000" w:themeColor="text1"/>
                <w:spacing w:val="0"/>
                <w:w w:val="100"/>
                <w:position w:val="0"/>
                <w:sz w:val="21"/>
                <w:szCs w:val="21"/>
                <w:highlight w:val="none"/>
                <w:lang w:eastAsia="zh-CN"/>
                <w14:textFill>
                  <w14:solidFill>
                    <w14:schemeClr w14:val="tx1"/>
                  </w14:solidFill>
                </w14:textFill>
              </w:rPr>
              <w:t>表</w:t>
            </w: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3</w:t>
            </w:r>
            <w:r>
              <w:rPr>
                <w:rFonts w:hint="eastAsia" w:cs="Times New Roman"/>
                <w:b w:val="0"/>
                <w:bCs w:val="0"/>
                <w:color w:val="000000" w:themeColor="text1"/>
                <w:spacing w:val="0"/>
                <w:w w:val="100"/>
                <w:position w:val="0"/>
                <w:sz w:val="21"/>
                <w:szCs w:val="21"/>
                <w:highlight w:val="none"/>
                <w:lang w:val="en-US" w:eastAsia="zh-CN"/>
                <w14:textFill>
                  <w14:solidFill>
                    <w14:schemeClr w14:val="tx1"/>
                  </w14:solidFill>
                </w14:textFill>
              </w:rPr>
              <w:t>-11</w:t>
            </w:r>
            <w:r>
              <w:rPr>
                <w:rFonts w:hint="eastAsia" w:ascii="Times New Roman" w:hAnsi="Times New Roman" w:eastAsia="宋体" w:cs="Times New Roman"/>
                <w:b w:val="0"/>
                <w:bCs w:val="0"/>
                <w:color w:val="000000" w:themeColor="text1"/>
                <w:spacing w:val="0"/>
                <w:w w:val="100"/>
                <w:position w:val="0"/>
                <w:sz w:val="21"/>
                <w:szCs w:val="21"/>
                <w:highlight w:val="none"/>
                <w:lang w:val="en-US" w:eastAsia="zh-CN"/>
                <w14:textFill>
                  <w14:solidFill>
                    <w14:schemeClr w14:val="tx1"/>
                  </w14:solidFill>
                </w14:textFill>
              </w:rPr>
              <w:t>本项目</w:t>
            </w:r>
            <w:r>
              <w:rPr>
                <w:rFonts w:hint="eastAsia" w:ascii="Times New Roman" w:hAnsi="Times New Roman" w:eastAsia="宋体" w:cs="Times New Roman"/>
                <w:b w:val="0"/>
                <w:bCs w:val="0"/>
                <w:color w:val="000000" w:themeColor="text1"/>
                <w:spacing w:val="0"/>
                <w:w w:val="100"/>
                <w:position w:val="0"/>
                <w:sz w:val="21"/>
                <w:szCs w:val="21"/>
                <w:highlight w:val="none"/>
                <w:lang w:eastAsia="zh-CN"/>
                <w14:textFill>
                  <w14:solidFill>
                    <w14:schemeClr w14:val="tx1"/>
                  </w14:solidFill>
                </w14:textFill>
              </w:rPr>
              <w:t>主要环境保护目标一览表</w:t>
            </w:r>
          </w:p>
          <w:tbl>
            <w:tblPr>
              <w:tblStyle w:val="24"/>
              <w:tblW w:w="8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232"/>
              <w:gridCol w:w="473"/>
              <w:gridCol w:w="1956"/>
              <w:gridCol w:w="881"/>
              <w:gridCol w:w="624"/>
              <w:gridCol w:w="810"/>
              <w:gridCol w:w="1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409"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敏感因素</w:t>
                  </w:r>
                </w:p>
              </w:tc>
              <w:tc>
                <w:tcPr>
                  <w:tcW w:w="1280"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工程类型</w:t>
                  </w:r>
                </w:p>
              </w:tc>
              <w:tc>
                <w:tcPr>
                  <w:tcW w:w="47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保护目标</w:t>
                  </w:r>
                </w:p>
              </w:tc>
              <w:tc>
                <w:tcPr>
                  <w:tcW w:w="1813"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坐标</w:t>
                  </w:r>
                </w:p>
              </w:tc>
              <w:tc>
                <w:tcPr>
                  <w:tcW w:w="907"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位置关系</w:t>
                  </w:r>
                </w:p>
              </w:tc>
              <w:tc>
                <w:tcPr>
                  <w:tcW w:w="62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距离</w:t>
                  </w:r>
                </w:p>
              </w:tc>
              <w:tc>
                <w:tcPr>
                  <w:tcW w:w="832"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规模</w:t>
                  </w:r>
                </w:p>
              </w:tc>
              <w:tc>
                <w:tcPr>
                  <w:tcW w:w="174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区域功能及执行标准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09" w:type="dxa"/>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大气环境</w:t>
                  </w:r>
                </w:p>
              </w:tc>
              <w:tc>
                <w:tcPr>
                  <w:tcW w:w="1280"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风井场地</w:t>
                  </w:r>
                </w:p>
              </w:tc>
              <w:tc>
                <w:tcPr>
                  <w:tcW w:w="4654" w:type="dxa"/>
                  <w:gridSpan w:val="5"/>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厂界外500米范围内无自然保护区、风景名胜区、居住区、文化区和农村地区中人群较集中的区域</w:t>
                  </w:r>
                </w:p>
              </w:tc>
              <w:tc>
                <w:tcPr>
                  <w:tcW w:w="1746" w:type="dxa"/>
                  <w:vMerge w:val="restart"/>
                  <w:noWrap w:val="0"/>
                  <w:vAlign w:val="center"/>
                </w:tcPr>
                <w:p>
                  <w:pPr>
                    <w:pStyle w:val="2"/>
                    <w:keepNext w:val="0"/>
                    <w:keepLines w:val="0"/>
                    <w:pageBreakBefore w:val="0"/>
                    <w:widowControl w:val="0"/>
                    <w:kinsoku/>
                    <w:wordWrap w:val="0"/>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《环境空气质量标准》</w:t>
                  </w: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w:t>
                  </w: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GB3095</w:t>
                  </w: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w:t>
                  </w: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2012</w:t>
                  </w: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09"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c>
                <w:tcPr>
                  <w:tcW w:w="1280" w:type="dxa"/>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本项目场外道路</w:t>
                  </w:r>
                </w:p>
              </w:tc>
              <w:tc>
                <w:tcPr>
                  <w:tcW w:w="47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住户</w:t>
                  </w:r>
                </w:p>
              </w:tc>
              <w:tc>
                <w:tcPr>
                  <w:tcW w:w="1813"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pacing w:val="0"/>
                      <w:w w:val="100"/>
                      <w:position w:val="0"/>
                      <w:sz w:val="21"/>
                      <w:szCs w:val="21"/>
                      <w:highlight w:val="none"/>
                      <w:vertAlign w:val="baseline"/>
                      <w:lang w:val="en-US" w:eastAsia="zh-CN"/>
                      <w14:textFill>
                        <w14:solidFill>
                          <w14:schemeClr w14:val="tx1"/>
                        </w14:solidFill>
                      </w14:textFill>
                    </w:rPr>
                    <w:t>109°10′52.17468″</w:t>
                  </w: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pacing w:val="0"/>
                      <w:w w:val="100"/>
                      <w:position w:val="0"/>
                      <w:sz w:val="21"/>
                      <w:szCs w:val="21"/>
                      <w:highlight w:val="none"/>
                      <w:vertAlign w:val="baseline"/>
                      <w:lang w:val="en-US" w:eastAsia="zh-CN"/>
                      <w14:textFill>
                        <w14:solidFill>
                          <w14:schemeClr w14:val="tx1"/>
                        </w14:solidFill>
                      </w14:textFill>
                    </w:rPr>
                    <w:t>40°2′38.83618″</w:t>
                  </w:r>
                </w:p>
              </w:tc>
              <w:tc>
                <w:tcPr>
                  <w:tcW w:w="907"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场外道路西侧</w:t>
                  </w:r>
                </w:p>
              </w:tc>
              <w:tc>
                <w:tcPr>
                  <w:tcW w:w="62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49</w:t>
                  </w: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m</w:t>
                  </w:r>
                </w:p>
              </w:tc>
              <w:tc>
                <w:tcPr>
                  <w:tcW w:w="832"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1户3</w:t>
                  </w:r>
                  <w:r>
                    <w:rPr>
                      <w:rFonts w:hint="eastAsia"/>
                      <w:color w:val="000000" w:themeColor="text1"/>
                      <w:sz w:val="21"/>
                      <w:szCs w:val="21"/>
                      <w:highlight w:val="none"/>
                      <w:lang w:eastAsia="zh-CN"/>
                      <w14:textFill>
                        <w14:solidFill>
                          <w14:schemeClr w14:val="tx1"/>
                        </w14:solidFill>
                      </w14:textFill>
                    </w:rPr>
                    <w:t>人</w:t>
                  </w:r>
                </w:p>
              </w:tc>
              <w:tc>
                <w:tcPr>
                  <w:tcW w:w="1746" w:type="dxa"/>
                  <w:vMerge w:val="continue"/>
                  <w:noWrap w:val="0"/>
                  <w:vAlign w:val="center"/>
                </w:tcPr>
                <w:p>
                  <w:pPr>
                    <w:pStyle w:val="2"/>
                    <w:keepNext w:val="0"/>
                    <w:keepLines w:val="0"/>
                    <w:pageBreakBefore w:val="0"/>
                    <w:widowControl w:val="0"/>
                    <w:kinsoku/>
                    <w:wordWrap w:val="0"/>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09"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highlight w:val="none"/>
                    </w:rPr>
                  </w:pPr>
                </w:p>
              </w:tc>
              <w:tc>
                <w:tcPr>
                  <w:tcW w:w="12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c>
                <w:tcPr>
                  <w:tcW w:w="476"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kern w:val="2"/>
                      <w:position w:val="0"/>
                      <w:sz w:val="21"/>
                      <w:szCs w:val="21"/>
                      <w:highlight w:val="none"/>
                      <w:vertAlign w:val="baseline"/>
                      <w:lang w:val="en-US" w:eastAsia="zh-CN" w:bidi="ar-SA"/>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住户</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109°10′39.64125″</w:t>
                  </w:r>
                  <w:r>
                    <w:rPr>
                      <w:rFonts w:hint="eastAsia"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40°2′47.49757″</w:t>
                  </w:r>
                </w:p>
              </w:tc>
              <w:tc>
                <w:tcPr>
                  <w:tcW w:w="907"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场外道路西侧</w:t>
                  </w:r>
                </w:p>
              </w:tc>
              <w:tc>
                <w:tcPr>
                  <w:tcW w:w="62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220</w:t>
                  </w:r>
                </w:p>
              </w:tc>
              <w:tc>
                <w:tcPr>
                  <w:tcW w:w="832"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1户3</w:t>
                  </w:r>
                  <w:r>
                    <w:rPr>
                      <w:rFonts w:hint="eastAsia"/>
                      <w:color w:val="000000" w:themeColor="text1"/>
                      <w:sz w:val="21"/>
                      <w:szCs w:val="21"/>
                      <w:highlight w:val="none"/>
                      <w:lang w:eastAsia="zh-CN"/>
                      <w14:textFill>
                        <w14:solidFill>
                          <w14:schemeClr w14:val="tx1"/>
                        </w14:solidFill>
                      </w14:textFill>
                    </w:rPr>
                    <w:t>人</w:t>
                  </w:r>
                </w:p>
              </w:tc>
              <w:tc>
                <w:tcPr>
                  <w:tcW w:w="1746" w:type="dxa"/>
                  <w:vMerge w:val="continue"/>
                  <w:noWrap w:val="0"/>
                  <w:vAlign w:val="center"/>
                </w:tcPr>
                <w:p>
                  <w:pPr>
                    <w:pStyle w:val="2"/>
                    <w:keepNext w:val="0"/>
                    <w:keepLines w:val="0"/>
                    <w:pageBreakBefore w:val="0"/>
                    <w:widowControl w:val="0"/>
                    <w:kinsoku/>
                    <w:wordWrap w:val="0"/>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09"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highlight w:val="none"/>
                    </w:rPr>
                  </w:pPr>
                </w:p>
              </w:tc>
              <w:tc>
                <w:tcPr>
                  <w:tcW w:w="12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c>
                <w:tcPr>
                  <w:tcW w:w="476"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kern w:val="2"/>
                      <w:position w:val="0"/>
                      <w:sz w:val="21"/>
                      <w:szCs w:val="21"/>
                      <w:highlight w:val="none"/>
                      <w:vertAlign w:val="baseline"/>
                      <w:lang w:val="en-US" w:eastAsia="zh-CN" w:bidi="ar-SA"/>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住户</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109°10′26.04567″</w:t>
                  </w:r>
                  <w:r>
                    <w:rPr>
                      <w:rFonts w:hint="eastAsia"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40°2′52.75041″</w:t>
                  </w:r>
                </w:p>
              </w:tc>
              <w:tc>
                <w:tcPr>
                  <w:tcW w:w="907"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场外道路西侧</w:t>
                  </w:r>
                </w:p>
              </w:tc>
              <w:tc>
                <w:tcPr>
                  <w:tcW w:w="62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262</w:t>
                  </w:r>
                </w:p>
              </w:tc>
              <w:tc>
                <w:tcPr>
                  <w:tcW w:w="832"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1户3</w:t>
                  </w:r>
                  <w:r>
                    <w:rPr>
                      <w:rFonts w:hint="eastAsia"/>
                      <w:color w:val="000000" w:themeColor="text1"/>
                      <w:sz w:val="21"/>
                      <w:szCs w:val="21"/>
                      <w:highlight w:val="none"/>
                      <w:lang w:eastAsia="zh-CN"/>
                      <w14:textFill>
                        <w14:solidFill>
                          <w14:schemeClr w14:val="tx1"/>
                        </w14:solidFill>
                      </w14:textFill>
                    </w:rPr>
                    <w:t>人</w:t>
                  </w:r>
                </w:p>
              </w:tc>
              <w:tc>
                <w:tcPr>
                  <w:tcW w:w="1746" w:type="dxa"/>
                  <w:vMerge w:val="continue"/>
                  <w:noWrap w:val="0"/>
                  <w:vAlign w:val="center"/>
                </w:tcPr>
                <w:p>
                  <w:pPr>
                    <w:pStyle w:val="2"/>
                    <w:keepNext w:val="0"/>
                    <w:keepLines w:val="0"/>
                    <w:pageBreakBefore w:val="0"/>
                    <w:widowControl w:val="0"/>
                    <w:kinsoku/>
                    <w:wordWrap w:val="0"/>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09"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highlight w:val="none"/>
                    </w:rPr>
                  </w:pPr>
                </w:p>
              </w:tc>
              <w:tc>
                <w:tcPr>
                  <w:tcW w:w="12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c>
                <w:tcPr>
                  <w:tcW w:w="476"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kern w:val="2"/>
                      <w:position w:val="0"/>
                      <w:sz w:val="21"/>
                      <w:szCs w:val="21"/>
                      <w:highlight w:val="none"/>
                      <w:vertAlign w:val="baseline"/>
                      <w:lang w:val="en-US" w:eastAsia="zh-CN" w:bidi="ar-SA"/>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住户</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109°11′9.67126″</w:t>
                  </w:r>
                  <w:r>
                    <w:rPr>
                      <w:rFonts w:hint="eastAsia"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40°2′36.68290″</w:t>
                  </w:r>
                </w:p>
              </w:tc>
              <w:tc>
                <w:tcPr>
                  <w:tcW w:w="907"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场外道路东侧</w:t>
                  </w:r>
                </w:p>
              </w:tc>
              <w:tc>
                <w:tcPr>
                  <w:tcW w:w="62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178</w:t>
                  </w:r>
                </w:p>
              </w:tc>
              <w:tc>
                <w:tcPr>
                  <w:tcW w:w="832"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1户3</w:t>
                  </w:r>
                  <w:r>
                    <w:rPr>
                      <w:rFonts w:hint="eastAsia"/>
                      <w:color w:val="000000" w:themeColor="text1"/>
                      <w:sz w:val="21"/>
                      <w:szCs w:val="21"/>
                      <w:highlight w:val="none"/>
                      <w:lang w:eastAsia="zh-CN"/>
                      <w14:textFill>
                        <w14:solidFill>
                          <w14:schemeClr w14:val="tx1"/>
                        </w14:solidFill>
                      </w14:textFill>
                    </w:rPr>
                    <w:t>人</w:t>
                  </w:r>
                </w:p>
              </w:tc>
              <w:tc>
                <w:tcPr>
                  <w:tcW w:w="1746" w:type="dxa"/>
                  <w:vMerge w:val="continue"/>
                  <w:noWrap w:val="0"/>
                  <w:vAlign w:val="center"/>
                </w:tcPr>
                <w:p>
                  <w:pPr>
                    <w:pStyle w:val="2"/>
                    <w:keepNext w:val="0"/>
                    <w:keepLines w:val="0"/>
                    <w:pageBreakBefore w:val="0"/>
                    <w:widowControl w:val="0"/>
                    <w:kinsoku/>
                    <w:wordWrap w:val="0"/>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09"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highlight w:val="none"/>
                    </w:rPr>
                  </w:pPr>
                </w:p>
              </w:tc>
              <w:tc>
                <w:tcPr>
                  <w:tcW w:w="12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c>
                <w:tcPr>
                  <w:tcW w:w="476"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kern w:val="2"/>
                      <w:position w:val="0"/>
                      <w:sz w:val="21"/>
                      <w:szCs w:val="21"/>
                      <w:highlight w:val="none"/>
                      <w:vertAlign w:val="baseline"/>
                      <w:lang w:val="en-US" w:eastAsia="zh-CN" w:bidi="ar-SA"/>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住户</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109°11′12.99291″</w:t>
                  </w:r>
                  <w:r>
                    <w:rPr>
                      <w:rFonts w:hint="eastAsia"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40°2′36.37391″</w:t>
                  </w:r>
                </w:p>
              </w:tc>
              <w:tc>
                <w:tcPr>
                  <w:tcW w:w="907"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场外道路东侧</w:t>
                  </w:r>
                </w:p>
              </w:tc>
              <w:tc>
                <w:tcPr>
                  <w:tcW w:w="62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234</w:t>
                  </w:r>
                </w:p>
              </w:tc>
              <w:tc>
                <w:tcPr>
                  <w:tcW w:w="832"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1户3</w:t>
                  </w:r>
                  <w:r>
                    <w:rPr>
                      <w:rFonts w:hint="eastAsia"/>
                      <w:color w:val="000000" w:themeColor="text1"/>
                      <w:sz w:val="21"/>
                      <w:szCs w:val="21"/>
                      <w:highlight w:val="none"/>
                      <w:lang w:eastAsia="zh-CN"/>
                      <w14:textFill>
                        <w14:solidFill>
                          <w14:schemeClr w14:val="tx1"/>
                        </w14:solidFill>
                      </w14:textFill>
                    </w:rPr>
                    <w:t>人</w:t>
                  </w:r>
                </w:p>
              </w:tc>
              <w:tc>
                <w:tcPr>
                  <w:tcW w:w="1746" w:type="dxa"/>
                  <w:vMerge w:val="continue"/>
                  <w:noWrap w:val="0"/>
                  <w:vAlign w:val="center"/>
                </w:tcPr>
                <w:p>
                  <w:pPr>
                    <w:pStyle w:val="2"/>
                    <w:keepNext w:val="0"/>
                    <w:keepLines w:val="0"/>
                    <w:pageBreakBefore w:val="0"/>
                    <w:widowControl w:val="0"/>
                    <w:kinsoku/>
                    <w:wordWrap w:val="0"/>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09"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c>
                <w:tcPr>
                  <w:tcW w:w="12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c>
                <w:tcPr>
                  <w:tcW w:w="476"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kern w:val="2"/>
                      <w:position w:val="0"/>
                      <w:sz w:val="21"/>
                      <w:szCs w:val="21"/>
                      <w:highlight w:val="none"/>
                      <w:vertAlign w:val="baseline"/>
                      <w:lang w:val="en-US" w:eastAsia="zh-CN" w:bidi="ar-SA"/>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住户</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109°11′10.46305″</w:t>
                  </w:r>
                  <w:r>
                    <w:rPr>
                      <w:rFonts w:hint="eastAsia"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40°2′51.03165″</w:t>
                  </w:r>
                </w:p>
              </w:tc>
              <w:tc>
                <w:tcPr>
                  <w:tcW w:w="907"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场外道路东侧</w:t>
                  </w:r>
                </w:p>
              </w:tc>
              <w:tc>
                <w:tcPr>
                  <w:tcW w:w="62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362</w:t>
                  </w:r>
                </w:p>
              </w:tc>
              <w:tc>
                <w:tcPr>
                  <w:tcW w:w="832"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1户3</w:t>
                  </w:r>
                  <w:r>
                    <w:rPr>
                      <w:rFonts w:hint="eastAsia"/>
                      <w:color w:val="000000" w:themeColor="text1"/>
                      <w:sz w:val="21"/>
                      <w:szCs w:val="21"/>
                      <w:highlight w:val="none"/>
                      <w:lang w:eastAsia="zh-CN"/>
                      <w14:textFill>
                        <w14:solidFill>
                          <w14:schemeClr w14:val="tx1"/>
                        </w14:solidFill>
                      </w14:textFill>
                    </w:rPr>
                    <w:t>人</w:t>
                  </w:r>
                </w:p>
              </w:tc>
              <w:tc>
                <w:tcPr>
                  <w:tcW w:w="1746" w:type="dxa"/>
                  <w:vMerge w:val="continue"/>
                  <w:noWrap w:val="0"/>
                  <w:vAlign w:val="center"/>
                </w:tcPr>
                <w:p>
                  <w:pPr>
                    <w:pStyle w:val="2"/>
                    <w:keepNext w:val="0"/>
                    <w:keepLines w:val="0"/>
                    <w:pageBreakBefore w:val="0"/>
                    <w:widowControl w:val="0"/>
                    <w:kinsoku/>
                    <w:wordWrap w:val="0"/>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09"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c>
                <w:tcPr>
                  <w:tcW w:w="1280"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c>
                <w:tcPr>
                  <w:tcW w:w="47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住户</w:t>
                  </w:r>
                </w:p>
              </w:tc>
              <w:tc>
                <w:tcPr>
                  <w:tcW w:w="1813"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109°11′15.13653″</w:t>
                  </w:r>
                  <w:r>
                    <w:rPr>
                      <w:rFonts w:hint="eastAsia"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w:t>
                  </w:r>
                  <w:r>
                    <w:rPr>
                      <w:rFonts w:hint="default" w:ascii="Times New Roman" w:hAnsi="Times New Roman" w:eastAsia="宋体" w:cs="Times New Roman"/>
                      <w:color w:val="000000" w:themeColor="text1"/>
                      <w:spacing w:val="0"/>
                      <w:w w:val="100"/>
                      <w:kern w:val="0"/>
                      <w:position w:val="0"/>
                      <w:sz w:val="21"/>
                      <w:szCs w:val="21"/>
                      <w:highlight w:val="none"/>
                      <w:vertAlign w:val="baseline"/>
                      <w:lang w:val="en-US" w:eastAsia="zh-CN" w:bidi="ar-SA"/>
                      <w14:textFill>
                        <w14:solidFill>
                          <w14:schemeClr w14:val="tx1"/>
                        </w14:solidFill>
                      </w14:textFill>
                    </w:rPr>
                    <w:t>40°2′51.76550″</w:t>
                  </w:r>
                </w:p>
              </w:tc>
              <w:tc>
                <w:tcPr>
                  <w:tcW w:w="907"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场外道路东侧</w:t>
                  </w:r>
                </w:p>
              </w:tc>
              <w:tc>
                <w:tcPr>
                  <w:tcW w:w="62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453</w:t>
                  </w:r>
                </w:p>
              </w:tc>
              <w:tc>
                <w:tcPr>
                  <w:tcW w:w="832"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1户3</w:t>
                  </w:r>
                  <w:r>
                    <w:rPr>
                      <w:rFonts w:hint="eastAsia"/>
                      <w:color w:val="000000" w:themeColor="text1"/>
                      <w:sz w:val="21"/>
                      <w:szCs w:val="21"/>
                      <w:highlight w:val="none"/>
                      <w:lang w:eastAsia="zh-CN"/>
                      <w14:textFill>
                        <w14:solidFill>
                          <w14:schemeClr w14:val="tx1"/>
                        </w14:solidFill>
                      </w14:textFill>
                    </w:rPr>
                    <w:t>人</w:t>
                  </w:r>
                </w:p>
              </w:tc>
              <w:tc>
                <w:tcPr>
                  <w:tcW w:w="1746" w:type="dxa"/>
                  <w:vMerge w:val="continue"/>
                  <w:noWrap w:val="0"/>
                  <w:vAlign w:val="center"/>
                </w:tcPr>
                <w:p>
                  <w:pPr>
                    <w:pStyle w:val="2"/>
                    <w:keepNext w:val="0"/>
                    <w:keepLines w:val="0"/>
                    <w:pageBreakBefore w:val="0"/>
                    <w:widowControl w:val="0"/>
                    <w:kinsoku/>
                    <w:wordWrap w:val="0"/>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09" w:type="dxa"/>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t>声环境</w:t>
                  </w:r>
                </w:p>
              </w:tc>
              <w:tc>
                <w:tcPr>
                  <w:tcW w:w="1280"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本项目场外道路</w:t>
                  </w:r>
                </w:p>
              </w:tc>
              <w:tc>
                <w:tcPr>
                  <w:tcW w:w="47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住户</w:t>
                  </w:r>
                </w:p>
              </w:tc>
              <w:tc>
                <w:tcPr>
                  <w:tcW w:w="1813"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default" w:ascii="Times New Roman" w:hAnsi="Times New Roman" w:cs="Times New Roman"/>
                      <w:color w:val="000000" w:themeColor="text1"/>
                      <w:spacing w:val="0"/>
                      <w:w w:val="100"/>
                      <w:position w:val="0"/>
                      <w:sz w:val="21"/>
                      <w:szCs w:val="21"/>
                      <w:highlight w:val="none"/>
                      <w:vertAlign w:val="baseline"/>
                      <w:lang w:val="en-US" w:eastAsia="zh-CN"/>
                      <w14:textFill>
                        <w14:solidFill>
                          <w14:schemeClr w14:val="tx1"/>
                        </w14:solidFill>
                      </w14:textFill>
                    </w:rPr>
                    <w:t>109°10′52.17468″</w:t>
                  </w: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pacing w:val="0"/>
                      <w:w w:val="100"/>
                      <w:position w:val="0"/>
                      <w:sz w:val="21"/>
                      <w:szCs w:val="21"/>
                      <w:highlight w:val="none"/>
                      <w:vertAlign w:val="baseline"/>
                      <w:lang w:val="en-US" w:eastAsia="zh-CN"/>
                      <w14:textFill>
                        <w14:solidFill>
                          <w14:schemeClr w14:val="tx1"/>
                        </w14:solidFill>
                      </w14:textFill>
                    </w:rPr>
                    <w:t>40°2′38.83618″</w:t>
                  </w:r>
                </w:p>
              </w:tc>
              <w:tc>
                <w:tcPr>
                  <w:tcW w:w="907"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场外道路西侧</w:t>
                  </w:r>
                </w:p>
              </w:tc>
              <w:tc>
                <w:tcPr>
                  <w:tcW w:w="62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49</w:t>
                  </w: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m</w:t>
                  </w:r>
                </w:p>
              </w:tc>
              <w:tc>
                <w:tcPr>
                  <w:tcW w:w="832"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1户3</w:t>
                  </w:r>
                  <w:r>
                    <w:rPr>
                      <w:rFonts w:hint="eastAsia"/>
                      <w:color w:val="000000" w:themeColor="text1"/>
                      <w:sz w:val="21"/>
                      <w:szCs w:val="21"/>
                      <w:highlight w:val="none"/>
                      <w:lang w:eastAsia="zh-CN"/>
                      <w14:textFill>
                        <w14:solidFill>
                          <w14:schemeClr w14:val="tx1"/>
                        </w14:solidFill>
                      </w14:textFill>
                    </w:rPr>
                    <w:t>人</w:t>
                  </w:r>
                </w:p>
              </w:tc>
              <w:tc>
                <w:tcPr>
                  <w:tcW w:w="1746" w:type="dxa"/>
                  <w:vMerge w:val="restart"/>
                  <w:noWrap w:val="0"/>
                  <w:vAlign w:val="center"/>
                </w:tcPr>
                <w:p>
                  <w:pPr>
                    <w:pStyle w:val="2"/>
                    <w:keepNext w:val="0"/>
                    <w:keepLines w:val="0"/>
                    <w:pageBreakBefore w:val="0"/>
                    <w:widowControl w:val="0"/>
                    <w:kinsoku/>
                    <w:wordWrap w:val="0"/>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《声环境质量标准》</w:t>
                  </w: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w:t>
                  </w: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GB3096</w:t>
                  </w: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w:t>
                  </w: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2008）</w:t>
                  </w: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1</w:t>
                  </w: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highlight w:val="none"/>
                    </w:rPr>
                  </w:pPr>
                </w:p>
              </w:tc>
              <w:tc>
                <w:tcPr>
                  <w:tcW w:w="128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风井场地</w:t>
                  </w:r>
                </w:p>
              </w:tc>
              <w:tc>
                <w:tcPr>
                  <w:tcW w:w="4654" w:type="dxa"/>
                  <w:gridSpan w:val="5"/>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厂界外50米范围内无医院、学校、机关、科研单位、住宅等需要保持安静的建筑物。</w:t>
                  </w:r>
                </w:p>
              </w:tc>
              <w:tc>
                <w:tcPr>
                  <w:tcW w:w="1746" w:type="dxa"/>
                  <w:vMerge w:val="continue"/>
                  <w:noWrap w:val="0"/>
                  <w:vAlign w:val="center"/>
                </w:tcPr>
                <w:p>
                  <w:pPr>
                    <w:keepNext w:val="0"/>
                    <w:keepLines w:val="0"/>
                    <w:pageBreakBefore w:val="0"/>
                    <w:widowControl w:val="0"/>
                    <w:kinsoku/>
                    <w:wordWrap w:val="0"/>
                    <w:overflowPunct/>
                    <w:topLinePunct w:val="0"/>
                    <w:autoSpaceDE/>
                    <w:autoSpaceDN/>
                    <w:bidi w:val="0"/>
                    <w:adjustRightInd/>
                    <w:snapToGrid/>
                    <w:spacing w:before="0" w:after="0" w:line="240" w:lineRule="auto"/>
                    <w:ind w:right="0" w:rightChars="0"/>
                    <w:jc w:val="center"/>
                    <w:textAlignment w:val="auto"/>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409" w:type="dxa"/>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地下水</w:t>
                  </w:r>
                </w:p>
              </w:tc>
              <w:tc>
                <w:tcPr>
                  <w:tcW w:w="1280"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风井场地</w:t>
                  </w:r>
                </w:p>
              </w:tc>
              <w:tc>
                <w:tcPr>
                  <w:tcW w:w="4654" w:type="dxa"/>
                  <w:gridSpan w:val="5"/>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default"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spacing w:val="5"/>
                      <w:highlight w:val="none"/>
                      <w:lang w:val="en-US" w:eastAsia="zh-CN"/>
                    </w:rPr>
                    <w:t>厂界外500米范围内</w:t>
                  </w:r>
                  <w:r>
                    <w:rPr>
                      <w:spacing w:val="5"/>
                      <w:highlight w:val="none"/>
                    </w:rPr>
                    <w:t>第四系、白垩系含水层</w:t>
                  </w:r>
                </w:p>
              </w:tc>
              <w:tc>
                <w:tcPr>
                  <w:tcW w:w="1746" w:type="dxa"/>
                  <w:vMerge w:val="restart"/>
                  <w:noWrap w:val="0"/>
                  <w:vAlign w:val="center"/>
                </w:tcPr>
                <w:p>
                  <w:pPr>
                    <w:pStyle w:val="2"/>
                    <w:keepNext w:val="0"/>
                    <w:keepLines w:val="0"/>
                    <w:pageBreakBefore w:val="0"/>
                    <w:widowControl w:val="0"/>
                    <w:kinsoku/>
                    <w:wordWrap w:val="0"/>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执行《地下水质量标准》</w:t>
                  </w: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w:t>
                  </w: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GB/T14848</w:t>
                  </w: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w:t>
                  </w: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2017）Ⅲ类标准。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highlight w:val="none"/>
                    </w:rPr>
                  </w:pPr>
                </w:p>
              </w:tc>
              <w:tc>
                <w:tcPr>
                  <w:tcW w:w="1280"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本项目场外道路</w:t>
                  </w:r>
                </w:p>
              </w:tc>
              <w:tc>
                <w:tcPr>
                  <w:tcW w:w="4654" w:type="dxa"/>
                  <w:gridSpan w:val="5"/>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spacing w:val="5"/>
                      <w:highlight w:val="none"/>
                      <w:lang w:val="en-US" w:eastAsia="zh-CN"/>
                    </w:rPr>
                    <w:t>厂界外500米范围内</w:t>
                  </w:r>
                  <w:r>
                    <w:rPr>
                      <w:spacing w:val="5"/>
                      <w:highlight w:val="none"/>
                    </w:rPr>
                    <w:t>居民分散水井</w:t>
                  </w:r>
                </w:p>
              </w:tc>
              <w:tc>
                <w:tcPr>
                  <w:tcW w:w="1746" w:type="dxa"/>
                  <w:vMerge w:val="continue"/>
                  <w:noWrap w:val="0"/>
                  <w:vAlign w:val="center"/>
                </w:tcPr>
                <w:p>
                  <w:pPr>
                    <w:keepNext w:val="0"/>
                    <w:keepLines w:val="0"/>
                    <w:pageBreakBefore w:val="0"/>
                    <w:widowControl w:val="0"/>
                    <w:kinsoku/>
                    <w:wordWrap w:val="0"/>
                    <w:overflowPunct/>
                    <w:topLinePunct w:val="0"/>
                    <w:autoSpaceDE/>
                    <w:autoSpaceDN/>
                    <w:bidi w:val="0"/>
                    <w:adjustRightInd/>
                    <w:snapToGrid/>
                    <w:spacing w:before="0" w:after="0" w:line="240" w:lineRule="auto"/>
                    <w:ind w:right="0" w:rightChars="0"/>
                    <w:jc w:val="center"/>
                    <w:textAlignment w:val="auto"/>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09"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地表水</w:t>
                  </w:r>
                </w:p>
              </w:tc>
              <w:tc>
                <w:tcPr>
                  <w:tcW w:w="1280"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风井场地以及本项目场外道路</w:t>
                  </w:r>
                </w:p>
              </w:tc>
              <w:tc>
                <w:tcPr>
                  <w:tcW w:w="4654" w:type="dxa"/>
                  <w:gridSpan w:val="5"/>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spacing w:val="5"/>
                      <w:highlight w:val="none"/>
                    </w:rPr>
                  </w:pPr>
                  <w:r>
                    <w:rPr>
                      <w:rFonts w:hint="eastAsia"/>
                      <w:spacing w:val="5"/>
                      <w:highlight w:val="none"/>
                      <w:lang w:val="en-US" w:eastAsia="zh-CN"/>
                    </w:rPr>
                    <w:t>周边分布</w:t>
                  </w:r>
                  <w:r>
                    <w:rPr>
                      <w:spacing w:val="5"/>
                      <w:highlight w:val="none"/>
                    </w:rPr>
                    <w:t>有季节性河流卜尔色太沟</w:t>
                  </w:r>
                  <w:r>
                    <w:rPr>
                      <w:rFonts w:hint="eastAsia"/>
                      <w:spacing w:val="5"/>
                      <w:highlight w:val="none"/>
                      <w:lang w:eastAsia="zh-CN"/>
                    </w:rPr>
                    <w:t>（</w:t>
                  </w:r>
                  <w:r>
                    <w:rPr>
                      <w:spacing w:val="5"/>
                      <w:highlight w:val="none"/>
                    </w:rPr>
                    <w:t>泊什太沟</w:t>
                  </w:r>
                  <w:r>
                    <w:rPr>
                      <w:rFonts w:hint="eastAsia"/>
                      <w:spacing w:val="5"/>
                      <w:highlight w:val="none"/>
                      <w:lang w:eastAsia="zh-CN"/>
                    </w:rPr>
                    <w:t>）</w:t>
                  </w:r>
                  <w:r>
                    <w:rPr>
                      <w:spacing w:val="5"/>
                      <w:highlight w:val="none"/>
                    </w:rPr>
                    <w:t>，</w:t>
                  </w:r>
                  <w:r>
                    <w:rPr>
                      <w:rFonts w:hint="eastAsia"/>
                      <w:spacing w:val="5"/>
                      <w:highlight w:val="none"/>
                      <w:lang w:eastAsia="zh-CN"/>
                    </w:rPr>
                    <w:t>距离本项目</w:t>
                  </w:r>
                  <w:r>
                    <w:rPr>
                      <w:rFonts w:hint="eastAsia"/>
                      <w:spacing w:val="5"/>
                      <w:highlight w:val="none"/>
                      <w:lang w:val="en-US" w:eastAsia="zh-CN"/>
                    </w:rPr>
                    <w:t>343m，</w:t>
                  </w:r>
                  <w:r>
                    <w:rPr>
                      <w:highlight w:val="none"/>
                    </w:rPr>
                    <w:t>全年大</w:t>
                  </w:r>
                  <w:r>
                    <w:rPr>
                      <w:spacing w:val="5"/>
                      <w:highlight w:val="none"/>
                    </w:rPr>
                    <w:t>部分时间干涸，雨季有短时水流</w:t>
                  </w:r>
                </w:p>
              </w:tc>
              <w:tc>
                <w:tcPr>
                  <w:tcW w:w="1746" w:type="dxa"/>
                  <w:noWrap w:val="0"/>
                  <w:vAlign w:val="center"/>
                </w:tcPr>
                <w:p>
                  <w:pPr>
                    <w:pStyle w:val="2"/>
                    <w:keepNext w:val="0"/>
                    <w:keepLines w:val="0"/>
                    <w:pageBreakBefore w:val="0"/>
                    <w:widowControl w:val="0"/>
                    <w:kinsoku/>
                    <w:wordWrap w:val="0"/>
                    <w:overflowPunct/>
                    <w:topLinePunct w:val="0"/>
                    <w:autoSpaceDE/>
                    <w:autoSpaceDN/>
                    <w:bidi w:val="0"/>
                    <w:adjustRightInd/>
                    <w:snapToGrid/>
                    <w:spacing w:before="0" w:after="0" w:line="240" w:lineRule="auto"/>
                    <w:ind w:right="0"/>
                    <w:jc w:val="center"/>
                    <w:textAlignment w:val="auto"/>
                    <w:rPr>
                      <w:spacing w:val="8"/>
                      <w:highlight w:val="none"/>
                    </w:rPr>
                  </w:pPr>
                  <w:r>
                    <w:rPr>
                      <w:spacing w:val="8"/>
                      <w:highlight w:val="none"/>
                    </w:rPr>
                    <w:t>执行《地表水环境质量标准》</w:t>
                  </w:r>
                  <w:r>
                    <w:rPr>
                      <w:rFonts w:hint="eastAsia"/>
                      <w:spacing w:val="8"/>
                      <w:highlight w:val="none"/>
                      <w:lang w:eastAsia="zh-CN"/>
                    </w:rPr>
                    <w:t>（</w:t>
                  </w:r>
                  <w:r>
                    <w:rPr>
                      <w:rFonts w:ascii="Times New Roman" w:hAnsi="Times New Roman" w:eastAsia="Times New Roman" w:cs="Times New Roman"/>
                      <w:highlight w:val="none"/>
                    </w:rPr>
                    <w:t>GB</w:t>
                  </w:r>
                  <w:r>
                    <w:rPr>
                      <w:rFonts w:ascii="Times New Roman" w:hAnsi="Times New Roman" w:eastAsia="Times New Roman" w:cs="Times New Roman"/>
                      <w:spacing w:val="8"/>
                      <w:highlight w:val="none"/>
                    </w:rPr>
                    <w:t>3838</w:t>
                  </w:r>
                  <w:r>
                    <w:rPr>
                      <w:rFonts w:hint="eastAsia" w:cs="Times New Roman"/>
                      <w:spacing w:val="8"/>
                      <w:highlight w:val="none"/>
                      <w:lang w:eastAsia="zh-CN"/>
                    </w:rPr>
                    <w:t>-</w:t>
                  </w:r>
                  <w:r>
                    <w:rPr>
                      <w:rFonts w:ascii="Times New Roman" w:hAnsi="Times New Roman" w:eastAsia="Times New Roman" w:cs="Times New Roman"/>
                      <w:spacing w:val="8"/>
                      <w:highlight w:val="none"/>
                    </w:rPr>
                    <w:t>2002</w:t>
                  </w:r>
                  <w:r>
                    <w:rPr>
                      <w:spacing w:val="8"/>
                      <w:highlight w:val="none"/>
                    </w:rPr>
                    <w:t>）</w:t>
                  </w:r>
                  <w:r>
                    <w:rPr>
                      <w:rFonts w:ascii="Times New Roman" w:hAnsi="Times New Roman" w:eastAsia="Times New Roman" w:cs="Times New Roman"/>
                      <w:spacing w:val="8"/>
                      <w:highlight w:val="none"/>
                    </w:rPr>
                    <w:t>Ⅳ</w:t>
                  </w:r>
                  <w:r>
                    <w:rPr>
                      <w:spacing w:val="8"/>
                      <w:highlight w:val="none"/>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409"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eastAsia="zh-CN"/>
                      <w14:textFill>
                        <w14:solidFill>
                          <w14:schemeClr w14:val="tx1"/>
                        </w14:solidFill>
                      </w14:textFill>
                    </w:rPr>
                  </w:pPr>
                  <w:r>
                    <w:rPr>
                      <w:rFonts w:hint="eastAsia" w:cs="Times New Roman"/>
                      <w:color w:val="000000" w:themeColor="text1"/>
                      <w:spacing w:val="0"/>
                      <w:w w:val="100"/>
                      <w:position w:val="0"/>
                      <w:sz w:val="21"/>
                      <w:szCs w:val="21"/>
                      <w:highlight w:val="none"/>
                      <w:vertAlign w:val="baseline"/>
                      <w:lang w:eastAsia="zh-CN"/>
                      <w14:textFill>
                        <w14:solidFill>
                          <w14:schemeClr w14:val="tx1"/>
                        </w14:solidFill>
                      </w14:textFill>
                    </w:rPr>
                    <w:t>生态</w:t>
                  </w:r>
                </w:p>
              </w:tc>
              <w:tc>
                <w:tcPr>
                  <w:tcW w:w="1280"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aps w:val="0"/>
                      <w:color w:val="auto"/>
                      <w:sz w:val="21"/>
                      <w:szCs w:val="21"/>
                      <w:highlight w:val="none"/>
                      <w:lang w:val="en-US" w:eastAsia="zh-CN"/>
                    </w:rPr>
                  </w:pPr>
                  <w:r>
                    <w:rPr>
                      <w:rFonts w:hint="eastAsia" w:cs="Times New Roman"/>
                      <w:color w:val="000000" w:themeColor="text1"/>
                      <w:spacing w:val="0"/>
                      <w:w w:val="100"/>
                      <w:position w:val="0"/>
                      <w:sz w:val="21"/>
                      <w:szCs w:val="21"/>
                      <w:highlight w:val="none"/>
                      <w:vertAlign w:val="baseline"/>
                      <w:lang w:val="en-US" w:eastAsia="zh-CN"/>
                      <w14:textFill>
                        <w14:solidFill>
                          <w14:schemeClr w14:val="tx1"/>
                        </w14:solidFill>
                      </w14:textFill>
                    </w:rPr>
                    <w:t>风井场地以及本项目场外道路</w:t>
                  </w:r>
                </w:p>
              </w:tc>
              <w:tc>
                <w:tcPr>
                  <w:tcW w:w="4654" w:type="dxa"/>
                  <w:gridSpan w:val="5"/>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aps w:val="0"/>
                      <w:color w:val="auto"/>
                      <w:sz w:val="21"/>
                      <w:szCs w:val="21"/>
                      <w:highlight w:val="none"/>
                      <w:lang w:val="en-US" w:eastAsia="zh-CN"/>
                    </w:rPr>
                    <w:t>本项目</w:t>
                  </w:r>
                  <w:r>
                    <w:rPr>
                      <w:rFonts w:hint="eastAsia" w:ascii="Times New Roman" w:hAnsi="Times New Roman" w:eastAsia="宋体" w:cs="Times New Roman"/>
                      <w:caps w:val="0"/>
                      <w:color w:val="auto"/>
                      <w:sz w:val="21"/>
                      <w:szCs w:val="21"/>
                      <w:highlight w:val="none"/>
                      <w:lang w:val="en-US" w:eastAsia="zh-CN"/>
                    </w:rPr>
                    <w:t>占地范围内</w:t>
                  </w:r>
                  <w:r>
                    <w:rPr>
                      <w:rFonts w:hint="default" w:ascii="Times New Roman" w:hAnsi="Times New Roman" w:eastAsia="宋体" w:cs="Times New Roman"/>
                      <w:caps w:val="0"/>
                      <w:color w:val="auto"/>
                      <w:sz w:val="21"/>
                      <w:szCs w:val="21"/>
                      <w:highlight w:val="none"/>
                      <w:lang w:val="en-US" w:eastAsia="zh-CN"/>
                    </w:rPr>
                    <w:t>涉及地方公益林0.6009公顷</w:t>
                  </w:r>
                </w:p>
              </w:tc>
              <w:tc>
                <w:tcPr>
                  <w:tcW w:w="1746"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pacing w:val="0"/>
                      <w:w w:val="100"/>
                      <w:position w:val="0"/>
                      <w:sz w:val="21"/>
                      <w:szCs w:val="21"/>
                      <w:highlight w:val="none"/>
                      <w:vertAlign w:val="baseline"/>
                      <w:lang w:val="en-US" w:eastAsia="zh-CN"/>
                      <w14:textFill>
                        <w14:solidFill>
                          <w14:schemeClr w14:val="tx1"/>
                        </w14:solidFill>
                      </w14:textFill>
                    </w:rPr>
                    <w:t>严格控制征占用公益林</w:t>
                  </w:r>
                </w:p>
              </w:tc>
            </w:tr>
          </w:tbl>
          <w:p>
            <w:pPr>
              <w:spacing w:line="360" w:lineRule="auto"/>
              <w:jc w:val="left"/>
              <w:rPr>
                <w:rFonts w:hint="eastAsia" w:ascii="宋体" w:hAnsi="宋体" w:eastAsia="宋体" w:cs="宋体"/>
                <w:color w:val="000000" w:themeColor="text1"/>
                <w:kern w:val="0"/>
                <w:szCs w:val="21"/>
                <w:highlight w:val="none"/>
                <w:lang w:eastAsia="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11" w:hRule="atLeast"/>
          <w:jc w:val="center"/>
        </w:trPr>
        <w:tc>
          <w:tcPr>
            <w:tcW w:w="493" w:type="pct"/>
            <w:noWrap w:val="0"/>
            <w:vAlign w:val="center"/>
          </w:tcPr>
          <w:p>
            <w:pPr>
              <w:adjustRightInd w:val="0"/>
              <w:snapToGrid w:val="0"/>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评价</w:t>
            </w:r>
          </w:p>
          <w:p>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标准</w:t>
            </w:r>
          </w:p>
        </w:tc>
        <w:tc>
          <w:tcPr>
            <w:tcW w:w="4506" w:type="pct"/>
            <w:noWrap w:val="0"/>
            <w:vAlign w:val="center"/>
          </w:tcPr>
          <w:p>
            <w:pPr>
              <w:spacing w:line="360" w:lineRule="auto"/>
              <w:ind w:firstLine="482" w:firstLineChars="200"/>
              <w:rPr>
                <w:rFonts w:hint="eastAsia" w:eastAsia="宋体"/>
                <w:b/>
                <w:color w:val="000000" w:themeColor="text1"/>
                <w:sz w:val="24"/>
                <w:highlight w:val="none"/>
                <w:lang w:eastAsia="zh-CN"/>
                <w14:textFill>
                  <w14:solidFill>
                    <w14:schemeClr w14:val="tx1"/>
                  </w14:solidFill>
                </w14:textFill>
              </w:rPr>
            </w:pPr>
            <w:r>
              <w:rPr>
                <w:rFonts w:hint="eastAsia"/>
                <w:b/>
                <w:color w:val="000000" w:themeColor="text1"/>
                <w:sz w:val="24"/>
                <w:highlight w:val="none"/>
                <w:lang w:eastAsia="zh-CN"/>
                <w14:textFill>
                  <w14:solidFill>
                    <w14:schemeClr w14:val="tx1"/>
                  </w14:solidFill>
                </w14:textFill>
              </w:rPr>
              <w:t>一、</w:t>
            </w:r>
            <w:r>
              <w:rPr>
                <w:rFonts w:hint="eastAsia"/>
                <w:b/>
                <w:color w:val="000000" w:themeColor="text1"/>
                <w:sz w:val="24"/>
                <w:highlight w:val="none"/>
                <w:lang w:val="en-US" w:eastAsia="zh-CN"/>
                <w14:textFill>
                  <w14:solidFill>
                    <w14:schemeClr w14:val="tx1"/>
                  </w14:solidFill>
                </w14:textFill>
              </w:rPr>
              <w:t>环境质量标准</w:t>
            </w:r>
          </w:p>
          <w:p>
            <w:pPr>
              <w:spacing w:line="360" w:lineRule="auto"/>
              <w:ind w:firstLine="482" w:firstLineChars="200"/>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lang w:val="en-US" w:eastAsia="zh-CN"/>
                <w14:textFill>
                  <w14:solidFill>
                    <w14:schemeClr w14:val="tx1"/>
                  </w14:solidFill>
                </w14:textFill>
              </w:rPr>
              <w:t>.</w:t>
            </w:r>
            <w:r>
              <w:rPr>
                <w:b/>
                <w:color w:val="000000" w:themeColor="text1"/>
                <w:sz w:val="24"/>
                <w:highlight w:val="none"/>
                <w14:textFill>
                  <w14:solidFill>
                    <w14:schemeClr w14:val="tx1"/>
                  </w14:solidFill>
                </w14:textFill>
              </w:rPr>
              <w:t>环境空气</w:t>
            </w:r>
            <w:r>
              <w:rPr>
                <w:rFonts w:hint="eastAsia"/>
                <w:b/>
                <w:color w:val="000000" w:themeColor="text1"/>
                <w:sz w:val="24"/>
                <w:highlight w:val="none"/>
                <w14:textFill>
                  <w14:solidFill>
                    <w14:schemeClr w14:val="tx1"/>
                  </w14:solidFill>
                </w14:textFill>
              </w:rPr>
              <w:t>质量标准</w:t>
            </w:r>
          </w:p>
          <w:p>
            <w:pPr>
              <w:tabs>
                <w:tab w:val="left" w:pos="0"/>
              </w:tabs>
              <w:spacing w:line="360" w:lineRule="auto"/>
              <w:ind w:firstLine="480" w:firstLineChars="20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环境空气执行《环境空气质量标准》</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GB3095</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2012）及修改单中的二级标准，见下表。</w:t>
            </w:r>
          </w:p>
          <w:p>
            <w:pPr>
              <w:ind w:firstLine="420" w:firstLineChars="200"/>
              <w:jc w:val="cente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表3</w:t>
            </w: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-9</w:t>
            </w: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 xml:space="preserve">  环境空气执行标准</w:t>
            </w:r>
          </w:p>
          <w:tbl>
            <w:tblPr>
              <w:tblStyle w:val="23"/>
              <w:tblW w:w="77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2558"/>
              <w:gridCol w:w="1145"/>
              <w:gridCol w:w="2165"/>
              <w:gridCol w:w="12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restart"/>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类别</w:t>
                  </w:r>
                </w:p>
              </w:tc>
              <w:tc>
                <w:tcPr>
                  <w:tcW w:w="2558" w:type="dxa"/>
                  <w:vMerge w:val="restart"/>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标准名称及级别</w:t>
                  </w:r>
                </w:p>
              </w:tc>
              <w:tc>
                <w:tcPr>
                  <w:tcW w:w="1145" w:type="dxa"/>
                  <w:vMerge w:val="restart"/>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现状评价因子</w:t>
                  </w:r>
                </w:p>
              </w:tc>
              <w:tc>
                <w:tcPr>
                  <w:tcW w:w="2165" w:type="dxa"/>
                  <w:vMerge w:val="restart"/>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平均时间</w:t>
                  </w:r>
                </w:p>
              </w:tc>
              <w:tc>
                <w:tcPr>
                  <w:tcW w:w="1267"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标准值</w:t>
                  </w:r>
                  <w:r>
                    <w:rPr>
                      <w:rFonts w:hint="eastAsia"/>
                      <w:color w:val="000000" w:themeColor="text1"/>
                      <w:highlight w:val="none"/>
                      <w:lang w:eastAsia="zh-CN"/>
                      <w14:textFill>
                        <w14:solidFill>
                          <w14:schemeClr w14:val="tx1"/>
                        </w14:solidFill>
                      </w14:textFill>
                    </w:rPr>
                    <w:t>（</w:t>
                  </w:r>
                  <w:r>
                    <w:rPr>
                      <w:color w:val="000000" w:themeColor="text1"/>
                      <w:szCs w:val="20"/>
                      <w:highlight w:val="none"/>
                      <w:lang w:val="zh-CN"/>
                      <w14:textFill>
                        <w14:solidFill>
                          <w14:schemeClr w14:val="tx1"/>
                        </w14:solidFill>
                      </w14:textFill>
                    </w:rPr>
                    <w:t>mg/m</w:t>
                  </w:r>
                  <w:r>
                    <w:rPr>
                      <w:color w:val="000000" w:themeColor="text1"/>
                      <w:szCs w:val="20"/>
                      <w:highlight w:val="none"/>
                      <w:vertAlign w:val="superscript"/>
                      <w:lang w:val="zh-CN"/>
                      <w14:textFill>
                        <w14:solidFill>
                          <w14:schemeClr w14:val="tx1"/>
                        </w14:solidFill>
                      </w14:textFill>
                    </w:rPr>
                    <w:t>3</w:t>
                  </w:r>
                  <w:r>
                    <w:rPr>
                      <w:color w:val="000000" w:themeColor="text1"/>
                      <w:highlight w:val="none"/>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165"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二级标准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restart"/>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大</w:t>
                  </w:r>
                </w:p>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气</w:t>
                  </w:r>
                </w:p>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环</w:t>
                  </w:r>
                </w:p>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境</w:t>
                  </w:r>
                </w:p>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质</w:t>
                  </w:r>
                </w:p>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量</w:t>
                  </w:r>
                </w:p>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现</w:t>
                  </w:r>
                </w:p>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状</w:t>
                  </w:r>
                </w:p>
              </w:tc>
              <w:tc>
                <w:tcPr>
                  <w:tcW w:w="2558" w:type="dxa"/>
                  <w:vMerge w:val="restart"/>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《环境空气质量标准》</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GB3095</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2012）</w:t>
                  </w:r>
                </w:p>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二级浓度限值</w:t>
                  </w:r>
                </w:p>
              </w:tc>
              <w:tc>
                <w:tcPr>
                  <w:tcW w:w="1145" w:type="dxa"/>
                  <w:vMerge w:val="restart"/>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SO</w:t>
                  </w:r>
                  <w:r>
                    <w:rPr>
                      <w:color w:val="000000" w:themeColor="text1"/>
                      <w:highlight w:val="none"/>
                      <w:vertAlign w:val="subscript"/>
                      <w14:textFill>
                        <w14:solidFill>
                          <w14:schemeClr w14:val="tx1"/>
                        </w14:solidFill>
                      </w14:textFill>
                    </w:rPr>
                    <w:t>2</w:t>
                  </w: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年平均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24小时平均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1小时平均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restart"/>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NO</w:t>
                  </w:r>
                  <w:r>
                    <w:rPr>
                      <w:color w:val="000000" w:themeColor="text1"/>
                      <w:highlight w:val="none"/>
                      <w:vertAlign w:val="subscript"/>
                      <w14:textFill>
                        <w14:solidFill>
                          <w14:schemeClr w14:val="tx1"/>
                        </w14:solidFill>
                      </w14:textFill>
                    </w:rPr>
                    <w:t>2</w:t>
                  </w: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年平均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24小时平均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1小时平均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restart"/>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CO</w:t>
                  </w: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24小时平均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1小时平均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0.075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restart"/>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O</w:t>
                  </w:r>
                  <w:r>
                    <w:rPr>
                      <w:color w:val="000000" w:themeColor="text1"/>
                      <w:highlight w:val="none"/>
                      <w:vertAlign w:val="subscript"/>
                      <w14:textFill>
                        <w14:solidFill>
                          <w14:schemeClr w14:val="tx1"/>
                        </w14:solidFill>
                      </w14:textFill>
                    </w:rPr>
                    <w:t>3</w:t>
                  </w: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日最大8小时平均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1小时平均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restart"/>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PM</w:t>
                  </w:r>
                  <w:r>
                    <w:rPr>
                      <w:color w:val="000000" w:themeColor="text1"/>
                      <w:highlight w:val="none"/>
                      <w:vertAlign w:val="subscript"/>
                      <w14:textFill>
                        <w14:solidFill>
                          <w14:schemeClr w14:val="tx1"/>
                        </w14:solidFill>
                      </w14:textFill>
                    </w:rPr>
                    <w:t>10</w:t>
                  </w: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年平均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24小时平均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restart"/>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PM</w:t>
                  </w:r>
                  <w:r>
                    <w:rPr>
                      <w:color w:val="000000" w:themeColor="text1"/>
                      <w:highlight w:val="none"/>
                      <w:vertAlign w:val="subscript"/>
                      <w14:textFill>
                        <w14:solidFill>
                          <w14:schemeClr w14:val="tx1"/>
                        </w14:solidFill>
                      </w14:textFill>
                    </w:rPr>
                    <w:t>2.5</w:t>
                  </w: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年平均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4.00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24小时平均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10.00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restart"/>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TSP</w:t>
                  </w: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年平均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16"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558"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1145" w:type="dxa"/>
                  <w:vMerge w:val="continue"/>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p>
              </w:tc>
              <w:tc>
                <w:tcPr>
                  <w:tcW w:w="2165" w:type="dxa"/>
                  <w:noWrap w:val="0"/>
                  <w:vAlign w:val="center"/>
                </w:tcPr>
                <w:p>
                  <w:pPr>
                    <w:pStyle w:val="38"/>
                    <w:adjustRightInd w:val="0"/>
                    <w:snapToGrid w:val="0"/>
                    <w:spacing w:line="240" w:lineRule="atLeas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24小时平均</w:t>
                  </w:r>
                </w:p>
              </w:tc>
              <w:tc>
                <w:tcPr>
                  <w:tcW w:w="1267" w:type="dxa"/>
                  <w:noWrap w:val="0"/>
                  <w:vAlign w:val="center"/>
                </w:tcPr>
                <w:p>
                  <w:pPr>
                    <w:autoSpaceDE w:val="0"/>
                    <w:autoSpaceDN w:val="0"/>
                    <w:adjustRightInd w:val="0"/>
                    <w:snapToGrid w:val="0"/>
                    <w:spacing w:line="240" w:lineRule="atLeast"/>
                    <w:jc w:val="center"/>
                    <w:rPr>
                      <w:color w:val="000000" w:themeColor="text1"/>
                      <w:highlight w:val="none"/>
                      <w14:textFill>
                        <w14:solidFill>
                          <w14:schemeClr w14:val="tx1"/>
                        </w14:solidFill>
                      </w14:textFill>
                    </w:rPr>
                  </w:pPr>
                  <w:r>
                    <w:rPr>
                      <w:color w:val="000000" w:themeColor="text1"/>
                      <w:szCs w:val="20"/>
                      <w:highlight w:val="none"/>
                      <w:lang w:val="zh-CN"/>
                      <w14:textFill>
                        <w14:solidFill>
                          <w14:schemeClr w14:val="tx1"/>
                        </w14:solidFill>
                      </w14:textFill>
                    </w:rPr>
                    <w:t>0.16</w:t>
                  </w:r>
                </w:p>
              </w:tc>
            </w:tr>
          </w:tbl>
          <w:p>
            <w:pPr>
              <w:spacing w:line="360" w:lineRule="auto"/>
              <w:ind w:firstLine="482" w:firstLineChars="200"/>
              <w:rPr>
                <w:rFonts w:ascii="Times New Roman"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lang w:val="en-US" w:eastAsia="zh-CN"/>
                <w14:textFill>
                  <w14:solidFill>
                    <w14:schemeClr w14:val="tx1"/>
                  </w14:solidFill>
                </w14:textFill>
              </w:rPr>
              <w:t>2</w:t>
            </w:r>
            <w:r>
              <w:rPr>
                <w:rFonts w:hint="eastAsia" w:cs="Times New Roman"/>
                <w:b/>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b/>
                <w:color w:val="000000" w:themeColor="text1"/>
                <w:sz w:val="24"/>
                <w:highlight w:val="none"/>
                <w:lang w:val="en-US" w:eastAsia="zh-CN"/>
                <w14:textFill>
                  <w14:solidFill>
                    <w14:schemeClr w14:val="tx1"/>
                  </w14:solidFill>
                </w14:textFill>
              </w:rPr>
              <w:t>声环境质量标准</w:t>
            </w:r>
          </w:p>
          <w:p>
            <w:pPr>
              <w:spacing w:line="360" w:lineRule="auto"/>
              <w:ind w:firstLine="480" w:firstLineChars="200"/>
              <w:rPr>
                <w:rFonts w:ascii="Times New Roman" w:hAnsi="Times New Roman" w:eastAsia="宋体" w:cs="Times New Roman"/>
                <w:b w:val="0"/>
                <w:bCs/>
                <w:color w:val="000000" w:themeColor="text1"/>
                <w:sz w:val="24"/>
                <w:highlight w:val="none"/>
                <w14:textFill>
                  <w14:solidFill>
                    <w14:schemeClr w14:val="tx1"/>
                  </w14:solidFill>
                </w14:textFill>
              </w:rPr>
            </w:pPr>
            <w:r>
              <w:rPr>
                <w:rFonts w:hint="eastAsia" w:ascii="Times New Roman" w:hAnsi="Times New Roman" w:eastAsia="宋体" w:cs="Times New Roman"/>
                <w:b w:val="0"/>
                <w:bCs/>
                <w:color w:val="000000" w:themeColor="text1"/>
                <w:sz w:val="24"/>
                <w:highlight w:val="none"/>
                <w:lang w:val="en-US" w:eastAsia="zh-CN"/>
                <w14:textFill>
                  <w14:solidFill>
                    <w14:schemeClr w14:val="tx1"/>
                  </w14:solidFill>
                </w14:textFill>
              </w:rPr>
              <w:t>执行《声环境质量标准》</w:t>
            </w:r>
            <w:r>
              <w:rPr>
                <w:rFonts w:hint="eastAsia" w:cs="Times New Roman"/>
                <w:b w:val="0"/>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highlight w:val="none"/>
                <w:lang w:val="en-US" w:eastAsia="zh-CN"/>
                <w14:textFill>
                  <w14:solidFill>
                    <w14:schemeClr w14:val="tx1"/>
                  </w14:solidFill>
                </w14:textFill>
              </w:rPr>
              <w:t>GB3096</w:t>
            </w:r>
            <w:r>
              <w:rPr>
                <w:rFonts w:hint="eastAsia" w:cs="Times New Roman"/>
                <w:b w:val="0"/>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highlight w:val="none"/>
                <w:lang w:val="en-US" w:eastAsia="zh-CN"/>
                <w14:textFill>
                  <w14:solidFill>
                    <w14:schemeClr w14:val="tx1"/>
                  </w14:solidFill>
                </w14:textFill>
              </w:rPr>
              <w:t>2008</w:t>
            </w:r>
            <w:r>
              <w:rPr>
                <w:rFonts w:hint="eastAsia" w:ascii="Times New Roman" w:hAnsi="Times New Roman" w:eastAsia="宋体" w:cs="Times New Roman"/>
                <w:b w:val="0"/>
                <w:bCs/>
                <w:color w:val="000000" w:themeColor="text1"/>
                <w:sz w:val="24"/>
                <w:highlight w:val="none"/>
                <w:lang w:val="en-US" w:eastAsia="zh-CN"/>
                <w14:textFill>
                  <w14:solidFill>
                    <w14:schemeClr w14:val="tx1"/>
                  </w14:solidFill>
                </w14:textFill>
              </w:rPr>
              <w:t>）</w:t>
            </w:r>
            <w:r>
              <w:rPr>
                <w:rFonts w:hint="eastAsia" w:cs="Times New Roman"/>
                <w:b w:val="0"/>
                <w:bCs/>
                <w:color w:val="000000" w:themeColor="text1"/>
                <w:sz w:val="24"/>
                <w:highlight w:val="none"/>
                <w:lang w:val="en-US" w:eastAsia="zh-CN"/>
                <w14:textFill>
                  <w14:solidFill>
                    <w14:schemeClr w14:val="tx1"/>
                  </w14:solidFill>
                </w14:textFill>
              </w:rPr>
              <w:t>1</w:t>
            </w:r>
            <w:r>
              <w:rPr>
                <w:rFonts w:hint="eastAsia" w:ascii="Times New Roman" w:hAnsi="Times New Roman" w:eastAsia="宋体" w:cs="Times New Roman"/>
                <w:b w:val="0"/>
                <w:bCs/>
                <w:color w:val="000000" w:themeColor="text1"/>
                <w:sz w:val="24"/>
                <w:highlight w:val="none"/>
                <w:lang w:val="en-US" w:eastAsia="zh-CN"/>
                <w14:textFill>
                  <w14:solidFill>
                    <w14:schemeClr w14:val="tx1"/>
                  </w14:solidFill>
                </w14:textFill>
              </w:rPr>
              <w:t>类标准，具体标准限值见表</w:t>
            </w:r>
            <w:r>
              <w:rPr>
                <w:rFonts w:hint="default" w:ascii="Times New Roman" w:hAnsi="Times New Roman" w:eastAsia="宋体" w:cs="Times New Roman"/>
                <w:b w:val="0"/>
                <w:bCs/>
                <w:color w:val="000000" w:themeColor="text1"/>
                <w:sz w:val="24"/>
                <w:highlight w:val="none"/>
                <w:lang w:val="en-US" w:eastAsia="zh-CN"/>
                <w14:textFill>
                  <w14:solidFill>
                    <w14:schemeClr w14:val="tx1"/>
                  </w14:solidFill>
                </w14:textFill>
              </w:rPr>
              <w:t>3</w:t>
            </w:r>
            <w:r>
              <w:rPr>
                <w:rFonts w:hint="eastAsia" w:cs="Times New Roman"/>
                <w:b w:val="0"/>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highlight w:val="none"/>
                <w:lang w:val="en-US" w:eastAsia="zh-CN"/>
                <w14:textFill>
                  <w14:solidFill>
                    <w14:schemeClr w14:val="tx1"/>
                  </w14:solidFill>
                </w14:textFill>
              </w:rPr>
              <w:t>8</w:t>
            </w:r>
            <w:r>
              <w:rPr>
                <w:rFonts w:hint="eastAsia" w:ascii="Times New Roman" w:hAnsi="Times New Roman" w:eastAsia="宋体" w:cs="Times New Roman"/>
                <w:b w:val="0"/>
                <w:bCs/>
                <w:color w:val="000000" w:themeColor="text1"/>
                <w:sz w:val="24"/>
                <w:highlight w:val="none"/>
                <w:lang w:val="en-US" w:eastAsia="zh-CN"/>
                <w14:textFill>
                  <w14:solidFill>
                    <w14:schemeClr w14:val="tx1"/>
                  </w14:solidFill>
                </w14:textFill>
              </w:rPr>
              <w:t>。</w:t>
            </w:r>
          </w:p>
          <w:p>
            <w:pPr>
              <w:ind w:firstLine="420" w:firstLineChars="200"/>
              <w:jc w:val="cente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pP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 xml:space="preserve">表 </w:t>
            </w:r>
            <w:r>
              <w:rPr>
                <w:rFonts w:hint="default"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3</w:t>
            </w: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-10</w:t>
            </w: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声环境质量标准</w:t>
            </w: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 xml:space="preserve">              </w:t>
            </w:r>
            <w:r>
              <w:rPr>
                <w:b w:val="0"/>
                <w:bCs w:val="0"/>
                <w:color w:val="000000" w:themeColor="text1"/>
                <w:sz w:val="21"/>
                <w:szCs w:val="21"/>
                <w:highlight w:val="none"/>
                <w14:textFill>
                  <w14:solidFill>
                    <w14:schemeClr w14:val="tx1"/>
                  </w14:solidFill>
                </w14:textFill>
              </w:rPr>
              <w:t>dB</w:t>
            </w:r>
            <w:r>
              <w:rPr>
                <w:rFonts w:hint="eastAsia"/>
                <w:b w:val="0"/>
                <w:bCs w:val="0"/>
                <w:color w:val="000000" w:themeColor="text1"/>
                <w:sz w:val="21"/>
                <w:szCs w:val="21"/>
                <w:highlight w:val="none"/>
                <w:lang w:eastAsia="zh-CN"/>
                <w14:textFill>
                  <w14:solidFill>
                    <w14:schemeClr w14:val="tx1"/>
                  </w14:solidFill>
                </w14:textFill>
              </w:rPr>
              <w:t>（</w:t>
            </w:r>
            <w:r>
              <w:rPr>
                <w:b w:val="0"/>
                <w:bCs w:val="0"/>
                <w:color w:val="000000" w:themeColor="text1"/>
                <w:sz w:val="21"/>
                <w:szCs w:val="21"/>
                <w:highlight w:val="none"/>
                <w14:textFill>
                  <w14:solidFill>
                    <w14:schemeClr w14:val="tx1"/>
                  </w14:solidFill>
                </w14:textFill>
              </w:rPr>
              <w:t>A）</w:t>
            </w:r>
          </w:p>
          <w:tbl>
            <w:tblPr>
              <w:tblStyle w:val="24"/>
              <w:tblW w:w="740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83"/>
              <w:gridCol w:w="1320"/>
              <w:gridCol w:w="1602"/>
              <w:gridCol w:w="34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983" w:type="dxa"/>
                  <w:vMerge w:val="restart"/>
                  <w:tcBorders>
                    <w:tl2br w:val="nil"/>
                    <w:tr2bl w:val="nil"/>
                  </w:tcBorders>
                  <w:vAlign w:val="center"/>
                </w:tcPr>
                <w:p>
                  <w:pPr>
                    <w:pStyle w:val="47"/>
                    <w:spacing w:line="240" w:lineRule="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b w:val="0"/>
                      <w:bCs w:val="0"/>
                      <w:color w:val="000000" w:themeColor="text1"/>
                      <w:sz w:val="21"/>
                      <w:szCs w:val="21"/>
                      <w:highlight w:val="none"/>
                      <w14:textFill>
                        <w14:solidFill>
                          <w14:schemeClr w14:val="tx1"/>
                        </w14:solidFill>
                      </w14:textFill>
                    </w:rPr>
                    <w:t>类别</w:t>
                  </w:r>
                </w:p>
              </w:tc>
              <w:tc>
                <w:tcPr>
                  <w:tcW w:w="2922" w:type="dxa"/>
                  <w:gridSpan w:val="2"/>
                  <w:tcBorders>
                    <w:tl2br w:val="nil"/>
                    <w:tr2bl w:val="nil"/>
                  </w:tcBorders>
                  <w:vAlign w:val="center"/>
                </w:tcPr>
                <w:p>
                  <w:pPr>
                    <w:pStyle w:val="47"/>
                    <w:spacing w:line="240" w:lineRule="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b w:val="0"/>
                      <w:bCs w:val="0"/>
                      <w:color w:val="000000" w:themeColor="text1"/>
                      <w:sz w:val="21"/>
                      <w:szCs w:val="21"/>
                      <w:highlight w:val="none"/>
                      <w14:textFill>
                        <w14:solidFill>
                          <w14:schemeClr w14:val="tx1"/>
                        </w14:solidFill>
                      </w14:textFill>
                    </w:rPr>
                    <w:t>噪声限值</w:t>
                  </w:r>
                </w:p>
              </w:tc>
              <w:tc>
                <w:tcPr>
                  <w:tcW w:w="3498" w:type="dxa"/>
                  <w:tcBorders>
                    <w:tl2br w:val="nil"/>
                    <w:tr2bl w:val="nil"/>
                  </w:tcBorders>
                  <w:vAlign w:val="center"/>
                </w:tcPr>
                <w:p>
                  <w:pPr>
                    <w:spacing w:line="320" w:lineRule="exact"/>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标准来源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983" w:type="dxa"/>
                  <w:vMerge w:val="continue"/>
                  <w:tcBorders>
                    <w:tl2br w:val="nil"/>
                    <w:tr2bl w:val="nil"/>
                  </w:tcBorders>
                  <w:vAlign w:val="center"/>
                </w:tcPr>
                <w:p>
                  <w:pPr>
                    <w:pStyle w:val="47"/>
                    <w:spacing w:line="240" w:lineRule="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320" w:type="dxa"/>
                  <w:tcBorders>
                    <w:tl2br w:val="nil"/>
                    <w:tr2bl w:val="nil"/>
                  </w:tcBorders>
                  <w:vAlign w:val="center"/>
                </w:tcPr>
                <w:p>
                  <w:pPr>
                    <w:pStyle w:val="47"/>
                    <w:spacing w:line="240" w:lineRule="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b w:val="0"/>
                      <w:bCs w:val="0"/>
                      <w:color w:val="000000" w:themeColor="text1"/>
                      <w:sz w:val="21"/>
                      <w:szCs w:val="21"/>
                      <w:highlight w:val="none"/>
                      <w14:textFill>
                        <w14:solidFill>
                          <w14:schemeClr w14:val="tx1"/>
                        </w14:solidFill>
                      </w14:textFill>
                    </w:rPr>
                    <w:t>昼间</w:t>
                  </w:r>
                </w:p>
              </w:tc>
              <w:tc>
                <w:tcPr>
                  <w:tcW w:w="1602" w:type="dxa"/>
                  <w:tcBorders>
                    <w:tl2br w:val="nil"/>
                    <w:tr2bl w:val="nil"/>
                  </w:tcBorders>
                  <w:vAlign w:val="center"/>
                </w:tcPr>
                <w:p>
                  <w:pPr>
                    <w:pStyle w:val="47"/>
                    <w:spacing w:line="240" w:lineRule="auto"/>
                    <w:rPr>
                      <w:color w:val="000000" w:themeColor="text1"/>
                      <w:highlight w:val="none"/>
                      <w14:textFill>
                        <w14:solidFill>
                          <w14:schemeClr w14:val="tx1"/>
                        </w14:solidFill>
                      </w14:textFill>
                    </w:rPr>
                  </w:pPr>
                  <w:r>
                    <w:rPr>
                      <w:b w:val="0"/>
                      <w:bCs w:val="0"/>
                      <w:color w:val="000000" w:themeColor="text1"/>
                      <w:sz w:val="21"/>
                      <w:szCs w:val="21"/>
                      <w:highlight w:val="none"/>
                      <w14:textFill>
                        <w14:solidFill>
                          <w14:schemeClr w14:val="tx1"/>
                        </w14:solidFill>
                      </w14:textFill>
                    </w:rPr>
                    <w:t>夜间</w:t>
                  </w:r>
                </w:p>
              </w:tc>
              <w:tc>
                <w:tcPr>
                  <w:tcW w:w="3498" w:type="dxa"/>
                  <w:vMerge w:val="restart"/>
                  <w:tcBorders>
                    <w:tl2br w:val="nil"/>
                    <w:tr2bl w:val="nil"/>
                  </w:tcBorders>
                  <w:vAlign w:val="center"/>
                </w:tcPr>
                <w:p>
                  <w:pPr>
                    <w:spacing w:line="320" w:lineRule="exact"/>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《声环境质量标准》</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GB3096</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983" w:type="dxa"/>
                  <w:tcBorders>
                    <w:tl2br w:val="nil"/>
                    <w:tr2bl w:val="nil"/>
                  </w:tcBorders>
                  <w:vAlign w:val="center"/>
                </w:tcPr>
                <w:p>
                  <w:pPr>
                    <w:pStyle w:val="47"/>
                    <w:spacing w:line="240" w:lineRule="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1类</w:t>
                  </w:r>
                </w:p>
              </w:tc>
              <w:tc>
                <w:tcPr>
                  <w:tcW w:w="1320" w:type="dxa"/>
                  <w:tcBorders>
                    <w:tl2br w:val="nil"/>
                    <w:tr2bl w:val="nil"/>
                  </w:tcBorders>
                  <w:vAlign w:val="center"/>
                </w:tcPr>
                <w:p>
                  <w:pPr>
                    <w:pStyle w:val="47"/>
                    <w:spacing w:line="240" w:lineRule="auto"/>
                    <w:rPr>
                      <w:rFonts w:hint="eastAsia" w:eastAsia="宋体" w:cs="Times New Roman"/>
                      <w:color w:val="000000" w:themeColor="text1"/>
                      <w:sz w:val="21"/>
                      <w:szCs w:val="21"/>
                      <w:highlight w:val="none"/>
                      <w:lang w:val="en-US" w:eastAsia="zh-CN"/>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55</w:t>
                  </w:r>
                </w:p>
              </w:tc>
              <w:tc>
                <w:tcPr>
                  <w:tcW w:w="1602" w:type="dxa"/>
                  <w:tcBorders>
                    <w:tl2br w:val="nil"/>
                    <w:tr2bl w:val="nil"/>
                  </w:tcBorders>
                  <w:vAlign w:val="center"/>
                </w:tcPr>
                <w:p>
                  <w:pPr>
                    <w:pStyle w:val="47"/>
                    <w:spacing w:line="240" w:lineRule="auto"/>
                    <w:rPr>
                      <w:color w:val="000000" w:themeColor="text1"/>
                      <w:highlight w:val="none"/>
                      <w14:textFill>
                        <w14:solidFill>
                          <w14:schemeClr w14:val="tx1"/>
                        </w14:solidFill>
                      </w14:textFill>
                    </w:rPr>
                  </w:pPr>
                  <w:r>
                    <w:rPr>
                      <w:rFonts w:hint="eastAsia" w:eastAsia="宋体"/>
                      <w:b w:val="0"/>
                      <w:bCs w:val="0"/>
                      <w:color w:val="000000" w:themeColor="text1"/>
                      <w:sz w:val="21"/>
                      <w:szCs w:val="21"/>
                      <w:highlight w:val="none"/>
                      <w:lang w:val="en-US" w:eastAsia="zh-CN"/>
                      <w14:textFill>
                        <w14:solidFill>
                          <w14:schemeClr w14:val="tx1"/>
                        </w14:solidFill>
                      </w14:textFill>
                    </w:rPr>
                    <w:t>45</w:t>
                  </w:r>
                </w:p>
              </w:tc>
              <w:tc>
                <w:tcPr>
                  <w:tcW w:w="3498" w:type="dxa"/>
                  <w:vMerge w:val="continue"/>
                  <w:tcBorders>
                    <w:tl2br w:val="nil"/>
                    <w:tr2bl w:val="nil"/>
                  </w:tcBorders>
                  <w:vAlign w:val="center"/>
                </w:tcPr>
                <w:p>
                  <w:pPr>
                    <w:spacing w:line="320" w:lineRule="exact"/>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bl>
          <w:p>
            <w:pPr>
              <w:spacing w:line="360" w:lineRule="auto"/>
              <w:ind w:firstLine="482" w:firstLineChars="200"/>
              <w:rPr>
                <w:rFonts w:hint="eastAsia" w:ascii="Times New Roman" w:hAnsi="Times New Roman" w:eastAsia="宋体" w:cs="Times New Roman"/>
                <w:b/>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b/>
                <w:color w:val="000000" w:themeColor="text1"/>
                <w:sz w:val="24"/>
                <w:highlight w:val="none"/>
                <w:lang w:val="en-US" w:eastAsia="zh-CN"/>
                <w14:textFill>
                  <w14:solidFill>
                    <w14:schemeClr w14:val="tx1"/>
                  </w14:solidFill>
                </w14:textFill>
              </w:rPr>
              <w:t>3</w:t>
            </w:r>
            <w:r>
              <w:rPr>
                <w:rFonts w:hint="eastAsia" w:cs="Times New Roman"/>
                <w:b/>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b/>
                <w:color w:val="000000" w:themeColor="text1"/>
                <w:sz w:val="24"/>
                <w:highlight w:val="none"/>
                <w:lang w:val="en-US" w:eastAsia="zh-CN"/>
                <w14:textFill>
                  <w14:solidFill>
                    <w14:schemeClr w14:val="tx1"/>
                  </w14:solidFill>
                </w14:textFill>
              </w:rPr>
              <w:t>地下水环境质量标准</w:t>
            </w:r>
          </w:p>
          <w:p>
            <w:pPr>
              <w:pStyle w:val="42"/>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t>执行《地下水质量标准》</w:t>
            </w:r>
            <w:r>
              <w:rPr>
                <w:rFonts w:hint="eastAsia" w:ascii="Times New Roman" w:hAnsi="Times New Roman" w:cs="Times New Roman"/>
                <w:b w:val="0"/>
                <w:bCs/>
                <w:color w:val="000000" w:themeColor="text1"/>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t>GB/T14848</w:t>
            </w:r>
            <w:r>
              <w:rPr>
                <w:rFonts w:hint="eastAsia" w:ascii="Times New Roman" w:hAnsi="Times New Roman" w:cs="Times New Roman"/>
                <w:b w:val="0"/>
                <w:bCs/>
                <w:color w:val="000000" w:themeColor="text1"/>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t>2017）Ⅲ类标准。</w:t>
            </w:r>
          </w:p>
          <w:p>
            <w:pPr>
              <w:tabs>
                <w:tab w:val="left" w:pos="0"/>
              </w:tabs>
              <w:spacing w:line="360" w:lineRule="auto"/>
              <w:ind w:firstLine="482" w:firstLineChars="200"/>
              <w:rPr>
                <w:rFonts w:hint="default"/>
                <w:color w:val="000000" w:themeColor="text1"/>
                <w:sz w:val="24"/>
                <w:szCs w:val="24"/>
                <w:highlight w:val="none"/>
                <w:lang w:val="en-US" w:eastAsia="zh-CN"/>
                <w14:textFill>
                  <w14:solidFill>
                    <w14:schemeClr w14:val="tx1"/>
                  </w14:solidFill>
                </w14:textFill>
              </w:rPr>
            </w:pPr>
            <w:r>
              <w:rPr>
                <w:b/>
                <w:color w:val="000000" w:themeColor="text1"/>
                <w:sz w:val="24"/>
                <w:highlight w:val="none"/>
                <w14:textFill>
                  <w14:solidFill>
                    <w14:schemeClr w14:val="tx1"/>
                  </w14:solidFill>
                </w14:textFill>
              </w:rPr>
              <w:t>二、污染物排放标准</w:t>
            </w:r>
          </w:p>
          <w:p>
            <w:pPr>
              <w:widowControl/>
              <w:spacing w:line="360" w:lineRule="auto"/>
              <w:ind w:firstLine="480" w:firstLineChars="200"/>
              <w:jc w:val="both"/>
              <w:rPr>
                <w:color w:val="000000" w:themeColor="text1"/>
                <w:sz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highlight w:val="none"/>
                <w14:textFill>
                  <w14:solidFill>
                    <w14:schemeClr w14:val="tx1"/>
                  </w14:solidFill>
                </w14:textFill>
              </w:rPr>
              <w:t>大气污染物排放标准</w:t>
            </w:r>
          </w:p>
          <w:p>
            <w:pPr>
              <w:widowControl/>
              <w:spacing w:line="360" w:lineRule="auto"/>
              <w:ind w:firstLine="480" w:firstLineChars="200"/>
              <w:jc w:val="both"/>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pPr>
            <w:r>
              <w:rPr>
                <w:color w:val="000000" w:themeColor="text1"/>
                <w:sz w:val="24"/>
                <w:highlight w:val="none"/>
                <w14:textFill>
                  <w14:solidFill>
                    <w14:schemeClr w14:val="tx1"/>
                  </w14:solidFill>
                </w14:textFill>
              </w:rPr>
              <w:t>本项目施工期产生的扬尘执行《大气污染物综合排放标准》</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GB16297</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1996）表2新污染源大气污染物排放限值中的无组织排放监控浓度限值</w:t>
            </w:r>
            <w:r>
              <w:rPr>
                <w:rFonts w:hint="eastAsia"/>
                <w:color w:val="000000" w:themeColor="text1"/>
                <w:sz w:val="24"/>
                <w:highlight w:val="none"/>
                <w:lang w:eastAsia="zh-CN"/>
                <w14:textFill>
                  <w14:solidFill>
                    <w14:schemeClr w14:val="tx1"/>
                  </w14:solidFill>
                </w14:textFill>
              </w:rPr>
              <w:t>；</w:t>
            </w:r>
            <w:r>
              <w:rPr>
                <w:rFonts w:ascii="Times New Roman" w:hAnsi="Times New Roman" w:cs="Times New Roman"/>
                <w:color w:val="auto"/>
                <w:sz w:val="24"/>
                <w:szCs w:val="24"/>
                <w:highlight w:val="none"/>
                <w:lang w:val="en-US"/>
              </w:rPr>
              <w:t>运营期厂界大气污染物执行《煤炭工业污染物排放标准》</w:t>
            </w:r>
            <w:r>
              <w:rPr>
                <w:rFonts w:hint="eastAsia" w:cs="Times New Roman"/>
                <w:color w:val="auto"/>
                <w:sz w:val="24"/>
                <w:szCs w:val="24"/>
                <w:highlight w:val="none"/>
                <w:lang w:val="en-US" w:eastAsia="zh-CN"/>
              </w:rPr>
              <w:t>（</w:t>
            </w:r>
            <w:r>
              <w:rPr>
                <w:rFonts w:ascii="Times New Roman" w:hAnsi="Times New Roman" w:cs="Times New Roman"/>
                <w:color w:val="auto"/>
                <w:sz w:val="24"/>
                <w:szCs w:val="24"/>
                <w:highlight w:val="none"/>
                <w:lang w:val="en-US"/>
              </w:rPr>
              <w:t>GB20426</w:t>
            </w:r>
            <w:r>
              <w:rPr>
                <w:rFonts w:hint="eastAsia" w:cs="Times New Roman"/>
                <w:color w:val="auto"/>
                <w:sz w:val="24"/>
                <w:szCs w:val="24"/>
                <w:highlight w:val="none"/>
                <w:lang w:val="en-US" w:eastAsia="zh-CN"/>
              </w:rPr>
              <w:t>-</w:t>
            </w:r>
            <w:r>
              <w:rPr>
                <w:rFonts w:ascii="Times New Roman" w:hAnsi="Times New Roman" w:cs="Times New Roman"/>
                <w:color w:val="auto"/>
                <w:sz w:val="24"/>
                <w:szCs w:val="24"/>
                <w:highlight w:val="none"/>
                <w:lang w:val="en-US"/>
              </w:rPr>
              <w:t>2006）颗粒物无组织排放限值</w:t>
            </w:r>
            <w:r>
              <w:rPr>
                <w:rFonts w:hint="eastAsia"/>
                <w:color w:val="000000" w:themeColor="text1"/>
                <w:sz w:val="24"/>
                <w:highlight w:val="none"/>
                <w:lang w:val="en-US" w:eastAsia="zh-CN"/>
                <w14:textFill>
                  <w14:solidFill>
                    <w14:schemeClr w14:val="tx1"/>
                  </w14:solidFill>
                </w14:textFill>
              </w:rPr>
              <w:t>。</w:t>
            </w:r>
            <w:r>
              <w:rPr>
                <w:color w:val="000000" w:themeColor="text1"/>
                <w:sz w:val="24"/>
                <w:highlight w:val="none"/>
                <w14:textFill>
                  <w14:solidFill>
                    <w14:schemeClr w14:val="tx1"/>
                  </w14:solidFill>
                </w14:textFill>
              </w:rPr>
              <w:t>具体标准值见表</w:t>
            </w:r>
            <w:r>
              <w:rPr>
                <w:rFonts w:hint="eastAsia"/>
                <w:color w:val="000000" w:themeColor="text1"/>
                <w:sz w:val="24"/>
                <w:highlight w:val="none"/>
                <w:lang w:val="en-US" w:eastAsia="zh-CN"/>
                <w14:textFill>
                  <w14:solidFill>
                    <w14:schemeClr w14:val="tx1"/>
                  </w14:solidFill>
                </w14:textFill>
              </w:rPr>
              <w:t>3-11</w:t>
            </w:r>
            <w:r>
              <w:rPr>
                <w:color w:val="000000" w:themeColor="text1"/>
                <w:sz w:val="24"/>
                <w:highlight w:val="none"/>
                <w14:textFill>
                  <w14:solidFill>
                    <w14:schemeClr w14:val="tx1"/>
                  </w14:solidFill>
                </w14:textFill>
              </w:rPr>
              <w:t>。</w:t>
            </w:r>
          </w:p>
          <w:p>
            <w:pPr>
              <w:ind w:firstLine="420" w:firstLineChars="200"/>
              <w:jc w:val="cente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表3</w:t>
            </w: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-11</w:t>
            </w: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大气污染物排放限值</w:t>
            </w:r>
          </w:p>
          <w:tbl>
            <w:tblPr>
              <w:tblStyle w:val="23"/>
              <w:tblW w:w="8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7"/>
              <w:gridCol w:w="1607"/>
              <w:gridCol w:w="1990"/>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607" w:type="dxa"/>
                  <w:vMerge w:val="restart"/>
                  <w:noWrap w:val="0"/>
                  <w:vAlign w:val="center"/>
                </w:tcPr>
                <w:p>
                  <w:pPr>
                    <w:widowControl/>
                    <w:spacing w:line="240" w:lineRule="atLeast"/>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时期</w:t>
                  </w:r>
                </w:p>
              </w:tc>
              <w:tc>
                <w:tcPr>
                  <w:tcW w:w="1607" w:type="dxa"/>
                  <w:vMerge w:val="restart"/>
                  <w:noWrap w:val="0"/>
                  <w:vAlign w:val="center"/>
                </w:tcPr>
                <w:p>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污染物</w:t>
                  </w:r>
                </w:p>
              </w:tc>
              <w:tc>
                <w:tcPr>
                  <w:tcW w:w="4885" w:type="dxa"/>
                  <w:gridSpan w:val="2"/>
                  <w:noWrap w:val="0"/>
                  <w:vAlign w:val="top"/>
                </w:tcPr>
                <w:p>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607" w:type="dxa"/>
                  <w:vMerge w:val="continue"/>
                  <w:noWrap w:val="0"/>
                  <w:vAlign w:val="top"/>
                </w:tcPr>
                <w:p>
                  <w:pPr>
                    <w:widowControl/>
                    <w:spacing w:line="240" w:lineRule="atLeast"/>
                    <w:jc w:val="center"/>
                    <w:rPr>
                      <w:color w:val="000000" w:themeColor="text1"/>
                      <w:sz w:val="21"/>
                      <w:szCs w:val="21"/>
                      <w:highlight w:val="none"/>
                      <w14:textFill>
                        <w14:solidFill>
                          <w14:schemeClr w14:val="tx1"/>
                        </w14:solidFill>
                      </w14:textFill>
                    </w:rPr>
                  </w:pPr>
                </w:p>
              </w:tc>
              <w:tc>
                <w:tcPr>
                  <w:tcW w:w="1607" w:type="dxa"/>
                  <w:vMerge w:val="continue"/>
                  <w:noWrap w:val="0"/>
                  <w:vAlign w:val="top"/>
                </w:tcPr>
                <w:p>
                  <w:pPr>
                    <w:widowControl/>
                    <w:spacing w:line="240" w:lineRule="atLeast"/>
                    <w:jc w:val="center"/>
                    <w:rPr>
                      <w:color w:val="000000" w:themeColor="text1"/>
                      <w:sz w:val="21"/>
                      <w:szCs w:val="21"/>
                      <w:highlight w:val="none"/>
                      <w14:textFill>
                        <w14:solidFill>
                          <w14:schemeClr w14:val="tx1"/>
                        </w14:solidFill>
                      </w14:textFill>
                    </w:rPr>
                  </w:pPr>
                </w:p>
              </w:tc>
              <w:tc>
                <w:tcPr>
                  <w:tcW w:w="1990" w:type="dxa"/>
                  <w:noWrap w:val="0"/>
                  <w:vAlign w:val="top"/>
                </w:tcPr>
                <w:p>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监控点</w:t>
                  </w:r>
                </w:p>
              </w:tc>
              <w:tc>
                <w:tcPr>
                  <w:tcW w:w="2895" w:type="dxa"/>
                  <w:noWrap w:val="0"/>
                  <w:vAlign w:val="top"/>
                </w:tcPr>
                <w:p>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浓度</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14:textFill>
                        <w14:solidFill>
                          <w14:schemeClr w14:val="tx1"/>
                        </w14:solidFill>
                      </w14:textFill>
                    </w:rPr>
                    <w:t>mg/m</w:t>
                  </w:r>
                  <w:r>
                    <w:rPr>
                      <w:color w:val="000000" w:themeColor="text1"/>
                      <w:sz w:val="21"/>
                      <w:szCs w:val="21"/>
                      <w:highlight w:val="none"/>
                      <w:vertAlign w:val="superscript"/>
                      <w14:textFill>
                        <w14:solidFill>
                          <w14:schemeClr w14:val="tx1"/>
                        </w14:solidFill>
                      </w14:textFill>
                    </w:rPr>
                    <w:t>3</w:t>
                  </w:r>
                  <w:r>
                    <w:rPr>
                      <w:color w:val="000000" w:themeColor="text1"/>
                      <w:sz w:val="2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607" w:type="dxa"/>
                  <w:noWrap w:val="0"/>
                  <w:vAlign w:val="top"/>
                </w:tcPr>
                <w:p>
                  <w:pPr>
                    <w:widowControl/>
                    <w:spacing w:line="240" w:lineRule="atLeast"/>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施工前</w:t>
                  </w:r>
                </w:p>
              </w:tc>
              <w:tc>
                <w:tcPr>
                  <w:tcW w:w="1607" w:type="dxa"/>
                  <w:noWrap w:val="0"/>
                  <w:vAlign w:val="top"/>
                </w:tcPr>
                <w:p>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颗粒物</w:t>
                  </w:r>
                </w:p>
              </w:tc>
              <w:tc>
                <w:tcPr>
                  <w:tcW w:w="1990" w:type="dxa"/>
                  <w:noWrap w:val="0"/>
                  <w:vAlign w:val="top"/>
                </w:tcPr>
                <w:p>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周界外浓度最高点</w:t>
                  </w:r>
                </w:p>
              </w:tc>
              <w:tc>
                <w:tcPr>
                  <w:tcW w:w="2895" w:type="dxa"/>
                  <w:noWrap w:val="0"/>
                  <w:vAlign w:val="top"/>
                </w:tcPr>
                <w:p>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607" w:type="dxa"/>
                  <w:noWrap w:val="0"/>
                  <w:vAlign w:val="top"/>
                </w:tcPr>
                <w:p>
                  <w:pPr>
                    <w:widowControl/>
                    <w:spacing w:line="240" w:lineRule="atLeast"/>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运营期</w:t>
                  </w:r>
                </w:p>
              </w:tc>
              <w:tc>
                <w:tcPr>
                  <w:tcW w:w="1607" w:type="dxa"/>
                  <w:noWrap w:val="0"/>
                  <w:vAlign w:val="top"/>
                </w:tcPr>
                <w:p>
                  <w:pPr>
                    <w:widowControl/>
                    <w:spacing w:line="240" w:lineRule="atLeast"/>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颗粒物</w:t>
                  </w:r>
                </w:p>
              </w:tc>
              <w:tc>
                <w:tcPr>
                  <w:tcW w:w="4885" w:type="dxa"/>
                  <w:gridSpan w:val="2"/>
                  <w:noWrap w:val="0"/>
                  <w:vAlign w:val="top"/>
                </w:tcPr>
                <w:p>
                  <w:pPr>
                    <w:widowControl/>
                    <w:spacing w:line="240" w:lineRule="atLeast"/>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无组织颗粒物排放浓度1.0mg/m</w:t>
                  </w:r>
                  <w:r>
                    <w:rPr>
                      <w:rFonts w:hint="eastAsia"/>
                      <w:color w:val="000000" w:themeColor="text1"/>
                      <w:sz w:val="21"/>
                      <w:szCs w:val="21"/>
                      <w:highlight w:val="none"/>
                      <w:vertAlign w:val="superscript"/>
                      <w14:textFill>
                        <w14:solidFill>
                          <w14:schemeClr w14:val="tx1"/>
                        </w14:solidFill>
                      </w14:textFill>
                    </w:rPr>
                    <w:t>3</w:t>
                  </w:r>
                </w:p>
              </w:tc>
            </w:tr>
          </w:tbl>
          <w:p>
            <w:pPr>
              <w:widowControl/>
              <w:spacing w:line="360" w:lineRule="auto"/>
              <w:ind w:firstLine="480" w:firstLineChars="20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2.噪声排放标准</w:t>
            </w:r>
          </w:p>
          <w:p>
            <w:pPr>
              <w:widowControl/>
              <w:spacing w:line="360" w:lineRule="auto"/>
              <w:ind w:firstLine="480" w:firstLineChars="200"/>
              <w:jc w:val="both"/>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项目施工期噪声排放执行《建筑施工场界环境噪声排放标准》</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GB12523</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2011），《工业企业厂界噪声排放标准》</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GB12348</w:t>
            </w:r>
            <w:r>
              <w:rPr>
                <w:rFonts w:hint="eastAsia"/>
                <w:color w:val="000000" w:themeColor="text1"/>
                <w:sz w:val="24"/>
                <w:highlight w:val="none"/>
                <w:lang w:eastAsia="zh-CN"/>
                <w14:textFill>
                  <w14:solidFill>
                    <w14:schemeClr w14:val="tx1"/>
                  </w14:solidFill>
                </w14:textFill>
              </w:rPr>
              <w:t>-</w:t>
            </w:r>
            <w:r>
              <w:rPr>
                <w:color w:val="000000" w:themeColor="text1"/>
                <w:sz w:val="24"/>
                <w:highlight w:val="none"/>
                <w14:textFill>
                  <w14:solidFill>
                    <w14:schemeClr w14:val="tx1"/>
                  </w14:solidFill>
                </w14:textFill>
              </w:rPr>
              <w:t>2008）中的</w:t>
            </w:r>
            <w:r>
              <w:rPr>
                <w:rFonts w:hint="eastAsia"/>
                <w:color w:val="000000" w:themeColor="text1"/>
                <w:sz w:val="24"/>
                <w:highlight w:val="none"/>
                <w:lang w:val="en-US" w:eastAsia="zh-CN"/>
                <w14:textFill>
                  <w14:solidFill>
                    <w14:schemeClr w14:val="tx1"/>
                  </w14:solidFill>
                </w14:textFill>
              </w:rPr>
              <w:t>1</w:t>
            </w:r>
            <w:r>
              <w:rPr>
                <w:color w:val="000000" w:themeColor="text1"/>
                <w:sz w:val="24"/>
                <w:highlight w:val="none"/>
                <w14:textFill>
                  <w14:solidFill>
                    <w14:schemeClr w14:val="tx1"/>
                  </w14:solidFill>
                </w14:textFill>
              </w:rPr>
              <w:t>类标准噪声限值见表</w:t>
            </w:r>
            <w:r>
              <w:rPr>
                <w:rFonts w:hint="eastAsia"/>
                <w:color w:val="000000" w:themeColor="text1"/>
                <w:sz w:val="24"/>
                <w:highlight w:val="none"/>
                <w:lang w:val="en-US" w:eastAsia="zh-CN"/>
                <w14:textFill>
                  <w14:solidFill>
                    <w14:schemeClr w14:val="tx1"/>
                  </w14:solidFill>
                </w14:textFill>
              </w:rPr>
              <w:t>3-12</w:t>
            </w:r>
            <w:r>
              <w:rPr>
                <w:color w:val="000000" w:themeColor="text1"/>
                <w:sz w:val="24"/>
                <w:highlight w:val="none"/>
                <w14:textFill>
                  <w14:solidFill>
                    <w14:schemeClr w14:val="tx1"/>
                  </w14:solidFill>
                </w14:textFill>
              </w:rPr>
              <w:t>。</w:t>
            </w:r>
          </w:p>
          <w:p>
            <w:pPr>
              <w:widowControl/>
              <w:jc w:val="center"/>
              <w:rPr>
                <w:color w:val="000000" w:themeColor="text1"/>
                <w:sz w:val="24"/>
                <w:highlight w:val="none"/>
                <w14:textFill>
                  <w14:solidFill>
                    <w14:schemeClr w14:val="tx1"/>
                  </w14:solidFill>
                </w14:textFill>
              </w:rPr>
            </w:pP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 xml:space="preserve">                   表3</w:t>
            </w: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1</w:t>
            </w: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2</w:t>
            </w: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建筑施工厂界环境噪声排放限值       单位：dB</w:t>
            </w:r>
            <w:r>
              <w:rPr>
                <w:rFonts w:hint="eastAsia"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spacing w:val="0"/>
                <w:w w:val="100"/>
                <w:kern w:val="0"/>
                <w:position w:val="0"/>
                <w:sz w:val="21"/>
                <w:szCs w:val="21"/>
                <w:highlight w:val="none"/>
                <w:lang w:val="en-US" w:eastAsia="zh-CN" w:bidi="ar-SA"/>
                <w14:textFill>
                  <w14:solidFill>
                    <w14:schemeClr w14:val="tx1"/>
                  </w14:solidFill>
                </w14:textFill>
              </w:rPr>
              <w:t>A）</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4"/>
              <w:gridCol w:w="2635"/>
              <w:gridCol w:w="2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646" w:type="dxa"/>
                  <w:noWrap w:val="0"/>
                  <w:vAlign w:val="center"/>
                </w:tcPr>
                <w:p>
                  <w:pPr>
                    <w:widowControl/>
                    <w:spacing w:line="240" w:lineRule="atLeast"/>
                    <w:jc w:val="center"/>
                    <w:rPr>
                      <w:rFonts w:hint="default"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时期</w:t>
                  </w:r>
                </w:p>
              </w:tc>
              <w:tc>
                <w:tcPr>
                  <w:tcW w:w="2646" w:type="dxa"/>
                  <w:noWrap w:val="0"/>
                  <w:vAlign w:val="top"/>
                </w:tcPr>
                <w:p>
                  <w:pPr>
                    <w:widowControl/>
                    <w:spacing w:line="240" w:lineRule="atLeast"/>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昼间</w:t>
                  </w:r>
                </w:p>
              </w:tc>
              <w:tc>
                <w:tcPr>
                  <w:tcW w:w="2647" w:type="dxa"/>
                  <w:noWrap w:val="0"/>
                  <w:vAlign w:val="top"/>
                </w:tcPr>
                <w:p>
                  <w:pPr>
                    <w:widowControl/>
                    <w:spacing w:line="240" w:lineRule="atLeast"/>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646" w:type="dxa"/>
                  <w:noWrap w:val="0"/>
                  <w:vAlign w:val="top"/>
                </w:tcPr>
                <w:p>
                  <w:pPr>
                    <w:widowControl/>
                    <w:spacing w:line="240" w:lineRule="atLeast"/>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施工</w:t>
                  </w:r>
                  <w:r>
                    <w:rPr>
                      <w:rFonts w:hint="eastAsia"/>
                      <w:color w:val="000000" w:themeColor="text1"/>
                      <w:sz w:val="24"/>
                      <w:highlight w:val="none"/>
                      <w:lang w:eastAsia="zh-CN"/>
                      <w14:textFill>
                        <w14:solidFill>
                          <w14:schemeClr w14:val="tx1"/>
                        </w14:solidFill>
                      </w14:textFill>
                    </w:rPr>
                    <w:t>期</w:t>
                  </w:r>
                </w:p>
              </w:tc>
              <w:tc>
                <w:tcPr>
                  <w:tcW w:w="2646" w:type="dxa"/>
                  <w:noWrap w:val="0"/>
                  <w:vAlign w:val="top"/>
                </w:tcPr>
                <w:p>
                  <w:pPr>
                    <w:widowControl/>
                    <w:spacing w:line="240" w:lineRule="atLeast"/>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70</w:t>
                  </w:r>
                </w:p>
              </w:tc>
              <w:tc>
                <w:tcPr>
                  <w:tcW w:w="2647" w:type="dxa"/>
                  <w:noWrap w:val="0"/>
                  <w:vAlign w:val="top"/>
                </w:tcPr>
                <w:p>
                  <w:pPr>
                    <w:widowControl/>
                    <w:spacing w:line="240" w:lineRule="atLeast"/>
                    <w:jc w:val="cente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646" w:type="dxa"/>
                  <w:noWrap w:val="0"/>
                  <w:vAlign w:val="top"/>
                </w:tcPr>
                <w:p>
                  <w:pPr>
                    <w:widowControl/>
                    <w:spacing w:line="240" w:lineRule="atLeast"/>
                    <w:jc w:val="center"/>
                    <w:rPr>
                      <w:rFonts w:hint="eastAsia"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运营期</w:t>
                  </w:r>
                </w:p>
              </w:tc>
              <w:tc>
                <w:tcPr>
                  <w:tcW w:w="2646" w:type="dxa"/>
                  <w:noWrap w:val="0"/>
                  <w:vAlign w:val="top"/>
                </w:tcPr>
                <w:p>
                  <w:pPr>
                    <w:widowControl/>
                    <w:spacing w:line="240" w:lineRule="atLeast"/>
                    <w:jc w:val="center"/>
                    <w:rPr>
                      <w:rFonts w:hint="default"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55</w:t>
                  </w:r>
                </w:p>
              </w:tc>
              <w:tc>
                <w:tcPr>
                  <w:tcW w:w="2647" w:type="dxa"/>
                  <w:noWrap w:val="0"/>
                  <w:vAlign w:val="top"/>
                </w:tcPr>
                <w:p>
                  <w:pPr>
                    <w:widowControl/>
                    <w:spacing w:line="240" w:lineRule="atLeast"/>
                    <w:jc w:val="center"/>
                    <w:rPr>
                      <w:rFonts w:hint="default"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45</w:t>
                  </w:r>
                </w:p>
              </w:tc>
            </w:tr>
          </w:tbl>
          <w:p>
            <w:pPr>
              <w:widowControl/>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3.</w:t>
            </w:r>
            <w:r>
              <w:rPr>
                <w:color w:val="000000" w:themeColor="text1"/>
                <w:sz w:val="24"/>
                <w:highlight w:val="none"/>
                <w14:textFill>
                  <w14:solidFill>
                    <w14:schemeClr w14:val="tx1"/>
                  </w14:solidFill>
                </w14:textFill>
              </w:rPr>
              <w:t>固体废物</w:t>
            </w:r>
            <w:r>
              <w:rPr>
                <w:rFonts w:hint="eastAsia"/>
                <w:color w:val="000000" w:themeColor="text1"/>
                <w:sz w:val="24"/>
                <w:highlight w:val="none"/>
                <w14:textFill>
                  <w14:solidFill>
                    <w14:schemeClr w14:val="tx1"/>
                  </w14:solidFill>
                </w14:textFill>
              </w:rPr>
              <w:t>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cs="宋体"/>
                <w:color w:val="000000" w:themeColor="text1"/>
                <w:kern w:val="0"/>
                <w:szCs w:val="21"/>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本项目一般固体废物执行《一般工业固体废物贮存和填埋污染控制标准》</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GB18599</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2020）的规定</w:t>
            </w:r>
            <w:r>
              <w:rPr>
                <w:rFonts w:hint="eastAsia"/>
                <w:color w:val="000000" w:themeColor="text1"/>
                <w:sz w:val="24"/>
                <w:highlight w:val="none"/>
                <w:lang w:val="en-US" w:eastAsia="zh-CN"/>
                <w14:textFill>
                  <w14:solidFill>
                    <w14:schemeClr w14:val="tx1"/>
                  </w14:solidFill>
                </w14:textFill>
              </w:rPr>
              <w:t>。危险废物</w:t>
            </w:r>
            <w:r>
              <w:rPr>
                <w:rFonts w:hint="eastAsia"/>
                <w:color w:val="000000" w:themeColor="text1"/>
                <w:sz w:val="24"/>
                <w:highlight w:val="none"/>
                <w14:textFill>
                  <w14:solidFill>
                    <w14:schemeClr w14:val="tx1"/>
                  </w14:solidFill>
                </w14:textFill>
              </w:rPr>
              <w:t>执行</w:t>
            </w:r>
            <w:r>
              <w:rPr>
                <w:rFonts w:hint="eastAsia"/>
                <w:color w:val="000000" w:themeColor="text1"/>
                <w:sz w:val="24"/>
                <w:highlight w:val="none"/>
                <w:lang w:val="en-US" w:eastAsia="zh-CN"/>
                <w14:textFill>
                  <w14:solidFill>
                    <w14:schemeClr w14:val="tx1"/>
                  </w14:solidFill>
                </w14:textFill>
              </w:rPr>
              <w:t>《危险废物贮存污染控制标准》（GB18597-2023）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493" w:type="pct"/>
            <w:noWrap w:val="0"/>
            <w:vAlign w:val="center"/>
          </w:tcPr>
          <w:p>
            <w:pPr>
              <w:adjustRightInd w:val="0"/>
              <w:snapToGrid w:val="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其他</w:t>
            </w:r>
          </w:p>
        </w:tc>
        <w:tc>
          <w:tcPr>
            <w:tcW w:w="4506" w:type="pct"/>
            <w:noWrap w:val="0"/>
            <w:vAlign w:val="center"/>
          </w:tcPr>
          <w:p>
            <w:pPr>
              <w:adjustRightInd w:val="0"/>
              <w:snapToGrid w:val="0"/>
              <w:jc w:val="center"/>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lang w:eastAsia="zh-CN"/>
                <w14:textFill>
                  <w14:solidFill>
                    <w14:schemeClr w14:val="tx1"/>
                  </w14:solidFill>
                </w14:textFill>
              </w:rPr>
              <w:t>无</w:t>
            </w:r>
          </w:p>
        </w:tc>
      </w:tr>
    </w:tbl>
    <w:p>
      <w:pPr>
        <w:pStyle w:val="21"/>
        <w:adjustRightInd w:val="0"/>
        <w:snapToGrid w:val="0"/>
        <w:spacing w:before="0" w:beforeAutospacing="0" w:after="0" w:afterAutospacing="0" w:line="14" w:lineRule="auto"/>
        <w:jc w:val="center"/>
        <w:outlineLvl w:val="9"/>
        <w:rPr>
          <w:rFonts w:ascii="黑体" w:hAnsi="黑体" w:eastAsia="黑体"/>
          <w:snapToGrid w:val="0"/>
          <w:kern w:val="2"/>
          <w:sz w:val="36"/>
          <w:szCs w:val="36"/>
        </w:rPr>
      </w:pPr>
    </w:p>
    <w:p>
      <w:pPr>
        <w:pStyle w:val="21"/>
        <w:jc w:val="center"/>
        <w:outlineLvl w:val="0"/>
        <w:rPr>
          <w:rFonts w:ascii="黑体" w:hAnsi="黑体" w:eastAsia="黑体"/>
          <w:snapToGrid w:val="0"/>
          <w:sz w:val="30"/>
          <w:szCs w:val="30"/>
        </w:rPr>
      </w:pPr>
      <w:r>
        <w:rPr>
          <w:rFonts w:ascii="黑体" w:hAnsi="黑体" w:eastAsia="黑体"/>
          <w:snapToGrid w:val="0"/>
          <w:kern w:val="2"/>
          <w:sz w:val="36"/>
          <w:szCs w:val="36"/>
        </w:rPr>
        <w:br w:type="page"/>
      </w:r>
      <w:r>
        <w:rPr>
          <w:rFonts w:hint="eastAsia" w:ascii="黑体" w:hAnsi="黑体" w:eastAsia="黑体"/>
          <w:snapToGrid w:val="0"/>
          <w:sz w:val="30"/>
          <w:szCs w:val="30"/>
        </w:rPr>
        <w:t>四、生态环境影响分析</w:t>
      </w:r>
    </w:p>
    <w:tbl>
      <w:tblPr>
        <w:tblStyle w:val="23"/>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9"/>
        <w:gridCol w:w="836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879" w:type="dxa"/>
            <w:noWrap w:val="0"/>
            <w:tcMar>
              <w:left w:w="28" w:type="dxa"/>
              <w:right w:w="28" w:type="dxa"/>
            </w:tcMar>
            <w:vAlign w:val="center"/>
          </w:tcPr>
          <w:p>
            <w:pPr>
              <w:pStyle w:val="21"/>
              <w:adjustRightInd w:val="0"/>
              <w:snapToGrid w:val="0"/>
              <w:spacing w:before="0" w:beforeAutospacing="0" w:after="0" w:afterAutospacing="0"/>
              <w:jc w:val="center"/>
              <w:rPr>
                <w:rFonts w:cs="宋体"/>
                <w:bCs/>
                <w:kern w:val="2"/>
                <w:sz w:val="21"/>
                <w:szCs w:val="21"/>
                <w:highlight w:val="none"/>
              </w:rPr>
            </w:pPr>
            <w:bookmarkStart w:id="14" w:name="_Hlk49796138"/>
            <w:r>
              <w:rPr>
                <w:rFonts w:hint="eastAsia" w:cs="宋体"/>
                <w:bCs/>
                <w:spacing w:val="10"/>
                <w:kern w:val="2"/>
                <w:sz w:val="21"/>
                <w:szCs w:val="21"/>
                <w:highlight w:val="none"/>
              </w:rPr>
              <w:t>施工期生态环境影响分析</w:t>
            </w:r>
            <w:bookmarkEnd w:id="14"/>
          </w:p>
        </w:tc>
        <w:tc>
          <w:tcPr>
            <w:tcW w:w="8363" w:type="dxa"/>
            <w:noWrap w:val="0"/>
            <w:vAlign w:val="top"/>
          </w:tcPr>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val="en-US" w:eastAsia="zh-CN"/>
              </w:rPr>
              <w:t>一</w:t>
            </w:r>
            <w:r>
              <w:rPr>
                <w:rFonts w:hint="default" w:ascii="Times New Roman" w:hAnsi="Times New Roman" w:eastAsia="宋体" w:cs="Times New Roman"/>
                <w:b w:val="0"/>
                <w:bCs w:val="0"/>
                <w:sz w:val="24"/>
                <w:highlight w:val="none"/>
              </w:rPr>
              <w:t>、生态环境影响分析</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eastAsia" w:cs="Times New Roman"/>
                <w:b w:val="0"/>
                <w:bCs w:val="0"/>
                <w:color w:val="000000"/>
                <w:kern w:val="0"/>
                <w:sz w:val="24"/>
                <w:szCs w:val="24"/>
                <w:highlight w:val="none"/>
                <w:lang w:val="en-US" w:eastAsia="zh-CN" w:bidi="ar"/>
              </w:rPr>
              <w:t>（</w:t>
            </w:r>
            <w:r>
              <w:rPr>
                <w:rFonts w:hint="default" w:ascii="Times New Roman" w:hAnsi="Times New Roman" w:eastAsia="宋体" w:cs="Times New Roman"/>
                <w:b w:val="0"/>
                <w:bCs w:val="0"/>
                <w:color w:val="000000"/>
                <w:kern w:val="0"/>
                <w:sz w:val="24"/>
                <w:szCs w:val="24"/>
                <w:highlight w:val="none"/>
                <w:lang w:val="en-US" w:eastAsia="zh-CN" w:bidi="ar"/>
              </w:rPr>
              <w:t xml:space="preserve">1）工程占地影响分析 </w:t>
            </w:r>
          </w:p>
          <w:p>
            <w:pPr>
              <w:pStyle w:val="31"/>
              <w:keepNext w:val="0"/>
              <w:keepLines w:val="0"/>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本工程</w:t>
            </w:r>
            <w:r>
              <w:rPr>
                <w:rFonts w:hint="eastAsia" w:ascii="Times New Roman" w:hAnsi="Times New Roman" w:eastAsia="宋体" w:cs="Times New Roman"/>
                <w:color w:val="000000" w:themeColor="text1"/>
                <w:kern w:val="2"/>
                <w:sz w:val="24"/>
                <w:szCs w:val="24"/>
                <w:highlight w:val="none"/>
                <w:lang w:eastAsia="zh-CN"/>
                <w14:textFill>
                  <w14:solidFill>
                    <w14:schemeClr w14:val="tx1"/>
                  </w14:solidFill>
                </w14:textFill>
              </w:rPr>
              <w:t>占地面积</w:t>
            </w:r>
            <w:r>
              <w:rPr>
                <w:rFonts w:hint="eastAsia" w:cs="Times New Roman"/>
                <w:color w:val="000000" w:themeColor="text1"/>
                <w:sz w:val="24"/>
                <w:szCs w:val="24"/>
                <w:highlight w:val="none"/>
                <w:lang w:val="en-US" w:eastAsia="zh-CN"/>
                <w14:textFill>
                  <w14:solidFill>
                    <w14:schemeClr w14:val="tx1"/>
                  </w14:solidFill>
                </w14:textFill>
              </w:rPr>
              <w:t>79386</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lang w:eastAsia="zh-CN"/>
                <w14:textFill>
                  <w14:solidFill>
                    <w14:schemeClr w14:val="tx1"/>
                  </w14:solidFill>
                </w14:textFill>
              </w:rPr>
              <w:t>，全部为永久占地，</w:t>
            </w:r>
            <w:r>
              <w:rPr>
                <w:rFonts w:hint="eastAsia" w:cs="Times New Roman"/>
                <w:color w:val="000000" w:themeColor="text1"/>
                <w:kern w:val="2"/>
                <w:sz w:val="24"/>
                <w:szCs w:val="24"/>
                <w:highlight w:val="none"/>
                <w:lang w:eastAsia="zh-CN"/>
                <w14:textFill>
                  <w14:solidFill>
                    <w14:schemeClr w14:val="tx1"/>
                  </w14:solidFill>
                </w14:textFill>
              </w:rPr>
              <w:t>其中风井场地占地面积为</w:t>
            </w:r>
            <w:r>
              <w:rPr>
                <w:rFonts w:hint="eastAsia" w:cs="Times New Roman"/>
                <w:color w:val="000000" w:themeColor="text1"/>
                <w:kern w:val="2"/>
                <w:sz w:val="24"/>
                <w:szCs w:val="24"/>
                <w:highlight w:val="none"/>
                <w:lang w:val="en-US" w:eastAsia="zh-CN"/>
                <w14:textFill>
                  <w14:solidFill>
                    <w14:schemeClr w14:val="tx1"/>
                  </w14:solidFill>
                </w14:textFill>
              </w:rPr>
              <w:t>39200</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cs="Times New Roman"/>
                <w:color w:val="000000" w:themeColor="text1"/>
                <w:kern w:val="2"/>
                <w:sz w:val="24"/>
                <w:szCs w:val="24"/>
                <w:highlight w:val="none"/>
                <w:lang w:eastAsia="zh-CN"/>
                <w14:textFill>
                  <w14:solidFill>
                    <w14:schemeClr w14:val="tx1"/>
                  </w14:solidFill>
                </w14:textFill>
              </w:rPr>
              <w:t>，场外道路占地面积</w:t>
            </w:r>
            <w:r>
              <w:rPr>
                <w:rFonts w:hint="eastAsia" w:cs="Times New Roman"/>
                <w:color w:val="000000" w:themeColor="text1"/>
                <w:kern w:val="2"/>
                <w:sz w:val="24"/>
                <w:szCs w:val="24"/>
                <w:highlight w:val="none"/>
                <w:lang w:val="en-US" w:eastAsia="zh-CN"/>
                <w14:textFill>
                  <w14:solidFill>
                    <w14:schemeClr w14:val="tx1"/>
                  </w14:solidFill>
                </w14:textFill>
              </w:rPr>
              <w:t>40186</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vertAlign w:val="baseline"/>
                <w:lang w:val="en-US" w:eastAsia="zh-CN"/>
                <w14:textFill>
                  <w14:solidFill>
                    <w14:schemeClr w14:val="tx1"/>
                  </w14:solidFill>
                </w14:textFill>
              </w:rPr>
              <w:t>；永久占地类型为天然草地、滩地、乡镇村道路。本项目施工生活生产区位于风井场地占地范围内，</w:t>
            </w:r>
            <w:r>
              <w:rPr>
                <w:rFonts w:hint="default"/>
                <w:sz w:val="24"/>
                <w:szCs w:val="24"/>
                <w:highlight w:val="none"/>
                <w:lang w:val="en-US" w:eastAsia="zh-CN"/>
              </w:rPr>
              <w:t>施工期间的施工便道在场外道路</w:t>
            </w:r>
            <w:r>
              <w:rPr>
                <w:rFonts w:hint="eastAsia"/>
                <w:sz w:val="24"/>
                <w:szCs w:val="24"/>
                <w:highlight w:val="none"/>
                <w:lang w:val="en-US" w:eastAsia="zh-CN"/>
              </w:rPr>
              <w:t>永久</w:t>
            </w:r>
            <w:r>
              <w:rPr>
                <w:rFonts w:hint="default"/>
                <w:sz w:val="24"/>
                <w:szCs w:val="24"/>
                <w:highlight w:val="none"/>
                <w:lang w:val="en-US" w:eastAsia="zh-CN"/>
              </w:rPr>
              <w:t>占地范围内修筑</w:t>
            </w:r>
            <w:r>
              <w:rPr>
                <w:rFonts w:hint="eastAsia"/>
                <w:sz w:val="24"/>
                <w:szCs w:val="24"/>
                <w:highlight w:val="none"/>
                <w:lang w:val="en-US" w:eastAsia="zh-CN"/>
              </w:rPr>
              <w:t>。</w:t>
            </w:r>
            <w:r>
              <w:rPr>
                <w:rFonts w:hint="eastAsia" w:ascii="Times New Roman" w:hAnsi="Times New Roman" w:eastAsia="宋体" w:cs="Times New Roman"/>
                <w:color w:val="000000" w:themeColor="text1"/>
                <w:kern w:val="2"/>
                <w:sz w:val="24"/>
                <w:szCs w:val="24"/>
                <w:highlight w:val="none"/>
                <w:vertAlign w:val="baseline"/>
                <w:lang w:val="en-US" w:eastAsia="zh-CN"/>
                <w14:textFill>
                  <w14:solidFill>
                    <w14:schemeClr w14:val="tx1"/>
                  </w14:solidFill>
                </w14:textFill>
              </w:rPr>
              <w:t>不新增临时占地</w:t>
            </w:r>
            <w:r>
              <w:rPr>
                <w:rFonts w:hint="eastAsia" w:cs="Times New Roman"/>
                <w:b w:val="0"/>
                <w:bCs w:val="0"/>
                <w:color w:val="000000"/>
                <w:kern w:val="0"/>
                <w:sz w:val="24"/>
                <w:szCs w:val="24"/>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68" w:firstLineChars="200"/>
              <w:jc w:val="both"/>
              <w:textAlignment w:val="auto"/>
              <w:rPr>
                <w:rFonts w:hint="default"/>
                <w:highlight w:val="none"/>
                <w:lang w:val="en-US" w:eastAsia="zh-CN"/>
              </w:rPr>
            </w:pPr>
            <w:r>
              <w:rPr>
                <w:rFonts w:hint="eastAsia"/>
                <w:spacing w:val="-3"/>
                <w:sz w:val="24"/>
                <w:szCs w:val="24"/>
                <w:highlight w:val="none"/>
                <w:lang w:eastAsia="zh-CN"/>
              </w:rPr>
              <w:t>根据生态解译结果，本项目永久占地占用的天然草地约73324.93458</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spacing w:val="-3"/>
                <w:sz w:val="24"/>
                <w:szCs w:val="24"/>
                <w:highlight w:val="none"/>
                <w:lang w:eastAsia="zh-CN"/>
              </w:rPr>
              <w:t>，滩地约429.1827812</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spacing w:val="-3"/>
                <w:sz w:val="24"/>
                <w:szCs w:val="24"/>
                <w:highlight w:val="none"/>
                <w:lang w:eastAsia="zh-CN"/>
              </w:rPr>
              <w:t>，乡镇村道路约5631.882634</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2"/>
                <w:sz w:val="24"/>
                <w:szCs w:val="24"/>
                <w:highlight w:val="none"/>
                <w:vertAlign w:val="superscript"/>
                <w:lang w:val="en-US" w:eastAsia="zh-CN"/>
                <w14:textFill>
                  <w14:solidFill>
                    <w14:schemeClr w14:val="tx1"/>
                  </w14:solidFill>
                </w14:textFill>
              </w:rPr>
              <w:t>2</w:t>
            </w:r>
            <w:r>
              <w:rPr>
                <w:rFonts w:hint="eastAsia"/>
                <w:spacing w:val="-3"/>
                <w:sz w:val="24"/>
                <w:szCs w:val="24"/>
                <w:highlight w:val="none"/>
                <w:lang w:eastAsia="zh-CN"/>
              </w:rPr>
              <w:t>；</w:t>
            </w:r>
            <w:r>
              <w:rPr>
                <w:spacing w:val="-3"/>
                <w:sz w:val="24"/>
                <w:szCs w:val="24"/>
                <w:highlight w:val="none"/>
              </w:rPr>
              <w:t>工程建设使永久占地</w:t>
            </w:r>
            <w:r>
              <w:rPr>
                <w:rFonts w:hint="eastAsia" w:ascii="Times New Roman" w:hAnsi="Times New Roman" w:cs="Times New Roman"/>
                <w:color w:val="000000" w:themeColor="text1"/>
                <w:kern w:val="2"/>
                <w:sz w:val="24"/>
                <w:szCs w:val="24"/>
                <w:highlight w:val="none"/>
                <w:vertAlign w:val="baseline"/>
                <w:lang w:val="en-US" w:eastAsia="zh-CN"/>
                <w14:textFill>
                  <w14:solidFill>
                    <w14:schemeClr w14:val="tx1"/>
                  </w14:solidFill>
                </w14:textFill>
              </w:rPr>
              <w:t>区域</w:t>
            </w:r>
            <w:r>
              <w:rPr>
                <w:spacing w:val="-3"/>
                <w:sz w:val="24"/>
                <w:szCs w:val="24"/>
                <w:highlight w:val="none"/>
              </w:rPr>
              <w:t>土地利用状况发生改变，由原来的</w:t>
            </w:r>
            <w:r>
              <w:rPr>
                <w:rFonts w:hint="eastAsia" w:ascii="Times New Roman" w:hAnsi="Times New Roman" w:eastAsia="宋体" w:cs="Times New Roman"/>
                <w:color w:val="000000" w:themeColor="text1"/>
                <w:kern w:val="2"/>
                <w:sz w:val="24"/>
                <w:szCs w:val="24"/>
                <w:highlight w:val="none"/>
                <w:vertAlign w:val="baseline"/>
                <w:lang w:val="en-US" w:eastAsia="zh-CN"/>
                <w14:textFill>
                  <w14:solidFill>
                    <w14:schemeClr w14:val="tx1"/>
                  </w14:solidFill>
                </w14:textFill>
              </w:rPr>
              <w:t>天然草地、滩地、乡镇村道路</w:t>
            </w:r>
            <w:r>
              <w:rPr>
                <w:spacing w:val="-3"/>
                <w:sz w:val="24"/>
                <w:szCs w:val="24"/>
                <w:highlight w:val="none"/>
              </w:rPr>
              <w:t>等变为</w:t>
            </w:r>
            <w:r>
              <w:rPr>
                <w:rFonts w:hint="eastAsia"/>
                <w:spacing w:val="-3"/>
                <w:sz w:val="24"/>
                <w:szCs w:val="24"/>
                <w:highlight w:val="none"/>
                <w:lang w:eastAsia="zh-CN"/>
              </w:rPr>
              <w:t>建设用地</w:t>
            </w:r>
            <w:r>
              <w:rPr>
                <w:spacing w:val="-3"/>
                <w:sz w:val="24"/>
                <w:szCs w:val="24"/>
                <w:highlight w:val="none"/>
              </w:rPr>
              <w:t>，</w:t>
            </w:r>
            <w:r>
              <w:rPr>
                <w:rFonts w:hint="eastAsia"/>
                <w:spacing w:val="-3"/>
                <w:sz w:val="24"/>
                <w:szCs w:val="24"/>
                <w:highlight w:val="none"/>
                <w:lang w:eastAsia="zh-CN"/>
              </w:rPr>
              <w:t>但</w:t>
            </w:r>
            <w:r>
              <w:rPr>
                <w:spacing w:val="-3"/>
                <w:sz w:val="24"/>
                <w:szCs w:val="24"/>
                <w:highlight w:val="none"/>
              </w:rPr>
              <w:t>对区域的土地利用造</w:t>
            </w:r>
            <w:r>
              <w:rPr>
                <w:spacing w:val="-6"/>
                <w:sz w:val="24"/>
                <w:szCs w:val="24"/>
                <w:highlight w:val="none"/>
              </w:rPr>
              <w:t>成</w:t>
            </w:r>
            <w:r>
              <w:rPr>
                <w:rFonts w:hint="eastAsia"/>
                <w:spacing w:val="-6"/>
                <w:sz w:val="24"/>
                <w:szCs w:val="24"/>
                <w:highlight w:val="none"/>
                <w:lang w:eastAsia="zh-CN"/>
              </w:rPr>
              <w:t>的</w:t>
            </w:r>
            <w:r>
              <w:rPr>
                <w:spacing w:val="-6"/>
                <w:sz w:val="24"/>
                <w:szCs w:val="24"/>
                <w:highlight w:val="none"/>
              </w:rPr>
              <w:t>影响</w:t>
            </w:r>
            <w:r>
              <w:rPr>
                <w:rFonts w:hint="eastAsia"/>
                <w:spacing w:val="-6"/>
                <w:sz w:val="24"/>
                <w:szCs w:val="24"/>
                <w:highlight w:val="none"/>
                <w:lang w:eastAsia="zh-CN"/>
              </w:rPr>
              <w:t>较小</w:t>
            </w:r>
            <w:r>
              <w:rPr>
                <w:rFonts w:hint="default" w:ascii="Times New Roman" w:hAnsi="Times New Roman" w:eastAsia="宋体" w:cs="Times New Roman"/>
                <w:b w:val="0"/>
                <w:bCs w:val="0"/>
                <w:color w:val="000000"/>
                <w:kern w:val="0"/>
                <w:sz w:val="24"/>
                <w:szCs w:val="24"/>
                <w:highlight w:val="none"/>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eastAsia"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lang w:val="en-US" w:eastAsia="zh-CN"/>
              </w:rPr>
              <w:t>2</w:t>
            </w:r>
            <w:r>
              <w:rPr>
                <w:rFonts w:hint="default" w:ascii="Times New Roman" w:hAnsi="Times New Roman" w:eastAsia="宋体"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对植物的影响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项目施工过程中场地平整、地基开挖、堆填土石方等工程一方面将直接破坏建设区的植被，另一方面这些开发活动改变了附近土层结构和土壤的肥力状况，将对植物生长造成不利影响；并且受项目施工扰动影响地表植被结构将被改变，可能会对本来脆弱的生态环境和水土保持造成不利影响。根据生态解译结果，</w:t>
            </w:r>
            <w:r>
              <w:rPr>
                <w:rFonts w:hint="eastAsia" w:cs="Times New Roman"/>
                <w:b w:val="0"/>
                <w:bCs w:val="0"/>
                <w:sz w:val="24"/>
                <w:szCs w:val="24"/>
                <w:highlight w:val="none"/>
                <w:lang w:val="en-US" w:eastAsia="zh-CN"/>
              </w:rPr>
              <w:t>项目占地范围</w:t>
            </w:r>
            <w:r>
              <w:rPr>
                <w:rFonts w:hint="default" w:ascii="Times New Roman" w:hAnsi="Times New Roman" w:eastAsia="宋体" w:cs="Times New Roman"/>
                <w:b w:val="0"/>
                <w:bCs w:val="0"/>
                <w:sz w:val="24"/>
                <w:szCs w:val="24"/>
                <w:highlight w:val="none"/>
                <w:lang w:val="en-US" w:eastAsia="zh-CN"/>
              </w:rPr>
              <w:t>内</w:t>
            </w:r>
            <w:r>
              <w:rPr>
                <w:rFonts w:hint="eastAsia" w:cs="Times New Roman"/>
                <w:b w:val="0"/>
                <w:bCs w:val="0"/>
                <w:sz w:val="24"/>
                <w:szCs w:val="24"/>
                <w:highlight w:val="none"/>
                <w:lang w:val="en-US" w:eastAsia="zh-CN"/>
              </w:rPr>
              <w:t>影响的植被为小针茅、无芒隐子草含蒿类，隐子草、冷蒿，影响最多的为针茅、无芒隐子草含蒿类。</w:t>
            </w:r>
            <w:r>
              <w:rPr>
                <w:rFonts w:hint="eastAsia"/>
                <w:kern w:val="2"/>
                <w:sz w:val="24"/>
                <w:szCs w:val="24"/>
                <w:highlight w:val="none"/>
              </w:rPr>
              <w:t>草地每平方米植物生物量约为120</w:t>
            </w:r>
            <w:r>
              <w:rPr>
                <w:rFonts w:hint="eastAsia"/>
                <w:kern w:val="2"/>
                <w:sz w:val="24"/>
                <w:szCs w:val="24"/>
                <w:highlight w:val="none"/>
                <w:lang w:val="en-US" w:eastAsia="zh-CN"/>
              </w:rPr>
              <w:t>g</w:t>
            </w:r>
            <w:r>
              <w:rPr>
                <w:rFonts w:hint="eastAsia"/>
                <w:kern w:val="2"/>
                <w:sz w:val="24"/>
                <w:szCs w:val="24"/>
                <w:highlight w:val="none"/>
              </w:rPr>
              <w:t>～350g，则</w:t>
            </w:r>
            <w:r>
              <w:rPr>
                <w:rFonts w:hint="eastAsia"/>
                <w:kern w:val="2"/>
                <w:sz w:val="24"/>
                <w:szCs w:val="24"/>
                <w:highlight w:val="none"/>
                <w:lang w:val="en-US" w:eastAsia="zh-CN"/>
              </w:rPr>
              <w:t>生物量损失</w:t>
            </w:r>
            <w:r>
              <w:rPr>
                <w:rFonts w:hint="eastAsia"/>
                <w:kern w:val="2"/>
                <w:sz w:val="24"/>
                <w:szCs w:val="24"/>
                <w:highlight w:val="none"/>
              </w:rPr>
              <w:t>量</w:t>
            </w:r>
            <w:r>
              <w:rPr>
                <w:rFonts w:hint="eastAsia"/>
                <w:kern w:val="2"/>
                <w:sz w:val="24"/>
                <w:szCs w:val="24"/>
                <w:highlight w:val="none"/>
                <w:lang w:eastAsia="zh-CN"/>
              </w:rPr>
              <w:t>约为</w:t>
            </w:r>
            <w:r>
              <w:rPr>
                <w:rFonts w:hint="eastAsia"/>
                <w:kern w:val="2"/>
                <w:sz w:val="24"/>
                <w:szCs w:val="24"/>
                <w:highlight w:val="none"/>
                <w:lang w:val="en-US" w:eastAsia="zh-CN"/>
              </w:rPr>
              <w:t>25.66</w:t>
            </w:r>
            <w:r>
              <w:rPr>
                <w:rFonts w:hint="eastAsia"/>
                <w:kern w:val="2"/>
                <w:sz w:val="24"/>
                <w:szCs w:val="24"/>
                <w:highlight w:val="none"/>
              </w:rPr>
              <w:t>t。</w:t>
            </w:r>
            <w:r>
              <w:rPr>
                <w:rFonts w:hint="eastAsia" w:cs="Times New Roman"/>
                <w:b w:val="0"/>
                <w:bCs w:val="0"/>
                <w:sz w:val="24"/>
                <w:szCs w:val="24"/>
                <w:highlight w:val="none"/>
                <w:lang w:val="en-US" w:eastAsia="zh-CN"/>
              </w:rPr>
              <w:t>工程占地范围内破坏的植被均为区内的常见种或广布种，不会对当地植物群落的种类组成产生影响，也不会造成植物物种的消失。</w:t>
            </w:r>
            <w:r>
              <w:rPr>
                <w:rFonts w:hint="default" w:ascii="Times New Roman" w:hAnsi="Times New Roman" w:eastAsia="宋体" w:cs="Times New Roman"/>
                <w:b w:val="0"/>
                <w:bCs w:val="0"/>
                <w:sz w:val="24"/>
                <w:szCs w:val="24"/>
                <w:highlight w:val="none"/>
                <w:lang w:val="en-US" w:eastAsia="zh-CN"/>
              </w:rPr>
              <w:t>施工过程中应采取积极有效的防护措施，最大程度的降低对植被的影响。项目建成后，将对场区内进行绿化，进场道路两侧采用六边形水泥混凝土空心块植物护坡与种草籽护坡相结合的防护方式，能在一定程度上补偿对原有生态的影响，并能使项目与周围环境更加协调，起到美化环境的效果</w:t>
            </w:r>
            <w:r>
              <w:rPr>
                <w:rFonts w:hint="eastAsia" w:cs="Times New Roman"/>
                <w:b w:val="0"/>
                <w:bCs w:val="0"/>
                <w:sz w:val="24"/>
                <w:szCs w:val="24"/>
                <w:highlight w:val="none"/>
                <w:lang w:val="en-US" w:eastAsia="zh-CN"/>
              </w:rPr>
              <w:t>，工程建设对植被的环境影响是可以接受的</w:t>
            </w:r>
            <w:r>
              <w:rPr>
                <w:rFonts w:hint="default" w:ascii="Times New Roman" w:hAnsi="Times New Roman" w:eastAsia="宋体" w:cs="Times New Roman"/>
                <w:b w:val="0"/>
                <w:bCs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eastAsia"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lang w:val="en-US" w:eastAsia="zh-CN"/>
              </w:rPr>
              <w:t>3</w:t>
            </w:r>
            <w:r>
              <w:rPr>
                <w:rFonts w:hint="default" w:ascii="Times New Roman" w:hAnsi="Times New Roman" w:eastAsia="宋体"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对动物的影响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t>工程施工过程中，由于施工车辆噪声、人为活动干扰等因素，可能导致场地附近的动物产生回避行为，使其向外围迁移，工程场地范围内出现的频率会降低，但不会对野生动物的总体多样性产生影响。由于施工期较短，而场址相对整个地区来说范围又很小，项目区野生动物稀少，因此，施工期对周围环境的影响较小。</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eastAsia"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lang w:val="en-US" w:eastAsia="zh-CN"/>
              </w:rPr>
              <w:t>4</w:t>
            </w:r>
            <w:r>
              <w:rPr>
                <w:rFonts w:hint="default" w:ascii="Times New Roman" w:hAnsi="Times New Roman" w:eastAsia="宋体"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对水土流失的影响</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本项目水土流失主要为施工过程中由于施工扰动造成的水土流失，项目施工期间开挖和扰动地表，致使地表裸露、植被稀疏、土体松散，土壤抗蚀能力降低，在大风季节产生大量以风力侵蚀为主的水土流失，在雨季产生以水力侵蚀为主的水土流失。因此，本项目建设初期造成的水土流失会对</w:t>
            </w:r>
            <w:r>
              <w:rPr>
                <w:rFonts w:hint="eastAsia" w:cs="Times New Roman"/>
                <w:b w:val="0"/>
                <w:bCs w:val="0"/>
                <w:sz w:val="24"/>
                <w:szCs w:val="24"/>
                <w:highlight w:val="none"/>
                <w:lang w:val="en-US" w:eastAsia="zh-CN"/>
              </w:rPr>
              <w:t>项目区</w:t>
            </w:r>
            <w:r>
              <w:rPr>
                <w:rFonts w:hint="default" w:ascii="Times New Roman" w:hAnsi="Times New Roman" w:eastAsia="宋体" w:cs="Times New Roman"/>
                <w:b w:val="0"/>
                <w:bCs w:val="0"/>
                <w:sz w:val="24"/>
                <w:szCs w:val="24"/>
                <w:highlight w:val="none"/>
                <w:lang w:val="en-US" w:eastAsia="zh-CN"/>
              </w:rPr>
              <w:t>及周边产生一定的影响。</w:t>
            </w:r>
          </w:p>
          <w:p>
            <w:pPr>
              <w:keepNext w:val="0"/>
              <w:keepLines w:val="0"/>
              <w:pageBreakBefore w:val="0"/>
              <w:widowControl w:val="0"/>
              <w:kinsoku/>
              <w:wordWrap/>
              <w:overflowPunct/>
              <w:topLinePunct w:val="0"/>
              <w:autoSpaceDE/>
              <w:autoSpaceDN/>
              <w:bidi w:val="0"/>
              <w:spacing w:line="360" w:lineRule="auto"/>
              <w:ind w:firstLine="472" w:firstLineChars="200"/>
              <w:jc w:val="both"/>
              <w:textAlignment w:val="auto"/>
              <w:rPr>
                <w:rFonts w:hint="default" w:ascii="Times New Roman" w:hAnsi="Times New Roman" w:eastAsia="宋体" w:cs="Times New Roman"/>
                <w:b w:val="0"/>
                <w:bCs w:val="0"/>
                <w:sz w:val="24"/>
                <w:szCs w:val="24"/>
                <w:highlight w:val="none"/>
                <w:lang w:val="en-US" w:eastAsia="zh-CN"/>
              </w:rPr>
            </w:pPr>
            <w:r>
              <w:rPr>
                <w:spacing w:val="-2"/>
                <w:sz w:val="24"/>
                <w:szCs w:val="24"/>
                <w:highlight w:val="none"/>
              </w:rPr>
              <w:t>施工时应特别注意减少扰动面积，并采取临时措施对裸土的防护，</w:t>
            </w:r>
            <w:r>
              <w:rPr>
                <w:rFonts w:hint="default" w:ascii="Times New Roman" w:hAnsi="Times New Roman" w:eastAsia="宋体" w:cs="Times New Roman"/>
                <w:b w:val="0"/>
                <w:bCs w:val="0"/>
                <w:sz w:val="24"/>
                <w:szCs w:val="24"/>
                <w:highlight w:val="none"/>
                <w:lang w:val="en-US" w:eastAsia="zh-CN"/>
              </w:rPr>
              <w:t>合理选择施工季节，避免在大风多雨季节进行施工，</w:t>
            </w:r>
            <w:r>
              <w:rPr>
                <w:spacing w:val="-2"/>
                <w:sz w:val="24"/>
                <w:szCs w:val="24"/>
                <w:highlight w:val="none"/>
              </w:rPr>
              <w:t>减少水土流失的产生</w:t>
            </w:r>
            <w:r>
              <w:rPr>
                <w:rFonts w:hint="default" w:ascii="Times New Roman" w:hAnsi="Times New Roman" w:eastAsia="宋体" w:cs="Times New Roman"/>
                <w:b w:val="0"/>
                <w:bCs w:val="0"/>
                <w:sz w:val="24"/>
                <w:szCs w:val="24"/>
                <w:highlight w:val="none"/>
                <w:lang w:val="en-US" w:eastAsia="zh-CN"/>
              </w:rPr>
              <w:t>。</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val="en-US" w:eastAsia="zh-CN"/>
              </w:rPr>
              <w:t>二</w:t>
            </w:r>
            <w:r>
              <w:rPr>
                <w:rFonts w:hint="default" w:ascii="Times New Roman" w:hAnsi="Times New Roman" w:eastAsia="宋体" w:cs="Times New Roman"/>
                <w:b w:val="0"/>
                <w:bCs w:val="0"/>
                <w:sz w:val="24"/>
                <w:highlight w:val="none"/>
              </w:rPr>
              <w:t>、</w:t>
            </w:r>
            <w:r>
              <w:rPr>
                <w:rFonts w:hint="default" w:ascii="Times New Roman" w:hAnsi="Times New Roman" w:eastAsia="宋体" w:cs="Times New Roman"/>
                <w:b w:val="0"/>
                <w:bCs w:val="0"/>
                <w:sz w:val="24"/>
                <w:highlight w:val="none"/>
                <w:lang w:val="en-US" w:eastAsia="zh-CN"/>
              </w:rPr>
              <w:t>大气环境影响分析</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val="en-US" w:eastAsia="zh-CN"/>
              </w:rPr>
              <w:t>本项目施工废气包括施工扬尘、施工机械与运输车辆尾气等。</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eastAsia" w:cs="Times New Roman"/>
                <w:b w:val="0"/>
                <w:bCs w:val="0"/>
                <w:sz w:val="24"/>
                <w:highlight w:val="none"/>
                <w:lang w:eastAsia="zh-CN"/>
              </w:rPr>
              <w:t>（</w:t>
            </w:r>
            <w:r>
              <w:rPr>
                <w:rFonts w:hint="default" w:ascii="Times New Roman" w:hAnsi="Times New Roman" w:eastAsia="宋体" w:cs="Times New Roman"/>
                <w:b w:val="0"/>
                <w:bCs w:val="0"/>
                <w:sz w:val="24"/>
                <w:highlight w:val="none"/>
                <w:lang w:val="en-US" w:eastAsia="zh-CN"/>
              </w:rPr>
              <w:t>1</w:t>
            </w:r>
            <w:r>
              <w:rPr>
                <w:rFonts w:hint="default" w:ascii="Times New Roman" w:hAnsi="Times New Roman" w:eastAsia="宋体" w:cs="Times New Roman"/>
                <w:b w:val="0"/>
                <w:bCs w:val="0"/>
                <w:sz w:val="24"/>
                <w:highlight w:val="none"/>
                <w:lang w:eastAsia="zh-CN"/>
              </w:rPr>
              <w:t>）</w:t>
            </w:r>
            <w:r>
              <w:rPr>
                <w:rFonts w:hint="default" w:ascii="Times New Roman" w:hAnsi="Times New Roman" w:eastAsia="宋体" w:cs="Times New Roman"/>
                <w:b w:val="0"/>
                <w:bCs w:val="0"/>
                <w:sz w:val="24"/>
                <w:highlight w:val="none"/>
              </w:rPr>
              <w:t>施工扬尘</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rPr>
              <w:t>施工</w:t>
            </w:r>
            <w:r>
              <w:rPr>
                <w:rFonts w:hint="default" w:ascii="Times New Roman" w:hAnsi="Times New Roman" w:eastAsia="宋体" w:cs="Times New Roman"/>
                <w:b w:val="0"/>
                <w:bCs w:val="0"/>
                <w:sz w:val="24"/>
                <w:highlight w:val="none"/>
                <w:lang w:val="en-US" w:eastAsia="zh-CN"/>
              </w:rPr>
              <w:t>扬尘主要来自：①土石方扬尘；②材料堆放等产生的扬尘；③运输</w:t>
            </w:r>
            <w:r>
              <w:rPr>
                <w:rFonts w:hint="default" w:ascii="Times New Roman" w:hAnsi="Times New Roman" w:eastAsia="宋体" w:cs="Times New Roman"/>
                <w:b w:val="0"/>
                <w:bCs w:val="0"/>
                <w:sz w:val="24"/>
                <w:highlight w:val="none"/>
              </w:rPr>
              <w:t>道路扬尘</w:t>
            </w:r>
            <w:r>
              <w:rPr>
                <w:rFonts w:hint="default" w:ascii="Times New Roman" w:hAnsi="Times New Roman" w:eastAsia="宋体" w:cs="Times New Roman"/>
                <w:b w:val="0"/>
                <w:bCs w:val="0"/>
                <w:sz w:val="24"/>
                <w:highlight w:val="none"/>
                <w:lang w:val="en-US" w:eastAsia="zh-CN"/>
              </w:rPr>
              <w:t>。施工废气污染物影响距离</w:t>
            </w:r>
            <w:r>
              <w:rPr>
                <w:rFonts w:hint="eastAsia" w:ascii="Times New Roman" w:hAnsi="Times New Roman" w:eastAsia="宋体" w:cs="Times New Roman"/>
                <w:b w:val="0"/>
                <w:bCs w:val="0"/>
                <w:sz w:val="24"/>
                <w:highlight w:val="none"/>
                <w:lang w:val="en-US" w:eastAsia="zh-CN"/>
              </w:rPr>
              <w:t>一般</w:t>
            </w:r>
            <w:r>
              <w:rPr>
                <w:rFonts w:hint="default" w:ascii="Times New Roman" w:hAnsi="Times New Roman" w:eastAsia="宋体" w:cs="Times New Roman"/>
                <w:b w:val="0"/>
                <w:bCs w:val="0"/>
                <w:sz w:val="24"/>
                <w:highlight w:val="none"/>
                <w:lang w:val="en-US" w:eastAsia="zh-CN"/>
              </w:rPr>
              <w:t>为施工场所下风向100m左右。本环评要求施工单位做好抑尘工作，确保不会</w:t>
            </w:r>
            <w:r>
              <w:rPr>
                <w:rFonts w:hint="eastAsia" w:cs="Times New Roman"/>
                <w:b w:val="0"/>
                <w:bCs w:val="0"/>
                <w:sz w:val="24"/>
                <w:highlight w:val="none"/>
                <w:lang w:val="en-US" w:eastAsia="zh-CN"/>
              </w:rPr>
              <w:t>对</w:t>
            </w:r>
            <w:r>
              <w:rPr>
                <w:rFonts w:hint="default" w:ascii="Times New Roman" w:hAnsi="Times New Roman" w:eastAsia="宋体" w:cs="Times New Roman"/>
                <w:b w:val="0"/>
                <w:bCs w:val="0"/>
                <w:sz w:val="24"/>
                <w:highlight w:val="none"/>
                <w:lang w:val="en-US" w:eastAsia="zh-CN"/>
              </w:rPr>
              <w:t>周围居民造成影响。总之，施工期的影响是局部的、短期的，随着工程施工结束而消失，对敏感点的大气环境影响较小。</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val="en-US" w:eastAsia="zh-CN"/>
              </w:rPr>
              <w:t>①土石方扬尘</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val="en-US" w:eastAsia="zh-CN"/>
              </w:rPr>
              <w:t>项目施工期间建筑基础开挖、填垫整地、临建工程修建等过程会形成裸露地面，会产生扬尘，扬尘量大小与施工现场条件、施工管理水平、机械化程度高低及施工季节、时间长短，以及土质结构、天气条件等诸多因素关系密切。</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val="en-US" w:eastAsia="zh-CN"/>
              </w:rPr>
              <w:t xml:space="preserve">②施工材料堆放等产生的扬尘 </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lang w:val="en-US" w:eastAsia="zh-CN"/>
              </w:rPr>
            </w:pPr>
            <w:r>
              <w:rPr>
                <w:rFonts w:hint="default" w:ascii="Times New Roman" w:hAnsi="Times New Roman" w:eastAsia="宋体" w:cs="Times New Roman"/>
                <w:b w:val="0"/>
                <w:bCs w:val="0"/>
                <w:sz w:val="24"/>
                <w:highlight w:val="none"/>
                <w:lang w:val="en-US" w:eastAsia="zh-CN"/>
              </w:rPr>
              <w:t>施工场地建筑物料堆放也是造成扬尘污染</w:t>
            </w:r>
            <w:r>
              <w:rPr>
                <w:rFonts w:hint="eastAsia" w:cs="Times New Roman"/>
                <w:b w:val="0"/>
                <w:bCs w:val="0"/>
                <w:sz w:val="24"/>
                <w:highlight w:val="none"/>
                <w:lang w:val="en-US" w:eastAsia="zh-CN"/>
              </w:rPr>
              <w:t>的</w:t>
            </w:r>
            <w:r>
              <w:rPr>
                <w:rFonts w:hint="default" w:ascii="Times New Roman" w:hAnsi="Times New Roman" w:eastAsia="宋体" w:cs="Times New Roman"/>
                <w:b w:val="0"/>
                <w:bCs w:val="0"/>
                <w:sz w:val="24"/>
                <w:highlight w:val="none"/>
                <w:lang w:val="en-US" w:eastAsia="zh-CN"/>
              </w:rPr>
              <w:t>主要原因之一。施工中若环境保护措施不够完善，进行粗放式施工，易产生建筑尘。起尘风速与粒径和含水率有关，减少露天堆放和保证一定的含水率可有效减少施工物料扬尘的影响。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本项目建筑材料的搬运、物料堆放容易产生扬尘。在气候干燥且有风的情况下，会产生大量的扬尘，扬尘量可按堆场扬尘的经验公式计算：</w:t>
            </w:r>
          </w:p>
          <w:p>
            <w:pPr>
              <w:keepNext w:val="0"/>
              <w:keepLines w:val="0"/>
              <w:pageBreakBefore w:val="0"/>
              <w:widowControl w:val="0"/>
              <w:kinsoku/>
              <w:wordWrap/>
              <w:overflowPunct/>
              <w:topLinePunct w:val="0"/>
              <w:autoSpaceDE/>
              <w:autoSpaceDN/>
              <w:bidi w:val="0"/>
              <w:adjustRightInd/>
              <w:snapToGrid/>
              <w:spacing w:line="360" w:lineRule="auto"/>
              <w:ind w:firstLine="1680" w:firstLineChars="800"/>
              <w:jc w:val="both"/>
              <w:textAlignment w:val="auto"/>
              <w:rPr>
                <w:iCs/>
                <w:highlight w:val="none"/>
                <w:vertAlign w:val="superscript"/>
              </w:rPr>
            </w:pPr>
            <w:r>
              <w:rPr>
                <w:iCs/>
                <w:highlight w:val="none"/>
              </w:rPr>
              <w:t>Q=2.1</w:t>
            </w:r>
            <w:r>
              <w:rPr>
                <w:rFonts w:hint="eastAsia"/>
                <w:iCs/>
                <w:highlight w:val="none"/>
                <w:lang w:eastAsia="zh-CN"/>
              </w:rPr>
              <w:t>（</w:t>
            </w:r>
            <w:r>
              <w:rPr>
                <w:iCs/>
                <w:highlight w:val="none"/>
              </w:rPr>
              <w:t>V</w:t>
            </w:r>
            <w:r>
              <w:rPr>
                <w:iCs/>
                <w:highlight w:val="none"/>
                <w:vertAlign w:val="subscript"/>
              </w:rPr>
              <w:t>50</w:t>
            </w:r>
            <w:r>
              <w:rPr>
                <w:rFonts w:hint="eastAsia"/>
                <w:iCs/>
                <w:highlight w:val="none"/>
                <w:lang w:eastAsia="zh-CN"/>
              </w:rPr>
              <w:t>-</w:t>
            </w:r>
            <w:r>
              <w:rPr>
                <w:iCs/>
                <w:highlight w:val="none"/>
              </w:rPr>
              <w:t>V</w:t>
            </w:r>
            <w:r>
              <w:rPr>
                <w:iCs/>
                <w:highlight w:val="none"/>
                <w:vertAlign w:val="subscript"/>
              </w:rPr>
              <w:t>0</w:t>
            </w:r>
            <w:r>
              <w:rPr>
                <w:iCs/>
                <w:highlight w:val="none"/>
              </w:rPr>
              <w:t>）</w:t>
            </w:r>
            <w:r>
              <w:rPr>
                <w:iCs/>
                <w:highlight w:val="none"/>
                <w:vertAlign w:val="baseline"/>
              </w:rPr>
              <w:t>3</w:t>
            </w:r>
            <w:r>
              <w:rPr>
                <w:iCs/>
                <w:highlight w:val="none"/>
              </w:rPr>
              <w:t>e</w:t>
            </w:r>
            <w:r>
              <w:rPr>
                <w:rFonts w:hint="eastAsia"/>
                <w:iCs/>
                <w:highlight w:val="none"/>
                <w:vertAlign w:val="superscript"/>
                <w:lang w:val="en-US" w:eastAsia="zh-CN"/>
              </w:rPr>
              <w:t>-</w:t>
            </w:r>
            <w:r>
              <w:rPr>
                <w:iCs/>
                <w:highlight w:val="none"/>
                <w:vertAlign w:val="superscript"/>
              </w:rPr>
              <w:t>1.023W</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式中：Q</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起尘量，kg/t·a；</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Vso</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距地面50m处风速，m/s；</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Vo</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起尘风速，m/s；</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尘粒的含水量，%。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起尘风速与尘粒和含水量有关，因此，减少露天堆放、保证一定的含水量以及减少裸露地面是减少风力起尘的有效手段。扬尘在空气</w:t>
            </w:r>
            <w:r>
              <w:rPr>
                <w:rFonts w:hint="eastAsia" w:cs="Times New Roman"/>
                <w:sz w:val="24"/>
                <w:szCs w:val="24"/>
                <w:highlight w:val="none"/>
                <w:lang w:eastAsia="zh-CN"/>
              </w:rPr>
              <w:t>中</w:t>
            </w:r>
            <w:r>
              <w:rPr>
                <w:rFonts w:hint="default" w:ascii="Times New Roman" w:hAnsi="Times New Roman" w:eastAsia="宋体" w:cs="Times New Roman"/>
                <w:sz w:val="24"/>
                <w:szCs w:val="24"/>
                <w:highlight w:val="none"/>
              </w:rPr>
              <w:t>的扩散</w:t>
            </w:r>
            <w:r>
              <w:rPr>
                <w:rFonts w:hint="eastAsia" w:cs="Times New Roman"/>
                <w:sz w:val="24"/>
                <w:szCs w:val="24"/>
                <w:highlight w:val="none"/>
                <w:lang w:eastAsia="zh-CN"/>
              </w:rPr>
              <w:t>和</w:t>
            </w:r>
            <w:r>
              <w:rPr>
                <w:rFonts w:hint="default" w:ascii="Times New Roman" w:hAnsi="Times New Roman" w:eastAsia="宋体" w:cs="Times New Roman"/>
                <w:sz w:val="24"/>
                <w:szCs w:val="24"/>
                <w:highlight w:val="none"/>
              </w:rPr>
              <w:t>稀释与风速等气象条件有关，也与扬尘本身的沉降速度有关。不同尘粒的沉降速度见表</w:t>
            </w:r>
            <w:r>
              <w:rPr>
                <w:rFonts w:hint="eastAsia" w:ascii="Times New Roman" w:hAnsi="Times New Roman" w:eastAsia="宋体" w:cs="Times New Roman"/>
                <w:sz w:val="24"/>
                <w:szCs w:val="24"/>
                <w:highlight w:val="none"/>
                <w:lang w:val="en-US" w:eastAsia="zh-CN"/>
              </w:rPr>
              <w:t>4</w:t>
            </w:r>
            <w:r>
              <w:rPr>
                <w:rFonts w:hint="eastAsia"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表</w:t>
            </w:r>
            <w:r>
              <w:rPr>
                <w:rFonts w:hint="default" w:ascii="Times New Roman" w:hAnsi="Times New Roman" w:eastAsia="宋体" w:cs="Times New Roman"/>
                <w:b w:val="0"/>
                <w:bCs w:val="0"/>
                <w:sz w:val="21"/>
                <w:szCs w:val="21"/>
                <w:highlight w:val="none"/>
                <w:lang w:val="en-US" w:eastAsia="zh-CN"/>
              </w:rPr>
              <w:t>4</w:t>
            </w:r>
            <w:r>
              <w:rPr>
                <w:rFonts w:hint="eastAsia" w:cs="Times New Roman"/>
                <w:b w:val="0"/>
                <w:bCs w:val="0"/>
                <w:sz w:val="21"/>
                <w:szCs w:val="21"/>
                <w:highlight w:val="none"/>
                <w:lang w:val="en-US" w:eastAsia="zh-CN"/>
              </w:rPr>
              <w:t>-</w:t>
            </w:r>
            <w:r>
              <w:rPr>
                <w:rFonts w:hint="default" w:ascii="Times New Roman" w:hAnsi="Times New Roman" w:eastAsia="宋体" w:cs="Times New Roman"/>
                <w:b w:val="0"/>
                <w:bCs w:val="0"/>
                <w:sz w:val="21"/>
                <w:szCs w:val="21"/>
                <w:highlight w:val="none"/>
                <w:lang w:val="en-US" w:eastAsia="zh-CN"/>
              </w:rPr>
              <w:t>1</w:t>
            </w:r>
            <w:r>
              <w:rPr>
                <w:rFonts w:hint="default" w:ascii="Times New Roman" w:hAnsi="Times New Roman" w:eastAsia="宋体" w:cs="Times New Roman"/>
                <w:b w:val="0"/>
                <w:bCs w:val="0"/>
                <w:sz w:val="21"/>
                <w:szCs w:val="21"/>
                <w:highlight w:val="none"/>
              </w:rPr>
              <w:t>不同粒径的沉降速度</w:t>
            </w:r>
          </w:p>
          <w:tbl>
            <w:tblPr>
              <w:tblStyle w:val="2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58"/>
              <w:gridCol w:w="1009"/>
              <w:gridCol w:w="886"/>
              <w:gridCol w:w="896"/>
              <w:gridCol w:w="1047"/>
              <w:gridCol w:w="934"/>
              <w:gridCol w:w="886"/>
              <w:gridCol w:w="7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粒径</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μm）</w:t>
                  </w:r>
                </w:p>
              </w:tc>
              <w:tc>
                <w:tcPr>
                  <w:tcW w:w="100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10</w:t>
                  </w:r>
                </w:p>
              </w:tc>
              <w:tc>
                <w:tcPr>
                  <w:tcW w:w="8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20</w:t>
                  </w:r>
                </w:p>
              </w:tc>
              <w:tc>
                <w:tcPr>
                  <w:tcW w:w="89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30</w:t>
                  </w:r>
                </w:p>
              </w:tc>
              <w:tc>
                <w:tcPr>
                  <w:tcW w:w="10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40</w:t>
                  </w:r>
                </w:p>
              </w:tc>
              <w:tc>
                <w:tcPr>
                  <w:tcW w:w="9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50</w:t>
                  </w:r>
                </w:p>
              </w:tc>
              <w:tc>
                <w:tcPr>
                  <w:tcW w:w="8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60</w:t>
                  </w:r>
                </w:p>
              </w:tc>
              <w:tc>
                <w:tcPr>
                  <w:tcW w:w="72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沉降速度</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m/s）</w:t>
                  </w:r>
                </w:p>
              </w:tc>
              <w:tc>
                <w:tcPr>
                  <w:tcW w:w="100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0.003</w:t>
                  </w:r>
                </w:p>
              </w:tc>
              <w:tc>
                <w:tcPr>
                  <w:tcW w:w="8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0.012</w:t>
                  </w:r>
                </w:p>
              </w:tc>
              <w:tc>
                <w:tcPr>
                  <w:tcW w:w="89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0.027</w:t>
                  </w:r>
                </w:p>
              </w:tc>
              <w:tc>
                <w:tcPr>
                  <w:tcW w:w="10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0.048</w:t>
                  </w:r>
                </w:p>
              </w:tc>
              <w:tc>
                <w:tcPr>
                  <w:tcW w:w="9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0.07</w:t>
                  </w:r>
                </w:p>
              </w:tc>
              <w:tc>
                <w:tcPr>
                  <w:tcW w:w="8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0.108</w:t>
                  </w:r>
                </w:p>
              </w:tc>
              <w:tc>
                <w:tcPr>
                  <w:tcW w:w="72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0.147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粒径</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μm）</w:t>
                  </w:r>
                </w:p>
              </w:tc>
              <w:tc>
                <w:tcPr>
                  <w:tcW w:w="100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80</w:t>
                  </w:r>
                </w:p>
              </w:tc>
              <w:tc>
                <w:tcPr>
                  <w:tcW w:w="8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90</w:t>
                  </w:r>
                </w:p>
              </w:tc>
              <w:tc>
                <w:tcPr>
                  <w:tcW w:w="89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100</w:t>
                  </w:r>
                </w:p>
              </w:tc>
              <w:tc>
                <w:tcPr>
                  <w:tcW w:w="10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150</w:t>
                  </w:r>
                </w:p>
              </w:tc>
              <w:tc>
                <w:tcPr>
                  <w:tcW w:w="9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200</w:t>
                  </w:r>
                </w:p>
              </w:tc>
              <w:tc>
                <w:tcPr>
                  <w:tcW w:w="8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250</w:t>
                  </w:r>
                </w:p>
              </w:tc>
              <w:tc>
                <w:tcPr>
                  <w:tcW w:w="72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沉降速度</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m/s）</w:t>
                  </w:r>
                </w:p>
              </w:tc>
              <w:tc>
                <w:tcPr>
                  <w:tcW w:w="100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0.138</w:t>
                  </w:r>
                </w:p>
              </w:tc>
              <w:tc>
                <w:tcPr>
                  <w:tcW w:w="8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0.174</w:t>
                  </w:r>
                </w:p>
              </w:tc>
              <w:tc>
                <w:tcPr>
                  <w:tcW w:w="89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0.182</w:t>
                  </w:r>
                </w:p>
              </w:tc>
              <w:tc>
                <w:tcPr>
                  <w:tcW w:w="10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0.209</w:t>
                  </w:r>
                </w:p>
              </w:tc>
              <w:tc>
                <w:tcPr>
                  <w:tcW w:w="9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0.804</w:t>
                  </w:r>
                </w:p>
              </w:tc>
              <w:tc>
                <w:tcPr>
                  <w:tcW w:w="8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1.005</w:t>
                  </w:r>
                </w:p>
              </w:tc>
              <w:tc>
                <w:tcPr>
                  <w:tcW w:w="72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1.829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粒径</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μm）</w:t>
                  </w:r>
                </w:p>
              </w:tc>
              <w:tc>
                <w:tcPr>
                  <w:tcW w:w="100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450</w:t>
                  </w:r>
                </w:p>
              </w:tc>
              <w:tc>
                <w:tcPr>
                  <w:tcW w:w="8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550</w:t>
                  </w:r>
                </w:p>
              </w:tc>
              <w:tc>
                <w:tcPr>
                  <w:tcW w:w="89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650</w:t>
                  </w:r>
                </w:p>
              </w:tc>
              <w:tc>
                <w:tcPr>
                  <w:tcW w:w="10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750</w:t>
                  </w:r>
                </w:p>
              </w:tc>
              <w:tc>
                <w:tcPr>
                  <w:tcW w:w="9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800</w:t>
                  </w:r>
                </w:p>
              </w:tc>
              <w:tc>
                <w:tcPr>
                  <w:tcW w:w="8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950</w:t>
                  </w:r>
                </w:p>
              </w:tc>
              <w:tc>
                <w:tcPr>
                  <w:tcW w:w="72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1050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沉降速度</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m/s）</w:t>
                  </w:r>
                </w:p>
              </w:tc>
              <w:tc>
                <w:tcPr>
                  <w:tcW w:w="100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2.211</w:t>
                  </w:r>
                </w:p>
              </w:tc>
              <w:tc>
                <w:tcPr>
                  <w:tcW w:w="8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2.614</w:t>
                  </w:r>
                </w:p>
              </w:tc>
              <w:tc>
                <w:tcPr>
                  <w:tcW w:w="89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3.016</w:t>
                  </w:r>
                </w:p>
              </w:tc>
              <w:tc>
                <w:tcPr>
                  <w:tcW w:w="10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3.418</w:t>
                  </w:r>
                </w:p>
              </w:tc>
              <w:tc>
                <w:tcPr>
                  <w:tcW w:w="9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3.720</w:t>
                  </w:r>
                </w:p>
              </w:tc>
              <w:tc>
                <w:tcPr>
                  <w:tcW w:w="8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4.222</w:t>
                  </w:r>
                </w:p>
              </w:tc>
              <w:tc>
                <w:tcPr>
                  <w:tcW w:w="72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4.62</w:t>
                  </w:r>
                </w:p>
              </w:tc>
            </w:tr>
          </w:tbl>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lang w:val="en-US" w:eastAsia="zh-CN"/>
              </w:rPr>
            </w:pPr>
            <w:r>
              <w:rPr>
                <w:rFonts w:hint="default" w:ascii="Times New Roman" w:hAnsi="Times New Roman" w:eastAsia="宋体" w:cs="Times New Roman"/>
                <w:b w:val="0"/>
                <w:bCs w:val="0"/>
                <w:sz w:val="24"/>
                <w:highlight w:val="none"/>
                <w:lang w:val="en-US" w:eastAsia="zh-CN"/>
              </w:rPr>
              <w:t>由表可知，尘粒的沉降速度随粒径的增大而迅速增大。当粒径为250μm时，沉降速度为1.005m/s，因此可以认为当尘粒大于250μm时，主要影响范围在扬尘点下风向近距离范围内，而真正对外环境产生影响的是一些微小尘粒。根据现场的气候情况不同，其影响范围也有所不同。由起尘计算公式可知，Vo与粒径和含水率有关。因此，本工程在施工过程中，应将建筑材料堆场设置在距环境敏感点较远的地方，通过采取减少露天堆放、保证一定的含水率、使用土工布遮挡及减少裸露地面等措施，尽量将起尘量降到最低，从而减少其对周围环境空气质量的影响。扬尘对环境的影响较小。</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eastAsia="zh-CN"/>
              </w:rPr>
              <w:t>③</w:t>
            </w:r>
            <w:r>
              <w:rPr>
                <w:rFonts w:hint="default" w:ascii="Times New Roman" w:hAnsi="Times New Roman" w:eastAsia="宋体" w:cs="Times New Roman"/>
                <w:b w:val="0"/>
                <w:bCs w:val="0"/>
                <w:sz w:val="24"/>
                <w:highlight w:val="none"/>
              </w:rPr>
              <w:t>运输道路扬尘</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val="0"/>
                <w:bCs w:val="0"/>
                <w:sz w:val="24"/>
                <w:highlight w:val="none"/>
              </w:rPr>
              <w:t>施工区内车辆运输引起的道路扬尘约占场地扬尘总量的</w:t>
            </w:r>
            <w:r>
              <w:rPr>
                <w:rFonts w:hint="eastAsia" w:cs="Times New Roman"/>
                <w:b w:val="0"/>
                <w:bCs w:val="0"/>
                <w:sz w:val="24"/>
                <w:highlight w:val="none"/>
                <w:lang w:val="en-US" w:eastAsia="zh-CN"/>
              </w:rPr>
              <w:t>6</w:t>
            </w:r>
            <w:r>
              <w:rPr>
                <w:rFonts w:hint="default" w:ascii="Times New Roman" w:hAnsi="Times New Roman" w:eastAsia="宋体" w:cs="Times New Roman"/>
                <w:b w:val="0"/>
                <w:bCs w:val="0"/>
                <w:sz w:val="24"/>
                <w:highlight w:val="none"/>
              </w:rPr>
              <w:t>0%以上，道路扬尘的起尘量与运输车辆的车速、载重量、路面含尘量、相对湿度等因素有关。根据同类工程建设经验，施工期施工区内运输车辆大多行驶在土路便道上，路面含尘量高，道路扬尘比较严重。因此，应加强路面洒水抑尘。运输道路扬尘</w:t>
            </w:r>
            <w:r>
              <w:rPr>
                <w:rFonts w:hint="default" w:ascii="Times New Roman" w:hAnsi="Times New Roman" w:eastAsia="宋体" w:cs="Times New Roman"/>
                <w:sz w:val="24"/>
                <w:szCs w:val="24"/>
                <w:highlight w:val="none"/>
              </w:rPr>
              <w:t>在完全干燥</w:t>
            </w:r>
            <w:r>
              <w:rPr>
                <w:rFonts w:hint="eastAsia" w:cs="Times New Roman"/>
                <w:sz w:val="24"/>
                <w:szCs w:val="24"/>
                <w:highlight w:val="none"/>
                <w:lang w:eastAsia="zh-CN"/>
              </w:rPr>
              <w:t>的</w:t>
            </w:r>
            <w:r>
              <w:rPr>
                <w:rFonts w:hint="default" w:ascii="Times New Roman" w:hAnsi="Times New Roman" w:eastAsia="宋体" w:cs="Times New Roman"/>
                <w:sz w:val="24"/>
                <w:szCs w:val="24"/>
                <w:highlight w:val="none"/>
              </w:rPr>
              <w:t>情况下，可按下列经验公式计算：</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imes New Roman" w:hAnsi="Times New Roman" w:eastAsia="宋体" w:cs="Times New Roman"/>
                <w:sz w:val="24"/>
                <w:szCs w:val="24"/>
                <w:highlight w:val="none"/>
                <w:vertAlign w:val="superscript"/>
                <w:lang w:eastAsia="zh-CN"/>
              </w:rPr>
            </w:pPr>
            <w:r>
              <w:rPr>
                <w:rFonts w:hint="default" w:ascii="Times New Roman" w:hAnsi="Times New Roman" w:eastAsia="宋体" w:cs="Times New Roman"/>
                <w:sz w:val="24"/>
                <w:szCs w:val="24"/>
                <w:highlight w:val="none"/>
              </w:rPr>
              <w:t>Q=0.123</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V/5）</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W/6.8</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vertAlign w:val="superscript"/>
              </w:rPr>
              <w:t>0.85</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P/0.5</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vertAlign w:val="superscript"/>
              </w:rPr>
              <w:t>0.7</w:t>
            </w:r>
            <w:r>
              <w:rPr>
                <w:rFonts w:hint="eastAsia" w:ascii="Times New Roman" w:hAnsi="Times New Roman" w:eastAsia="宋体" w:cs="Times New Roman"/>
                <w:sz w:val="24"/>
                <w:szCs w:val="24"/>
                <w:highlight w:val="none"/>
                <w:vertAlign w:val="superscript"/>
                <w:lang w:val="en-US" w:eastAsia="zh-CN"/>
              </w:rPr>
              <w:t>5</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式中：Q</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汽车行驶的扬尘，kg/km·辆；</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V</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汽车速度，km/h；</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汽车载重量，t；</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P</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道路表面粉尘量，kg/㎡。</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以下为一辆10t卡车通过一段长度为1km路面时，不同行驶速度下的扬尘量按经验公式计算后的路表扬尘量见表4</w:t>
            </w:r>
            <w:r>
              <w:rPr>
                <w:rFonts w:hint="eastAsia" w:cs="Times New Roman"/>
                <w:sz w:val="24"/>
                <w:szCs w:val="24"/>
                <w:highlight w:val="none"/>
                <w:lang w:val="en-US" w:eastAsia="zh-CN"/>
              </w:rPr>
              <w:t>-2</w:t>
            </w:r>
            <w:r>
              <w:rPr>
                <w:rFonts w:hint="default" w:ascii="Times New Roman" w:hAnsi="Times New Roman" w:eastAsia="宋体" w:cs="Times New Roman"/>
                <w:sz w:val="24"/>
                <w:szCs w:val="24"/>
                <w:highlight w:val="none"/>
              </w:rPr>
              <w:t>。</w:t>
            </w:r>
          </w:p>
          <w:p>
            <w:pPr>
              <w:ind w:firstLine="0" w:firstLineChars="0"/>
              <w:jc w:val="center"/>
              <w:rPr>
                <w:rFonts w:ascii="Times New Roman" w:hAnsi="Times New Roman" w:cs="Times New Roman"/>
                <w:b w:val="0"/>
                <w:bCs w:val="0"/>
                <w:highlight w:val="none"/>
              </w:rPr>
            </w:pPr>
            <w:r>
              <w:rPr>
                <w:rFonts w:hint="eastAsia" w:cs="Times New Roman"/>
                <w:b w:val="0"/>
                <w:bCs w:val="0"/>
                <w:highlight w:val="none"/>
                <w:lang w:val="en-US" w:eastAsia="zh-CN"/>
              </w:rPr>
              <w:t xml:space="preserve">              </w:t>
            </w:r>
            <w:r>
              <w:rPr>
                <w:rFonts w:ascii="Times New Roman" w:hAnsi="Times New Roman" w:cs="Times New Roman"/>
                <w:b w:val="0"/>
                <w:bCs w:val="0"/>
                <w:highlight w:val="none"/>
              </w:rPr>
              <w:t>表</w:t>
            </w:r>
            <w:r>
              <w:rPr>
                <w:rFonts w:hint="eastAsia" w:cs="Times New Roman"/>
                <w:b w:val="0"/>
                <w:bCs w:val="0"/>
                <w:highlight w:val="none"/>
                <w:lang w:val="en-US" w:eastAsia="zh-CN"/>
              </w:rPr>
              <w:t>4-2</w:t>
            </w:r>
            <w:r>
              <w:rPr>
                <w:rFonts w:ascii="Times New Roman" w:hAnsi="Times New Roman" w:cs="Times New Roman"/>
                <w:b w:val="0"/>
                <w:bCs w:val="0"/>
                <w:highlight w:val="none"/>
              </w:rPr>
              <w:t xml:space="preserve">不同车速下的路表面粉尘量 </w:t>
            </w:r>
            <w:r>
              <w:rPr>
                <w:rFonts w:hint="eastAsia" w:cs="Times New Roman"/>
                <w:b w:val="0"/>
                <w:bCs w:val="0"/>
                <w:highlight w:val="none"/>
                <w:lang w:val="en-US" w:eastAsia="zh-CN"/>
              </w:rPr>
              <w:t xml:space="preserve">         </w:t>
            </w:r>
            <w:r>
              <w:rPr>
                <w:rFonts w:ascii="Times New Roman" w:hAnsi="Times New Roman" w:cs="Times New Roman"/>
                <w:b w:val="0"/>
                <w:bCs w:val="0"/>
                <w:highlight w:val="none"/>
              </w:rPr>
              <w:t xml:space="preserve"> 单位：kg/辆·km</w:t>
            </w:r>
          </w:p>
          <w:tbl>
            <w:tblPr>
              <w:tblStyle w:val="2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35"/>
              <w:gridCol w:w="1405"/>
              <w:gridCol w:w="1029"/>
              <w:gridCol w:w="1040"/>
              <w:gridCol w:w="987"/>
              <w:gridCol w:w="906"/>
              <w:gridCol w:w="880"/>
              <w:gridCol w:w="80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440" w:type="dxa"/>
                  <w:gridSpan w:val="2"/>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地面清洁情况</w:t>
                  </w:r>
                  <w:r>
                    <w:rPr>
                      <w:rFonts w:hint="eastAsia" w:cs="Times New Roman"/>
                      <w:sz w:val="21"/>
                      <w:szCs w:val="21"/>
                      <w:highlight w:val="none"/>
                      <w:lang w:eastAsia="zh-CN"/>
                    </w:rPr>
                    <w:t>（</w:t>
                  </w:r>
                  <w:r>
                    <w:rPr>
                      <w:rFonts w:ascii="Times New Roman" w:hAnsi="Times New Roman" w:cs="Times New Roman"/>
                      <w:sz w:val="21"/>
                      <w:szCs w:val="21"/>
                      <w:highlight w:val="none"/>
                    </w:rPr>
                    <w:t>kg/m²）</w:t>
                  </w:r>
                </w:p>
              </w:tc>
              <w:tc>
                <w:tcPr>
                  <w:tcW w:w="1029"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0.1</w:t>
                  </w:r>
                </w:p>
              </w:tc>
              <w:tc>
                <w:tcPr>
                  <w:tcW w:w="1040"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0.2</w:t>
                  </w:r>
                </w:p>
              </w:tc>
              <w:tc>
                <w:tcPr>
                  <w:tcW w:w="987"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0.3</w:t>
                  </w:r>
                </w:p>
              </w:tc>
              <w:tc>
                <w:tcPr>
                  <w:tcW w:w="906"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0.4</w:t>
                  </w:r>
                </w:p>
              </w:tc>
              <w:tc>
                <w:tcPr>
                  <w:tcW w:w="880"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0.5</w:t>
                  </w:r>
                </w:p>
              </w:tc>
              <w:tc>
                <w:tcPr>
                  <w:tcW w:w="805"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35" w:type="dxa"/>
                  <w:vMerge w:val="restart"/>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不同车速</w:t>
                  </w:r>
                  <w:r>
                    <w:rPr>
                      <w:rFonts w:hint="eastAsia" w:cs="Times New Roman"/>
                      <w:sz w:val="21"/>
                      <w:szCs w:val="21"/>
                      <w:highlight w:val="none"/>
                      <w:lang w:eastAsia="zh-CN"/>
                    </w:rPr>
                    <w:t>（</w:t>
                  </w:r>
                  <w:r>
                    <w:rPr>
                      <w:rFonts w:ascii="Times New Roman" w:hAnsi="Times New Roman" w:cs="Times New Roman"/>
                      <w:sz w:val="21"/>
                      <w:szCs w:val="21"/>
                      <w:highlight w:val="none"/>
                    </w:rPr>
                    <w:t>km/h）</w:t>
                  </w:r>
                </w:p>
              </w:tc>
              <w:tc>
                <w:tcPr>
                  <w:tcW w:w="1405"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5</w:t>
                  </w:r>
                </w:p>
              </w:tc>
              <w:tc>
                <w:tcPr>
                  <w:tcW w:w="1029"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0.0511</w:t>
                  </w:r>
                </w:p>
              </w:tc>
              <w:tc>
                <w:tcPr>
                  <w:tcW w:w="1040"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0.0859</w:t>
                  </w:r>
                </w:p>
              </w:tc>
              <w:tc>
                <w:tcPr>
                  <w:tcW w:w="987"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0.1164</w:t>
                  </w:r>
                </w:p>
              </w:tc>
              <w:tc>
                <w:tcPr>
                  <w:tcW w:w="906"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0.1444</w:t>
                  </w:r>
                </w:p>
              </w:tc>
              <w:tc>
                <w:tcPr>
                  <w:tcW w:w="880"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0.1707</w:t>
                  </w:r>
                </w:p>
              </w:tc>
              <w:tc>
                <w:tcPr>
                  <w:tcW w:w="805"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0.2871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35" w:type="dxa"/>
                  <w:vMerge w:val="continue"/>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p>
              </w:tc>
              <w:tc>
                <w:tcPr>
                  <w:tcW w:w="1405"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10</w:t>
                  </w:r>
                </w:p>
              </w:tc>
              <w:tc>
                <w:tcPr>
                  <w:tcW w:w="1029"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0.1021</w:t>
                  </w:r>
                </w:p>
              </w:tc>
              <w:tc>
                <w:tcPr>
                  <w:tcW w:w="1040"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0.1717</w:t>
                  </w:r>
                </w:p>
              </w:tc>
              <w:tc>
                <w:tcPr>
                  <w:tcW w:w="987"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0.2328</w:t>
                  </w:r>
                </w:p>
              </w:tc>
              <w:tc>
                <w:tcPr>
                  <w:tcW w:w="906"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0.2888</w:t>
                  </w:r>
                </w:p>
              </w:tc>
              <w:tc>
                <w:tcPr>
                  <w:tcW w:w="880"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0.3414</w:t>
                  </w:r>
                </w:p>
              </w:tc>
              <w:tc>
                <w:tcPr>
                  <w:tcW w:w="805"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0.5742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35" w:type="dxa"/>
                  <w:vMerge w:val="continue"/>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p>
              </w:tc>
              <w:tc>
                <w:tcPr>
                  <w:tcW w:w="1405"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15</w:t>
                  </w:r>
                </w:p>
              </w:tc>
              <w:tc>
                <w:tcPr>
                  <w:tcW w:w="1029"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0.1532</w:t>
                  </w:r>
                </w:p>
              </w:tc>
              <w:tc>
                <w:tcPr>
                  <w:tcW w:w="1040"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0.2576</w:t>
                  </w:r>
                </w:p>
              </w:tc>
              <w:tc>
                <w:tcPr>
                  <w:tcW w:w="987"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0.3491</w:t>
                  </w:r>
                </w:p>
              </w:tc>
              <w:tc>
                <w:tcPr>
                  <w:tcW w:w="906"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0.4332</w:t>
                  </w:r>
                </w:p>
              </w:tc>
              <w:tc>
                <w:tcPr>
                  <w:tcW w:w="880"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0.5121</w:t>
                  </w:r>
                </w:p>
              </w:tc>
              <w:tc>
                <w:tcPr>
                  <w:tcW w:w="805"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0.8613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35" w:type="dxa"/>
                  <w:vMerge w:val="continue"/>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p>
              </w:tc>
              <w:tc>
                <w:tcPr>
                  <w:tcW w:w="1405"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25</w:t>
                  </w:r>
                </w:p>
              </w:tc>
              <w:tc>
                <w:tcPr>
                  <w:tcW w:w="1029"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0.2553</w:t>
                  </w:r>
                </w:p>
              </w:tc>
              <w:tc>
                <w:tcPr>
                  <w:tcW w:w="1040"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0.4293</w:t>
                  </w:r>
                </w:p>
              </w:tc>
              <w:tc>
                <w:tcPr>
                  <w:tcW w:w="987"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0.5819</w:t>
                  </w:r>
                </w:p>
              </w:tc>
              <w:tc>
                <w:tcPr>
                  <w:tcW w:w="906"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0.7220</w:t>
                  </w:r>
                </w:p>
              </w:tc>
              <w:tc>
                <w:tcPr>
                  <w:tcW w:w="880"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0.8536</w:t>
                  </w:r>
                </w:p>
              </w:tc>
              <w:tc>
                <w:tcPr>
                  <w:tcW w:w="805" w:type="dxa"/>
                  <w:tcBorders>
                    <w:tl2br w:val="nil"/>
                    <w:tr2bl w:val="nil"/>
                  </w:tcBorders>
                  <w:vAlign w:val="center"/>
                </w:tcPr>
                <w:p>
                  <w:pPr>
                    <w:spacing w:line="240" w:lineRule="auto"/>
                    <w:ind w:firstLine="0" w:firstLineChars="0"/>
                    <w:jc w:val="center"/>
                    <w:rPr>
                      <w:rFonts w:ascii="Times New Roman" w:hAnsi="Times New Roman" w:cs="Times New Roman"/>
                      <w:sz w:val="21"/>
                      <w:szCs w:val="21"/>
                      <w:highlight w:val="none"/>
                    </w:rPr>
                  </w:pPr>
                  <w:r>
                    <w:rPr>
                      <w:rFonts w:ascii="Times New Roman" w:hAnsi="Times New Roman" w:cs="Times New Roman"/>
                      <w:sz w:val="21"/>
                      <w:szCs w:val="21"/>
                      <w:highlight w:val="none"/>
                    </w:rPr>
                    <w:t>1.4355</w:t>
                  </w:r>
                </w:p>
              </w:tc>
            </w:tr>
          </w:tbl>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 w:val="0"/>
                <w:bCs w:val="0"/>
                <w:sz w:val="24"/>
                <w:highlight w:val="none"/>
                <w:lang w:eastAsia="zh-CN"/>
              </w:rPr>
            </w:pPr>
            <w:r>
              <w:rPr>
                <w:rFonts w:hint="eastAsia" w:ascii="Times New Roman" w:hAnsi="Times New Roman" w:eastAsia="宋体" w:cs="Times New Roman"/>
                <w:b w:val="0"/>
                <w:bCs w:val="0"/>
                <w:sz w:val="24"/>
                <w:highlight w:val="none"/>
                <w:lang w:eastAsia="zh-CN"/>
              </w:rPr>
              <w:t>由此可见，在同样路面清洁程度条件下，车速越快，扬尘量越大；而在同样车速</w:t>
            </w:r>
            <w:r>
              <w:rPr>
                <w:rFonts w:hint="eastAsia" w:cs="Times New Roman"/>
                <w:b w:val="0"/>
                <w:bCs w:val="0"/>
                <w:sz w:val="24"/>
                <w:highlight w:val="none"/>
                <w:lang w:eastAsia="zh-CN"/>
              </w:rPr>
              <w:t>的</w:t>
            </w:r>
            <w:r>
              <w:rPr>
                <w:rFonts w:hint="eastAsia" w:ascii="Times New Roman" w:hAnsi="Times New Roman" w:eastAsia="宋体" w:cs="Times New Roman"/>
                <w:b w:val="0"/>
                <w:bCs w:val="0"/>
                <w:sz w:val="24"/>
                <w:highlight w:val="none"/>
                <w:lang w:eastAsia="zh-CN"/>
              </w:rPr>
              <w:t>情况下，路面越脏，则扬尘量越大。因此对出入施工场地车辆限速行驶及保持路面清洁是减少和防止汽车扬尘的有效手段。本次评价要求必须采取抑尘措施，如施工场地洒水抑尘，做到施工现场及场外道路泥土及时清理，</w:t>
            </w:r>
            <w:r>
              <w:rPr>
                <w:rFonts w:hint="eastAsia" w:cs="Times New Roman"/>
                <w:b w:val="0"/>
                <w:bCs w:val="0"/>
                <w:sz w:val="24"/>
                <w:highlight w:val="none"/>
                <w:lang w:eastAsia="zh-CN"/>
              </w:rPr>
              <w:t>车辆限速行驶，</w:t>
            </w:r>
            <w:r>
              <w:rPr>
                <w:rFonts w:hint="eastAsia" w:ascii="Times New Roman" w:hAnsi="Times New Roman" w:eastAsia="宋体" w:cs="Times New Roman"/>
                <w:b w:val="0"/>
                <w:bCs w:val="0"/>
                <w:sz w:val="24"/>
                <w:highlight w:val="none"/>
                <w:lang w:eastAsia="zh-CN"/>
              </w:rPr>
              <w:t>减少二次扬尘。做到有效缓解施工期扬尘对周围环境的不利影响。</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outlineLvl w:val="1"/>
              <w:rPr>
                <w:rFonts w:hint="default" w:ascii="Times New Roman" w:hAnsi="Times New Roman" w:eastAsia="宋体" w:cs="Times New Roman"/>
                <w:b w:val="0"/>
                <w:bCs w:val="0"/>
                <w:sz w:val="24"/>
                <w:highlight w:val="none"/>
              </w:rPr>
            </w:pPr>
            <w:r>
              <w:rPr>
                <w:rFonts w:hint="eastAsia" w:cs="Times New Roman"/>
                <w:b w:val="0"/>
                <w:bCs w:val="0"/>
                <w:sz w:val="24"/>
                <w:highlight w:val="none"/>
                <w:lang w:eastAsia="zh-CN"/>
              </w:rPr>
              <w:t>（</w:t>
            </w:r>
            <w:r>
              <w:rPr>
                <w:rFonts w:hint="default" w:ascii="Times New Roman" w:hAnsi="Times New Roman" w:eastAsia="宋体" w:cs="Times New Roman"/>
                <w:b w:val="0"/>
                <w:bCs w:val="0"/>
                <w:sz w:val="24"/>
                <w:highlight w:val="none"/>
                <w:lang w:val="en-US" w:eastAsia="zh-CN"/>
              </w:rPr>
              <w:t>2</w:t>
            </w:r>
            <w:r>
              <w:rPr>
                <w:rFonts w:hint="default" w:ascii="Times New Roman" w:hAnsi="Times New Roman" w:eastAsia="宋体" w:cs="Times New Roman"/>
                <w:b w:val="0"/>
                <w:bCs w:val="0"/>
                <w:sz w:val="24"/>
                <w:highlight w:val="none"/>
              </w:rPr>
              <w:t>）施工机械</w:t>
            </w:r>
            <w:r>
              <w:rPr>
                <w:rFonts w:hint="default" w:ascii="Times New Roman" w:hAnsi="Times New Roman" w:eastAsia="宋体" w:cs="Times New Roman"/>
                <w:b w:val="0"/>
                <w:bCs w:val="0"/>
                <w:sz w:val="24"/>
                <w:highlight w:val="none"/>
                <w:lang w:val="en-US" w:eastAsia="zh-CN"/>
              </w:rPr>
              <w:t>与运输车辆</w:t>
            </w:r>
            <w:r>
              <w:rPr>
                <w:rFonts w:hint="default" w:ascii="Times New Roman" w:hAnsi="Times New Roman" w:eastAsia="宋体" w:cs="Times New Roman"/>
                <w:b w:val="0"/>
                <w:bCs w:val="0"/>
                <w:sz w:val="24"/>
                <w:highlight w:val="none"/>
              </w:rPr>
              <w:t>的燃油废气</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lang w:val="en-US" w:eastAsia="zh-CN"/>
              </w:rPr>
            </w:pPr>
            <w:r>
              <w:rPr>
                <w:rFonts w:hint="default" w:ascii="Times New Roman" w:hAnsi="Times New Roman" w:eastAsia="宋体" w:cs="Times New Roman"/>
                <w:b w:val="0"/>
                <w:bCs w:val="0"/>
                <w:kern w:val="0"/>
                <w:sz w:val="24"/>
                <w:highlight w:val="none"/>
                <w:lang w:val="en-US" w:eastAsia="zh-CN"/>
              </w:rPr>
              <w:t>本项目施工过程用到的施工机械主要有装载机、推土机以及各种运输车辆等，以柴油和汽油为主要燃料，间断运行，运行过程中都会产生一定量的废气，主要以NOX、CO和THC为主，为无组织排放，污染物排放量的大小与机械质量、油品质量、车辆运输量、设备类型以及运行的工况有关。本项目施工期</w:t>
            </w:r>
            <w:r>
              <w:rPr>
                <w:rFonts w:hint="eastAsia" w:cs="Times New Roman"/>
                <w:b w:val="0"/>
                <w:bCs w:val="0"/>
                <w:kern w:val="0"/>
                <w:sz w:val="24"/>
                <w:highlight w:val="none"/>
                <w:lang w:val="en-US" w:eastAsia="zh-CN"/>
              </w:rPr>
              <w:t>间</w:t>
            </w:r>
            <w:r>
              <w:rPr>
                <w:rFonts w:hint="default" w:ascii="Times New Roman" w:hAnsi="Times New Roman" w:eastAsia="宋体" w:cs="Times New Roman"/>
                <w:b w:val="0"/>
                <w:bCs w:val="0"/>
                <w:kern w:val="0"/>
                <w:sz w:val="24"/>
                <w:highlight w:val="none"/>
                <w:lang w:val="en-US" w:eastAsia="zh-CN"/>
              </w:rPr>
              <w:t>各机械设备</w:t>
            </w:r>
            <w:r>
              <w:rPr>
                <w:rFonts w:hint="eastAsia" w:cs="Times New Roman"/>
                <w:b w:val="0"/>
                <w:bCs w:val="0"/>
                <w:kern w:val="0"/>
                <w:sz w:val="24"/>
                <w:highlight w:val="none"/>
                <w:lang w:val="en-US" w:eastAsia="zh-CN"/>
              </w:rPr>
              <w:t>的</w:t>
            </w:r>
            <w:r>
              <w:rPr>
                <w:rFonts w:hint="default" w:ascii="Times New Roman" w:hAnsi="Times New Roman" w:eastAsia="宋体" w:cs="Times New Roman"/>
                <w:b w:val="0"/>
                <w:bCs w:val="0"/>
                <w:kern w:val="0"/>
                <w:sz w:val="24"/>
                <w:highlight w:val="none"/>
                <w:lang w:val="en-US" w:eastAsia="zh-CN"/>
              </w:rPr>
              <w:t>使用满足标准的油品，且本次工程施工场地空旷，在加强施工机械、车辆等运行管理与维护保养情况下，可减少尾气排放对环境的污染，经扩散后对环境影响小。</w:t>
            </w:r>
          </w:p>
          <w:p>
            <w:pPr>
              <w:keepNext w:val="0"/>
              <w:keepLines w:val="0"/>
              <w:pageBreakBefore w:val="0"/>
              <w:widowControl w:val="0"/>
              <w:kinsoku/>
              <w:wordWrap/>
              <w:overflowPunct/>
              <w:topLinePunct w:val="0"/>
              <w:autoSpaceDE/>
              <w:autoSpaceDN/>
              <w:bidi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lang w:val="en-US" w:eastAsia="zh-CN"/>
              </w:rPr>
              <w:t>三</w:t>
            </w:r>
            <w:r>
              <w:rPr>
                <w:rFonts w:hint="default" w:ascii="Times New Roman" w:hAnsi="Times New Roman" w:eastAsia="宋体" w:cs="Times New Roman"/>
                <w:b w:val="0"/>
                <w:bCs w:val="0"/>
                <w:sz w:val="24"/>
                <w:highlight w:val="none"/>
              </w:rPr>
              <w:t>、</w:t>
            </w:r>
            <w:r>
              <w:rPr>
                <w:rFonts w:hint="default" w:ascii="Times New Roman" w:hAnsi="Times New Roman" w:eastAsia="宋体" w:cs="Times New Roman"/>
                <w:b w:val="0"/>
                <w:bCs w:val="0"/>
                <w:sz w:val="24"/>
                <w:highlight w:val="none"/>
                <w:lang w:val="en-US" w:eastAsia="zh-CN"/>
              </w:rPr>
              <w:t>水环境影响分析</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kern w:val="0"/>
                <w:sz w:val="24"/>
                <w:highlight w:val="none"/>
              </w:rPr>
            </w:pPr>
            <w:r>
              <w:rPr>
                <w:rFonts w:hint="default" w:ascii="Times New Roman" w:hAnsi="Times New Roman" w:eastAsia="宋体" w:cs="Times New Roman"/>
                <w:b w:val="0"/>
                <w:bCs w:val="0"/>
                <w:kern w:val="0"/>
                <w:sz w:val="24"/>
                <w:highlight w:val="none"/>
                <w:lang w:val="en-US" w:eastAsia="zh-CN"/>
              </w:rPr>
              <w:t>本项目施工废水主要为施工废水</w:t>
            </w:r>
            <w:r>
              <w:rPr>
                <w:rFonts w:hint="eastAsia" w:cs="Times New Roman"/>
                <w:b w:val="0"/>
                <w:bCs w:val="0"/>
                <w:kern w:val="0"/>
                <w:sz w:val="24"/>
                <w:highlight w:val="none"/>
                <w:lang w:val="en-US" w:eastAsia="zh-CN"/>
              </w:rPr>
              <w:t>、</w:t>
            </w:r>
            <w:r>
              <w:rPr>
                <w:rFonts w:hint="default" w:ascii="Times New Roman" w:hAnsi="Times New Roman" w:eastAsia="宋体" w:cs="Times New Roman"/>
                <w:b w:val="0"/>
                <w:bCs w:val="0"/>
                <w:kern w:val="0"/>
                <w:sz w:val="24"/>
                <w:highlight w:val="none"/>
                <w:lang w:val="en-US" w:eastAsia="zh-CN"/>
              </w:rPr>
              <w:t>施工</w:t>
            </w:r>
            <w:r>
              <w:rPr>
                <w:rFonts w:hint="default" w:ascii="Times New Roman" w:hAnsi="Times New Roman" w:eastAsia="宋体" w:cs="Times New Roman"/>
                <w:b w:val="0"/>
                <w:bCs w:val="0"/>
                <w:sz w:val="24"/>
                <w:highlight w:val="none"/>
              </w:rPr>
              <w:t>人员</w:t>
            </w:r>
            <w:r>
              <w:rPr>
                <w:rFonts w:hint="default" w:ascii="Times New Roman" w:hAnsi="Times New Roman" w:eastAsia="宋体" w:cs="Times New Roman"/>
                <w:b w:val="0"/>
                <w:bCs w:val="0"/>
                <w:kern w:val="0"/>
                <w:sz w:val="24"/>
                <w:highlight w:val="none"/>
                <w:lang w:val="en-US" w:eastAsia="zh-CN"/>
              </w:rPr>
              <w:t>生活污水和</w:t>
            </w:r>
            <w:r>
              <w:rPr>
                <w:rFonts w:hint="eastAsia" w:cs="Times New Roman"/>
                <w:b w:val="0"/>
                <w:bCs w:val="0"/>
                <w:kern w:val="0"/>
                <w:sz w:val="24"/>
                <w:highlight w:val="none"/>
                <w:lang w:val="en-US" w:eastAsia="zh-CN"/>
              </w:rPr>
              <w:t>井筒废水</w:t>
            </w:r>
            <w:r>
              <w:rPr>
                <w:rFonts w:hint="default" w:ascii="Times New Roman" w:hAnsi="Times New Roman" w:eastAsia="宋体" w:cs="Times New Roman"/>
                <w:b w:val="0"/>
                <w:bCs w:val="0"/>
                <w:kern w:val="0"/>
                <w:sz w:val="24"/>
                <w:highlight w:val="none"/>
                <w:lang w:val="en-US" w:eastAsia="zh-CN"/>
              </w:rPr>
              <w:t>。</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kern w:val="0"/>
                <w:sz w:val="24"/>
                <w:highlight w:val="none"/>
              </w:rPr>
            </w:pPr>
            <w:r>
              <w:rPr>
                <w:rFonts w:hint="eastAsia" w:cs="Times New Roman"/>
                <w:b w:val="0"/>
                <w:bCs w:val="0"/>
                <w:kern w:val="0"/>
                <w:sz w:val="24"/>
                <w:highlight w:val="none"/>
                <w:lang w:val="en-US" w:eastAsia="zh-CN"/>
              </w:rPr>
              <w:t>（</w:t>
            </w:r>
            <w:r>
              <w:rPr>
                <w:rFonts w:hint="default" w:ascii="Times New Roman" w:hAnsi="Times New Roman" w:eastAsia="宋体" w:cs="Times New Roman"/>
                <w:b w:val="0"/>
                <w:bCs w:val="0"/>
                <w:kern w:val="0"/>
                <w:sz w:val="24"/>
                <w:highlight w:val="none"/>
                <w:lang w:val="en-US" w:eastAsia="zh-CN"/>
              </w:rPr>
              <w:t xml:space="preserve">1）生活污水 </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kern w:val="0"/>
                <w:sz w:val="24"/>
                <w:highlight w:val="none"/>
              </w:rPr>
            </w:pPr>
            <w:r>
              <w:rPr>
                <w:rFonts w:hint="default" w:ascii="Times New Roman" w:hAnsi="Times New Roman" w:eastAsia="宋体" w:cs="Times New Roman"/>
                <w:b w:val="0"/>
                <w:bCs w:val="0"/>
                <w:sz w:val="24"/>
                <w:highlight w:val="none"/>
              </w:rPr>
              <w:t>在项目建设期间施工人员会产生一定量的生活污水，按项目施工情况，施工高峰期每天约</w:t>
            </w:r>
            <w:r>
              <w:rPr>
                <w:rFonts w:hint="eastAsia" w:cs="Times New Roman"/>
                <w:b w:val="0"/>
                <w:bCs w:val="0"/>
                <w:sz w:val="24"/>
                <w:highlight w:val="none"/>
                <w:lang w:val="en-US" w:eastAsia="zh-CN"/>
              </w:rPr>
              <w:t>3</w:t>
            </w:r>
            <w:r>
              <w:rPr>
                <w:rFonts w:hint="default" w:ascii="Times New Roman" w:hAnsi="Times New Roman" w:eastAsia="宋体" w:cs="Times New Roman"/>
                <w:b w:val="0"/>
                <w:bCs w:val="0"/>
                <w:sz w:val="24"/>
                <w:highlight w:val="none"/>
                <w:lang w:val="en-US" w:eastAsia="zh-CN"/>
              </w:rPr>
              <w:t>0</w:t>
            </w:r>
            <w:r>
              <w:rPr>
                <w:rFonts w:hint="default" w:ascii="Times New Roman" w:hAnsi="Times New Roman" w:eastAsia="宋体" w:cs="Times New Roman"/>
                <w:b w:val="0"/>
                <w:bCs w:val="0"/>
                <w:sz w:val="24"/>
                <w:highlight w:val="none"/>
              </w:rPr>
              <w:t>人，根据《内蒙古自治区行业用水定额》</w:t>
            </w:r>
            <w:r>
              <w:rPr>
                <w:rFonts w:hint="eastAsia" w:cs="Times New Roman"/>
                <w:b w:val="0"/>
                <w:bCs w:val="0"/>
                <w:sz w:val="24"/>
                <w:highlight w:val="none"/>
                <w:lang w:eastAsia="zh-CN"/>
              </w:rPr>
              <w:t>（</w:t>
            </w:r>
            <w:r>
              <w:rPr>
                <w:rFonts w:hint="default" w:ascii="Times New Roman" w:hAnsi="Times New Roman" w:eastAsia="宋体" w:cs="Times New Roman"/>
                <w:b w:val="0"/>
                <w:bCs w:val="0"/>
                <w:sz w:val="24"/>
                <w:highlight w:val="none"/>
              </w:rPr>
              <w:t>DB15/T 385</w:t>
            </w:r>
            <w:r>
              <w:rPr>
                <w:rFonts w:hint="eastAsia" w:cs="Times New Roman"/>
                <w:b w:val="0"/>
                <w:bCs w:val="0"/>
                <w:sz w:val="24"/>
                <w:highlight w:val="none"/>
                <w:lang w:eastAsia="zh-CN"/>
              </w:rPr>
              <w:t>-</w:t>
            </w:r>
            <w:r>
              <w:rPr>
                <w:rFonts w:hint="eastAsia" w:cs="Times New Roman"/>
                <w:b w:val="0"/>
                <w:bCs w:val="0"/>
                <w:sz w:val="24"/>
                <w:highlight w:val="none"/>
                <w:lang w:val="en-US" w:eastAsia="zh-CN"/>
              </w:rPr>
              <w:t>2020</w:t>
            </w:r>
            <w:r>
              <w:rPr>
                <w:rFonts w:hint="default" w:ascii="Times New Roman" w:hAnsi="Times New Roman" w:eastAsia="宋体" w:cs="Times New Roman"/>
                <w:b w:val="0"/>
                <w:bCs w:val="0"/>
                <w:sz w:val="24"/>
                <w:highlight w:val="none"/>
              </w:rPr>
              <w:t>），参考农村居民用水定额60 L/</w:t>
            </w:r>
            <w:r>
              <w:rPr>
                <w:rFonts w:hint="eastAsia" w:cs="Times New Roman"/>
                <w:b w:val="0"/>
                <w:bCs w:val="0"/>
                <w:sz w:val="24"/>
                <w:highlight w:val="none"/>
                <w:lang w:eastAsia="zh-CN"/>
              </w:rPr>
              <w:t>（</w:t>
            </w:r>
            <w:r>
              <w:rPr>
                <w:rFonts w:hint="default" w:ascii="Times New Roman" w:hAnsi="Times New Roman" w:eastAsia="宋体" w:cs="Times New Roman"/>
                <w:b w:val="0"/>
                <w:bCs w:val="0"/>
                <w:sz w:val="24"/>
                <w:highlight w:val="none"/>
              </w:rPr>
              <w:t>人·d），产污系数按0.8计，施工人员生活污水产生量为</w:t>
            </w:r>
            <w:r>
              <w:rPr>
                <w:rFonts w:hint="default" w:ascii="Times New Roman" w:hAnsi="Times New Roman" w:eastAsia="宋体" w:cs="Times New Roman"/>
                <w:b w:val="0"/>
                <w:bCs w:val="0"/>
                <w:sz w:val="24"/>
                <w:highlight w:val="none"/>
                <w:lang w:val="en-US" w:eastAsia="zh-CN"/>
              </w:rPr>
              <w:t>1.</w:t>
            </w:r>
            <w:r>
              <w:rPr>
                <w:rFonts w:hint="eastAsia" w:cs="Times New Roman"/>
                <w:b w:val="0"/>
                <w:bCs w:val="0"/>
                <w:sz w:val="24"/>
                <w:highlight w:val="none"/>
                <w:lang w:val="en-US" w:eastAsia="zh-CN"/>
              </w:rPr>
              <w:t>8</w:t>
            </w:r>
            <w:r>
              <w:rPr>
                <w:rFonts w:hint="default" w:ascii="Times New Roman" w:hAnsi="Times New Roman" w:eastAsia="宋体" w:cs="Times New Roman"/>
                <w:b w:val="0"/>
                <w:bCs w:val="0"/>
                <w:sz w:val="24"/>
                <w:highlight w:val="none"/>
              </w:rPr>
              <w:t> m</w:t>
            </w:r>
            <w:r>
              <w:rPr>
                <w:rFonts w:hint="default" w:ascii="Times New Roman" w:hAnsi="Times New Roman" w:eastAsia="宋体" w:cs="Times New Roman"/>
                <w:b w:val="0"/>
                <w:bCs w:val="0"/>
                <w:sz w:val="24"/>
                <w:highlight w:val="none"/>
                <w:vertAlign w:val="superscript"/>
              </w:rPr>
              <w:t>3</w:t>
            </w:r>
            <w:r>
              <w:rPr>
                <w:rFonts w:hint="default" w:ascii="Times New Roman" w:hAnsi="Times New Roman" w:eastAsia="宋体" w:cs="Times New Roman"/>
                <w:b w:val="0"/>
                <w:bCs w:val="0"/>
                <w:sz w:val="24"/>
                <w:highlight w:val="none"/>
              </w:rPr>
              <w:t>/d</w:t>
            </w:r>
            <w:r>
              <w:rPr>
                <w:rFonts w:hint="default" w:ascii="Times New Roman" w:hAnsi="Times New Roman" w:eastAsia="宋体" w:cs="Times New Roman"/>
                <w:b w:val="0"/>
                <w:bCs w:val="0"/>
                <w:sz w:val="24"/>
                <w:highlight w:val="none"/>
                <w:lang w:eastAsia="zh-CN"/>
              </w:rPr>
              <w:t>，施工期共产生生活污水</w:t>
            </w:r>
            <w:r>
              <w:rPr>
                <w:rFonts w:hint="eastAsia" w:cs="Times New Roman"/>
                <w:b w:val="0"/>
                <w:bCs w:val="0"/>
                <w:sz w:val="24"/>
                <w:highlight w:val="none"/>
                <w:lang w:val="en-US" w:eastAsia="zh-CN"/>
              </w:rPr>
              <w:t>162</w:t>
            </w:r>
            <w:r>
              <w:rPr>
                <w:rFonts w:hint="default" w:ascii="Times New Roman" w:hAnsi="Times New Roman" w:eastAsia="宋体" w:cs="Times New Roman"/>
                <w:b w:val="0"/>
                <w:bCs w:val="0"/>
                <w:sz w:val="24"/>
                <w:highlight w:val="none"/>
              </w:rPr>
              <w:t>m</w:t>
            </w:r>
            <w:r>
              <w:rPr>
                <w:rFonts w:hint="default" w:ascii="Times New Roman" w:hAnsi="Times New Roman" w:eastAsia="宋体" w:cs="Times New Roman"/>
                <w:b w:val="0"/>
                <w:bCs w:val="0"/>
                <w:sz w:val="24"/>
                <w:highlight w:val="none"/>
                <w:vertAlign w:val="superscript"/>
              </w:rPr>
              <w:t>3</w:t>
            </w:r>
            <w:r>
              <w:rPr>
                <w:rFonts w:hint="default" w:ascii="Times New Roman" w:hAnsi="Times New Roman" w:eastAsia="宋体" w:cs="Times New Roman"/>
                <w:b w:val="0"/>
                <w:bCs w:val="0"/>
                <w:sz w:val="24"/>
                <w:highlight w:val="none"/>
              </w:rPr>
              <w:t>，主要污染物为COD、BOD</w:t>
            </w:r>
            <w:r>
              <w:rPr>
                <w:rFonts w:hint="default" w:ascii="Times New Roman" w:hAnsi="Times New Roman" w:eastAsia="宋体" w:cs="Times New Roman"/>
                <w:b w:val="0"/>
                <w:bCs w:val="0"/>
                <w:sz w:val="24"/>
                <w:highlight w:val="none"/>
                <w:vertAlign w:val="subscript"/>
              </w:rPr>
              <w:t>5</w:t>
            </w:r>
            <w:r>
              <w:rPr>
                <w:rFonts w:hint="default" w:ascii="Times New Roman" w:hAnsi="Times New Roman" w:eastAsia="宋体" w:cs="Times New Roman"/>
                <w:b w:val="0"/>
                <w:bCs w:val="0"/>
                <w:sz w:val="24"/>
                <w:highlight w:val="none"/>
              </w:rPr>
              <w:t>、NH</w:t>
            </w:r>
            <w:r>
              <w:rPr>
                <w:rFonts w:hint="default" w:ascii="Times New Roman" w:hAnsi="Times New Roman" w:eastAsia="宋体" w:cs="Times New Roman"/>
                <w:b w:val="0"/>
                <w:bCs w:val="0"/>
                <w:sz w:val="24"/>
                <w:highlight w:val="none"/>
                <w:vertAlign w:val="subscript"/>
              </w:rPr>
              <w:t>3</w:t>
            </w:r>
            <w:r>
              <w:rPr>
                <w:rFonts w:hint="eastAsia" w:cs="Times New Roman"/>
                <w:b w:val="0"/>
                <w:bCs w:val="0"/>
                <w:sz w:val="24"/>
                <w:highlight w:val="none"/>
                <w:lang w:eastAsia="zh-CN"/>
              </w:rPr>
              <w:t>-</w:t>
            </w:r>
            <w:r>
              <w:rPr>
                <w:rFonts w:hint="default" w:ascii="Times New Roman" w:hAnsi="Times New Roman" w:eastAsia="宋体" w:cs="Times New Roman"/>
                <w:b w:val="0"/>
                <w:bCs w:val="0"/>
                <w:sz w:val="24"/>
                <w:highlight w:val="none"/>
              </w:rPr>
              <w:t>N、SS。</w:t>
            </w:r>
            <w:r>
              <w:rPr>
                <w:spacing w:val="-3"/>
                <w:sz w:val="24"/>
                <w:szCs w:val="24"/>
                <w:highlight w:val="none"/>
              </w:rPr>
              <w:t>在施工场地</w:t>
            </w:r>
            <w:r>
              <w:rPr>
                <w:rFonts w:hint="eastAsia"/>
                <w:spacing w:val="-3"/>
                <w:sz w:val="24"/>
                <w:szCs w:val="24"/>
                <w:highlight w:val="none"/>
                <w:lang w:eastAsia="zh-CN"/>
              </w:rPr>
              <w:t>设置临时化粪池，</w:t>
            </w:r>
            <w:r>
              <w:rPr>
                <w:rFonts w:hint="default" w:ascii="Times New Roman" w:hAnsi="Times New Roman" w:eastAsia="宋体" w:cs="Times New Roman"/>
                <w:b w:val="0"/>
                <w:bCs w:val="0"/>
                <w:sz w:val="24"/>
                <w:highlight w:val="none"/>
              </w:rPr>
              <w:t>定期由吸粪车输送至工业场地既有生活污水处理站统一处理后回用，不向地表水环境排放对环境影响较小。</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kern w:val="0"/>
                <w:sz w:val="24"/>
                <w:highlight w:val="none"/>
              </w:rPr>
            </w:pPr>
            <w:r>
              <w:rPr>
                <w:rFonts w:hint="eastAsia" w:cs="Times New Roman"/>
                <w:b w:val="0"/>
                <w:bCs w:val="0"/>
                <w:kern w:val="0"/>
                <w:sz w:val="24"/>
                <w:highlight w:val="none"/>
                <w:lang w:val="en-US" w:eastAsia="zh-CN"/>
              </w:rPr>
              <w:t>（</w:t>
            </w:r>
            <w:r>
              <w:rPr>
                <w:rFonts w:hint="default" w:ascii="Times New Roman" w:hAnsi="Times New Roman" w:eastAsia="宋体" w:cs="Times New Roman"/>
                <w:b w:val="0"/>
                <w:bCs w:val="0"/>
                <w:kern w:val="0"/>
                <w:sz w:val="24"/>
                <w:highlight w:val="none"/>
                <w:lang w:val="en-US" w:eastAsia="zh-CN"/>
              </w:rPr>
              <w:t xml:space="preserve">2）施工废水 </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kern w:val="0"/>
                <w:sz w:val="24"/>
                <w:highlight w:val="none"/>
                <w:lang w:val="en-US" w:eastAsia="zh-CN"/>
              </w:rPr>
            </w:pPr>
            <w:r>
              <w:rPr>
                <w:rFonts w:hint="default" w:ascii="Times New Roman" w:hAnsi="Times New Roman" w:eastAsia="宋体" w:cs="Times New Roman"/>
                <w:b w:val="0"/>
                <w:bCs w:val="0"/>
                <w:kern w:val="0"/>
                <w:sz w:val="24"/>
                <w:highlight w:val="none"/>
                <w:lang w:val="en-US" w:eastAsia="zh-CN"/>
              </w:rPr>
              <w:t>项目施工废水是润湿建筑材料、清洗施工设备以及清洗机械车辆产生的废水，主要污染物为SS，浓度为1500～2500mg/L。施工场地内设置沉淀池，施工废水经沉淀池处理后循环利用，对周围地表水环境质量影响小。</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b w:val="0"/>
                <w:bCs w:val="0"/>
                <w:kern w:val="0"/>
                <w:sz w:val="24"/>
                <w:highlight w:val="none"/>
                <w:lang w:val="en-US" w:eastAsia="zh-CN"/>
              </w:rPr>
            </w:pPr>
            <w:r>
              <w:rPr>
                <w:rFonts w:hint="eastAsia" w:cs="Times New Roman"/>
                <w:b w:val="0"/>
                <w:bCs w:val="0"/>
                <w:kern w:val="0"/>
                <w:sz w:val="24"/>
                <w:highlight w:val="none"/>
                <w:lang w:val="en-US" w:eastAsia="zh-CN"/>
              </w:rPr>
              <w:t>（3）井筒废水：北部风井场地井筒掘进过程中产生的废水，</w:t>
            </w:r>
            <w:r>
              <w:rPr>
                <w:spacing w:val="-3"/>
                <w:sz w:val="24"/>
                <w:szCs w:val="24"/>
                <w:highlight w:val="none"/>
              </w:rPr>
              <w:t>废水主要受井下施</w:t>
            </w:r>
            <w:r>
              <w:rPr>
                <w:spacing w:val="-2"/>
                <w:sz w:val="24"/>
                <w:szCs w:val="24"/>
                <w:highlight w:val="none"/>
              </w:rPr>
              <w:t>工作业面活动污染，主要为岩粉、煤粉为主</w:t>
            </w:r>
            <w:r>
              <w:rPr>
                <w:rFonts w:hint="eastAsia"/>
                <w:spacing w:val="-2"/>
                <w:sz w:val="24"/>
                <w:szCs w:val="24"/>
                <w:highlight w:val="none"/>
                <w:lang w:eastAsia="zh-CN"/>
              </w:rPr>
              <w:t>，主要污染物为</w:t>
            </w:r>
            <w:r>
              <w:rPr>
                <w:rFonts w:hint="eastAsia"/>
                <w:spacing w:val="-2"/>
                <w:sz w:val="24"/>
                <w:szCs w:val="24"/>
                <w:highlight w:val="none"/>
                <w:lang w:val="en-US" w:eastAsia="zh-CN"/>
              </w:rPr>
              <w:t>SS，</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根据《塔然高勒矿井及选煤厂初步设计</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修改）</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矿井部分）说明书》</w:t>
            </w:r>
            <w:r>
              <w:rPr>
                <w:rFonts w:hint="default" w:ascii="Times New Roman" w:hAnsi="Times New Roman" w:eastAsia="宋体" w:cs="Times New Roman"/>
                <w:color w:val="000000" w:themeColor="text1"/>
                <w:sz w:val="24"/>
                <w:szCs w:val="24"/>
                <w:highlight w:val="none"/>
                <w14:textFill>
                  <w14:solidFill>
                    <w14:schemeClr w14:val="tx1"/>
                  </w14:solidFill>
                </w14:textFill>
              </w:rPr>
              <w:t>：北部进风立井志丹群含水层正常涌水量6.11m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/h，最大涌水量8.91m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/h；直罗组含水层正常涌水量105.37m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/h，最大涌水量153.84m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/h；延安组含水层正常涌水量2.68m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/h，最大涌水量3.91m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/h。北部回风立井志丹群含水层正常涌水量6.45m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/h，最大涌水量9.42m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/h；直罗组含水层正常涌水量138.10m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/h，最大涌水量201.62m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/h；延安组含水层正常涌水量1.78m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/h，最大涌水量2.60m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w:t>
            </w:r>
            <w:r>
              <w:rPr>
                <w:rFonts w:hint="eastAsia" w:cs="Times New Roman"/>
                <w:b w:val="0"/>
                <w:bCs w:val="0"/>
                <w:kern w:val="0"/>
                <w:sz w:val="24"/>
                <w:highlight w:val="none"/>
                <w:lang w:val="en-US" w:eastAsia="zh-CN"/>
              </w:rPr>
              <w:t>由抽水车定期集中抽排，运送至塔然高勒煤矿工业场地既有矿井水处理站处理后回用</w:t>
            </w:r>
            <w:r>
              <w:rPr>
                <w:rFonts w:hint="eastAsia"/>
                <w:spacing w:val="-2"/>
                <w:sz w:val="24"/>
                <w:szCs w:val="24"/>
                <w:highlight w:val="none"/>
                <w:lang w:eastAsia="zh-CN"/>
              </w:rPr>
              <w:t>。</w:t>
            </w:r>
          </w:p>
          <w:p>
            <w:pPr>
              <w:keepNext w:val="0"/>
              <w:keepLines w:val="0"/>
              <w:pageBreakBefore w:val="0"/>
              <w:widowControl w:val="0"/>
              <w:kinsoku/>
              <w:wordWrap/>
              <w:overflowPunct/>
              <w:topLinePunct w:val="0"/>
              <w:autoSpaceDE/>
              <w:autoSpaceDN/>
              <w:bidi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lang w:eastAsia="zh-CN"/>
              </w:rPr>
            </w:pPr>
            <w:r>
              <w:rPr>
                <w:rFonts w:hint="eastAsia" w:ascii="Times New Roman" w:hAnsi="Times New Roman" w:eastAsia="宋体" w:cs="Times New Roman"/>
                <w:b w:val="0"/>
                <w:bCs w:val="0"/>
                <w:sz w:val="24"/>
                <w:highlight w:val="none"/>
                <w:lang w:val="en-US" w:eastAsia="zh-CN"/>
              </w:rPr>
              <w:t>四</w:t>
            </w:r>
            <w:r>
              <w:rPr>
                <w:rFonts w:hint="default" w:ascii="Times New Roman" w:hAnsi="Times New Roman" w:eastAsia="宋体" w:cs="Times New Roman"/>
                <w:b w:val="0"/>
                <w:bCs w:val="0"/>
                <w:sz w:val="24"/>
                <w:highlight w:val="none"/>
              </w:rPr>
              <w:t>、声</w:t>
            </w:r>
            <w:r>
              <w:rPr>
                <w:rFonts w:hint="default" w:ascii="Times New Roman" w:hAnsi="Times New Roman" w:eastAsia="宋体" w:cs="Times New Roman"/>
                <w:b w:val="0"/>
                <w:bCs w:val="0"/>
                <w:sz w:val="24"/>
                <w:highlight w:val="none"/>
                <w:lang w:eastAsia="zh-CN"/>
              </w:rPr>
              <w:t>环境影响分析</w:t>
            </w:r>
          </w:p>
          <w:p>
            <w:pPr>
              <w:keepNext w:val="0"/>
              <w:keepLines w:val="0"/>
              <w:pageBreakBefore w:val="0"/>
              <w:widowControl w:val="0"/>
              <w:tabs>
                <w:tab w:val="left" w:pos="624"/>
              </w:tabs>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sz w:val="24"/>
                <w:highlight w:val="none"/>
                <w:lang w:val="en-US" w:eastAsia="zh-CN"/>
              </w:rPr>
            </w:pPr>
            <w:r>
              <w:rPr>
                <w:rFonts w:hint="default" w:ascii="Times New Roman" w:hAnsi="Times New Roman" w:eastAsia="宋体" w:cs="Times New Roman"/>
                <w:b w:val="0"/>
                <w:bCs w:val="0"/>
                <w:sz w:val="24"/>
                <w:highlight w:val="none"/>
                <w:lang w:val="en-US" w:eastAsia="zh-CN"/>
              </w:rPr>
              <w:t>本项目施工期间主要噪声源为</w:t>
            </w:r>
            <w:r>
              <w:rPr>
                <w:rFonts w:hint="eastAsia" w:cs="Times New Roman"/>
                <w:b w:val="0"/>
                <w:bCs w:val="0"/>
                <w:sz w:val="24"/>
                <w:highlight w:val="none"/>
                <w:lang w:val="en-US" w:eastAsia="zh-CN"/>
              </w:rPr>
              <w:t>推土机、挖掘机、装载机</w:t>
            </w:r>
            <w:r>
              <w:rPr>
                <w:rFonts w:hint="default" w:ascii="Times New Roman" w:hAnsi="Times New Roman" w:eastAsia="宋体" w:cs="Times New Roman"/>
                <w:b w:val="0"/>
                <w:bCs w:val="0"/>
                <w:sz w:val="24"/>
                <w:highlight w:val="none"/>
                <w:lang w:val="en-US" w:eastAsia="zh-CN"/>
              </w:rPr>
              <w:t>等施工机械以及运输车辆，施工期间主要噪声源的特点属于移动声源且分散。</w:t>
            </w:r>
            <w:r>
              <w:rPr>
                <w:rFonts w:hint="default" w:ascii="Times New Roman" w:hAnsi="Times New Roman" w:cs="Times New Roman"/>
                <w:color w:val="auto"/>
                <w:sz w:val="24"/>
                <w:highlight w:val="none"/>
              </w:rPr>
              <w:t>施工机械噪声源强见</w:t>
            </w:r>
            <w:r>
              <w:rPr>
                <w:rFonts w:hint="default" w:ascii="Times New Roman" w:hAnsi="Times New Roman" w:cs="Times New Roman"/>
                <w:color w:val="auto"/>
                <w:sz w:val="24"/>
                <w:highlight w:val="none"/>
                <w:lang w:val="en-US" w:eastAsia="zh-CN"/>
              </w:rPr>
              <w:t>下表</w:t>
            </w:r>
            <w:r>
              <w:rPr>
                <w:rFonts w:hint="eastAsia" w:ascii="Times New Roman" w:hAnsi="Times New Roman" w:cs="Times New Roman"/>
                <w:color w:val="auto"/>
                <w:sz w:val="24"/>
                <w:highlight w:val="none"/>
                <w:lang w:val="en-US" w:eastAsia="zh-CN"/>
              </w:rPr>
              <w:t>。</w:t>
            </w:r>
          </w:p>
          <w:p>
            <w:pPr>
              <w:widowControl/>
              <w:tabs>
                <w:tab w:val="left" w:pos="810"/>
              </w:tabs>
              <w:adjustRightInd w:val="0"/>
              <w:snapToGrid w:val="0"/>
              <w:jc w:val="center"/>
              <w:rPr>
                <w:bCs/>
                <w:color w:val="000000"/>
                <w:kern w:val="0"/>
                <w:szCs w:val="21"/>
                <w:highlight w:val="none"/>
              </w:rPr>
            </w:pPr>
            <w:r>
              <w:rPr>
                <w:bCs/>
                <w:color w:val="000000"/>
                <w:kern w:val="0"/>
                <w:szCs w:val="21"/>
                <w:highlight w:val="none"/>
              </w:rPr>
              <w:t>表</w:t>
            </w:r>
            <w:r>
              <w:rPr>
                <w:rFonts w:hint="eastAsia"/>
                <w:bCs/>
                <w:color w:val="000000"/>
                <w:kern w:val="0"/>
                <w:szCs w:val="21"/>
                <w:highlight w:val="none"/>
              </w:rPr>
              <w:t>4</w:t>
            </w:r>
            <w:r>
              <w:rPr>
                <w:rFonts w:hint="eastAsia"/>
                <w:bCs/>
                <w:color w:val="000000"/>
                <w:kern w:val="0"/>
                <w:szCs w:val="21"/>
                <w:highlight w:val="none"/>
                <w:lang w:eastAsia="zh-CN"/>
              </w:rPr>
              <w:t>-</w:t>
            </w:r>
            <w:r>
              <w:rPr>
                <w:rFonts w:hint="eastAsia"/>
                <w:bCs/>
                <w:color w:val="000000"/>
                <w:kern w:val="0"/>
                <w:szCs w:val="21"/>
                <w:highlight w:val="none"/>
                <w:lang w:val="en-US" w:eastAsia="zh-CN"/>
              </w:rPr>
              <w:t>3</w:t>
            </w:r>
            <w:r>
              <w:rPr>
                <w:bCs/>
                <w:color w:val="000000"/>
                <w:kern w:val="0"/>
                <w:szCs w:val="21"/>
                <w:highlight w:val="none"/>
              </w:rPr>
              <w:t xml:space="preserve"> 施工机械产噪值一览表</w:t>
            </w:r>
          </w:p>
          <w:tbl>
            <w:tblPr>
              <w:tblStyle w:val="23"/>
              <w:tblW w:w="7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2133"/>
              <w:gridCol w:w="2213"/>
              <w:gridCol w:w="2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3" w:type="dxa"/>
                  <w:noWrap w:val="0"/>
                  <w:vAlign w:val="center"/>
                </w:tcPr>
                <w:p>
                  <w:pPr>
                    <w:widowControl/>
                    <w:tabs>
                      <w:tab w:val="left" w:pos="810"/>
                    </w:tabs>
                    <w:adjustRightInd w:val="0"/>
                    <w:snapToGrid w:val="0"/>
                    <w:jc w:val="center"/>
                    <w:rPr>
                      <w:b w:val="0"/>
                      <w:bCs/>
                      <w:color w:val="000000"/>
                      <w:sz w:val="21"/>
                      <w:szCs w:val="21"/>
                      <w:highlight w:val="none"/>
                    </w:rPr>
                  </w:pPr>
                  <w:r>
                    <w:rPr>
                      <w:b w:val="0"/>
                      <w:bCs/>
                      <w:color w:val="000000"/>
                      <w:sz w:val="21"/>
                      <w:szCs w:val="21"/>
                      <w:highlight w:val="none"/>
                    </w:rPr>
                    <w:t>序号</w:t>
                  </w:r>
                </w:p>
              </w:tc>
              <w:tc>
                <w:tcPr>
                  <w:tcW w:w="2133" w:type="dxa"/>
                  <w:noWrap w:val="0"/>
                  <w:vAlign w:val="center"/>
                </w:tcPr>
                <w:p>
                  <w:pPr>
                    <w:widowControl/>
                    <w:tabs>
                      <w:tab w:val="left" w:pos="810"/>
                    </w:tabs>
                    <w:adjustRightInd w:val="0"/>
                    <w:snapToGrid w:val="0"/>
                    <w:jc w:val="center"/>
                    <w:rPr>
                      <w:b w:val="0"/>
                      <w:bCs/>
                      <w:color w:val="000000"/>
                      <w:sz w:val="21"/>
                      <w:szCs w:val="21"/>
                      <w:highlight w:val="none"/>
                    </w:rPr>
                  </w:pPr>
                  <w:r>
                    <w:rPr>
                      <w:b w:val="0"/>
                      <w:bCs/>
                      <w:color w:val="000000"/>
                      <w:kern w:val="0"/>
                      <w:sz w:val="21"/>
                      <w:szCs w:val="21"/>
                      <w:highlight w:val="none"/>
                    </w:rPr>
                    <w:t>设备名称</w:t>
                  </w:r>
                </w:p>
              </w:tc>
              <w:tc>
                <w:tcPr>
                  <w:tcW w:w="2213" w:type="dxa"/>
                  <w:noWrap w:val="0"/>
                  <w:vAlign w:val="center"/>
                </w:tcPr>
                <w:p>
                  <w:pPr>
                    <w:widowControl/>
                    <w:jc w:val="center"/>
                    <w:rPr>
                      <w:rFonts w:hint="eastAsia" w:eastAsia="宋体"/>
                      <w:b w:val="0"/>
                      <w:bCs/>
                      <w:color w:val="000000"/>
                      <w:sz w:val="21"/>
                      <w:szCs w:val="21"/>
                      <w:highlight w:val="none"/>
                      <w:lang w:eastAsia="zh-CN"/>
                    </w:rPr>
                  </w:pPr>
                  <w:r>
                    <w:rPr>
                      <w:rFonts w:hint="default" w:ascii="Times New Roman" w:hAnsi="Times New Roman" w:eastAsia="宋体" w:cs="Times New Roman"/>
                      <w:b w:val="0"/>
                      <w:bCs/>
                      <w:color w:val="000000"/>
                      <w:kern w:val="0"/>
                      <w:sz w:val="21"/>
                      <w:szCs w:val="21"/>
                      <w:highlight w:val="none"/>
                      <w:lang w:bidi="ar"/>
                    </w:rPr>
                    <w:t>噪声强度</w:t>
                  </w:r>
                  <w:r>
                    <w:rPr>
                      <w:rFonts w:hint="eastAsia" w:cs="Times New Roman"/>
                      <w:b w:val="0"/>
                      <w:bCs/>
                      <w:color w:val="000000"/>
                      <w:kern w:val="0"/>
                      <w:sz w:val="21"/>
                      <w:szCs w:val="21"/>
                      <w:highlight w:val="none"/>
                      <w:lang w:eastAsia="zh-CN"/>
                    </w:rPr>
                    <w:t>（</w:t>
                  </w:r>
                  <w:r>
                    <w:rPr>
                      <w:rFonts w:hint="default" w:ascii="Times New Roman" w:hAnsi="Times New Roman" w:eastAsia="宋体" w:cs="Times New Roman"/>
                      <w:b w:val="0"/>
                      <w:bCs/>
                      <w:color w:val="000000"/>
                      <w:kern w:val="0"/>
                      <w:sz w:val="21"/>
                      <w:szCs w:val="21"/>
                      <w:highlight w:val="none"/>
                    </w:rPr>
                    <w:t>dB</w:t>
                  </w:r>
                  <w:r>
                    <w:rPr>
                      <w:rFonts w:hint="eastAsia" w:cs="Times New Roman"/>
                      <w:b w:val="0"/>
                      <w:bCs/>
                      <w:color w:val="000000"/>
                      <w:kern w:val="0"/>
                      <w:sz w:val="21"/>
                      <w:szCs w:val="21"/>
                      <w:highlight w:val="none"/>
                      <w:lang w:eastAsia="zh-CN"/>
                    </w:rPr>
                    <w:t>（</w:t>
                  </w:r>
                  <w:r>
                    <w:rPr>
                      <w:rFonts w:hint="default" w:ascii="Times New Roman" w:hAnsi="Times New Roman" w:eastAsia="宋体" w:cs="Times New Roman"/>
                      <w:b w:val="0"/>
                      <w:bCs/>
                      <w:color w:val="000000"/>
                      <w:kern w:val="0"/>
                      <w:sz w:val="21"/>
                      <w:szCs w:val="21"/>
                      <w:highlight w:val="none"/>
                    </w:rPr>
                    <w:t>A</w:t>
                  </w:r>
                  <w:r>
                    <w:rPr>
                      <w:rFonts w:hint="eastAsia" w:cs="Times New Roman"/>
                      <w:b w:val="0"/>
                      <w:bCs/>
                      <w:color w:val="000000"/>
                      <w:kern w:val="0"/>
                      <w:sz w:val="21"/>
                      <w:szCs w:val="21"/>
                      <w:highlight w:val="none"/>
                      <w:lang w:eastAsia="zh-CN"/>
                    </w:rPr>
                    <w:t>））</w:t>
                  </w:r>
                </w:p>
              </w:tc>
              <w:tc>
                <w:tcPr>
                  <w:tcW w:w="2458" w:type="dxa"/>
                  <w:noWrap w:val="0"/>
                  <w:vAlign w:val="center"/>
                </w:tcPr>
                <w:p>
                  <w:pPr>
                    <w:widowControl/>
                    <w:jc w:val="center"/>
                    <w:rPr>
                      <w:rFonts w:hint="eastAsia" w:ascii="宋体" w:hAnsi="宋体" w:eastAsia="宋体" w:cs="宋体"/>
                      <w:b w:val="0"/>
                      <w:bCs/>
                      <w:color w:val="000000"/>
                      <w:kern w:val="0"/>
                      <w:sz w:val="21"/>
                      <w:szCs w:val="21"/>
                      <w:highlight w:val="none"/>
                      <w:lang w:val="en-US" w:eastAsia="zh-CN" w:bidi="ar"/>
                    </w:rPr>
                  </w:pPr>
                  <w:r>
                    <w:rPr>
                      <w:rFonts w:hint="eastAsia" w:ascii="宋体" w:hAnsi="宋体" w:cs="宋体"/>
                      <w:b w:val="0"/>
                      <w:bCs/>
                      <w:color w:val="000000"/>
                      <w:kern w:val="0"/>
                      <w:sz w:val="21"/>
                      <w:szCs w:val="21"/>
                      <w:highlight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53" w:type="dxa"/>
                  <w:noWrap w:val="0"/>
                  <w:vAlign w:val="center"/>
                </w:tcPr>
                <w:p>
                  <w:pPr>
                    <w:widowControl/>
                    <w:numPr>
                      <w:ilvl w:val="0"/>
                      <w:numId w:val="9"/>
                    </w:numPr>
                    <w:tabs>
                      <w:tab w:val="left" w:pos="810"/>
                    </w:tabs>
                    <w:adjustRightInd w:val="0"/>
                    <w:snapToGrid w:val="0"/>
                    <w:ind w:left="0" w:leftChars="0" w:firstLine="0" w:firstLineChars="0"/>
                    <w:jc w:val="center"/>
                    <w:rPr>
                      <w:color w:val="000000"/>
                      <w:sz w:val="21"/>
                      <w:szCs w:val="21"/>
                      <w:highlight w:val="none"/>
                    </w:rPr>
                  </w:pPr>
                </w:p>
              </w:tc>
              <w:tc>
                <w:tcPr>
                  <w:tcW w:w="2133"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宋体" w:hAnsi="宋体" w:eastAsia="宋体" w:cs="宋体"/>
                      <w:kern w:val="2"/>
                      <w:sz w:val="21"/>
                      <w:szCs w:val="21"/>
                      <w:highlight w:val="none"/>
                      <w:lang w:val="en-US" w:eastAsia="zh-CN" w:bidi="ar-SA"/>
                    </w:rPr>
                  </w:pPr>
                  <w:r>
                    <w:rPr>
                      <w:spacing w:val="6"/>
                      <w:sz w:val="21"/>
                      <w:szCs w:val="21"/>
                      <w:highlight w:val="none"/>
                    </w:rPr>
                    <w:t>推土机</w:t>
                  </w:r>
                </w:p>
              </w:tc>
              <w:tc>
                <w:tcPr>
                  <w:tcW w:w="2213" w:type="dxa"/>
                  <w:noWrap w:val="0"/>
                  <w:vAlign w:val="top"/>
                </w:tcPr>
                <w:p>
                  <w:pPr>
                    <w:pStyle w:val="42"/>
                    <w:keepNext w:val="0"/>
                    <w:keepLines w:val="0"/>
                    <w:pageBreakBefore w:val="0"/>
                    <w:kinsoku/>
                    <w:wordWrap/>
                    <w:overflowPunct/>
                    <w:topLinePunct w:val="0"/>
                    <w:autoSpaceDE/>
                    <w:autoSpaceDN/>
                    <w:bidi w:val="0"/>
                    <w:spacing w:line="240" w:lineRule="auto"/>
                    <w:ind w:left="0" w:leftChars="0"/>
                    <w:jc w:val="center"/>
                    <w:textAlignment w:val="auto"/>
                    <w:rPr>
                      <w:rFonts w:hint="default" w:ascii="Times New Roman" w:hAnsi="Times New Roman" w:cs="Times New Roman"/>
                      <w:color w:val="000000"/>
                      <w:sz w:val="21"/>
                      <w:szCs w:val="21"/>
                      <w:highlight w:val="none"/>
                    </w:rPr>
                  </w:pPr>
                  <w:r>
                    <w:rPr>
                      <w:rFonts w:hint="default" w:ascii="Times New Roman" w:hAnsi="Times New Roman" w:eastAsia="Times New Roman" w:cs="Times New Roman"/>
                      <w:spacing w:val="4"/>
                      <w:position w:val="1"/>
                      <w:sz w:val="21"/>
                      <w:szCs w:val="21"/>
                      <w:highlight w:val="none"/>
                    </w:rPr>
                    <w:t>73</w:t>
                  </w:r>
                  <w:r>
                    <w:rPr>
                      <w:rFonts w:hint="default" w:ascii="Times New Roman" w:hAnsi="Times New Roman" w:cs="Times New Roman"/>
                      <w:spacing w:val="4"/>
                      <w:position w:val="1"/>
                      <w:sz w:val="21"/>
                      <w:szCs w:val="21"/>
                      <w:highlight w:val="none"/>
                    </w:rPr>
                    <w:t>～</w:t>
                  </w:r>
                  <w:r>
                    <w:rPr>
                      <w:rFonts w:hint="default" w:ascii="Times New Roman" w:hAnsi="Times New Roman" w:eastAsia="Times New Roman" w:cs="Times New Roman"/>
                      <w:spacing w:val="4"/>
                      <w:position w:val="1"/>
                      <w:sz w:val="21"/>
                      <w:szCs w:val="21"/>
                      <w:highlight w:val="none"/>
                    </w:rPr>
                    <w:t>83</w:t>
                  </w:r>
                </w:p>
              </w:tc>
              <w:tc>
                <w:tcPr>
                  <w:tcW w:w="2458"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spacing w:val="6"/>
                      <w:sz w:val="21"/>
                      <w:szCs w:val="21"/>
                      <w:highlight w:val="none"/>
                      <w:lang w:val="en-US" w:eastAsia="en-US"/>
                    </w:rPr>
                  </w:pPr>
                  <w:r>
                    <w:rPr>
                      <w:rFonts w:hint="default" w:ascii="Times New Roman" w:hAnsi="Times New Roman" w:cs="Times New Roman"/>
                      <w:spacing w:val="6"/>
                      <w:sz w:val="21"/>
                      <w:szCs w:val="21"/>
                      <w:highlight w:val="none"/>
                    </w:rPr>
                    <w:t>距声源15m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53" w:type="dxa"/>
                  <w:noWrap w:val="0"/>
                  <w:vAlign w:val="center"/>
                </w:tcPr>
                <w:p>
                  <w:pPr>
                    <w:widowControl/>
                    <w:numPr>
                      <w:ilvl w:val="0"/>
                      <w:numId w:val="9"/>
                    </w:numPr>
                    <w:tabs>
                      <w:tab w:val="left" w:pos="810"/>
                    </w:tabs>
                    <w:adjustRightInd w:val="0"/>
                    <w:snapToGrid w:val="0"/>
                    <w:ind w:left="0" w:leftChars="0" w:firstLine="0" w:firstLineChars="0"/>
                    <w:jc w:val="center"/>
                    <w:rPr>
                      <w:color w:val="000000"/>
                      <w:sz w:val="21"/>
                      <w:szCs w:val="21"/>
                      <w:highlight w:val="none"/>
                    </w:rPr>
                  </w:pPr>
                </w:p>
              </w:tc>
              <w:tc>
                <w:tcPr>
                  <w:tcW w:w="2133"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宋体" w:hAnsi="宋体" w:eastAsia="宋体" w:cs="宋体"/>
                      <w:kern w:val="2"/>
                      <w:sz w:val="21"/>
                      <w:szCs w:val="21"/>
                      <w:highlight w:val="none"/>
                      <w:lang w:val="en-US" w:eastAsia="zh-CN" w:bidi="ar-SA"/>
                    </w:rPr>
                  </w:pPr>
                  <w:r>
                    <w:rPr>
                      <w:spacing w:val="7"/>
                      <w:sz w:val="21"/>
                      <w:szCs w:val="21"/>
                      <w:highlight w:val="none"/>
                    </w:rPr>
                    <w:t>挖掘机</w:t>
                  </w:r>
                </w:p>
              </w:tc>
              <w:tc>
                <w:tcPr>
                  <w:tcW w:w="2213" w:type="dxa"/>
                  <w:noWrap w:val="0"/>
                  <w:vAlign w:val="top"/>
                </w:tcPr>
                <w:p>
                  <w:pPr>
                    <w:pStyle w:val="42"/>
                    <w:keepNext w:val="0"/>
                    <w:keepLines w:val="0"/>
                    <w:pageBreakBefore w:val="0"/>
                    <w:kinsoku/>
                    <w:wordWrap/>
                    <w:overflowPunct/>
                    <w:topLinePunct w:val="0"/>
                    <w:autoSpaceDE/>
                    <w:autoSpaceDN/>
                    <w:bidi w:val="0"/>
                    <w:spacing w:line="240" w:lineRule="auto"/>
                    <w:ind w:left="0" w:leftChars="0"/>
                    <w:jc w:val="center"/>
                    <w:textAlignment w:val="auto"/>
                    <w:rPr>
                      <w:rFonts w:hint="default" w:ascii="Times New Roman" w:hAnsi="Times New Roman" w:cs="Times New Roman"/>
                      <w:color w:val="000000"/>
                      <w:sz w:val="21"/>
                      <w:szCs w:val="21"/>
                      <w:highlight w:val="none"/>
                    </w:rPr>
                  </w:pPr>
                  <w:r>
                    <w:rPr>
                      <w:rFonts w:hint="default" w:ascii="Times New Roman" w:hAnsi="Times New Roman" w:eastAsia="Times New Roman" w:cs="Times New Roman"/>
                      <w:spacing w:val="4"/>
                      <w:position w:val="1"/>
                      <w:sz w:val="21"/>
                      <w:szCs w:val="21"/>
                      <w:highlight w:val="none"/>
                    </w:rPr>
                    <w:t>67</w:t>
                  </w:r>
                  <w:r>
                    <w:rPr>
                      <w:rFonts w:hint="default" w:ascii="Times New Roman" w:hAnsi="Times New Roman" w:cs="Times New Roman"/>
                      <w:spacing w:val="4"/>
                      <w:position w:val="1"/>
                      <w:sz w:val="21"/>
                      <w:szCs w:val="21"/>
                      <w:highlight w:val="none"/>
                    </w:rPr>
                    <w:t>～</w:t>
                  </w:r>
                  <w:r>
                    <w:rPr>
                      <w:rFonts w:hint="default" w:ascii="Times New Roman" w:hAnsi="Times New Roman" w:eastAsia="Times New Roman" w:cs="Times New Roman"/>
                      <w:spacing w:val="4"/>
                      <w:position w:val="1"/>
                      <w:sz w:val="21"/>
                      <w:szCs w:val="21"/>
                      <w:highlight w:val="none"/>
                    </w:rPr>
                    <w:t>77</w:t>
                  </w:r>
                </w:p>
              </w:tc>
              <w:tc>
                <w:tcPr>
                  <w:tcW w:w="2458"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spacing w:val="6"/>
                      <w:sz w:val="21"/>
                      <w:szCs w:val="21"/>
                      <w:highlight w:val="none"/>
                      <w:lang w:val="en-US" w:eastAsia="en-US"/>
                    </w:rPr>
                  </w:pPr>
                  <w:r>
                    <w:rPr>
                      <w:rFonts w:hint="default" w:ascii="Times New Roman" w:hAnsi="Times New Roman" w:cs="Times New Roman"/>
                      <w:spacing w:val="6"/>
                      <w:sz w:val="21"/>
                      <w:szCs w:val="21"/>
                      <w:highlight w:val="none"/>
                    </w:rPr>
                    <w:t>距声源 15m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53" w:type="dxa"/>
                  <w:noWrap w:val="0"/>
                  <w:vAlign w:val="center"/>
                </w:tcPr>
                <w:p>
                  <w:pPr>
                    <w:widowControl/>
                    <w:numPr>
                      <w:ilvl w:val="0"/>
                      <w:numId w:val="9"/>
                    </w:numPr>
                    <w:tabs>
                      <w:tab w:val="left" w:pos="810"/>
                    </w:tabs>
                    <w:adjustRightInd w:val="0"/>
                    <w:snapToGrid w:val="0"/>
                    <w:ind w:left="0" w:leftChars="0" w:firstLine="0" w:firstLineChars="0"/>
                    <w:jc w:val="center"/>
                    <w:rPr>
                      <w:rFonts w:hint="eastAsia" w:eastAsia="宋体"/>
                      <w:color w:val="000000"/>
                      <w:sz w:val="21"/>
                      <w:szCs w:val="21"/>
                      <w:highlight w:val="none"/>
                      <w:lang w:val="en-US" w:eastAsia="zh-CN"/>
                    </w:rPr>
                  </w:pPr>
                </w:p>
              </w:tc>
              <w:tc>
                <w:tcPr>
                  <w:tcW w:w="2133"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kern w:val="2"/>
                      <w:sz w:val="21"/>
                      <w:szCs w:val="21"/>
                      <w:highlight w:val="none"/>
                      <w:lang w:val="en-US" w:eastAsia="zh-CN" w:bidi="ar-SA"/>
                    </w:rPr>
                  </w:pPr>
                  <w:r>
                    <w:rPr>
                      <w:spacing w:val="6"/>
                      <w:sz w:val="21"/>
                      <w:szCs w:val="21"/>
                      <w:highlight w:val="none"/>
                    </w:rPr>
                    <w:t>装载机</w:t>
                  </w:r>
                </w:p>
              </w:tc>
              <w:tc>
                <w:tcPr>
                  <w:tcW w:w="2213" w:type="dxa"/>
                  <w:noWrap w:val="0"/>
                  <w:vAlign w:val="top"/>
                </w:tcPr>
                <w:p>
                  <w:pPr>
                    <w:keepNext w:val="0"/>
                    <w:keepLines w:val="0"/>
                    <w:pageBreakBefore w:val="0"/>
                    <w:kinsoku/>
                    <w:wordWrap/>
                    <w:overflowPunct/>
                    <w:topLinePunct w:val="0"/>
                    <w:autoSpaceDE/>
                    <w:autoSpaceDN/>
                    <w:bidi w:val="0"/>
                    <w:spacing w:line="240" w:lineRule="auto"/>
                    <w:ind w:left="0" w:leftChars="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Times New Roman" w:cs="Times New Roman"/>
                      <w:spacing w:val="-2"/>
                      <w:sz w:val="21"/>
                      <w:szCs w:val="21"/>
                      <w:highlight w:val="none"/>
                    </w:rPr>
                    <w:t>80</w:t>
                  </w:r>
                </w:p>
              </w:tc>
              <w:tc>
                <w:tcPr>
                  <w:tcW w:w="2458"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spacing w:val="6"/>
                      <w:sz w:val="21"/>
                      <w:szCs w:val="21"/>
                      <w:highlight w:val="none"/>
                      <w:lang w:val="en-US" w:eastAsia="en-US"/>
                    </w:rPr>
                  </w:pPr>
                  <w:r>
                    <w:rPr>
                      <w:rFonts w:hint="default" w:ascii="Times New Roman" w:hAnsi="Times New Roman" w:cs="Times New Roman"/>
                      <w:spacing w:val="6"/>
                      <w:sz w:val="21"/>
                      <w:szCs w:val="21"/>
                      <w:highlight w:val="none"/>
                    </w:rPr>
                    <w:t>距声源15m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3" w:type="dxa"/>
                  <w:noWrap w:val="0"/>
                  <w:vAlign w:val="center"/>
                </w:tcPr>
                <w:p>
                  <w:pPr>
                    <w:widowControl/>
                    <w:numPr>
                      <w:ilvl w:val="0"/>
                      <w:numId w:val="9"/>
                    </w:numPr>
                    <w:tabs>
                      <w:tab w:val="left" w:pos="810"/>
                    </w:tabs>
                    <w:adjustRightInd w:val="0"/>
                    <w:snapToGrid w:val="0"/>
                    <w:ind w:left="0" w:leftChars="0" w:firstLine="0" w:firstLineChars="0"/>
                    <w:jc w:val="center"/>
                    <w:rPr>
                      <w:rFonts w:hint="eastAsia" w:eastAsia="宋体"/>
                      <w:color w:val="000000"/>
                      <w:sz w:val="21"/>
                      <w:szCs w:val="21"/>
                      <w:highlight w:val="none"/>
                      <w:lang w:val="en-US" w:eastAsia="zh-CN"/>
                    </w:rPr>
                  </w:pPr>
                </w:p>
              </w:tc>
              <w:tc>
                <w:tcPr>
                  <w:tcW w:w="2133"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kern w:val="2"/>
                      <w:sz w:val="21"/>
                      <w:szCs w:val="21"/>
                      <w:highlight w:val="none"/>
                      <w:lang w:val="en-US" w:eastAsia="zh-CN" w:bidi="ar-SA"/>
                    </w:rPr>
                  </w:pPr>
                  <w:r>
                    <w:rPr>
                      <w:spacing w:val="7"/>
                      <w:sz w:val="21"/>
                      <w:szCs w:val="21"/>
                      <w:highlight w:val="none"/>
                    </w:rPr>
                    <w:t>振捣机</w:t>
                  </w:r>
                </w:p>
              </w:tc>
              <w:tc>
                <w:tcPr>
                  <w:tcW w:w="2213" w:type="dxa"/>
                  <w:noWrap w:val="0"/>
                  <w:vAlign w:val="center"/>
                </w:tcPr>
                <w:p>
                  <w:pPr>
                    <w:pStyle w:val="52"/>
                    <w:keepNext w:val="0"/>
                    <w:keepLines w:val="0"/>
                    <w:pageBreakBefore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cs="Times New Roman"/>
                      <w:color w:val="000000" w:themeColor="text1"/>
                      <w:sz w:val="21"/>
                      <w:szCs w:val="21"/>
                      <w:highlight w:val="none"/>
                      <w14:textFill>
                        <w14:solidFill>
                          <w14:schemeClr w14:val="tx1"/>
                        </w14:solidFill>
                      </w14:textFill>
                    </w:rPr>
                    <w:t>93</w:t>
                  </w:r>
                </w:p>
              </w:tc>
              <w:tc>
                <w:tcPr>
                  <w:tcW w:w="2458"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spacing w:val="6"/>
                      <w:sz w:val="21"/>
                      <w:szCs w:val="21"/>
                      <w:highlight w:val="none"/>
                      <w:lang w:val="en-US" w:eastAsia="en-US"/>
                    </w:rPr>
                  </w:pPr>
                  <w:r>
                    <w:rPr>
                      <w:rFonts w:hint="default" w:ascii="Times New Roman" w:hAnsi="Times New Roman" w:cs="Times New Roman"/>
                      <w:spacing w:val="6"/>
                      <w:sz w:val="21"/>
                      <w:szCs w:val="21"/>
                      <w:highlight w:val="none"/>
                    </w:rPr>
                    <w:t>距声源 1m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3" w:type="dxa"/>
                  <w:noWrap w:val="0"/>
                  <w:vAlign w:val="center"/>
                </w:tcPr>
                <w:p>
                  <w:pPr>
                    <w:widowControl/>
                    <w:numPr>
                      <w:ilvl w:val="0"/>
                      <w:numId w:val="9"/>
                    </w:numPr>
                    <w:tabs>
                      <w:tab w:val="left" w:pos="810"/>
                    </w:tabs>
                    <w:adjustRightInd w:val="0"/>
                    <w:snapToGrid w:val="0"/>
                    <w:ind w:left="0" w:leftChars="0" w:firstLine="0" w:firstLineChars="0"/>
                    <w:jc w:val="center"/>
                    <w:rPr>
                      <w:rFonts w:hint="eastAsia" w:eastAsia="宋体"/>
                      <w:color w:val="000000"/>
                      <w:sz w:val="21"/>
                      <w:szCs w:val="21"/>
                      <w:highlight w:val="none"/>
                      <w:lang w:val="en-US" w:eastAsia="zh-CN"/>
                    </w:rPr>
                  </w:pPr>
                </w:p>
              </w:tc>
              <w:tc>
                <w:tcPr>
                  <w:tcW w:w="2133"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宋体" w:hAnsi="宋体" w:eastAsia="宋体" w:cs="宋体"/>
                      <w:spacing w:val="7"/>
                      <w:sz w:val="21"/>
                      <w:szCs w:val="21"/>
                      <w:highlight w:val="none"/>
                    </w:rPr>
                  </w:pPr>
                  <w:r>
                    <w:rPr>
                      <w:rFonts w:ascii="宋体" w:hAnsi="宋体" w:eastAsia="宋体" w:cs="宋体"/>
                      <w:spacing w:val="7"/>
                      <w:sz w:val="21"/>
                      <w:szCs w:val="21"/>
                      <w:highlight w:val="none"/>
                    </w:rPr>
                    <w:t>电锯</w:t>
                  </w:r>
                </w:p>
              </w:tc>
              <w:tc>
                <w:tcPr>
                  <w:tcW w:w="2213"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103</w:t>
                  </w:r>
                </w:p>
              </w:tc>
              <w:tc>
                <w:tcPr>
                  <w:tcW w:w="2458"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spacing w:val="6"/>
                      <w:sz w:val="21"/>
                      <w:szCs w:val="21"/>
                      <w:highlight w:val="none"/>
                      <w:lang w:val="en-US" w:eastAsia="en-US"/>
                    </w:rPr>
                  </w:pPr>
                  <w:r>
                    <w:rPr>
                      <w:rFonts w:hint="default" w:ascii="Times New Roman" w:hAnsi="Times New Roman" w:cs="Times New Roman"/>
                      <w:spacing w:val="6"/>
                      <w:sz w:val="21"/>
                      <w:szCs w:val="21"/>
                      <w:highlight w:val="none"/>
                    </w:rPr>
                    <w:t>距声源1m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3" w:type="dxa"/>
                  <w:noWrap w:val="0"/>
                  <w:vAlign w:val="center"/>
                </w:tcPr>
                <w:p>
                  <w:pPr>
                    <w:widowControl/>
                    <w:numPr>
                      <w:ilvl w:val="0"/>
                      <w:numId w:val="9"/>
                    </w:numPr>
                    <w:tabs>
                      <w:tab w:val="left" w:pos="810"/>
                    </w:tabs>
                    <w:adjustRightInd w:val="0"/>
                    <w:snapToGrid w:val="0"/>
                    <w:ind w:left="0" w:leftChars="0" w:firstLine="0" w:firstLineChars="0"/>
                    <w:jc w:val="center"/>
                    <w:rPr>
                      <w:rFonts w:hint="eastAsia"/>
                      <w:color w:val="000000"/>
                      <w:sz w:val="21"/>
                      <w:szCs w:val="21"/>
                      <w:highlight w:val="none"/>
                      <w:lang w:val="en-US" w:eastAsia="zh-CN"/>
                    </w:rPr>
                  </w:pPr>
                </w:p>
              </w:tc>
              <w:tc>
                <w:tcPr>
                  <w:tcW w:w="2133"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kern w:val="2"/>
                      <w:sz w:val="21"/>
                      <w:szCs w:val="21"/>
                      <w:highlight w:val="none"/>
                      <w:lang w:val="en-US" w:eastAsia="zh-CN" w:bidi="ar-SA"/>
                    </w:rPr>
                  </w:pPr>
                  <w:r>
                    <w:rPr>
                      <w:spacing w:val="-8"/>
                      <w:sz w:val="21"/>
                      <w:szCs w:val="21"/>
                      <w:highlight w:val="none"/>
                    </w:rPr>
                    <w:t>吊车</w:t>
                  </w:r>
                </w:p>
              </w:tc>
              <w:tc>
                <w:tcPr>
                  <w:tcW w:w="2213" w:type="dxa"/>
                  <w:noWrap w:val="0"/>
                  <w:vAlign w:val="center"/>
                </w:tcPr>
                <w:p>
                  <w:pPr>
                    <w:pStyle w:val="52"/>
                    <w:keepNext w:val="0"/>
                    <w:keepLines w:val="0"/>
                    <w:pageBreakBefore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cs="Times New Roman"/>
                      <w:color w:val="000000" w:themeColor="text1"/>
                      <w:sz w:val="21"/>
                      <w:szCs w:val="21"/>
                      <w:highlight w:val="none"/>
                      <w14:textFill>
                        <w14:solidFill>
                          <w14:schemeClr w14:val="tx1"/>
                        </w14:solidFill>
                      </w14:textFill>
                    </w:rPr>
                    <w:t>72～73</w:t>
                  </w:r>
                </w:p>
              </w:tc>
              <w:tc>
                <w:tcPr>
                  <w:tcW w:w="2458"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spacing w:val="6"/>
                      <w:sz w:val="21"/>
                      <w:szCs w:val="21"/>
                      <w:highlight w:val="none"/>
                    </w:rPr>
                  </w:pPr>
                  <w:r>
                    <w:rPr>
                      <w:rFonts w:hint="default" w:ascii="Times New Roman" w:hAnsi="Times New Roman" w:cs="Times New Roman"/>
                      <w:spacing w:val="6"/>
                      <w:sz w:val="21"/>
                      <w:szCs w:val="21"/>
                      <w:highlight w:val="none"/>
                    </w:rPr>
                    <w:t>距声源15m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53" w:type="dxa"/>
                </w:tcPr>
                <w:p>
                  <w:pPr>
                    <w:widowControl/>
                    <w:numPr>
                      <w:ilvl w:val="0"/>
                      <w:numId w:val="9"/>
                    </w:numPr>
                    <w:tabs>
                      <w:tab w:val="left" w:pos="810"/>
                    </w:tabs>
                    <w:adjustRightInd w:val="0"/>
                    <w:snapToGrid w:val="0"/>
                    <w:ind w:left="0" w:leftChars="0" w:firstLine="0" w:firstLineChars="0"/>
                    <w:jc w:val="center"/>
                    <w:rPr>
                      <w:rFonts w:hint="eastAsia"/>
                      <w:color w:val="000000"/>
                      <w:sz w:val="21"/>
                      <w:szCs w:val="21"/>
                      <w:highlight w:val="none"/>
                      <w:lang w:val="en-US" w:eastAsia="zh-CN"/>
                    </w:rPr>
                  </w:pPr>
                </w:p>
              </w:tc>
              <w:tc>
                <w:tcPr>
                  <w:tcW w:w="2133" w:type="dxa"/>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kern w:val="2"/>
                      <w:sz w:val="21"/>
                      <w:szCs w:val="21"/>
                      <w:highlight w:val="none"/>
                      <w:lang w:val="en-US" w:eastAsia="zh-CN" w:bidi="ar-SA"/>
                    </w:rPr>
                  </w:pPr>
                  <w:r>
                    <w:rPr>
                      <w:spacing w:val="6"/>
                      <w:sz w:val="21"/>
                      <w:szCs w:val="21"/>
                      <w:highlight w:val="none"/>
                    </w:rPr>
                    <w:t>升降机</w:t>
                  </w:r>
                </w:p>
              </w:tc>
              <w:tc>
                <w:tcPr>
                  <w:tcW w:w="2213" w:type="dxa"/>
                  <w:vAlign w:val="center"/>
                </w:tcPr>
                <w:p>
                  <w:pPr>
                    <w:pStyle w:val="52"/>
                    <w:keepNext w:val="0"/>
                    <w:keepLines w:val="0"/>
                    <w:pageBreakBefore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cs="Times New Roman"/>
                      <w:color w:val="000000" w:themeColor="text1"/>
                      <w:sz w:val="21"/>
                      <w:szCs w:val="21"/>
                      <w:highlight w:val="none"/>
                      <w14:textFill>
                        <w14:solidFill>
                          <w14:schemeClr w14:val="tx1"/>
                        </w14:solidFill>
                      </w14:textFill>
                    </w:rPr>
                    <w:t>78</w:t>
                  </w:r>
                </w:p>
              </w:tc>
              <w:tc>
                <w:tcPr>
                  <w:tcW w:w="2458" w:type="dxa"/>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spacing w:val="6"/>
                      <w:sz w:val="21"/>
                      <w:szCs w:val="21"/>
                      <w:highlight w:val="none"/>
                    </w:rPr>
                  </w:pPr>
                  <w:r>
                    <w:rPr>
                      <w:rFonts w:hint="default" w:ascii="Times New Roman" w:hAnsi="Times New Roman" w:cs="Times New Roman"/>
                      <w:spacing w:val="6"/>
                      <w:sz w:val="21"/>
                      <w:szCs w:val="21"/>
                      <w:highlight w:val="none"/>
                    </w:rPr>
                    <w:t>距声源1m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953" w:type="dxa"/>
                </w:tcPr>
                <w:p>
                  <w:pPr>
                    <w:widowControl/>
                    <w:numPr>
                      <w:ilvl w:val="0"/>
                      <w:numId w:val="9"/>
                    </w:numPr>
                    <w:tabs>
                      <w:tab w:val="left" w:pos="810"/>
                    </w:tabs>
                    <w:adjustRightInd w:val="0"/>
                    <w:snapToGrid w:val="0"/>
                    <w:ind w:left="0" w:leftChars="0" w:firstLine="0" w:firstLineChars="0"/>
                    <w:jc w:val="center"/>
                    <w:rPr>
                      <w:rFonts w:hint="eastAsia"/>
                      <w:color w:val="000000"/>
                      <w:sz w:val="21"/>
                      <w:szCs w:val="21"/>
                      <w:highlight w:val="none"/>
                      <w:lang w:val="en-US" w:eastAsia="zh-CN"/>
                    </w:rPr>
                  </w:pPr>
                </w:p>
              </w:tc>
              <w:tc>
                <w:tcPr>
                  <w:tcW w:w="2133" w:type="dxa"/>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spacing w:val="-3"/>
                      <w:sz w:val="21"/>
                      <w:szCs w:val="21"/>
                      <w:highlight w:val="none"/>
                    </w:rPr>
                  </w:pPr>
                  <w:r>
                    <w:rPr>
                      <w:color w:val="000000" w:themeColor="text1"/>
                      <w:sz w:val="21"/>
                      <w:szCs w:val="21"/>
                      <w:highlight w:val="none"/>
                      <w14:textFill>
                        <w14:solidFill>
                          <w14:schemeClr w14:val="tx1"/>
                        </w14:solidFill>
                      </w14:textFill>
                    </w:rPr>
                    <w:t>重型卡车</w:t>
                  </w:r>
                </w:p>
              </w:tc>
              <w:tc>
                <w:tcPr>
                  <w:tcW w:w="2213" w:type="dxa"/>
                </w:tcPr>
                <w:p>
                  <w:pPr>
                    <w:keepNext w:val="0"/>
                    <w:keepLines w:val="0"/>
                    <w:pageBreakBefore w:val="0"/>
                    <w:widowControl/>
                    <w:tabs>
                      <w:tab w:val="left" w:pos="810"/>
                    </w:tabs>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eastAsia="宋体" w:cs="Times New Roman"/>
                      <w:color w:val="000000"/>
                      <w:kern w:val="0"/>
                      <w:sz w:val="21"/>
                      <w:szCs w:val="21"/>
                      <w:highlight w:val="none"/>
                      <w:lang w:val="en-US" w:eastAsia="zh-CN"/>
                    </w:rPr>
                  </w:pPr>
                  <w:r>
                    <w:rPr>
                      <w:rFonts w:hint="default" w:ascii="Times New Roman" w:hAnsi="Times New Roman" w:eastAsia="Times New Roman" w:cs="Times New Roman"/>
                      <w:spacing w:val="3"/>
                      <w:position w:val="1"/>
                      <w:sz w:val="21"/>
                      <w:szCs w:val="21"/>
                      <w:highlight w:val="none"/>
                    </w:rPr>
                    <w:t>80</w:t>
                  </w:r>
                  <w:r>
                    <w:rPr>
                      <w:rFonts w:hint="default" w:ascii="Times New Roman" w:hAnsi="Times New Roman" w:cs="Times New Roman"/>
                      <w:spacing w:val="3"/>
                      <w:position w:val="1"/>
                      <w:sz w:val="21"/>
                      <w:szCs w:val="21"/>
                      <w:highlight w:val="none"/>
                    </w:rPr>
                    <w:t>～</w:t>
                  </w:r>
                  <w:r>
                    <w:rPr>
                      <w:rFonts w:hint="default" w:ascii="Times New Roman" w:hAnsi="Times New Roman" w:eastAsia="Times New Roman" w:cs="Times New Roman"/>
                      <w:spacing w:val="3"/>
                      <w:position w:val="1"/>
                      <w:sz w:val="21"/>
                      <w:szCs w:val="21"/>
                      <w:highlight w:val="none"/>
                    </w:rPr>
                    <w:t>85</w:t>
                  </w:r>
                </w:p>
              </w:tc>
              <w:tc>
                <w:tcPr>
                  <w:tcW w:w="2458" w:type="dxa"/>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spacing w:val="6"/>
                      <w:sz w:val="21"/>
                      <w:szCs w:val="21"/>
                      <w:highlight w:val="none"/>
                    </w:rPr>
                  </w:pPr>
                  <w:r>
                    <w:rPr>
                      <w:rFonts w:hint="default" w:ascii="Times New Roman" w:hAnsi="Times New Roman" w:cs="Times New Roman"/>
                      <w:spacing w:val="6"/>
                      <w:sz w:val="21"/>
                      <w:szCs w:val="21"/>
                      <w:highlight w:val="none"/>
                    </w:rPr>
                    <w:t>距声源7.5m</w:t>
                  </w:r>
                </w:p>
              </w:tc>
            </w:tr>
          </w:tbl>
          <w:p>
            <w:pPr>
              <w:spacing w:line="360" w:lineRule="auto"/>
              <w:ind w:firstLine="482"/>
              <w:textAlignment w:val="baseline"/>
              <w:rPr>
                <w:color w:val="000000"/>
                <w:sz w:val="24"/>
                <w:highlight w:val="none"/>
              </w:rPr>
            </w:pPr>
            <w:r>
              <w:rPr>
                <w:color w:val="000000"/>
                <w:sz w:val="24"/>
                <w:highlight w:val="none"/>
              </w:rPr>
              <w:t>本次评价采用点源衰减模式，预测计算声源至受声点的几何发散衰减，计算中不考虑声屏障、空气吸收等衰减。预测公式如下：</w:t>
            </w:r>
          </w:p>
          <w:p>
            <w:pPr>
              <w:spacing w:line="360" w:lineRule="auto"/>
              <w:ind w:firstLine="1267" w:firstLineChars="528"/>
              <w:textAlignment w:val="baseline"/>
              <w:rPr>
                <w:rFonts w:hint="eastAsia" w:eastAsia="宋体"/>
                <w:color w:val="000000"/>
                <w:sz w:val="24"/>
                <w:highlight w:val="none"/>
                <w:lang w:val="en-US" w:eastAsia="zh-CN"/>
              </w:rPr>
            </w:pPr>
            <w:r>
              <w:rPr>
                <w:color w:val="000000"/>
                <w:sz w:val="24"/>
                <w:highlight w:val="none"/>
              </w:rPr>
              <w:t>L</w:t>
            </w:r>
            <w:r>
              <w:rPr>
                <w:rFonts w:hint="eastAsia"/>
                <w:color w:val="000000"/>
                <w:sz w:val="24"/>
                <w:highlight w:val="none"/>
                <w:vertAlign w:val="subscript"/>
                <w:lang w:val="en-US" w:eastAsia="zh-CN"/>
              </w:rPr>
              <w:t>p</w:t>
            </w:r>
            <w:r>
              <w:rPr>
                <w:rFonts w:hint="eastAsia"/>
                <w:color w:val="000000"/>
                <w:sz w:val="24"/>
                <w:highlight w:val="none"/>
                <w:lang w:val="en-US" w:eastAsia="zh-CN"/>
              </w:rPr>
              <w:t>（</w:t>
            </w:r>
            <w:r>
              <w:rPr>
                <w:color w:val="000000"/>
                <w:sz w:val="24"/>
                <w:highlight w:val="none"/>
              </w:rPr>
              <w:t>r</w:t>
            </w:r>
            <w:r>
              <w:rPr>
                <w:rFonts w:hint="eastAsia"/>
                <w:color w:val="000000"/>
                <w:sz w:val="24"/>
                <w:highlight w:val="none"/>
                <w:lang w:val="en-US" w:eastAsia="zh-CN"/>
              </w:rPr>
              <w:t>）</w:t>
            </w:r>
            <w:r>
              <w:rPr>
                <w:color w:val="000000"/>
                <w:sz w:val="24"/>
                <w:highlight w:val="none"/>
              </w:rPr>
              <w:t>=L</w:t>
            </w:r>
            <w:r>
              <w:rPr>
                <w:rFonts w:hint="eastAsia"/>
                <w:color w:val="000000"/>
                <w:sz w:val="24"/>
                <w:highlight w:val="none"/>
                <w:vertAlign w:val="subscript"/>
                <w:lang w:val="en-US" w:eastAsia="zh-CN"/>
              </w:rPr>
              <w:t>p</w:t>
            </w:r>
            <w:r>
              <w:rPr>
                <w:rFonts w:hint="eastAsia"/>
                <w:color w:val="000000"/>
                <w:sz w:val="24"/>
                <w:highlight w:val="none"/>
                <w:vertAlign w:val="baseline"/>
                <w:lang w:val="en-US" w:eastAsia="zh-CN"/>
              </w:rPr>
              <w:t>（</w:t>
            </w:r>
            <w:r>
              <w:rPr>
                <w:color w:val="000000"/>
                <w:sz w:val="24"/>
                <w:highlight w:val="none"/>
              </w:rPr>
              <w:t>r0</w:t>
            </w:r>
            <w:r>
              <w:rPr>
                <w:rFonts w:hint="eastAsia"/>
                <w:color w:val="000000"/>
                <w:sz w:val="24"/>
                <w:highlight w:val="none"/>
                <w:vertAlign w:val="baseline"/>
                <w:lang w:val="en-US" w:eastAsia="zh-CN"/>
              </w:rPr>
              <w:t>）</w:t>
            </w:r>
            <w:r>
              <w:rPr>
                <w:rFonts w:hint="eastAsia"/>
                <w:color w:val="000000"/>
                <w:sz w:val="24"/>
                <w:highlight w:val="none"/>
                <w:lang w:eastAsia="zh-CN"/>
              </w:rPr>
              <w:t>-</w:t>
            </w:r>
            <w:r>
              <w:rPr>
                <w:color w:val="000000"/>
                <w:sz w:val="24"/>
                <w:highlight w:val="none"/>
              </w:rPr>
              <w:t>20lg</w:t>
            </w:r>
            <w:r>
              <w:rPr>
                <w:rFonts w:hint="eastAsia"/>
                <w:color w:val="000000"/>
                <w:sz w:val="24"/>
                <w:highlight w:val="none"/>
                <w:lang w:eastAsia="zh-CN"/>
              </w:rPr>
              <w:t>（</w:t>
            </w:r>
            <w:r>
              <w:rPr>
                <w:color w:val="000000"/>
                <w:sz w:val="24"/>
                <w:highlight w:val="none"/>
              </w:rPr>
              <w:t>r/r</w:t>
            </w:r>
            <w:r>
              <w:rPr>
                <w:color w:val="000000"/>
                <w:sz w:val="24"/>
                <w:highlight w:val="none"/>
                <w:vertAlign w:val="baseline"/>
              </w:rPr>
              <w:t>0</w:t>
            </w:r>
            <w:r>
              <w:rPr>
                <w:rFonts w:hint="eastAsia"/>
                <w:color w:val="000000"/>
                <w:sz w:val="24"/>
                <w:highlight w:val="none"/>
                <w:lang w:eastAsia="zh-CN"/>
              </w:rPr>
              <w:t>）</w:t>
            </w:r>
          </w:p>
          <w:p>
            <w:pPr>
              <w:spacing w:line="360" w:lineRule="auto"/>
              <w:ind w:firstLine="482"/>
              <w:textAlignment w:val="baseline"/>
              <w:rPr>
                <w:color w:val="000000"/>
                <w:sz w:val="24"/>
                <w:highlight w:val="none"/>
              </w:rPr>
            </w:pPr>
            <w:r>
              <w:rPr>
                <w:color w:val="000000"/>
                <w:sz w:val="24"/>
                <w:highlight w:val="none"/>
              </w:rPr>
              <w:t>式中：L</w:t>
            </w:r>
            <w:r>
              <w:rPr>
                <w:rFonts w:hint="eastAsia"/>
                <w:color w:val="000000"/>
                <w:sz w:val="24"/>
                <w:highlight w:val="none"/>
                <w:vertAlign w:val="subscript"/>
                <w:lang w:val="en-US" w:eastAsia="zh-CN"/>
              </w:rPr>
              <w:t>p</w:t>
            </w:r>
            <w:r>
              <w:rPr>
                <w:rFonts w:hint="eastAsia"/>
                <w:color w:val="000000"/>
                <w:sz w:val="24"/>
                <w:highlight w:val="none"/>
                <w:lang w:val="en-US" w:eastAsia="zh-CN"/>
              </w:rPr>
              <w:t>（</w:t>
            </w:r>
            <w:r>
              <w:rPr>
                <w:color w:val="000000"/>
                <w:sz w:val="24"/>
                <w:highlight w:val="none"/>
              </w:rPr>
              <w:t>r</w:t>
            </w:r>
            <w:r>
              <w:rPr>
                <w:rFonts w:hint="eastAsia"/>
                <w:color w:val="000000"/>
                <w:sz w:val="24"/>
                <w:highlight w:val="none"/>
                <w:lang w:val="en-US" w:eastAsia="zh-CN"/>
              </w:rPr>
              <w:t>）</w:t>
            </w:r>
            <w:r>
              <w:rPr>
                <w:rFonts w:hint="eastAsia"/>
                <w:color w:val="000000"/>
                <w:sz w:val="24"/>
                <w:highlight w:val="none"/>
                <w:lang w:eastAsia="zh-CN"/>
              </w:rPr>
              <w:t>--</w:t>
            </w:r>
            <w:r>
              <w:rPr>
                <w:rFonts w:hint="default"/>
                <w:color w:val="000000"/>
                <w:sz w:val="24"/>
                <w:highlight w:val="none"/>
              </w:rPr>
              <w:t>预测点</w:t>
            </w:r>
            <w:r>
              <w:rPr>
                <w:rFonts w:hint="eastAsia"/>
                <w:color w:val="000000"/>
                <w:sz w:val="24"/>
                <w:highlight w:val="none"/>
                <w:lang w:eastAsia="zh-CN"/>
              </w:rPr>
              <w:t>处声压级</w:t>
            </w:r>
            <w:r>
              <w:rPr>
                <w:color w:val="000000"/>
                <w:sz w:val="24"/>
                <w:highlight w:val="none"/>
              </w:rPr>
              <w:t>，dB</w:t>
            </w:r>
            <w:r>
              <w:rPr>
                <w:rFonts w:hint="eastAsia"/>
                <w:color w:val="000000"/>
                <w:sz w:val="24"/>
                <w:highlight w:val="none"/>
                <w:lang w:eastAsia="zh-CN"/>
              </w:rPr>
              <w:t>（</w:t>
            </w:r>
            <w:r>
              <w:rPr>
                <w:color w:val="000000"/>
                <w:sz w:val="24"/>
                <w:highlight w:val="none"/>
              </w:rPr>
              <w:t>A</w:t>
            </w:r>
            <w:r>
              <w:rPr>
                <w:rFonts w:hint="eastAsia"/>
                <w:color w:val="000000"/>
                <w:sz w:val="24"/>
                <w:highlight w:val="none"/>
                <w:lang w:eastAsia="zh-CN"/>
              </w:rPr>
              <w:t>）</w:t>
            </w:r>
            <w:r>
              <w:rPr>
                <w:color w:val="000000"/>
                <w:sz w:val="24"/>
                <w:highlight w:val="none"/>
              </w:rPr>
              <w:t>；</w:t>
            </w:r>
          </w:p>
          <w:p>
            <w:pPr>
              <w:spacing w:line="360" w:lineRule="auto"/>
              <w:ind w:firstLine="482"/>
              <w:textAlignment w:val="baseline"/>
              <w:rPr>
                <w:color w:val="000000"/>
                <w:sz w:val="24"/>
                <w:highlight w:val="none"/>
              </w:rPr>
            </w:pPr>
            <w:r>
              <w:rPr>
                <w:color w:val="000000"/>
                <w:sz w:val="24"/>
                <w:highlight w:val="none"/>
              </w:rPr>
              <w:t>L</w:t>
            </w:r>
            <w:r>
              <w:rPr>
                <w:rFonts w:hint="eastAsia"/>
                <w:color w:val="000000"/>
                <w:sz w:val="24"/>
                <w:highlight w:val="none"/>
                <w:vertAlign w:val="subscript"/>
                <w:lang w:val="en-US" w:eastAsia="zh-CN"/>
              </w:rPr>
              <w:t>p</w:t>
            </w:r>
            <w:r>
              <w:rPr>
                <w:rFonts w:hint="eastAsia"/>
                <w:color w:val="000000"/>
                <w:sz w:val="24"/>
                <w:highlight w:val="none"/>
                <w:vertAlign w:val="baseline"/>
                <w:lang w:val="en-US" w:eastAsia="zh-CN"/>
              </w:rPr>
              <w:t>（</w:t>
            </w:r>
            <w:r>
              <w:rPr>
                <w:color w:val="000000"/>
                <w:sz w:val="24"/>
                <w:highlight w:val="none"/>
              </w:rPr>
              <w:t>r0</w:t>
            </w:r>
            <w:r>
              <w:rPr>
                <w:rFonts w:hint="eastAsia"/>
                <w:color w:val="000000"/>
                <w:sz w:val="24"/>
                <w:highlight w:val="none"/>
                <w:vertAlign w:val="baseline"/>
                <w:lang w:val="en-US" w:eastAsia="zh-CN"/>
              </w:rPr>
              <w:t>）</w:t>
            </w:r>
            <w:r>
              <w:rPr>
                <w:rFonts w:hint="eastAsia"/>
                <w:color w:val="000000"/>
                <w:sz w:val="24"/>
                <w:highlight w:val="none"/>
                <w:lang w:eastAsia="zh-CN"/>
              </w:rPr>
              <w:t>--</w:t>
            </w:r>
            <w:r>
              <w:rPr>
                <w:rFonts w:hint="eastAsia"/>
                <w:color w:val="000000"/>
                <w:sz w:val="24"/>
                <w:highlight w:val="none"/>
                <w:lang w:val="en-US" w:eastAsia="zh-CN"/>
              </w:rPr>
              <w:t>参考位置</w:t>
            </w:r>
            <w:r>
              <w:rPr>
                <w:color w:val="000000"/>
                <w:sz w:val="24"/>
                <w:highlight w:val="none"/>
              </w:rPr>
              <w:t>r0处的声压级，dB</w:t>
            </w:r>
            <w:r>
              <w:rPr>
                <w:rFonts w:hint="eastAsia"/>
                <w:color w:val="000000"/>
                <w:sz w:val="24"/>
                <w:highlight w:val="none"/>
                <w:lang w:eastAsia="zh-CN"/>
              </w:rPr>
              <w:t>（</w:t>
            </w:r>
            <w:r>
              <w:rPr>
                <w:color w:val="000000"/>
                <w:sz w:val="24"/>
                <w:highlight w:val="none"/>
              </w:rPr>
              <w:t>A</w:t>
            </w:r>
            <w:r>
              <w:rPr>
                <w:rFonts w:hint="eastAsia"/>
                <w:color w:val="000000"/>
                <w:sz w:val="24"/>
                <w:highlight w:val="none"/>
                <w:lang w:eastAsia="zh-CN"/>
              </w:rPr>
              <w:t>）</w:t>
            </w:r>
            <w:r>
              <w:rPr>
                <w:color w:val="000000"/>
                <w:sz w:val="24"/>
                <w:highlight w:val="none"/>
              </w:rPr>
              <w:t>；</w:t>
            </w:r>
          </w:p>
          <w:p>
            <w:pPr>
              <w:spacing w:line="360" w:lineRule="auto"/>
              <w:ind w:firstLine="482"/>
              <w:textAlignment w:val="baseline"/>
              <w:rPr>
                <w:color w:val="000000"/>
                <w:sz w:val="24"/>
                <w:highlight w:val="none"/>
              </w:rPr>
            </w:pPr>
            <w:r>
              <w:rPr>
                <w:color w:val="000000"/>
                <w:sz w:val="24"/>
                <w:highlight w:val="none"/>
              </w:rPr>
              <w:t>r</w:t>
            </w:r>
            <w:r>
              <w:rPr>
                <w:rFonts w:hint="eastAsia"/>
                <w:color w:val="000000"/>
                <w:sz w:val="24"/>
                <w:highlight w:val="none"/>
                <w:lang w:eastAsia="zh-CN"/>
              </w:rPr>
              <w:t>--</w:t>
            </w:r>
            <w:r>
              <w:rPr>
                <w:color w:val="000000"/>
                <w:sz w:val="24"/>
                <w:highlight w:val="none"/>
              </w:rPr>
              <w:t>预测点距声源的距离，m；</w:t>
            </w:r>
          </w:p>
          <w:p>
            <w:pPr>
              <w:spacing w:line="360" w:lineRule="auto"/>
              <w:ind w:firstLine="482"/>
              <w:textAlignment w:val="baseline"/>
              <w:rPr>
                <w:color w:val="000000"/>
                <w:sz w:val="24"/>
                <w:highlight w:val="none"/>
              </w:rPr>
            </w:pPr>
            <w:r>
              <w:rPr>
                <w:color w:val="000000"/>
                <w:sz w:val="24"/>
                <w:highlight w:val="none"/>
              </w:rPr>
              <w:t>r0</w:t>
            </w:r>
            <w:r>
              <w:rPr>
                <w:rFonts w:hint="eastAsia"/>
                <w:color w:val="000000"/>
                <w:sz w:val="24"/>
                <w:highlight w:val="none"/>
                <w:lang w:eastAsia="zh-CN"/>
              </w:rPr>
              <w:t>--</w:t>
            </w:r>
            <w:r>
              <w:rPr>
                <w:rFonts w:hint="eastAsia"/>
                <w:color w:val="000000"/>
                <w:sz w:val="24"/>
                <w:highlight w:val="none"/>
                <w:lang w:val="en-US" w:eastAsia="zh-CN"/>
              </w:rPr>
              <w:t>参考位置距声源的距离</w:t>
            </w:r>
            <w:r>
              <w:rPr>
                <w:color w:val="000000"/>
                <w:sz w:val="24"/>
                <w:highlight w:val="none"/>
              </w:rPr>
              <w:t>，m。</w:t>
            </w:r>
          </w:p>
          <w:p>
            <w:pPr>
              <w:spacing w:line="360" w:lineRule="auto"/>
              <w:ind w:firstLine="482"/>
              <w:textAlignment w:val="baseline"/>
              <w:rPr>
                <w:color w:val="000000"/>
                <w:sz w:val="24"/>
                <w:highlight w:val="none"/>
              </w:rPr>
            </w:pPr>
            <w:r>
              <w:rPr>
                <w:color w:val="000000"/>
                <w:sz w:val="24"/>
                <w:highlight w:val="none"/>
              </w:rPr>
              <w:t>各种施工机械噪声经距离衰减后的预测结果见</w:t>
            </w:r>
            <w:r>
              <w:rPr>
                <w:rFonts w:hint="eastAsia"/>
                <w:color w:val="000000"/>
                <w:sz w:val="24"/>
                <w:highlight w:val="none"/>
              </w:rPr>
              <w:t>下</w:t>
            </w:r>
            <w:r>
              <w:rPr>
                <w:color w:val="000000"/>
                <w:sz w:val="24"/>
                <w:highlight w:val="none"/>
              </w:rPr>
              <w:t>表。</w:t>
            </w:r>
          </w:p>
          <w:p>
            <w:pPr>
              <w:widowControl/>
              <w:tabs>
                <w:tab w:val="left" w:pos="810"/>
              </w:tabs>
              <w:adjustRightInd w:val="0"/>
              <w:snapToGrid w:val="0"/>
              <w:jc w:val="center"/>
              <w:rPr>
                <w:bCs/>
                <w:color w:val="000000"/>
                <w:kern w:val="0"/>
                <w:szCs w:val="21"/>
                <w:highlight w:val="none"/>
              </w:rPr>
            </w:pPr>
            <w:r>
              <w:rPr>
                <w:bCs/>
                <w:color w:val="000000"/>
                <w:kern w:val="0"/>
                <w:szCs w:val="21"/>
                <w:highlight w:val="none"/>
              </w:rPr>
              <w:t>表</w:t>
            </w:r>
            <w:r>
              <w:rPr>
                <w:rFonts w:hint="eastAsia"/>
                <w:bCs/>
                <w:color w:val="000000"/>
                <w:kern w:val="0"/>
                <w:szCs w:val="21"/>
                <w:highlight w:val="none"/>
              </w:rPr>
              <w:t>4</w:t>
            </w:r>
            <w:r>
              <w:rPr>
                <w:rFonts w:hint="eastAsia"/>
                <w:bCs/>
                <w:color w:val="000000"/>
                <w:kern w:val="0"/>
                <w:szCs w:val="21"/>
                <w:highlight w:val="none"/>
                <w:lang w:eastAsia="zh-CN"/>
              </w:rPr>
              <w:t>-</w:t>
            </w:r>
            <w:r>
              <w:rPr>
                <w:rFonts w:hint="eastAsia"/>
                <w:bCs/>
                <w:color w:val="000000"/>
                <w:kern w:val="0"/>
                <w:szCs w:val="21"/>
                <w:highlight w:val="none"/>
                <w:lang w:val="en-US" w:eastAsia="zh-CN"/>
              </w:rPr>
              <w:t>4</w:t>
            </w:r>
            <w:r>
              <w:rPr>
                <w:bCs/>
                <w:color w:val="000000"/>
                <w:kern w:val="0"/>
                <w:szCs w:val="21"/>
                <w:highlight w:val="none"/>
              </w:rPr>
              <w:t xml:space="preserve"> 施工噪声随距离的衰减情况</w:t>
            </w:r>
          </w:p>
          <w:tbl>
            <w:tblPr>
              <w:tblStyle w:val="23"/>
              <w:tblW w:w="79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867"/>
              <w:gridCol w:w="866"/>
              <w:gridCol w:w="880"/>
              <w:gridCol w:w="867"/>
              <w:gridCol w:w="833"/>
              <w:gridCol w:w="841"/>
              <w:gridCol w:w="831"/>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25" w:type="dxa"/>
                  <w:vMerge w:val="restart"/>
                  <w:noWrap w:val="0"/>
                  <w:vAlign w:val="center"/>
                </w:tcPr>
                <w:p>
                  <w:pPr>
                    <w:jc w:val="center"/>
                    <w:textAlignment w:val="baseline"/>
                    <w:rPr>
                      <w:color w:val="000000"/>
                      <w:sz w:val="21"/>
                      <w:szCs w:val="21"/>
                      <w:highlight w:val="none"/>
                    </w:rPr>
                  </w:pPr>
                  <w:r>
                    <w:rPr>
                      <w:color w:val="000000"/>
                      <w:sz w:val="21"/>
                      <w:szCs w:val="21"/>
                      <w:highlight w:val="none"/>
                    </w:rPr>
                    <w:t>声级设备</w:t>
                  </w:r>
                </w:p>
              </w:tc>
              <w:tc>
                <w:tcPr>
                  <w:tcW w:w="6840" w:type="dxa"/>
                  <w:gridSpan w:val="8"/>
                  <w:noWrap w:val="0"/>
                  <w:vAlign w:val="center"/>
                </w:tcPr>
                <w:p>
                  <w:pPr>
                    <w:jc w:val="center"/>
                    <w:textAlignment w:val="baseline"/>
                    <w:rPr>
                      <w:color w:val="000000"/>
                      <w:sz w:val="21"/>
                      <w:szCs w:val="21"/>
                      <w:highlight w:val="none"/>
                    </w:rPr>
                  </w:pPr>
                  <w:r>
                    <w:rPr>
                      <w:color w:val="000000"/>
                      <w:sz w:val="21"/>
                      <w:szCs w:val="21"/>
                      <w:highlight w:val="none"/>
                    </w:rPr>
                    <w:t>距离声源不同距离处的噪声值</w:t>
                  </w:r>
                  <w:r>
                    <w:rPr>
                      <w:rFonts w:hint="eastAsia"/>
                      <w:color w:val="000000"/>
                      <w:sz w:val="21"/>
                      <w:szCs w:val="21"/>
                      <w:highlight w:val="none"/>
                      <w:lang w:eastAsia="zh-CN"/>
                    </w:rPr>
                    <w:t>（</w:t>
                  </w:r>
                  <w:r>
                    <w:rPr>
                      <w:color w:val="000000"/>
                      <w:sz w:val="21"/>
                      <w:szCs w:val="21"/>
                      <w:highlight w:val="none"/>
                    </w:rPr>
                    <w:t>dB</w:t>
                  </w:r>
                  <w:r>
                    <w:rPr>
                      <w:rFonts w:hint="eastAsia"/>
                      <w:color w:val="000000"/>
                      <w:sz w:val="21"/>
                      <w:szCs w:val="21"/>
                      <w:highlight w:val="none"/>
                      <w:lang w:eastAsia="zh-CN"/>
                    </w:rPr>
                    <w:t>（</w:t>
                  </w:r>
                  <w:r>
                    <w:rPr>
                      <w:color w:val="000000"/>
                      <w:sz w:val="21"/>
                      <w:szCs w:val="21"/>
                      <w:highlight w:val="none"/>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25" w:type="dxa"/>
                  <w:vMerge w:val="continue"/>
                  <w:noWrap w:val="0"/>
                  <w:vAlign w:val="center"/>
                </w:tcPr>
                <w:p>
                  <w:pPr>
                    <w:textAlignment w:val="baseline"/>
                    <w:rPr>
                      <w:color w:val="000000"/>
                      <w:sz w:val="21"/>
                      <w:szCs w:val="21"/>
                      <w:highlight w:val="none"/>
                    </w:rPr>
                  </w:pPr>
                </w:p>
              </w:tc>
              <w:tc>
                <w:tcPr>
                  <w:tcW w:w="867" w:type="dxa"/>
                  <w:noWrap w:val="0"/>
                  <w:vAlign w:val="center"/>
                </w:tcPr>
                <w:p>
                  <w:pPr>
                    <w:textAlignment w:val="baseline"/>
                    <w:rPr>
                      <w:rFonts w:hint="eastAsia"/>
                      <w:color w:val="000000"/>
                      <w:sz w:val="21"/>
                      <w:szCs w:val="21"/>
                      <w:highlight w:val="none"/>
                    </w:rPr>
                  </w:pPr>
                  <w:r>
                    <w:rPr>
                      <w:rFonts w:hint="eastAsia"/>
                      <w:color w:val="000000"/>
                      <w:sz w:val="21"/>
                      <w:szCs w:val="21"/>
                      <w:highlight w:val="none"/>
                    </w:rPr>
                    <w:t>1</w:t>
                  </w:r>
                  <w:r>
                    <w:rPr>
                      <w:color w:val="000000"/>
                      <w:sz w:val="21"/>
                      <w:szCs w:val="21"/>
                      <w:highlight w:val="none"/>
                    </w:rPr>
                    <w:t>0</w:t>
                  </w:r>
                  <w:r>
                    <w:rPr>
                      <w:rFonts w:hint="eastAsia"/>
                      <w:color w:val="000000"/>
                      <w:sz w:val="21"/>
                      <w:szCs w:val="21"/>
                      <w:highlight w:val="none"/>
                    </w:rPr>
                    <w:t>m</w:t>
                  </w:r>
                </w:p>
              </w:tc>
              <w:tc>
                <w:tcPr>
                  <w:tcW w:w="866" w:type="dxa"/>
                  <w:noWrap w:val="0"/>
                  <w:vAlign w:val="center"/>
                </w:tcPr>
                <w:p>
                  <w:pPr>
                    <w:textAlignment w:val="baseline"/>
                    <w:rPr>
                      <w:rFonts w:hint="eastAsia"/>
                      <w:color w:val="000000"/>
                      <w:sz w:val="21"/>
                      <w:szCs w:val="21"/>
                      <w:highlight w:val="none"/>
                    </w:rPr>
                  </w:pPr>
                  <w:r>
                    <w:rPr>
                      <w:rFonts w:hint="eastAsia"/>
                      <w:color w:val="000000"/>
                      <w:sz w:val="21"/>
                      <w:szCs w:val="21"/>
                      <w:highlight w:val="none"/>
                    </w:rPr>
                    <w:t>30m</w:t>
                  </w:r>
                </w:p>
              </w:tc>
              <w:tc>
                <w:tcPr>
                  <w:tcW w:w="880" w:type="dxa"/>
                  <w:noWrap w:val="0"/>
                  <w:vAlign w:val="center"/>
                </w:tcPr>
                <w:p>
                  <w:pPr>
                    <w:textAlignment w:val="baseline"/>
                    <w:rPr>
                      <w:rFonts w:hint="eastAsia"/>
                      <w:color w:val="000000"/>
                      <w:sz w:val="21"/>
                      <w:szCs w:val="21"/>
                      <w:highlight w:val="none"/>
                    </w:rPr>
                  </w:pPr>
                  <w:r>
                    <w:rPr>
                      <w:rFonts w:hint="eastAsia"/>
                      <w:color w:val="000000"/>
                      <w:sz w:val="21"/>
                      <w:szCs w:val="21"/>
                      <w:highlight w:val="none"/>
                    </w:rPr>
                    <w:t>50m</w:t>
                  </w:r>
                </w:p>
              </w:tc>
              <w:tc>
                <w:tcPr>
                  <w:tcW w:w="867" w:type="dxa"/>
                  <w:noWrap w:val="0"/>
                  <w:vAlign w:val="center"/>
                </w:tcPr>
                <w:p>
                  <w:pPr>
                    <w:textAlignment w:val="baseline"/>
                    <w:rPr>
                      <w:rFonts w:hint="eastAsia"/>
                      <w:color w:val="000000"/>
                      <w:sz w:val="21"/>
                      <w:szCs w:val="21"/>
                      <w:highlight w:val="none"/>
                    </w:rPr>
                  </w:pPr>
                  <w:r>
                    <w:rPr>
                      <w:rFonts w:hint="eastAsia"/>
                      <w:color w:val="000000"/>
                      <w:sz w:val="21"/>
                      <w:szCs w:val="21"/>
                      <w:highlight w:val="none"/>
                    </w:rPr>
                    <w:t>70m</w:t>
                  </w:r>
                </w:p>
              </w:tc>
              <w:tc>
                <w:tcPr>
                  <w:tcW w:w="833" w:type="dxa"/>
                  <w:noWrap w:val="0"/>
                  <w:vAlign w:val="center"/>
                </w:tcPr>
                <w:p>
                  <w:pPr>
                    <w:textAlignment w:val="baseline"/>
                    <w:rPr>
                      <w:rFonts w:hint="eastAsia"/>
                      <w:color w:val="000000"/>
                      <w:sz w:val="21"/>
                      <w:szCs w:val="21"/>
                      <w:highlight w:val="none"/>
                    </w:rPr>
                  </w:pPr>
                  <w:r>
                    <w:rPr>
                      <w:color w:val="000000"/>
                      <w:sz w:val="21"/>
                      <w:szCs w:val="21"/>
                      <w:highlight w:val="none"/>
                    </w:rPr>
                    <w:t>100</w:t>
                  </w:r>
                  <w:r>
                    <w:rPr>
                      <w:rFonts w:hint="eastAsia"/>
                      <w:color w:val="000000"/>
                      <w:sz w:val="21"/>
                      <w:szCs w:val="21"/>
                      <w:highlight w:val="none"/>
                    </w:rPr>
                    <w:t>m</w:t>
                  </w:r>
                </w:p>
              </w:tc>
              <w:tc>
                <w:tcPr>
                  <w:tcW w:w="841" w:type="dxa"/>
                  <w:noWrap w:val="0"/>
                  <w:vAlign w:val="center"/>
                </w:tcPr>
                <w:p>
                  <w:pPr>
                    <w:textAlignment w:val="baseline"/>
                    <w:rPr>
                      <w:rFonts w:hint="eastAsia"/>
                      <w:color w:val="000000"/>
                      <w:sz w:val="21"/>
                      <w:szCs w:val="21"/>
                      <w:highlight w:val="none"/>
                    </w:rPr>
                  </w:pPr>
                  <w:r>
                    <w:rPr>
                      <w:color w:val="000000"/>
                      <w:sz w:val="21"/>
                      <w:szCs w:val="21"/>
                      <w:highlight w:val="none"/>
                    </w:rPr>
                    <w:t>150</w:t>
                  </w:r>
                  <w:r>
                    <w:rPr>
                      <w:rFonts w:hint="eastAsia"/>
                      <w:color w:val="000000"/>
                      <w:sz w:val="21"/>
                      <w:szCs w:val="21"/>
                      <w:highlight w:val="none"/>
                    </w:rPr>
                    <w:t>m</w:t>
                  </w:r>
                </w:p>
              </w:tc>
              <w:tc>
                <w:tcPr>
                  <w:tcW w:w="831" w:type="dxa"/>
                  <w:noWrap w:val="0"/>
                  <w:vAlign w:val="center"/>
                </w:tcPr>
                <w:p>
                  <w:pPr>
                    <w:textAlignment w:val="baseline"/>
                    <w:rPr>
                      <w:rFonts w:hint="eastAsia"/>
                      <w:color w:val="000000"/>
                      <w:sz w:val="21"/>
                      <w:szCs w:val="21"/>
                      <w:highlight w:val="none"/>
                    </w:rPr>
                  </w:pPr>
                  <w:r>
                    <w:rPr>
                      <w:color w:val="000000"/>
                      <w:sz w:val="21"/>
                      <w:szCs w:val="21"/>
                      <w:highlight w:val="none"/>
                    </w:rPr>
                    <w:t>200</w:t>
                  </w:r>
                  <w:r>
                    <w:rPr>
                      <w:rFonts w:hint="eastAsia"/>
                      <w:color w:val="000000"/>
                      <w:sz w:val="21"/>
                      <w:szCs w:val="21"/>
                      <w:highlight w:val="none"/>
                    </w:rPr>
                    <w:t>m</w:t>
                  </w:r>
                </w:p>
              </w:tc>
              <w:tc>
                <w:tcPr>
                  <w:tcW w:w="855"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380</w:t>
                  </w:r>
                  <w:r>
                    <w:rPr>
                      <w:rFonts w:hint="eastAsia"/>
                      <w:color w:val="000000"/>
                      <w:sz w:val="21"/>
                      <w:szCs w:val="21"/>
                      <w:highlight w:val="none"/>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25"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宋体" w:hAnsi="宋体" w:eastAsia="宋体" w:cs="宋体"/>
                      <w:kern w:val="2"/>
                      <w:sz w:val="21"/>
                      <w:szCs w:val="21"/>
                      <w:highlight w:val="none"/>
                      <w:lang w:val="en-US" w:eastAsia="zh-CN" w:bidi="ar-SA"/>
                    </w:rPr>
                  </w:pPr>
                  <w:r>
                    <w:rPr>
                      <w:spacing w:val="6"/>
                      <w:sz w:val="21"/>
                      <w:szCs w:val="21"/>
                      <w:highlight w:val="none"/>
                    </w:rPr>
                    <w:t>推土机</w:t>
                  </w:r>
                </w:p>
              </w:tc>
              <w:tc>
                <w:tcPr>
                  <w:tcW w:w="867"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86.52</w:t>
                  </w:r>
                </w:p>
              </w:tc>
              <w:tc>
                <w:tcPr>
                  <w:tcW w:w="866"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76.98</w:t>
                  </w:r>
                </w:p>
              </w:tc>
              <w:tc>
                <w:tcPr>
                  <w:tcW w:w="880"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72.54</w:t>
                  </w:r>
                </w:p>
              </w:tc>
              <w:tc>
                <w:tcPr>
                  <w:tcW w:w="867"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69.62</w:t>
                  </w:r>
                </w:p>
              </w:tc>
              <w:tc>
                <w:tcPr>
                  <w:tcW w:w="833"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66.52</w:t>
                  </w:r>
                </w:p>
              </w:tc>
              <w:tc>
                <w:tcPr>
                  <w:tcW w:w="841"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63.00</w:t>
                  </w:r>
                </w:p>
              </w:tc>
              <w:tc>
                <w:tcPr>
                  <w:tcW w:w="831"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60.50</w:t>
                  </w:r>
                </w:p>
              </w:tc>
              <w:tc>
                <w:tcPr>
                  <w:tcW w:w="855" w:type="dxa"/>
                  <w:noWrap w:val="0"/>
                  <w:vAlign w:val="center"/>
                </w:tcPr>
                <w:p>
                  <w:pPr>
                    <w:textAlignment w:val="baseline"/>
                    <w:rPr>
                      <w:rFonts w:hint="eastAsia"/>
                      <w:color w:val="000000"/>
                      <w:sz w:val="21"/>
                      <w:szCs w:val="21"/>
                      <w:highlight w:val="none"/>
                      <w:lang w:val="en-US" w:eastAsia="zh-CN"/>
                    </w:rPr>
                  </w:pPr>
                  <w:r>
                    <w:rPr>
                      <w:rFonts w:hint="eastAsia"/>
                      <w:color w:val="000000"/>
                      <w:sz w:val="21"/>
                      <w:szCs w:val="21"/>
                      <w:highlight w:val="none"/>
                      <w:lang w:val="en-US" w:eastAsia="zh-CN"/>
                    </w:rPr>
                    <w:t>54.92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25"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宋体" w:hAnsi="宋体" w:eastAsia="宋体" w:cs="宋体"/>
                      <w:kern w:val="2"/>
                      <w:sz w:val="21"/>
                      <w:szCs w:val="21"/>
                      <w:highlight w:val="none"/>
                      <w:lang w:val="en-US" w:eastAsia="zh-CN" w:bidi="ar-SA"/>
                    </w:rPr>
                  </w:pPr>
                  <w:r>
                    <w:rPr>
                      <w:spacing w:val="7"/>
                      <w:sz w:val="21"/>
                      <w:szCs w:val="21"/>
                      <w:highlight w:val="none"/>
                    </w:rPr>
                    <w:t>挖掘机</w:t>
                  </w:r>
                </w:p>
              </w:tc>
              <w:tc>
                <w:tcPr>
                  <w:tcW w:w="867"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80.52</w:t>
                  </w:r>
                </w:p>
              </w:tc>
              <w:tc>
                <w:tcPr>
                  <w:tcW w:w="866"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70.98</w:t>
                  </w:r>
                </w:p>
              </w:tc>
              <w:tc>
                <w:tcPr>
                  <w:tcW w:w="880" w:type="dxa"/>
                  <w:noWrap w:val="0"/>
                  <w:vAlign w:val="center"/>
                </w:tcPr>
                <w:p>
                  <w:pPr>
                    <w:textAlignment w:val="baseline"/>
                    <w:rPr>
                      <w:rFonts w:hint="default" w:eastAsia="宋体"/>
                      <w:color w:val="000000"/>
                      <w:sz w:val="21"/>
                      <w:szCs w:val="21"/>
                      <w:highlight w:val="none"/>
                      <w:lang w:val="en-US" w:eastAsia="zh-CN"/>
                    </w:rPr>
                  </w:pPr>
                  <w:r>
                    <w:rPr>
                      <w:rFonts w:hint="default" w:eastAsia="宋体"/>
                      <w:color w:val="000000"/>
                      <w:sz w:val="21"/>
                      <w:szCs w:val="21"/>
                      <w:highlight w:val="none"/>
                      <w:lang w:val="en-US" w:eastAsia="zh-CN"/>
                    </w:rPr>
                    <w:t>66.54</w:t>
                  </w:r>
                </w:p>
              </w:tc>
              <w:tc>
                <w:tcPr>
                  <w:tcW w:w="867" w:type="dxa"/>
                  <w:noWrap w:val="0"/>
                  <w:vAlign w:val="center"/>
                </w:tcPr>
                <w:p>
                  <w:pPr>
                    <w:textAlignment w:val="baseline"/>
                    <w:rPr>
                      <w:rFonts w:hint="default" w:eastAsia="宋体"/>
                      <w:color w:val="000000"/>
                      <w:sz w:val="21"/>
                      <w:szCs w:val="21"/>
                      <w:highlight w:val="none"/>
                      <w:lang w:val="en-US" w:eastAsia="zh-CN"/>
                    </w:rPr>
                  </w:pPr>
                  <w:r>
                    <w:rPr>
                      <w:rFonts w:hint="default" w:eastAsia="宋体"/>
                      <w:color w:val="000000"/>
                      <w:sz w:val="21"/>
                      <w:szCs w:val="21"/>
                      <w:highlight w:val="none"/>
                      <w:lang w:val="en-US" w:eastAsia="zh-CN"/>
                    </w:rPr>
                    <w:t>63.6</w:t>
                  </w:r>
                  <w:r>
                    <w:rPr>
                      <w:rFonts w:hint="eastAsia"/>
                      <w:color w:val="000000"/>
                      <w:sz w:val="21"/>
                      <w:szCs w:val="21"/>
                      <w:highlight w:val="none"/>
                      <w:lang w:val="en-US" w:eastAsia="zh-CN"/>
                    </w:rPr>
                    <w:t>2</w:t>
                  </w:r>
                </w:p>
              </w:tc>
              <w:tc>
                <w:tcPr>
                  <w:tcW w:w="833" w:type="dxa"/>
                  <w:noWrap w:val="0"/>
                  <w:vAlign w:val="center"/>
                </w:tcPr>
                <w:p>
                  <w:pPr>
                    <w:textAlignment w:val="baseline"/>
                    <w:rPr>
                      <w:color w:val="000000"/>
                      <w:sz w:val="21"/>
                      <w:szCs w:val="21"/>
                      <w:highlight w:val="none"/>
                    </w:rPr>
                  </w:pPr>
                  <w:r>
                    <w:rPr>
                      <w:rFonts w:hint="eastAsia"/>
                      <w:color w:val="000000"/>
                      <w:sz w:val="21"/>
                      <w:szCs w:val="21"/>
                      <w:highlight w:val="none"/>
                    </w:rPr>
                    <w:t>60.52</w:t>
                  </w:r>
                </w:p>
              </w:tc>
              <w:tc>
                <w:tcPr>
                  <w:tcW w:w="841"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57.00</w:t>
                  </w:r>
                </w:p>
              </w:tc>
              <w:tc>
                <w:tcPr>
                  <w:tcW w:w="831"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54.50</w:t>
                  </w:r>
                </w:p>
              </w:tc>
              <w:tc>
                <w:tcPr>
                  <w:tcW w:w="855" w:type="dxa"/>
                  <w:noWrap w:val="0"/>
                  <w:vAlign w:val="center"/>
                </w:tcPr>
                <w:p>
                  <w:pPr>
                    <w:textAlignment w:val="baseline"/>
                    <w:rPr>
                      <w:rFonts w:hint="eastAsia"/>
                      <w:color w:val="000000"/>
                      <w:sz w:val="21"/>
                      <w:szCs w:val="21"/>
                      <w:highlight w:val="none"/>
                      <w:lang w:val="en-US" w:eastAsia="zh-CN"/>
                    </w:rPr>
                  </w:pPr>
                  <w:r>
                    <w:rPr>
                      <w:rFonts w:hint="eastAsia"/>
                      <w:color w:val="000000"/>
                      <w:sz w:val="21"/>
                      <w:szCs w:val="21"/>
                      <w:highlight w:val="none"/>
                      <w:lang w:val="en-US" w:eastAsia="zh-CN"/>
                    </w:rPr>
                    <w:t>48.92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25"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kern w:val="2"/>
                      <w:sz w:val="21"/>
                      <w:szCs w:val="21"/>
                      <w:highlight w:val="none"/>
                      <w:lang w:val="en-US" w:eastAsia="zh-CN" w:bidi="ar-SA"/>
                    </w:rPr>
                  </w:pPr>
                  <w:r>
                    <w:rPr>
                      <w:spacing w:val="6"/>
                      <w:sz w:val="21"/>
                      <w:szCs w:val="21"/>
                      <w:highlight w:val="none"/>
                    </w:rPr>
                    <w:t>装载机</w:t>
                  </w:r>
                </w:p>
              </w:tc>
              <w:tc>
                <w:tcPr>
                  <w:tcW w:w="867"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83.52</w:t>
                  </w:r>
                </w:p>
              </w:tc>
              <w:tc>
                <w:tcPr>
                  <w:tcW w:w="866" w:type="dxa"/>
                  <w:noWrap w:val="0"/>
                  <w:vAlign w:val="center"/>
                </w:tcPr>
                <w:p>
                  <w:pPr>
                    <w:textAlignment w:val="baseline"/>
                    <w:rPr>
                      <w:rFonts w:hint="default" w:eastAsia="宋体"/>
                      <w:color w:val="000000"/>
                      <w:sz w:val="21"/>
                      <w:szCs w:val="21"/>
                      <w:highlight w:val="none"/>
                      <w:lang w:val="en-US" w:eastAsia="zh-CN"/>
                    </w:rPr>
                  </w:pPr>
                  <w:r>
                    <w:rPr>
                      <w:rFonts w:hint="default" w:eastAsia="宋体"/>
                      <w:color w:val="000000"/>
                      <w:sz w:val="21"/>
                      <w:szCs w:val="21"/>
                      <w:highlight w:val="none"/>
                      <w:lang w:val="en-US" w:eastAsia="zh-CN"/>
                    </w:rPr>
                    <w:t>73.9</w:t>
                  </w:r>
                  <w:r>
                    <w:rPr>
                      <w:rFonts w:hint="eastAsia"/>
                      <w:color w:val="000000"/>
                      <w:sz w:val="21"/>
                      <w:szCs w:val="21"/>
                      <w:highlight w:val="none"/>
                      <w:lang w:val="en-US" w:eastAsia="zh-CN"/>
                    </w:rPr>
                    <w:t>8</w:t>
                  </w:r>
                </w:p>
              </w:tc>
              <w:tc>
                <w:tcPr>
                  <w:tcW w:w="880"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69.54</w:t>
                  </w:r>
                </w:p>
              </w:tc>
              <w:tc>
                <w:tcPr>
                  <w:tcW w:w="867"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66.62</w:t>
                  </w:r>
                </w:p>
              </w:tc>
              <w:tc>
                <w:tcPr>
                  <w:tcW w:w="833"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63.52</w:t>
                  </w:r>
                </w:p>
              </w:tc>
              <w:tc>
                <w:tcPr>
                  <w:tcW w:w="841"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60.00</w:t>
                  </w:r>
                </w:p>
              </w:tc>
              <w:tc>
                <w:tcPr>
                  <w:tcW w:w="831"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57.50</w:t>
                  </w:r>
                </w:p>
              </w:tc>
              <w:tc>
                <w:tcPr>
                  <w:tcW w:w="855" w:type="dxa"/>
                  <w:noWrap w:val="0"/>
                  <w:vAlign w:val="center"/>
                </w:tcPr>
                <w:p>
                  <w:pPr>
                    <w:textAlignment w:val="baseline"/>
                    <w:rPr>
                      <w:rFonts w:hint="eastAsia"/>
                      <w:color w:val="000000"/>
                      <w:sz w:val="21"/>
                      <w:szCs w:val="21"/>
                      <w:highlight w:val="none"/>
                      <w:lang w:val="en-US" w:eastAsia="zh-CN"/>
                    </w:rPr>
                  </w:pPr>
                  <w:r>
                    <w:rPr>
                      <w:rFonts w:hint="eastAsia"/>
                      <w:color w:val="000000"/>
                      <w:sz w:val="21"/>
                      <w:szCs w:val="21"/>
                      <w:highlight w:val="none"/>
                      <w:lang w:val="en-US" w:eastAsia="zh-CN"/>
                    </w:rPr>
                    <w:t>51.92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25"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kern w:val="2"/>
                      <w:sz w:val="21"/>
                      <w:szCs w:val="21"/>
                      <w:highlight w:val="none"/>
                      <w:lang w:val="en-US" w:eastAsia="zh-CN" w:bidi="ar-SA"/>
                    </w:rPr>
                  </w:pPr>
                  <w:r>
                    <w:rPr>
                      <w:spacing w:val="7"/>
                      <w:sz w:val="21"/>
                      <w:szCs w:val="21"/>
                      <w:highlight w:val="none"/>
                    </w:rPr>
                    <w:t>振捣机</w:t>
                  </w:r>
                </w:p>
              </w:tc>
              <w:tc>
                <w:tcPr>
                  <w:tcW w:w="867"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73</w:t>
                  </w:r>
                </w:p>
              </w:tc>
              <w:tc>
                <w:tcPr>
                  <w:tcW w:w="866"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63.46</w:t>
                  </w:r>
                </w:p>
              </w:tc>
              <w:tc>
                <w:tcPr>
                  <w:tcW w:w="880"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59.02</w:t>
                  </w:r>
                </w:p>
              </w:tc>
              <w:tc>
                <w:tcPr>
                  <w:tcW w:w="867"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56.10</w:t>
                  </w:r>
                </w:p>
              </w:tc>
              <w:tc>
                <w:tcPr>
                  <w:tcW w:w="833"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53</w:t>
                  </w:r>
                </w:p>
              </w:tc>
              <w:tc>
                <w:tcPr>
                  <w:tcW w:w="841"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49.48</w:t>
                  </w:r>
                </w:p>
              </w:tc>
              <w:tc>
                <w:tcPr>
                  <w:tcW w:w="831"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46.98</w:t>
                  </w:r>
                </w:p>
              </w:tc>
              <w:tc>
                <w:tcPr>
                  <w:tcW w:w="855" w:type="dxa"/>
                  <w:noWrap w:val="0"/>
                  <w:vAlign w:val="center"/>
                </w:tcPr>
                <w:p>
                  <w:pPr>
                    <w:textAlignment w:val="baseline"/>
                    <w:rPr>
                      <w:rFonts w:hint="eastAsia"/>
                      <w:color w:val="000000"/>
                      <w:sz w:val="21"/>
                      <w:szCs w:val="21"/>
                      <w:highlight w:val="none"/>
                      <w:lang w:val="en-US" w:eastAsia="zh-CN"/>
                    </w:rPr>
                  </w:pPr>
                  <w:r>
                    <w:rPr>
                      <w:rFonts w:hint="eastAsia"/>
                      <w:color w:val="000000"/>
                      <w:sz w:val="21"/>
                      <w:szCs w:val="21"/>
                      <w:highlight w:val="none"/>
                      <w:lang w:val="en-US" w:eastAsia="zh-CN"/>
                    </w:rPr>
                    <w:t>41.40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25"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pacing w:val="7"/>
                      <w:kern w:val="2"/>
                      <w:sz w:val="21"/>
                      <w:szCs w:val="21"/>
                      <w:highlight w:val="none"/>
                      <w:lang w:val="en-US" w:eastAsia="zh-CN" w:bidi="ar-SA"/>
                    </w:rPr>
                  </w:pPr>
                  <w:r>
                    <w:rPr>
                      <w:rFonts w:ascii="宋体" w:hAnsi="宋体" w:eastAsia="宋体" w:cs="宋体"/>
                      <w:spacing w:val="7"/>
                      <w:sz w:val="21"/>
                      <w:szCs w:val="21"/>
                      <w:highlight w:val="none"/>
                    </w:rPr>
                    <w:t>电锯</w:t>
                  </w:r>
                </w:p>
              </w:tc>
              <w:tc>
                <w:tcPr>
                  <w:tcW w:w="867"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83</w:t>
                  </w:r>
                </w:p>
              </w:tc>
              <w:tc>
                <w:tcPr>
                  <w:tcW w:w="866"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73.46</w:t>
                  </w:r>
                </w:p>
              </w:tc>
              <w:tc>
                <w:tcPr>
                  <w:tcW w:w="880"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69.02</w:t>
                  </w:r>
                </w:p>
              </w:tc>
              <w:tc>
                <w:tcPr>
                  <w:tcW w:w="867"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66.10</w:t>
                  </w:r>
                </w:p>
              </w:tc>
              <w:tc>
                <w:tcPr>
                  <w:tcW w:w="833"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63</w:t>
                  </w:r>
                </w:p>
              </w:tc>
              <w:tc>
                <w:tcPr>
                  <w:tcW w:w="841"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59.48</w:t>
                  </w:r>
                </w:p>
              </w:tc>
              <w:tc>
                <w:tcPr>
                  <w:tcW w:w="831"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56.98</w:t>
                  </w:r>
                </w:p>
              </w:tc>
              <w:tc>
                <w:tcPr>
                  <w:tcW w:w="855" w:type="dxa"/>
                  <w:noWrap w:val="0"/>
                  <w:vAlign w:val="center"/>
                </w:tcPr>
                <w:p>
                  <w:pPr>
                    <w:textAlignment w:val="baseline"/>
                    <w:rPr>
                      <w:rFonts w:hint="eastAsia"/>
                      <w:color w:val="000000"/>
                      <w:sz w:val="21"/>
                      <w:szCs w:val="21"/>
                      <w:highlight w:val="none"/>
                      <w:lang w:val="en-US" w:eastAsia="zh-CN"/>
                    </w:rPr>
                  </w:pPr>
                  <w:r>
                    <w:rPr>
                      <w:rFonts w:hint="eastAsia"/>
                      <w:color w:val="000000"/>
                      <w:sz w:val="21"/>
                      <w:szCs w:val="21"/>
                      <w:highlight w:val="none"/>
                      <w:lang w:val="en-US" w:eastAsia="zh-CN"/>
                    </w:rPr>
                    <w:t>51.40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25"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kern w:val="2"/>
                      <w:sz w:val="21"/>
                      <w:szCs w:val="21"/>
                      <w:highlight w:val="none"/>
                      <w:lang w:val="en-US" w:eastAsia="zh-CN" w:bidi="ar-SA"/>
                    </w:rPr>
                  </w:pPr>
                  <w:r>
                    <w:rPr>
                      <w:spacing w:val="-8"/>
                      <w:sz w:val="21"/>
                      <w:szCs w:val="21"/>
                      <w:highlight w:val="none"/>
                    </w:rPr>
                    <w:t>吊车</w:t>
                  </w:r>
                </w:p>
              </w:tc>
              <w:tc>
                <w:tcPr>
                  <w:tcW w:w="867" w:type="dxa"/>
                  <w:noWrap w:val="0"/>
                  <w:vAlign w:val="center"/>
                </w:tcPr>
                <w:p>
                  <w:pPr>
                    <w:textAlignment w:val="baseline"/>
                    <w:rPr>
                      <w:rFonts w:hint="default" w:eastAsia="宋体"/>
                      <w:color w:val="000000"/>
                      <w:sz w:val="21"/>
                      <w:szCs w:val="21"/>
                      <w:highlight w:val="none"/>
                      <w:lang w:val="en-US" w:eastAsia="zh-CN"/>
                    </w:rPr>
                  </w:pPr>
                  <w:r>
                    <w:rPr>
                      <w:rFonts w:hint="default" w:eastAsia="宋体"/>
                      <w:color w:val="000000"/>
                      <w:sz w:val="21"/>
                      <w:szCs w:val="21"/>
                      <w:highlight w:val="none"/>
                      <w:lang w:val="en-US" w:eastAsia="zh-CN"/>
                    </w:rPr>
                    <w:t>76.52</w:t>
                  </w:r>
                </w:p>
              </w:tc>
              <w:tc>
                <w:tcPr>
                  <w:tcW w:w="866" w:type="dxa"/>
                  <w:noWrap w:val="0"/>
                  <w:vAlign w:val="center"/>
                </w:tcPr>
                <w:p>
                  <w:pPr>
                    <w:textAlignment w:val="baseline"/>
                    <w:rPr>
                      <w:rFonts w:hint="default" w:eastAsia="宋体"/>
                      <w:color w:val="000000"/>
                      <w:sz w:val="21"/>
                      <w:szCs w:val="21"/>
                      <w:highlight w:val="none"/>
                      <w:lang w:val="en-US" w:eastAsia="zh-CN"/>
                    </w:rPr>
                  </w:pPr>
                  <w:r>
                    <w:rPr>
                      <w:rFonts w:hint="default" w:eastAsia="宋体"/>
                      <w:color w:val="000000"/>
                      <w:sz w:val="21"/>
                      <w:szCs w:val="21"/>
                      <w:highlight w:val="none"/>
                      <w:lang w:val="en-US" w:eastAsia="zh-CN"/>
                    </w:rPr>
                    <w:t>66.9</w:t>
                  </w:r>
                  <w:r>
                    <w:rPr>
                      <w:rFonts w:hint="eastAsia"/>
                      <w:color w:val="000000"/>
                      <w:sz w:val="21"/>
                      <w:szCs w:val="21"/>
                      <w:highlight w:val="none"/>
                      <w:lang w:val="en-US" w:eastAsia="zh-CN"/>
                    </w:rPr>
                    <w:t>8</w:t>
                  </w:r>
                </w:p>
              </w:tc>
              <w:tc>
                <w:tcPr>
                  <w:tcW w:w="880" w:type="dxa"/>
                  <w:noWrap w:val="0"/>
                  <w:vAlign w:val="center"/>
                </w:tcPr>
                <w:p>
                  <w:pPr>
                    <w:textAlignment w:val="baseline"/>
                    <w:rPr>
                      <w:rFonts w:hint="default" w:eastAsia="宋体"/>
                      <w:color w:val="000000"/>
                      <w:sz w:val="21"/>
                      <w:szCs w:val="21"/>
                      <w:highlight w:val="none"/>
                      <w:lang w:val="en-US" w:eastAsia="zh-CN"/>
                    </w:rPr>
                  </w:pPr>
                  <w:r>
                    <w:rPr>
                      <w:rFonts w:hint="default" w:eastAsia="宋体"/>
                      <w:color w:val="000000"/>
                      <w:sz w:val="21"/>
                      <w:szCs w:val="21"/>
                      <w:highlight w:val="none"/>
                      <w:lang w:val="en-US" w:eastAsia="zh-CN"/>
                    </w:rPr>
                    <w:t>62.54</w:t>
                  </w:r>
                </w:p>
              </w:tc>
              <w:tc>
                <w:tcPr>
                  <w:tcW w:w="867" w:type="dxa"/>
                  <w:noWrap w:val="0"/>
                  <w:vAlign w:val="center"/>
                </w:tcPr>
                <w:p>
                  <w:pPr>
                    <w:textAlignment w:val="baseline"/>
                    <w:rPr>
                      <w:rFonts w:hint="default" w:eastAsia="宋体"/>
                      <w:color w:val="000000"/>
                      <w:sz w:val="21"/>
                      <w:szCs w:val="21"/>
                      <w:highlight w:val="none"/>
                      <w:lang w:val="en-US" w:eastAsia="zh-CN"/>
                    </w:rPr>
                  </w:pPr>
                  <w:r>
                    <w:rPr>
                      <w:rFonts w:hint="default" w:eastAsia="宋体"/>
                      <w:color w:val="000000"/>
                      <w:sz w:val="21"/>
                      <w:szCs w:val="21"/>
                      <w:highlight w:val="none"/>
                      <w:lang w:val="en-US" w:eastAsia="zh-CN"/>
                    </w:rPr>
                    <w:t>59.6</w:t>
                  </w:r>
                  <w:r>
                    <w:rPr>
                      <w:rFonts w:hint="eastAsia"/>
                      <w:color w:val="000000"/>
                      <w:sz w:val="21"/>
                      <w:szCs w:val="21"/>
                      <w:highlight w:val="none"/>
                      <w:lang w:val="en-US" w:eastAsia="zh-CN"/>
                    </w:rPr>
                    <w:t>2</w:t>
                  </w:r>
                </w:p>
              </w:tc>
              <w:tc>
                <w:tcPr>
                  <w:tcW w:w="833"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56.52</w:t>
                  </w:r>
                </w:p>
              </w:tc>
              <w:tc>
                <w:tcPr>
                  <w:tcW w:w="841"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53.00</w:t>
                  </w:r>
                </w:p>
              </w:tc>
              <w:tc>
                <w:tcPr>
                  <w:tcW w:w="831" w:type="dxa"/>
                  <w:noWrap w:val="0"/>
                  <w:vAlign w:val="center"/>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50.50</w:t>
                  </w:r>
                </w:p>
              </w:tc>
              <w:tc>
                <w:tcPr>
                  <w:tcW w:w="855" w:type="dxa"/>
                  <w:noWrap w:val="0"/>
                  <w:vAlign w:val="center"/>
                </w:tcPr>
                <w:p>
                  <w:pPr>
                    <w:textAlignment w:val="baseline"/>
                    <w:rPr>
                      <w:rFonts w:hint="eastAsia"/>
                      <w:color w:val="000000"/>
                      <w:sz w:val="21"/>
                      <w:szCs w:val="21"/>
                      <w:highlight w:val="none"/>
                      <w:lang w:val="en-US" w:eastAsia="zh-CN"/>
                    </w:rPr>
                  </w:pPr>
                  <w:r>
                    <w:rPr>
                      <w:rFonts w:hint="eastAsia"/>
                      <w:color w:val="000000"/>
                      <w:sz w:val="21"/>
                      <w:szCs w:val="21"/>
                      <w:highlight w:val="none"/>
                      <w:lang w:val="en-US" w:eastAsia="zh-CN"/>
                    </w:rPr>
                    <w:t>44.92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25" w:type="dxa"/>
                  <w:noWrap w:val="0"/>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kern w:val="2"/>
                      <w:sz w:val="21"/>
                      <w:szCs w:val="21"/>
                      <w:highlight w:val="none"/>
                      <w:lang w:val="en-US" w:eastAsia="zh-CN" w:bidi="ar-SA"/>
                    </w:rPr>
                  </w:pPr>
                  <w:r>
                    <w:rPr>
                      <w:spacing w:val="6"/>
                      <w:sz w:val="21"/>
                      <w:szCs w:val="21"/>
                      <w:highlight w:val="none"/>
                    </w:rPr>
                    <w:t>升降机</w:t>
                  </w:r>
                </w:p>
              </w:tc>
              <w:tc>
                <w:tcPr>
                  <w:tcW w:w="867"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58</w:t>
                  </w:r>
                </w:p>
              </w:tc>
              <w:tc>
                <w:tcPr>
                  <w:tcW w:w="866"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48.46</w:t>
                  </w:r>
                </w:p>
              </w:tc>
              <w:tc>
                <w:tcPr>
                  <w:tcW w:w="880"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44.02</w:t>
                  </w:r>
                </w:p>
              </w:tc>
              <w:tc>
                <w:tcPr>
                  <w:tcW w:w="867"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41.10</w:t>
                  </w:r>
                </w:p>
              </w:tc>
              <w:tc>
                <w:tcPr>
                  <w:tcW w:w="833"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38</w:t>
                  </w:r>
                </w:p>
              </w:tc>
              <w:tc>
                <w:tcPr>
                  <w:tcW w:w="841"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34.48</w:t>
                  </w:r>
                </w:p>
              </w:tc>
              <w:tc>
                <w:tcPr>
                  <w:tcW w:w="831" w:type="dxa"/>
                  <w:noWrap w:val="0"/>
                  <w:vAlign w:val="center"/>
                </w:tcPr>
                <w:p>
                  <w:pPr>
                    <w:textAlignment w:val="baseline"/>
                    <w:rPr>
                      <w:rFonts w:hint="default"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lang w:val="en-US" w:eastAsia="zh-CN"/>
                    </w:rPr>
                    <w:t>31.98</w:t>
                  </w:r>
                </w:p>
              </w:tc>
              <w:tc>
                <w:tcPr>
                  <w:tcW w:w="855" w:type="dxa"/>
                  <w:noWrap w:val="0"/>
                  <w:vAlign w:val="center"/>
                </w:tcPr>
                <w:p>
                  <w:pPr>
                    <w:textAlignment w:val="baseline"/>
                    <w:rPr>
                      <w:rFonts w:hint="eastAsia"/>
                      <w:color w:val="000000"/>
                      <w:sz w:val="21"/>
                      <w:szCs w:val="21"/>
                      <w:highlight w:val="none"/>
                      <w:lang w:val="en-US" w:eastAsia="zh-CN"/>
                    </w:rPr>
                  </w:pPr>
                  <w:r>
                    <w:rPr>
                      <w:rFonts w:hint="eastAsia"/>
                      <w:color w:val="000000"/>
                      <w:sz w:val="21"/>
                      <w:szCs w:val="21"/>
                      <w:highlight w:val="none"/>
                      <w:lang w:val="en-US" w:eastAsia="zh-CN"/>
                    </w:rPr>
                    <w:t>26.40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5" w:type="dxa"/>
                  <w:vAlign w:val="top"/>
                </w:tcPr>
                <w:p>
                  <w:pPr>
                    <w:pStyle w:val="42"/>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pacing w:val="-3"/>
                      <w:kern w:val="2"/>
                      <w:sz w:val="21"/>
                      <w:szCs w:val="21"/>
                      <w:highlight w:val="none"/>
                      <w:lang w:val="en-US" w:eastAsia="zh-CN" w:bidi="ar-SA"/>
                    </w:rPr>
                  </w:pPr>
                  <w:r>
                    <w:rPr>
                      <w:color w:val="000000" w:themeColor="text1"/>
                      <w:sz w:val="21"/>
                      <w:szCs w:val="21"/>
                      <w:highlight w:val="none"/>
                      <w14:textFill>
                        <w14:solidFill>
                          <w14:schemeClr w14:val="tx1"/>
                        </w14:solidFill>
                      </w14:textFill>
                    </w:rPr>
                    <w:t>重型卡车</w:t>
                  </w:r>
                </w:p>
              </w:tc>
              <w:tc>
                <w:tcPr>
                  <w:tcW w:w="867" w:type="dxa"/>
                </w:tcPr>
                <w:p>
                  <w:pPr>
                    <w:textAlignment w:val="baseline"/>
                    <w:rPr>
                      <w:rFonts w:hint="default" w:eastAsia="宋体"/>
                      <w:color w:val="000000"/>
                      <w:sz w:val="21"/>
                      <w:szCs w:val="21"/>
                      <w:highlight w:val="none"/>
                      <w:lang w:val="en-US" w:eastAsia="zh-CN"/>
                    </w:rPr>
                  </w:pPr>
                  <w:r>
                    <w:rPr>
                      <w:rFonts w:hint="default" w:eastAsia="宋体"/>
                      <w:color w:val="000000"/>
                      <w:sz w:val="21"/>
                      <w:szCs w:val="21"/>
                      <w:highlight w:val="none"/>
                      <w:lang w:val="en-US" w:eastAsia="zh-CN"/>
                    </w:rPr>
                    <w:t>82.5</w:t>
                  </w:r>
                </w:p>
              </w:tc>
              <w:tc>
                <w:tcPr>
                  <w:tcW w:w="866" w:type="dxa"/>
                </w:tcPr>
                <w:p>
                  <w:pPr>
                    <w:textAlignment w:val="baseline"/>
                    <w:rPr>
                      <w:rFonts w:hint="default" w:eastAsia="宋体"/>
                      <w:color w:val="000000"/>
                      <w:sz w:val="21"/>
                      <w:szCs w:val="21"/>
                      <w:highlight w:val="none"/>
                      <w:lang w:val="en-US" w:eastAsia="zh-CN"/>
                    </w:rPr>
                  </w:pPr>
                  <w:r>
                    <w:rPr>
                      <w:rFonts w:hint="default" w:eastAsia="宋体"/>
                      <w:color w:val="000000"/>
                      <w:sz w:val="21"/>
                      <w:szCs w:val="21"/>
                      <w:highlight w:val="none"/>
                      <w:lang w:val="en-US" w:eastAsia="zh-CN"/>
                    </w:rPr>
                    <w:t>72.9</w:t>
                  </w:r>
                  <w:r>
                    <w:rPr>
                      <w:rFonts w:hint="eastAsia"/>
                      <w:color w:val="000000"/>
                      <w:sz w:val="21"/>
                      <w:szCs w:val="21"/>
                      <w:highlight w:val="none"/>
                      <w:lang w:val="en-US" w:eastAsia="zh-CN"/>
                    </w:rPr>
                    <w:t>6</w:t>
                  </w:r>
                </w:p>
              </w:tc>
              <w:tc>
                <w:tcPr>
                  <w:tcW w:w="880" w:type="dxa"/>
                </w:tcPr>
                <w:p>
                  <w:pPr>
                    <w:textAlignment w:val="baseline"/>
                    <w:rPr>
                      <w:rFonts w:hint="default" w:eastAsia="宋体"/>
                      <w:color w:val="000000"/>
                      <w:sz w:val="21"/>
                      <w:szCs w:val="21"/>
                      <w:highlight w:val="none"/>
                      <w:lang w:val="en-US" w:eastAsia="zh-CN"/>
                    </w:rPr>
                  </w:pPr>
                  <w:r>
                    <w:rPr>
                      <w:rFonts w:hint="default" w:eastAsia="宋体"/>
                      <w:color w:val="000000"/>
                      <w:sz w:val="21"/>
                      <w:szCs w:val="21"/>
                      <w:highlight w:val="none"/>
                      <w:lang w:val="en-US" w:eastAsia="zh-CN"/>
                    </w:rPr>
                    <w:t>68.52</w:t>
                  </w:r>
                </w:p>
              </w:tc>
              <w:tc>
                <w:tcPr>
                  <w:tcW w:w="867" w:type="dxa"/>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65.60</w:t>
                  </w:r>
                </w:p>
              </w:tc>
              <w:tc>
                <w:tcPr>
                  <w:tcW w:w="833" w:type="dxa"/>
                </w:tcPr>
                <w:p>
                  <w:pPr>
                    <w:textAlignment w:val="baseline"/>
                    <w:rPr>
                      <w:rFonts w:hint="default" w:eastAsia="宋体"/>
                      <w:color w:val="000000"/>
                      <w:sz w:val="21"/>
                      <w:szCs w:val="21"/>
                      <w:highlight w:val="none"/>
                      <w:lang w:val="en-US" w:eastAsia="zh-CN"/>
                    </w:rPr>
                  </w:pPr>
                  <w:r>
                    <w:rPr>
                      <w:rFonts w:hint="default" w:eastAsia="宋体"/>
                      <w:color w:val="000000"/>
                      <w:sz w:val="21"/>
                      <w:szCs w:val="21"/>
                      <w:highlight w:val="none"/>
                      <w:lang w:val="en-US" w:eastAsia="zh-CN"/>
                    </w:rPr>
                    <w:t>62.5</w:t>
                  </w:r>
                </w:p>
              </w:tc>
              <w:tc>
                <w:tcPr>
                  <w:tcW w:w="841" w:type="dxa"/>
                </w:tcPr>
                <w:p>
                  <w:pPr>
                    <w:textAlignment w:val="baseline"/>
                    <w:rPr>
                      <w:rFonts w:hint="default" w:eastAsia="宋体"/>
                      <w:color w:val="000000"/>
                      <w:sz w:val="21"/>
                      <w:szCs w:val="21"/>
                      <w:highlight w:val="none"/>
                      <w:lang w:val="en-US" w:eastAsia="zh-CN"/>
                    </w:rPr>
                  </w:pPr>
                  <w:r>
                    <w:rPr>
                      <w:rFonts w:hint="default" w:eastAsia="宋体"/>
                      <w:color w:val="000000"/>
                      <w:sz w:val="21"/>
                      <w:szCs w:val="21"/>
                      <w:highlight w:val="none"/>
                      <w:lang w:val="en-US" w:eastAsia="zh-CN"/>
                    </w:rPr>
                    <w:t>58.9</w:t>
                  </w:r>
                  <w:r>
                    <w:rPr>
                      <w:rFonts w:hint="eastAsia"/>
                      <w:color w:val="000000"/>
                      <w:sz w:val="21"/>
                      <w:szCs w:val="21"/>
                      <w:highlight w:val="none"/>
                      <w:lang w:val="en-US" w:eastAsia="zh-CN"/>
                    </w:rPr>
                    <w:t>8</w:t>
                  </w:r>
                </w:p>
              </w:tc>
              <w:tc>
                <w:tcPr>
                  <w:tcW w:w="831" w:type="dxa"/>
                </w:tcPr>
                <w:p>
                  <w:pPr>
                    <w:textAlignment w:val="baseline"/>
                    <w:rPr>
                      <w:rFonts w:hint="default" w:eastAsia="宋体"/>
                      <w:color w:val="000000"/>
                      <w:sz w:val="21"/>
                      <w:szCs w:val="21"/>
                      <w:highlight w:val="none"/>
                      <w:lang w:val="en-US" w:eastAsia="zh-CN"/>
                    </w:rPr>
                  </w:pPr>
                  <w:r>
                    <w:rPr>
                      <w:rFonts w:hint="eastAsia"/>
                      <w:color w:val="000000"/>
                      <w:sz w:val="21"/>
                      <w:szCs w:val="21"/>
                      <w:highlight w:val="none"/>
                      <w:lang w:val="en-US" w:eastAsia="zh-CN"/>
                    </w:rPr>
                    <w:t>56.48</w:t>
                  </w:r>
                </w:p>
              </w:tc>
              <w:tc>
                <w:tcPr>
                  <w:tcW w:w="855" w:type="dxa"/>
                </w:tcPr>
                <w:p>
                  <w:pPr>
                    <w:textAlignment w:val="baseline"/>
                    <w:rPr>
                      <w:rFonts w:hint="eastAsia"/>
                      <w:color w:val="000000"/>
                      <w:sz w:val="21"/>
                      <w:szCs w:val="21"/>
                      <w:highlight w:val="none"/>
                      <w:lang w:val="en-US" w:eastAsia="zh-CN"/>
                    </w:rPr>
                  </w:pPr>
                  <w:r>
                    <w:rPr>
                      <w:rFonts w:hint="eastAsia"/>
                      <w:color w:val="000000"/>
                      <w:sz w:val="21"/>
                      <w:szCs w:val="21"/>
                      <w:highlight w:val="none"/>
                      <w:lang w:val="en-US" w:eastAsia="zh-CN"/>
                    </w:rPr>
                    <w:t>50.90</w:t>
                  </w:r>
                </w:p>
              </w:tc>
            </w:tr>
          </w:tbl>
          <w:p>
            <w:pPr>
              <w:keepNext w:val="0"/>
              <w:keepLines w:val="0"/>
              <w:pageBreakBefore w:val="0"/>
              <w:widowControl w:val="0"/>
              <w:tabs>
                <w:tab w:val="left" w:pos="624"/>
              </w:tabs>
              <w:kinsoku/>
              <w:wordWrap/>
              <w:overflowPunct/>
              <w:topLinePunct w:val="0"/>
              <w:autoSpaceDE/>
              <w:autoSpaceDN/>
              <w:bidi w:val="0"/>
              <w:spacing w:line="360" w:lineRule="auto"/>
              <w:ind w:firstLine="480" w:firstLineChars="200"/>
              <w:jc w:val="both"/>
              <w:textAlignment w:val="auto"/>
              <w:rPr>
                <w:color w:val="000000"/>
                <w:sz w:val="24"/>
                <w:highlight w:val="none"/>
              </w:rPr>
            </w:pPr>
            <w:r>
              <w:rPr>
                <w:color w:val="000000"/>
                <w:sz w:val="24"/>
                <w:highlight w:val="none"/>
              </w:rPr>
              <w:t>从计算结果可以看出：主要机械在</w:t>
            </w:r>
            <w:r>
              <w:rPr>
                <w:rFonts w:hint="eastAsia"/>
                <w:color w:val="000000"/>
                <w:sz w:val="24"/>
                <w:highlight w:val="none"/>
                <w:lang w:val="en-US" w:eastAsia="zh-CN"/>
              </w:rPr>
              <w:t>70</w:t>
            </w:r>
            <w:r>
              <w:rPr>
                <w:color w:val="000000"/>
                <w:sz w:val="24"/>
                <w:highlight w:val="none"/>
              </w:rPr>
              <w:t>m以外均不超过《建筑施工场界环境噪声排放标准》</w:t>
            </w:r>
            <w:r>
              <w:rPr>
                <w:rFonts w:hint="eastAsia"/>
                <w:color w:val="000000"/>
                <w:sz w:val="24"/>
                <w:highlight w:val="none"/>
                <w:lang w:eastAsia="zh-CN"/>
              </w:rPr>
              <w:t>（</w:t>
            </w:r>
            <w:r>
              <w:rPr>
                <w:color w:val="000000"/>
                <w:sz w:val="24"/>
                <w:highlight w:val="none"/>
              </w:rPr>
              <w:t>GB12523</w:t>
            </w:r>
            <w:r>
              <w:rPr>
                <w:rFonts w:hint="eastAsia"/>
                <w:color w:val="000000"/>
                <w:sz w:val="24"/>
                <w:highlight w:val="none"/>
                <w:lang w:eastAsia="zh-CN"/>
              </w:rPr>
              <w:t>-</w:t>
            </w:r>
            <w:r>
              <w:rPr>
                <w:color w:val="000000"/>
                <w:sz w:val="24"/>
                <w:highlight w:val="none"/>
              </w:rPr>
              <w:t>2011</w:t>
            </w:r>
            <w:r>
              <w:rPr>
                <w:rFonts w:hint="eastAsia"/>
                <w:color w:val="000000"/>
                <w:sz w:val="24"/>
                <w:highlight w:val="none"/>
                <w:lang w:eastAsia="zh-CN"/>
              </w:rPr>
              <w:t>）</w:t>
            </w:r>
            <w:r>
              <w:rPr>
                <w:color w:val="000000"/>
                <w:sz w:val="24"/>
                <w:highlight w:val="none"/>
              </w:rPr>
              <w:t>中的昼间噪声限值70dB</w:t>
            </w:r>
            <w:r>
              <w:rPr>
                <w:rFonts w:hint="eastAsia"/>
                <w:color w:val="000000"/>
                <w:sz w:val="24"/>
                <w:highlight w:val="none"/>
                <w:lang w:eastAsia="zh-CN"/>
              </w:rPr>
              <w:t>（</w:t>
            </w:r>
            <w:r>
              <w:rPr>
                <w:color w:val="000000"/>
                <w:sz w:val="24"/>
                <w:highlight w:val="none"/>
              </w:rPr>
              <w:t>A），主要机械</w:t>
            </w:r>
            <w:r>
              <w:rPr>
                <w:rFonts w:hint="eastAsia"/>
                <w:color w:val="000000"/>
                <w:sz w:val="24"/>
                <w:highlight w:val="none"/>
                <w:lang w:eastAsia="zh-CN"/>
              </w:rPr>
              <w:t>在</w:t>
            </w:r>
            <w:r>
              <w:rPr>
                <w:rFonts w:hint="eastAsia"/>
                <w:color w:val="000000"/>
                <w:sz w:val="24"/>
                <w:highlight w:val="none"/>
                <w:lang w:val="en-US" w:eastAsia="zh-CN"/>
              </w:rPr>
              <w:t>380</w:t>
            </w:r>
            <w:r>
              <w:rPr>
                <w:color w:val="000000"/>
                <w:sz w:val="24"/>
                <w:highlight w:val="none"/>
              </w:rPr>
              <w:t>m以</w:t>
            </w:r>
            <w:r>
              <w:rPr>
                <w:rFonts w:hint="eastAsia"/>
                <w:color w:val="000000"/>
                <w:sz w:val="24"/>
                <w:highlight w:val="none"/>
                <w:lang w:eastAsia="zh-CN"/>
              </w:rPr>
              <w:t>外时</w:t>
            </w:r>
            <w:r>
              <w:rPr>
                <w:color w:val="000000"/>
                <w:sz w:val="24"/>
                <w:highlight w:val="none"/>
              </w:rPr>
              <w:t>不超过夜间55dB</w:t>
            </w:r>
            <w:r>
              <w:rPr>
                <w:rFonts w:hint="eastAsia"/>
                <w:color w:val="000000"/>
                <w:sz w:val="24"/>
                <w:highlight w:val="none"/>
                <w:lang w:eastAsia="zh-CN"/>
              </w:rPr>
              <w:t>（</w:t>
            </w:r>
            <w:r>
              <w:rPr>
                <w:color w:val="000000"/>
                <w:sz w:val="24"/>
                <w:highlight w:val="none"/>
              </w:rPr>
              <w:t>A）的标准。</w:t>
            </w:r>
          </w:p>
          <w:p>
            <w:pPr>
              <w:keepNext w:val="0"/>
              <w:keepLines w:val="0"/>
              <w:pageBreakBefore w:val="0"/>
              <w:widowControl w:val="0"/>
              <w:tabs>
                <w:tab w:val="left" w:pos="624"/>
              </w:tabs>
              <w:kinsoku/>
              <w:wordWrap/>
              <w:overflowPunct/>
              <w:topLinePunct w:val="0"/>
              <w:autoSpaceDE/>
              <w:autoSpaceDN/>
              <w:bidi w:val="0"/>
              <w:spacing w:line="360" w:lineRule="auto"/>
              <w:ind w:firstLine="480" w:firstLineChars="200"/>
              <w:jc w:val="both"/>
              <w:textAlignment w:val="auto"/>
              <w:rPr>
                <w:sz w:val="24"/>
                <w:szCs w:val="24"/>
                <w:highlight w:val="none"/>
              </w:rPr>
            </w:pPr>
            <w:r>
              <w:rPr>
                <w:rFonts w:hint="eastAsia"/>
                <w:color w:val="000000"/>
                <w:sz w:val="24"/>
                <w:highlight w:val="none"/>
                <w:lang w:eastAsia="zh-CN"/>
              </w:rPr>
              <w:t>本</w:t>
            </w:r>
            <w:r>
              <w:rPr>
                <w:color w:val="000000"/>
                <w:sz w:val="24"/>
                <w:highlight w:val="none"/>
              </w:rPr>
              <w:t>项目</w:t>
            </w:r>
            <w:r>
              <w:rPr>
                <w:rFonts w:hint="eastAsia"/>
                <w:color w:val="000000"/>
                <w:sz w:val="24"/>
                <w:highlight w:val="none"/>
                <w:lang w:val="en-US" w:eastAsia="zh-CN"/>
              </w:rPr>
              <w:t>风井场地周围无敏感点，场外道路两侧5</w:t>
            </w:r>
            <w:r>
              <w:rPr>
                <w:color w:val="000000"/>
                <w:sz w:val="24"/>
                <w:highlight w:val="none"/>
              </w:rPr>
              <w:t>0m范围内涉及</w:t>
            </w:r>
            <w:r>
              <w:rPr>
                <w:rFonts w:hint="eastAsia"/>
                <w:color w:val="000000"/>
                <w:sz w:val="24"/>
                <w:highlight w:val="none"/>
                <w:lang w:val="en-US" w:eastAsia="zh-CN"/>
              </w:rPr>
              <w:t>1处住户</w:t>
            </w:r>
            <w:r>
              <w:rPr>
                <w:color w:val="000000"/>
                <w:sz w:val="24"/>
                <w:highlight w:val="none"/>
              </w:rPr>
              <w:t>，</w:t>
            </w:r>
            <w:r>
              <w:rPr>
                <w:rFonts w:hint="eastAsia"/>
                <w:color w:val="000000"/>
                <w:sz w:val="24"/>
                <w:highlight w:val="none"/>
                <w:lang w:val="en-US" w:eastAsia="zh-CN"/>
              </w:rPr>
              <w:t>该居民点施工期间的昼间噪声预测值为77.10dB（A），夜间77.10dB（A）</w:t>
            </w:r>
            <w:r>
              <w:rPr>
                <w:rFonts w:hint="eastAsia" w:ascii="宋体" w:hAnsi="宋体" w:cs="宋体"/>
                <w:color w:val="000000"/>
                <w:sz w:val="24"/>
                <w:highlight w:val="none"/>
                <w:lang w:val="en-US" w:eastAsia="zh-CN"/>
              </w:rPr>
              <w:t>，</w:t>
            </w:r>
            <w:r>
              <w:rPr>
                <w:color w:val="000000"/>
                <w:sz w:val="24"/>
                <w:highlight w:val="none"/>
              </w:rPr>
              <w:t>噪声保护目标的声环境在施工期会受到施工噪声的影响</w:t>
            </w:r>
            <w:r>
              <w:rPr>
                <w:rFonts w:ascii="宋体" w:hAnsi="宋体" w:eastAsia="宋体" w:cs="宋体"/>
                <w:sz w:val="24"/>
                <w:szCs w:val="24"/>
                <w:highlight w:val="none"/>
              </w:rPr>
              <w:t>，噪声值会超过标准限值。但是，施工噪声是短暂的且具有分散性，一般在白天施工，不会对夜间声环境产生影响</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为进一步确保施工期间噪声达标排放，减轻噪声对周围环境的影响，采取以下噪声污染防治措施</w:t>
            </w:r>
            <w:r>
              <w:rPr>
                <w:rFonts w:hint="eastAsia" w:ascii="宋体" w:hAnsi="宋体" w:eastAsia="宋体" w:cs="宋体"/>
                <w:sz w:val="24"/>
                <w:szCs w:val="24"/>
                <w:highlight w:val="none"/>
                <w:lang w:eastAsia="zh-CN"/>
              </w:rPr>
              <w:t>：</w:t>
            </w:r>
            <w:r>
              <w:rPr>
                <w:color w:val="000000"/>
                <w:sz w:val="24"/>
                <w:highlight w:val="none"/>
              </w:rPr>
              <w:t>合理安排施工时间，</w:t>
            </w:r>
            <w:r>
              <w:rPr>
                <w:rFonts w:hint="eastAsia" w:ascii="宋体" w:hAnsi="宋体" w:eastAsia="宋体" w:cs="宋体"/>
                <w:color w:val="000000"/>
                <w:kern w:val="0"/>
                <w:sz w:val="24"/>
                <w:szCs w:val="24"/>
                <w:highlight w:val="none"/>
                <w:lang w:val="en-US" w:eastAsia="zh-CN" w:bidi="ar"/>
              </w:rPr>
              <w:t>施工一般在白天，</w:t>
            </w:r>
            <w:r>
              <w:rPr>
                <w:rFonts w:hint="eastAsia"/>
                <w:color w:val="000000"/>
                <w:sz w:val="24"/>
                <w:highlight w:val="none"/>
              </w:rPr>
              <w:t>禁止夜间</w:t>
            </w:r>
            <w:r>
              <w:rPr>
                <w:rFonts w:hint="eastAsia"/>
                <w:color w:val="000000"/>
                <w:sz w:val="24"/>
                <w:highlight w:val="none"/>
                <w:lang w:val="en-US" w:eastAsia="zh-CN"/>
              </w:rPr>
              <w:t>（22：00～06：00）、中午（12：00-14：00）</w:t>
            </w:r>
            <w:r>
              <w:rPr>
                <w:rFonts w:hint="eastAsia"/>
                <w:color w:val="000000"/>
                <w:sz w:val="24"/>
                <w:highlight w:val="none"/>
              </w:rPr>
              <w:t>施工，</w:t>
            </w:r>
            <w:r>
              <w:rPr>
                <w:color w:val="000000"/>
                <w:sz w:val="24"/>
                <w:highlight w:val="none"/>
              </w:rPr>
              <w:t>采取</w:t>
            </w:r>
            <w:r>
              <w:rPr>
                <w:rFonts w:hint="default" w:ascii="Times New Roman" w:hAnsi="Times New Roman" w:eastAsia="宋体" w:cs="Times New Roman"/>
                <w:b w:val="0"/>
                <w:bCs w:val="0"/>
                <w:sz w:val="24"/>
                <w:highlight w:val="none"/>
              </w:rPr>
              <w:t>用低噪声机械设备、合理安排施工时间，在对外交通及施工道路两侧设交通标志牌，限速禁鸣</w:t>
            </w:r>
            <w:r>
              <w:rPr>
                <w:rFonts w:hint="eastAsia" w:cs="Times New Roman"/>
                <w:b w:val="0"/>
                <w:bCs w:val="0"/>
                <w:sz w:val="24"/>
                <w:highlight w:val="none"/>
                <w:lang w:eastAsia="zh-CN"/>
              </w:rPr>
              <w:t>，</w:t>
            </w:r>
            <w:r>
              <w:rPr>
                <w:rFonts w:hint="eastAsia" w:ascii="Times New Roman" w:hAnsi="Times New Roman" w:eastAsia="宋体" w:cs="Times New Roman"/>
                <w:b w:val="0"/>
                <w:bCs/>
                <w:sz w:val="24"/>
                <w:highlight w:val="none"/>
                <w:lang w:val="en-US" w:eastAsia="zh-CN"/>
              </w:rPr>
              <w:t>施工过程中距离敏感点较近的一侧可设置临时声屏障</w:t>
            </w:r>
            <w:r>
              <w:rPr>
                <w:rFonts w:hint="eastAsia" w:cs="Times New Roman"/>
                <w:b w:val="0"/>
                <w:bCs/>
                <w:sz w:val="24"/>
                <w:highlight w:val="none"/>
                <w:lang w:val="en-US" w:eastAsia="zh-CN"/>
              </w:rPr>
              <w:t>，</w:t>
            </w:r>
            <w:r>
              <w:rPr>
                <w:rFonts w:hint="eastAsia"/>
                <w:color w:val="000000"/>
                <w:sz w:val="24"/>
                <w:highlight w:val="none"/>
                <w:lang w:val="en-US" w:eastAsia="zh-CN"/>
              </w:rPr>
              <w:t>距离敏感点较近处</w:t>
            </w:r>
            <w:r>
              <w:rPr>
                <w:rFonts w:hint="eastAsia" w:cs="Times New Roman"/>
                <w:b w:val="0"/>
                <w:bCs/>
                <w:sz w:val="24"/>
                <w:highlight w:val="none"/>
                <w:lang w:val="en-US" w:eastAsia="zh-CN"/>
              </w:rPr>
              <w:t>不得使用高噪声施工机械，应做好同居民的沟通、补偿工作，减少对敏感地点的影响，防止发生噪声扰民现象；</w:t>
            </w:r>
            <w:r>
              <w:rPr>
                <w:rFonts w:hint="default" w:ascii="Times New Roman" w:hAnsi="Times New Roman" w:eastAsia="宋体" w:cs="Times New Roman"/>
                <w:b w:val="0"/>
                <w:bCs w:val="0"/>
                <w:sz w:val="24"/>
                <w:highlight w:val="none"/>
              </w:rPr>
              <w:t>做好道路的养护及运输车辆的维修保养，降低车速，降低交通噪声</w:t>
            </w:r>
            <w:r>
              <w:rPr>
                <w:color w:val="000000"/>
                <w:sz w:val="24"/>
                <w:highlight w:val="none"/>
              </w:rPr>
              <w:t>等措施隔声降噪。随着施工期的结束，影响也随之结束。</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b w:val="0"/>
                <w:bCs w:val="0"/>
                <w:sz w:val="24"/>
                <w:highlight w:val="none"/>
                <w:lang w:val="en-US" w:eastAsia="zh-CN"/>
              </w:rPr>
            </w:pP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eastAsia" w:ascii="Times New Roman" w:hAnsi="Times New Roman" w:eastAsia="宋体" w:cs="Times New Roman"/>
                <w:b w:val="0"/>
                <w:bCs w:val="0"/>
                <w:sz w:val="24"/>
                <w:highlight w:val="none"/>
                <w:lang w:val="en-US" w:eastAsia="zh-CN"/>
              </w:rPr>
              <w:t>五</w:t>
            </w:r>
            <w:r>
              <w:rPr>
                <w:rFonts w:hint="default" w:ascii="Times New Roman" w:hAnsi="Times New Roman" w:eastAsia="宋体" w:cs="Times New Roman"/>
                <w:b w:val="0"/>
                <w:bCs w:val="0"/>
                <w:sz w:val="24"/>
                <w:highlight w:val="none"/>
              </w:rPr>
              <w:t>、固体废物</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default" w:ascii="Times New Roman" w:hAnsi="Times New Roman" w:eastAsia="宋体" w:cs="Times New Roman"/>
                <w:b w:val="0"/>
                <w:bCs w:val="0"/>
                <w:sz w:val="24"/>
                <w:highlight w:val="none"/>
              </w:rPr>
              <w:t>施工期所产固体废物主要是工程施工过程中产生的施工人员生活垃圾</w:t>
            </w:r>
            <w:r>
              <w:rPr>
                <w:rFonts w:hint="eastAsia" w:cs="Times New Roman"/>
                <w:b w:val="0"/>
                <w:bCs w:val="0"/>
                <w:sz w:val="24"/>
                <w:highlight w:val="none"/>
                <w:lang w:eastAsia="zh-CN"/>
              </w:rPr>
              <w:t>、弃土、</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井筒掘进产生的岩石</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spacing w:val="-3"/>
                <w:sz w:val="24"/>
                <w:szCs w:val="24"/>
                <w:highlight w:val="none"/>
              </w:rPr>
              <w:t>建筑垃圾</w:t>
            </w:r>
            <w:r>
              <w:rPr>
                <w:rFonts w:hint="default" w:ascii="Times New Roman" w:hAnsi="Times New Roman" w:eastAsia="宋体" w:cs="Times New Roman"/>
                <w:b w:val="0"/>
                <w:bCs w:val="0"/>
                <w:sz w:val="24"/>
                <w:highlight w:val="none"/>
              </w:rPr>
              <w:t>。如随意堆放将占压土地，雨水冲刷可能会污染土壤和水体，大风干燥季节可能会形成扬尘污染，所以应当妥善处理。</w:t>
            </w:r>
          </w:p>
          <w:p>
            <w:pPr>
              <w:keepNext w:val="0"/>
              <w:keepLines w:val="0"/>
              <w:pageBreakBefore w:val="0"/>
              <w:widowControl w:val="0"/>
              <w:kinsoku/>
              <w:wordWrap/>
              <w:overflowPunct/>
              <w:topLinePunct w:val="0"/>
              <w:autoSpaceDE/>
              <w:autoSpaceDN/>
              <w:bidi w:val="0"/>
              <w:adjustRightInd/>
              <w:snapToGrid/>
              <w:spacing w:line="360" w:lineRule="auto"/>
              <w:ind w:leftChars="0" w:right="0" w:firstLine="480" w:firstLineChars="200"/>
              <w:textAlignment w:val="auto"/>
              <w:rPr>
                <w:rFonts w:hint="default" w:ascii="Times New Roman" w:hAnsi="Times New Roman" w:eastAsia="宋体" w:cs="Times New Roman"/>
                <w:color w:val="auto"/>
                <w:sz w:val="24"/>
                <w:szCs w:val="24"/>
                <w:highlight w:val="none"/>
                <w:lang w:eastAsia="zh-CN"/>
              </w:rPr>
            </w:pPr>
            <w:r>
              <w:rPr>
                <w:rFonts w:hint="eastAsia" w:cs="Times New Roman"/>
                <w:sz w:val="24"/>
                <w:szCs w:val="24"/>
                <w:highlight w:val="none"/>
                <w:lang w:eastAsia="zh-CN"/>
              </w:rPr>
              <w:t>（</w:t>
            </w:r>
            <w:r>
              <w:rPr>
                <w:rFonts w:hint="eastAsia" w:ascii="Times New Roman" w:hAnsi="Times New Roman" w:eastAsia="宋体" w:cs="Times New Roman"/>
                <w:sz w:val="24"/>
                <w:szCs w:val="24"/>
                <w:highlight w:val="none"/>
                <w:lang w:val="en-US" w:eastAsia="zh-CN"/>
              </w:rPr>
              <w:t>1</w:t>
            </w:r>
            <w:r>
              <w:rPr>
                <w:rFonts w:hint="eastAsia" w:ascii="Times New Roman" w:hAnsi="Times New Roman" w:eastAsia="宋体" w:cs="Times New Roman"/>
                <w:sz w:val="24"/>
                <w:szCs w:val="24"/>
                <w:highlight w:val="none"/>
                <w:lang w:eastAsia="zh-CN"/>
              </w:rPr>
              <w:t>）弃土：本项目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多余土方量为1.52</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万</w:t>
            </w:r>
            <w:r>
              <w:rPr>
                <w:rFonts w:hint="default" w:ascii="Times New Roman" w:hAnsi="Times New Roman" w:eastAsia="宋体" w:cs="Times New Roman"/>
                <w:sz w:val="24"/>
                <w:szCs w:val="24"/>
                <w:highlight w:val="none"/>
              </w:rPr>
              <w:t>m</w:t>
            </w:r>
            <w:r>
              <w:rPr>
                <w:rFonts w:hint="default" w:ascii="Times New Roman" w:hAnsi="Times New Roman" w:eastAsia="宋体" w:cs="Times New Roman"/>
                <w:sz w:val="24"/>
                <w:szCs w:val="24"/>
                <w:highlight w:val="none"/>
                <w:vertAlign w:val="superscript"/>
              </w:rPr>
              <w:t>3</w:t>
            </w:r>
            <w:r>
              <w:rPr>
                <w:rFonts w:hint="default" w:ascii="Times New Roman" w:hAnsi="Times New Roman" w:eastAsia="宋体" w:cs="Times New Roman"/>
                <w:sz w:val="24"/>
                <w:szCs w:val="24"/>
                <w:highlight w:val="none"/>
                <w:vertAlign w:val="baseline"/>
                <w:lang w:eastAsia="zh-CN"/>
              </w:rPr>
              <w:t>，</w:t>
            </w:r>
            <w:r>
              <w:rPr>
                <w:rFonts w:hint="default" w:ascii="Times New Roman" w:hAnsi="Times New Roman" w:eastAsia="宋体" w:cs="Times New Roman"/>
                <w:b w:val="0"/>
                <w:bCs w:val="0"/>
                <w:sz w:val="24"/>
                <w:szCs w:val="24"/>
                <w:highlight w:val="none"/>
                <w:lang w:val="en-US" w:eastAsia="zh-CN"/>
              </w:rPr>
              <w:t>用于后续</w:t>
            </w:r>
            <w:r>
              <w:rPr>
                <w:rFonts w:hint="default" w:ascii="Times New Roman" w:hAnsi="Times New Roman" w:eastAsia="宋体" w:cs="Times New Roman"/>
                <w:b w:val="0"/>
                <w:bCs w:val="0"/>
                <w:sz w:val="24"/>
                <w:szCs w:val="24"/>
                <w:highlight w:val="none"/>
                <w:lang w:eastAsia="zh-CN"/>
              </w:rPr>
              <w:t>风井场地</w:t>
            </w:r>
            <w:r>
              <w:rPr>
                <w:rFonts w:hint="default" w:ascii="Times New Roman" w:hAnsi="Times New Roman" w:eastAsia="宋体" w:cs="Times New Roman"/>
                <w:b w:val="0"/>
                <w:bCs w:val="0"/>
                <w:sz w:val="24"/>
                <w:szCs w:val="24"/>
                <w:highlight w:val="none"/>
                <w:lang w:val="en-US" w:eastAsia="zh-CN"/>
              </w:rPr>
              <w:t>竖向设计和景观设计中，道路和场地范围线内平整绿化、加宽路基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highlight w:val="none"/>
              </w:rPr>
            </w:pPr>
            <w:r>
              <w:rPr>
                <w:rFonts w:hint="eastAsia"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井筒掘进产生的岩石</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：北部风井场地建井期间，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井筒掘进产生的岩石量约7.18万m³</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乘以松散系数后约9.34万m³），供给杭锦发电有限公司煤矸石电厂</w:t>
            </w:r>
            <w:r>
              <w:rPr>
                <w:rFonts w:hint="eastAsia" w:cs="Times New Roman"/>
                <w:color w:val="000000" w:themeColor="text1"/>
                <w:sz w:val="24"/>
                <w:szCs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sz w:val="24"/>
                <w:szCs w:val="24"/>
                <w:highlight w:val="none"/>
                <w:lang w:eastAsia="zh-CN"/>
              </w:rPr>
            </w:pPr>
            <w:r>
              <w:rPr>
                <w:rFonts w:hint="eastAsia" w:cs="Times New Roman"/>
                <w:b w:val="0"/>
                <w:bCs w:val="0"/>
                <w:sz w:val="24"/>
                <w:highlight w:val="none"/>
                <w:lang w:eastAsia="zh-CN"/>
              </w:rPr>
              <w:t>（</w:t>
            </w:r>
            <w:r>
              <w:rPr>
                <w:rFonts w:hint="eastAsia" w:cs="Times New Roman"/>
                <w:b w:val="0"/>
                <w:bCs w:val="0"/>
                <w:sz w:val="24"/>
                <w:highlight w:val="none"/>
                <w:lang w:val="en-US" w:eastAsia="zh-CN"/>
              </w:rPr>
              <w:t>3</w:t>
            </w:r>
            <w:r>
              <w:rPr>
                <w:rFonts w:hint="eastAsia" w:cs="Times New Roman"/>
                <w:b w:val="0"/>
                <w:bCs w:val="0"/>
                <w:sz w:val="24"/>
                <w:highlight w:val="none"/>
                <w:lang w:eastAsia="zh-CN"/>
              </w:rPr>
              <w:t>）</w:t>
            </w:r>
            <w:r>
              <w:rPr>
                <w:rFonts w:hint="default" w:ascii="Times New Roman" w:hAnsi="Times New Roman" w:eastAsia="宋体" w:cs="Times New Roman"/>
                <w:b w:val="0"/>
                <w:bCs w:val="0"/>
                <w:sz w:val="24"/>
                <w:highlight w:val="none"/>
              </w:rPr>
              <w:t>施工人员产生的生活垃圾按0.5kg/人•d计算，</w:t>
            </w:r>
            <w:r>
              <w:rPr>
                <w:rFonts w:hint="default" w:ascii="Times New Roman" w:hAnsi="Times New Roman" w:eastAsia="宋体" w:cs="Times New Roman"/>
                <w:b w:val="0"/>
                <w:bCs w:val="0"/>
                <w:sz w:val="24"/>
                <w:highlight w:val="none"/>
                <w:lang w:val="en-US" w:eastAsia="zh-CN"/>
              </w:rPr>
              <w:t>施工人数最多时为</w:t>
            </w:r>
            <w:r>
              <w:rPr>
                <w:rFonts w:hint="eastAsia" w:cs="Times New Roman"/>
                <w:b w:val="0"/>
                <w:bCs w:val="0"/>
                <w:sz w:val="24"/>
                <w:highlight w:val="none"/>
                <w:lang w:val="en-US" w:eastAsia="zh-CN"/>
              </w:rPr>
              <w:t>30</w:t>
            </w:r>
            <w:r>
              <w:rPr>
                <w:rFonts w:hint="default" w:ascii="Times New Roman" w:hAnsi="Times New Roman" w:eastAsia="宋体" w:cs="Times New Roman"/>
                <w:b w:val="0"/>
                <w:bCs w:val="0"/>
                <w:sz w:val="24"/>
                <w:highlight w:val="none"/>
                <w:lang w:val="en-US" w:eastAsia="zh-CN"/>
              </w:rPr>
              <w:t>人，</w:t>
            </w:r>
            <w:r>
              <w:rPr>
                <w:rFonts w:hint="default" w:ascii="Times New Roman" w:hAnsi="Times New Roman" w:eastAsia="宋体" w:cs="Times New Roman"/>
                <w:b w:val="0"/>
                <w:bCs w:val="0"/>
                <w:sz w:val="24"/>
                <w:highlight w:val="none"/>
              </w:rPr>
              <w:t>本工程施工期生活垃圾的产生量为</w:t>
            </w:r>
            <w:r>
              <w:rPr>
                <w:rFonts w:hint="eastAsia" w:cs="Times New Roman"/>
                <w:b w:val="0"/>
                <w:bCs w:val="0"/>
                <w:sz w:val="24"/>
                <w:highlight w:val="none"/>
                <w:lang w:val="en-US" w:eastAsia="zh-CN"/>
              </w:rPr>
              <w:t>15</w:t>
            </w:r>
            <w:r>
              <w:rPr>
                <w:rFonts w:hint="default" w:ascii="Times New Roman" w:hAnsi="Times New Roman" w:eastAsia="宋体" w:cs="Times New Roman"/>
                <w:b w:val="0"/>
                <w:bCs w:val="0"/>
                <w:sz w:val="24"/>
                <w:highlight w:val="none"/>
              </w:rPr>
              <w:t>kg/d。</w:t>
            </w:r>
            <w:r>
              <w:rPr>
                <w:rFonts w:hint="default" w:ascii="Times New Roman" w:hAnsi="Times New Roman" w:eastAsia="宋体" w:cs="Times New Roman"/>
                <w:b w:val="0"/>
                <w:bCs w:val="0"/>
                <w:sz w:val="24"/>
                <w:highlight w:val="none"/>
                <w:lang w:val="en-US" w:eastAsia="zh-CN"/>
              </w:rPr>
              <w:t>施工人员生活垃圾集中收集后交当地环卫部门处置</w:t>
            </w:r>
            <w:r>
              <w:rPr>
                <w:rFonts w:hint="default" w:ascii="Times New Roman" w:hAnsi="Times New Roman" w:eastAsia="宋体" w:cs="Times New Roman"/>
                <w:b w:val="0"/>
                <w:bCs w:val="0"/>
                <w:sz w:val="24"/>
                <w:szCs w:val="24"/>
                <w:highlight w:val="none"/>
                <w:lang w:eastAsia="zh-CN"/>
              </w:rPr>
              <w:t>。</w:t>
            </w:r>
          </w:p>
          <w:p>
            <w:pPr>
              <w:pStyle w:val="2"/>
              <w:spacing w:before="153" w:line="220" w:lineRule="auto"/>
              <w:ind w:left="495"/>
              <w:rPr>
                <w:sz w:val="24"/>
                <w:szCs w:val="24"/>
                <w:highlight w:val="none"/>
              </w:rPr>
            </w:pPr>
            <w:r>
              <w:rPr>
                <w:rFonts w:hint="eastAsia"/>
                <w:spacing w:val="-3"/>
                <w:sz w:val="24"/>
                <w:szCs w:val="24"/>
                <w:highlight w:val="none"/>
                <w:lang w:eastAsia="zh-CN"/>
              </w:rPr>
              <w:t>（</w:t>
            </w:r>
            <w:r>
              <w:rPr>
                <w:rFonts w:hint="eastAsia" w:ascii="Times New Roman" w:hAnsi="Times New Roman" w:eastAsia="宋体" w:cs="Times New Roman"/>
                <w:spacing w:val="-3"/>
                <w:sz w:val="24"/>
                <w:szCs w:val="24"/>
                <w:highlight w:val="none"/>
                <w:lang w:val="en-US" w:eastAsia="zh-CN"/>
              </w:rPr>
              <w:t>4</w:t>
            </w:r>
            <w:r>
              <w:rPr>
                <w:spacing w:val="-3"/>
                <w:sz w:val="24"/>
                <w:szCs w:val="24"/>
                <w:highlight w:val="none"/>
              </w:rPr>
              <w:t>）建筑垃圾</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68"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pacing w:val="-3"/>
                <w:sz w:val="24"/>
                <w:szCs w:val="24"/>
                <w:highlight w:val="none"/>
              </w:rPr>
              <w:t>项目地面工程施工过程中排放的少量建筑垃圾如废弃的碎砖、石块、砼块等</w:t>
            </w:r>
            <w:r>
              <w:rPr>
                <w:rFonts w:hint="default" w:ascii="Times New Roman" w:hAnsi="Times New Roman" w:eastAsia="宋体" w:cs="Times New Roman"/>
                <w:spacing w:val="-3"/>
                <w:sz w:val="24"/>
                <w:szCs w:val="24"/>
                <w:highlight w:val="none"/>
                <w:lang w:eastAsia="zh-CN"/>
              </w:rPr>
              <w:t>送至</w:t>
            </w:r>
            <w:r>
              <w:rPr>
                <w:rFonts w:hint="default" w:ascii="Times New Roman" w:hAnsi="Times New Roman" w:eastAsia="宋体" w:cs="Times New Roman"/>
                <w:spacing w:val="-3"/>
                <w:sz w:val="24"/>
                <w:szCs w:val="24"/>
                <w:highlight w:val="none"/>
                <w:lang w:val="en-US" w:eastAsia="zh-CN"/>
              </w:rPr>
              <w:t>当地建筑垃圾填埋场处置，不得随意丢弃。</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default"/>
                <w:highlight w:val="none"/>
                <w:lang w:val="en-US" w:eastAsia="zh-CN"/>
              </w:rPr>
            </w:pPr>
            <w:r>
              <w:rPr>
                <w:rFonts w:hint="default" w:ascii="Times New Roman" w:hAnsi="Times New Roman" w:eastAsia="宋体" w:cs="Times New Roman"/>
                <w:sz w:val="24"/>
                <w:szCs w:val="24"/>
                <w:highlight w:val="none"/>
                <w:lang w:val="en-US" w:eastAsia="zh-CN"/>
              </w:rPr>
              <w:t>综上所述，本项目施工期间固体废物均能得到妥善处置，对周边环境</w:t>
            </w:r>
            <w:r>
              <w:rPr>
                <w:rFonts w:hint="eastAsia" w:ascii="Times New Roman" w:hAnsi="Times New Roman" w:eastAsia="宋体" w:cs="Times New Roman"/>
                <w:sz w:val="24"/>
                <w:szCs w:val="24"/>
                <w:highlight w:val="none"/>
                <w:lang w:val="en-US" w:eastAsia="zh-CN"/>
              </w:rPr>
              <w:t>影响较小</w:t>
            </w:r>
            <w:r>
              <w:rPr>
                <w:rFonts w:hint="default" w:ascii="Times New Roman" w:hAnsi="Times New Roman" w:eastAsia="宋体" w:cs="Times New Roman"/>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noWrap w:val="0"/>
            <w:tcMar>
              <w:left w:w="28" w:type="dxa"/>
              <w:right w:w="28" w:type="dxa"/>
            </w:tcMar>
            <w:vAlign w:val="center"/>
          </w:tcPr>
          <w:p>
            <w:pPr>
              <w:pStyle w:val="21"/>
              <w:adjustRightInd w:val="0"/>
              <w:snapToGrid w:val="0"/>
              <w:spacing w:before="0" w:beforeAutospacing="0" w:after="0" w:afterAutospacing="0"/>
              <w:jc w:val="center"/>
              <w:rPr>
                <w:rFonts w:cs="宋体"/>
                <w:bCs/>
                <w:kern w:val="2"/>
                <w:sz w:val="21"/>
                <w:szCs w:val="21"/>
                <w:highlight w:val="none"/>
              </w:rPr>
            </w:pPr>
            <w:r>
              <w:rPr>
                <w:rFonts w:hint="eastAsia" w:cs="宋体"/>
                <w:bCs/>
                <w:spacing w:val="10"/>
                <w:kern w:val="2"/>
                <w:sz w:val="21"/>
                <w:szCs w:val="21"/>
                <w:highlight w:val="none"/>
              </w:rPr>
              <w:t>运营期生态环境影响分析</w:t>
            </w:r>
          </w:p>
        </w:tc>
        <w:tc>
          <w:tcPr>
            <w:tcW w:w="8363" w:type="dxa"/>
            <w:noWrap w:val="0"/>
            <w:vAlign w:val="top"/>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sz w:val="24"/>
                <w:szCs w:val="24"/>
                <w:highlight w:val="none"/>
              </w:rPr>
            </w:pPr>
            <w:r>
              <w:rPr>
                <w:rFonts w:hint="default" w:ascii="Times New Roman" w:hAnsi="Times New Roman" w:cs="Times New Roman"/>
                <w:bCs/>
                <w:sz w:val="24"/>
                <w:szCs w:val="24"/>
                <w:highlight w:val="none"/>
                <w:lang w:val="en-US" w:eastAsia="zh-CN"/>
              </w:rPr>
              <w:t>1</w:t>
            </w:r>
            <w:r>
              <w:rPr>
                <w:rFonts w:hint="eastAsia" w:cs="Times New Roman"/>
                <w:bCs/>
                <w:sz w:val="24"/>
                <w:szCs w:val="24"/>
                <w:highlight w:val="none"/>
                <w:lang w:val="en-US" w:eastAsia="zh-CN"/>
              </w:rPr>
              <w:t>.</w:t>
            </w:r>
            <w:r>
              <w:rPr>
                <w:rFonts w:hint="default" w:ascii="Times New Roman" w:hAnsi="Times New Roman" w:cs="Times New Roman"/>
                <w:bCs/>
                <w:sz w:val="24"/>
                <w:szCs w:val="24"/>
                <w:highlight w:val="none"/>
                <w:lang w:val="en-US" w:eastAsia="zh-CN"/>
              </w:rPr>
              <w:t>大气环境影响分析</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sz w:val="24"/>
                <w:szCs w:val="24"/>
                <w:highlight w:val="none"/>
                <w:lang w:val="en-US" w:eastAsia="zh-CN"/>
              </w:rPr>
            </w:pPr>
            <w:r>
              <w:rPr>
                <w:rFonts w:hint="eastAsia" w:cs="Times New Roman"/>
                <w:bCs/>
                <w:sz w:val="24"/>
                <w:szCs w:val="24"/>
                <w:highlight w:val="none"/>
                <w:lang w:val="en-US" w:eastAsia="zh-CN"/>
              </w:rPr>
              <w:t>运营期废气主要是乏风取热系统中产生的废气、场外道路交通车辆</w:t>
            </w:r>
            <w:r>
              <w:rPr>
                <w:rFonts w:hint="default" w:ascii="Times New Roman" w:hAnsi="Times New Roman" w:cs="Times New Roman"/>
                <w:bCs/>
                <w:sz w:val="24"/>
                <w:szCs w:val="24"/>
                <w:highlight w:val="none"/>
                <w:lang w:val="en-US" w:eastAsia="zh-CN"/>
              </w:rPr>
              <w:t>产生的机动车尾气</w:t>
            </w:r>
            <w:r>
              <w:rPr>
                <w:rFonts w:hint="eastAsia" w:cs="Times New Roman"/>
                <w:bCs/>
                <w:sz w:val="24"/>
                <w:szCs w:val="24"/>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Cs/>
                <w:sz w:val="24"/>
                <w:szCs w:val="24"/>
                <w:highlight w:val="none"/>
                <w:lang w:val="en-US" w:eastAsia="zh-CN"/>
              </w:rPr>
            </w:pPr>
            <w:r>
              <w:rPr>
                <w:rFonts w:hint="eastAsia" w:ascii="Times New Roman" w:hAnsi="Times New Roman" w:cs="Times New Roman"/>
                <w:bCs/>
                <w:sz w:val="24"/>
                <w:szCs w:val="24"/>
                <w:highlight w:val="none"/>
                <w:lang w:val="en-US" w:eastAsia="zh-CN"/>
              </w:rPr>
              <w:t>风井场地运营期</w:t>
            </w:r>
            <w:r>
              <w:rPr>
                <w:rFonts w:hint="eastAsia" w:cs="Times New Roman"/>
                <w:bCs/>
                <w:sz w:val="24"/>
                <w:szCs w:val="24"/>
                <w:highlight w:val="none"/>
                <w:lang w:val="en-US" w:eastAsia="zh-CN"/>
              </w:rPr>
              <w:t>废气主要是乏风取热系统中产生的废气</w:t>
            </w:r>
            <w:r>
              <w:rPr>
                <w:rFonts w:hint="eastAsia" w:ascii="Times New Roman" w:hAnsi="Times New Roman" w:cs="Times New Roman"/>
                <w:bCs/>
                <w:sz w:val="24"/>
                <w:szCs w:val="24"/>
                <w:highlight w:val="none"/>
                <w:lang w:val="en-US" w:eastAsia="zh-CN"/>
              </w:rPr>
              <w:t>，北部回风立井回风量为300m</w:t>
            </w:r>
            <w:r>
              <w:rPr>
                <w:rFonts w:hint="eastAsia" w:ascii="Times New Roman" w:hAnsi="Times New Roman" w:cs="Times New Roman"/>
                <w:bCs/>
                <w:sz w:val="24"/>
                <w:szCs w:val="24"/>
                <w:highlight w:val="none"/>
                <w:vertAlign w:val="superscript"/>
                <w:lang w:val="en-US" w:eastAsia="zh-CN"/>
              </w:rPr>
              <w:t>3</w:t>
            </w:r>
            <w:r>
              <w:rPr>
                <w:rFonts w:hint="eastAsia" w:ascii="Times New Roman" w:hAnsi="Times New Roman" w:cs="Times New Roman"/>
                <w:bCs/>
                <w:sz w:val="24"/>
                <w:szCs w:val="24"/>
                <w:highlight w:val="none"/>
                <w:lang w:val="en-US" w:eastAsia="zh-CN"/>
              </w:rPr>
              <w:t>/s，利用乏风为北部进风立井供热。</w:t>
            </w:r>
            <w:r>
              <w:rPr>
                <w:rFonts w:hint="eastAsia" w:cs="Times New Roman"/>
                <w:bCs/>
                <w:sz w:val="24"/>
                <w:szCs w:val="24"/>
                <w:highlight w:val="none"/>
                <w:lang w:val="en-US" w:eastAsia="zh-CN"/>
              </w:rPr>
              <w:t>主要成分为粉尘和甲烷为主的烷烃气体</w:t>
            </w:r>
            <w:r>
              <w:rPr>
                <w:rFonts w:hint="eastAsia" w:ascii="Times New Roman" w:hAnsi="Times New Roman" w:eastAsia="宋体" w:cs="Times New Roman"/>
                <w:bCs/>
                <w:sz w:val="24"/>
                <w:szCs w:val="24"/>
                <w:highlight w:val="none"/>
                <w:lang w:val="en-US" w:eastAsia="zh-CN"/>
              </w:rPr>
              <w:t>。乏风通过乏风</w:t>
            </w:r>
            <w:r>
              <w:rPr>
                <w:rFonts w:hint="eastAsia" w:cs="Times New Roman"/>
                <w:bCs/>
                <w:sz w:val="24"/>
                <w:szCs w:val="24"/>
                <w:highlight w:val="none"/>
                <w:lang w:val="en-US" w:eastAsia="zh-CN"/>
              </w:rPr>
              <w:t>取热</w:t>
            </w:r>
            <w:r>
              <w:rPr>
                <w:rFonts w:hint="eastAsia" w:ascii="Times New Roman" w:hAnsi="Times New Roman" w:eastAsia="宋体" w:cs="Times New Roman"/>
                <w:bCs/>
                <w:sz w:val="24"/>
                <w:szCs w:val="24"/>
                <w:highlight w:val="none"/>
                <w:lang w:val="en-US" w:eastAsia="zh-CN"/>
              </w:rPr>
              <w:t>系统设备</w:t>
            </w:r>
            <w:r>
              <w:rPr>
                <w:rFonts w:hint="eastAsia" w:cs="Times New Roman"/>
                <w:bCs/>
                <w:sz w:val="24"/>
                <w:szCs w:val="24"/>
                <w:highlight w:val="none"/>
                <w:lang w:val="en-US" w:eastAsia="zh-CN"/>
              </w:rPr>
              <w:t>的</w:t>
            </w:r>
            <w:r>
              <w:rPr>
                <w:rFonts w:hint="eastAsia" w:ascii="Times New Roman" w:hAnsi="Times New Roman" w:eastAsia="宋体" w:cs="Times New Roman"/>
                <w:bCs/>
                <w:sz w:val="24"/>
                <w:szCs w:val="24"/>
                <w:highlight w:val="none"/>
                <w:lang w:val="en-US" w:eastAsia="zh-CN"/>
              </w:rPr>
              <w:t>水平风门以无组织形式排放，</w:t>
            </w:r>
            <w:r>
              <w:rPr>
                <w:rFonts w:hint="eastAsia" w:cs="Times New Roman"/>
                <w:bCs/>
                <w:sz w:val="24"/>
                <w:szCs w:val="24"/>
                <w:highlight w:val="none"/>
                <w:lang w:val="en-US" w:eastAsia="zh-CN"/>
              </w:rPr>
              <w:t>厂区定期洒水抑尘，厂区植树种草绿化，</w:t>
            </w:r>
            <w:r>
              <w:rPr>
                <w:rFonts w:hint="eastAsia" w:ascii="Times New Roman" w:hAnsi="Times New Roman" w:eastAsia="宋体" w:cs="Times New Roman"/>
                <w:bCs/>
                <w:sz w:val="24"/>
                <w:szCs w:val="24"/>
                <w:highlight w:val="none"/>
                <w:lang w:val="en-US" w:eastAsia="zh-CN"/>
              </w:rPr>
              <w:t>对周边环境影响较小</w:t>
            </w:r>
            <w:r>
              <w:rPr>
                <w:rFonts w:hint="eastAsia" w:ascii="宋体" w:hAnsi="宋体" w:eastAsia="宋体" w:cs="宋体"/>
                <w:bCs/>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sz w:val="24"/>
                <w:szCs w:val="24"/>
                <w:highlight w:val="none"/>
                <w:lang w:val="en-US" w:eastAsia="zh-CN"/>
              </w:rPr>
            </w:pPr>
            <w:r>
              <w:rPr>
                <w:rFonts w:hint="eastAsia" w:cs="Times New Roman"/>
                <w:bCs/>
                <w:sz w:val="24"/>
                <w:szCs w:val="24"/>
                <w:highlight w:val="none"/>
                <w:lang w:val="en-US" w:eastAsia="zh-CN"/>
              </w:rPr>
              <w:t>场外道路</w:t>
            </w:r>
            <w:r>
              <w:rPr>
                <w:rFonts w:hint="default" w:ascii="Times New Roman" w:hAnsi="Times New Roman" w:cs="Times New Roman"/>
                <w:bCs/>
                <w:sz w:val="24"/>
                <w:szCs w:val="24"/>
                <w:highlight w:val="none"/>
                <w:lang w:val="en-US" w:eastAsia="zh-CN"/>
              </w:rPr>
              <w:t>交通流量所产生的机动车尾气污染物</w:t>
            </w:r>
            <w:r>
              <w:rPr>
                <w:rFonts w:hint="eastAsia" w:cs="Times New Roman"/>
                <w:bCs/>
                <w:sz w:val="24"/>
                <w:szCs w:val="24"/>
                <w:highlight w:val="none"/>
                <w:lang w:val="en-US" w:eastAsia="zh-CN"/>
              </w:rPr>
              <w:t>与道路扬尘</w:t>
            </w:r>
            <w:r>
              <w:rPr>
                <w:rFonts w:hint="default" w:ascii="Times New Roman" w:hAnsi="Times New Roman" w:cs="Times New Roman"/>
                <w:bCs/>
                <w:sz w:val="24"/>
                <w:szCs w:val="24"/>
                <w:highlight w:val="none"/>
                <w:lang w:val="en-US" w:eastAsia="zh-CN"/>
              </w:rPr>
              <w:t>，机动车尾气排放的污染物有：CO、NO</w:t>
            </w:r>
            <w:r>
              <w:rPr>
                <w:rFonts w:hint="default" w:ascii="Times New Roman" w:hAnsi="Times New Roman" w:cs="Times New Roman"/>
                <w:bCs/>
                <w:sz w:val="24"/>
                <w:szCs w:val="24"/>
                <w:highlight w:val="none"/>
                <w:vertAlign w:val="subscript"/>
                <w:lang w:val="en-US" w:eastAsia="zh-CN"/>
              </w:rPr>
              <w:t>X</w:t>
            </w:r>
            <w:r>
              <w:rPr>
                <w:rFonts w:hint="default" w:ascii="Times New Roman" w:hAnsi="Times New Roman" w:cs="Times New Roman"/>
                <w:bCs/>
                <w:sz w:val="24"/>
                <w:szCs w:val="24"/>
                <w:highlight w:val="none"/>
                <w:lang w:val="en-US" w:eastAsia="zh-CN"/>
              </w:rPr>
              <w:t>、多环芳烃化合物等</w:t>
            </w:r>
            <w:r>
              <w:rPr>
                <w:rFonts w:hint="eastAsia" w:cs="Times New Roman"/>
                <w:bCs/>
                <w:sz w:val="24"/>
                <w:szCs w:val="24"/>
                <w:highlight w:val="none"/>
                <w:lang w:val="en-US" w:eastAsia="zh-CN"/>
              </w:rPr>
              <w:t>，</w:t>
            </w:r>
            <w:r>
              <w:rPr>
                <w:rFonts w:hint="default" w:ascii="Times New Roman" w:hAnsi="Times New Roman" w:cs="Times New Roman"/>
                <w:color w:val="auto"/>
                <w:sz w:val="24"/>
                <w:szCs w:val="24"/>
                <w:highlight w:val="none"/>
                <w:lang w:eastAsia="zh-CN"/>
              </w:rPr>
              <w:t>排放物的数量和种类还与发动机的性能、汽车运行状况、路面状况等密切相关</w:t>
            </w:r>
            <w:r>
              <w:rPr>
                <w:rFonts w:hint="eastAsia" w:cs="Times New Roman"/>
                <w:bCs/>
                <w:sz w:val="24"/>
                <w:szCs w:val="24"/>
                <w:highlight w:val="none"/>
                <w:lang w:val="en-US" w:eastAsia="zh-CN"/>
              </w:rPr>
              <w:t>；道路扬尘</w:t>
            </w:r>
            <w:r>
              <w:rPr>
                <w:rFonts w:hint="default" w:ascii="Times New Roman" w:hAnsi="Times New Roman" w:cs="Times New Roman"/>
                <w:bCs/>
                <w:sz w:val="24"/>
                <w:szCs w:val="24"/>
                <w:highlight w:val="none"/>
                <w:lang w:val="en-US" w:eastAsia="zh-CN"/>
              </w:rPr>
              <w:t>道路环境空气污染的大小主要与车速、车型、车流量、风速、路面状况和道路表面积尘量等多种因素有关。</w:t>
            </w:r>
            <w:r>
              <w:rPr>
                <w:spacing w:val="0"/>
                <w:w w:val="100"/>
                <w:position w:val="0"/>
                <w:sz w:val="24"/>
                <w:szCs w:val="24"/>
                <w:highlight w:val="none"/>
              </w:rPr>
              <w:t>项目</w:t>
            </w:r>
            <w:r>
              <w:rPr>
                <w:rFonts w:hint="eastAsia"/>
                <w:spacing w:val="0"/>
                <w:w w:val="100"/>
                <w:position w:val="0"/>
                <w:sz w:val="24"/>
                <w:szCs w:val="24"/>
                <w:highlight w:val="none"/>
                <w:lang w:val="en-US" w:eastAsia="zh-CN"/>
              </w:rPr>
              <w:t>场外</w:t>
            </w:r>
            <w:r>
              <w:rPr>
                <w:spacing w:val="0"/>
                <w:w w:val="100"/>
                <w:position w:val="0"/>
                <w:sz w:val="24"/>
                <w:szCs w:val="24"/>
                <w:highlight w:val="none"/>
              </w:rPr>
              <w:t>道路交通量仅为日常通勤及对外联络车辆，</w:t>
            </w:r>
            <w:r>
              <w:rPr>
                <w:rFonts w:hint="eastAsia"/>
                <w:spacing w:val="0"/>
                <w:w w:val="100"/>
                <w:position w:val="0"/>
                <w:sz w:val="24"/>
                <w:szCs w:val="24"/>
                <w:highlight w:val="none"/>
                <w:lang w:eastAsia="zh-CN"/>
              </w:rPr>
              <w:t>主要是</w:t>
            </w:r>
            <w:r>
              <w:rPr>
                <w:rFonts w:hint="eastAsia"/>
                <w:spacing w:val="0"/>
                <w:w w:val="100"/>
                <w:position w:val="0"/>
                <w:sz w:val="24"/>
                <w:szCs w:val="24"/>
                <w:highlight w:val="none"/>
                <w:lang w:val="en-US" w:eastAsia="zh-CN"/>
              </w:rPr>
              <w:t>皮卡车和越野车等小型车辆较多，</w:t>
            </w:r>
            <w:r>
              <w:rPr>
                <w:spacing w:val="0"/>
                <w:w w:val="100"/>
                <w:position w:val="0"/>
                <w:sz w:val="24"/>
                <w:szCs w:val="24"/>
                <w:highlight w:val="none"/>
              </w:rPr>
              <w:t>车流量极低。</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drawing>
                <wp:anchor distT="0" distB="0" distL="114300" distR="114300" simplePos="0" relativeHeight="251663360" behindDoc="0" locked="0" layoutInCell="0" allowOverlap="1">
                  <wp:simplePos x="0" y="0"/>
                  <wp:positionH relativeFrom="page">
                    <wp:posOffset>1259840</wp:posOffset>
                  </wp:positionH>
                  <wp:positionV relativeFrom="page">
                    <wp:posOffset>9866630</wp:posOffset>
                  </wp:positionV>
                  <wp:extent cx="5580380" cy="6350"/>
                  <wp:effectExtent l="0" t="0" r="0" b="0"/>
                  <wp:wrapNone/>
                  <wp:docPr id="10" name="IM 469"/>
                  <wp:cNvGraphicFramePr/>
                  <a:graphic xmlns:a="http://schemas.openxmlformats.org/drawingml/2006/main">
                    <a:graphicData uri="http://schemas.openxmlformats.org/drawingml/2006/picture">
                      <pic:pic xmlns:pic="http://schemas.openxmlformats.org/drawingml/2006/picture">
                        <pic:nvPicPr>
                          <pic:cNvPr id="10" name="IM 469"/>
                          <pic:cNvPicPr/>
                        </pic:nvPicPr>
                        <pic:blipFill>
                          <a:blip r:embed="rId12"/>
                          <a:stretch>
                            <a:fillRect/>
                          </a:stretch>
                        </pic:blipFill>
                        <pic:spPr>
                          <a:xfrm>
                            <a:off x="0" y="0"/>
                            <a:ext cx="5580380" cy="6350"/>
                          </a:xfrm>
                          <a:prstGeom prst="rect">
                            <a:avLst/>
                          </a:prstGeom>
                          <a:noFill/>
                          <a:ln>
                            <a:noFill/>
                          </a:ln>
                        </pic:spPr>
                      </pic:pic>
                    </a:graphicData>
                  </a:graphic>
                </wp:anchor>
              </w:drawing>
            </w:r>
            <w:r>
              <w:rPr>
                <w:rFonts w:hint="eastAsia" w:ascii="宋体" w:hAnsi="宋体" w:eastAsia="宋体" w:cs="宋体"/>
                <w:bCs/>
                <w:sz w:val="24"/>
                <w:szCs w:val="24"/>
                <w:highlight w:val="none"/>
                <w:lang w:val="en-US" w:eastAsia="zh-CN"/>
              </w:rPr>
              <w:t>运营期加强道路管理及路面养护，保持道路良好运营状态，保持路面平整和清洁，</w:t>
            </w:r>
            <w:r>
              <w:rPr>
                <w:rFonts w:hint="eastAsia" w:ascii="宋体" w:hAnsi="宋体" w:eastAsia="宋体" w:cs="宋体"/>
                <w:color w:val="000000"/>
                <w:kern w:val="0"/>
                <w:sz w:val="24"/>
                <w:szCs w:val="24"/>
                <w:highlight w:val="none"/>
                <w:lang w:val="en-US" w:eastAsia="zh-CN" w:bidi="ar"/>
              </w:rPr>
              <w:t>路面洒水抑尘</w:t>
            </w:r>
            <w:r>
              <w:rPr>
                <w:rFonts w:hint="eastAsia" w:ascii="宋体" w:hAnsi="宋体" w:eastAsia="宋体" w:cs="宋体"/>
                <w:sz w:val="24"/>
                <w:szCs w:val="24"/>
                <w:highlight w:val="none"/>
                <w:lang w:eastAsia="zh-CN"/>
              </w:rPr>
              <w:t>，</w:t>
            </w:r>
            <w:r>
              <w:rPr>
                <w:rFonts w:hint="eastAsia" w:ascii="宋体" w:hAnsi="宋体" w:eastAsia="宋体" w:cs="宋体"/>
                <w:bCs/>
                <w:sz w:val="24"/>
                <w:szCs w:val="24"/>
                <w:highlight w:val="none"/>
                <w:lang w:val="en-US" w:eastAsia="zh-CN"/>
              </w:rPr>
              <w:t>对周围环境空气质量影响较小。</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sz w:val="24"/>
                <w:szCs w:val="24"/>
                <w:highlight w:val="none"/>
                <w:lang w:val="en-US" w:eastAsia="zh-CN"/>
              </w:rPr>
            </w:pPr>
            <w:r>
              <w:rPr>
                <w:rFonts w:hint="default" w:ascii="Times New Roman" w:hAnsi="Times New Roman" w:cs="Times New Roman"/>
                <w:bCs/>
                <w:sz w:val="24"/>
                <w:szCs w:val="24"/>
                <w:highlight w:val="none"/>
                <w:lang w:val="en-US" w:eastAsia="zh-CN"/>
              </w:rPr>
              <w:t>2</w:t>
            </w:r>
            <w:r>
              <w:rPr>
                <w:rFonts w:hint="eastAsia" w:cs="Times New Roman"/>
                <w:bCs/>
                <w:sz w:val="24"/>
                <w:szCs w:val="24"/>
                <w:highlight w:val="none"/>
                <w:lang w:val="en-US" w:eastAsia="zh-CN"/>
              </w:rPr>
              <w:t>.</w:t>
            </w:r>
            <w:r>
              <w:rPr>
                <w:rFonts w:hint="eastAsia" w:ascii="Times New Roman" w:hAnsi="Times New Roman" w:cs="Times New Roman"/>
                <w:bCs/>
                <w:sz w:val="24"/>
                <w:szCs w:val="24"/>
                <w:highlight w:val="none"/>
                <w:lang w:val="en-US" w:eastAsia="zh-CN"/>
              </w:rPr>
              <w:t>地表水环境影响分析</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Times New Roman" w:hAnsi="Times New Roman" w:cs="Times New Roman"/>
                <w:bCs/>
                <w:sz w:val="24"/>
                <w:szCs w:val="24"/>
                <w:highlight w:val="none"/>
                <w:lang w:val="en-US" w:eastAsia="zh-CN"/>
              </w:rPr>
            </w:pPr>
            <w:r>
              <w:rPr>
                <w:rFonts w:hint="eastAsia" w:cs="Times New Roman"/>
                <w:bCs/>
                <w:sz w:val="24"/>
                <w:szCs w:val="24"/>
                <w:highlight w:val="none"/>
                <w:lang w:val="en-US" w:eastAsia="zh-CN"/>
              </w:rPr>
              <w:t>（</w:t>
            </w:r>
            <w:r>
              <w:rPr>
                <w:rFonts w:hint="eastAsia" w:ascii="Times New Roman" w:hAnsi="Times New Roman" w:cs="Times New Roman"/>
                <w:bCs/>
                <w:sz w:val="24"/>
                <w:szCs w:val="24"/>
                <w:highlight w:val="none"/>
                <w:lang w:val="en-US" w:eastAsia="zh-CN"/>
              </w:rPr>
              <w:t>1）本项目劳动定员为塔然高勒煤矿现有员工调配，不新增生活污水量。</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eastAsia" w:ascii="Times New Roman" w:hAnsi="Times New Roman" w:eastAsia="宋体" w:cs="Times New Roman"/>
                <w:spacing w:val="0"/>
                <w:kern w:val="21"/>
                <w:position w:val="0"/>
                <w:sz w:val="24"/>
                <w:szCs w:val="24"/>
                <w:highlight w:val="none"/>
                <w:lang w:eastAsia="zh-CN"/>
              </w:rPr>
            </w:pPr>
            <w:r>
              <w:rPr>
                <w:rFonts w:hint="eastAsia" w:cs="Times New Roman"/>
                <w:bCs/>
                <w:spacing w:val="0"/>
                <w:kern w:val="21"/>
                <w:position w:val="0"/>
                <w:sz w:val="24"/>
                <w:szCs w:val="24"/>
                <w:highlight w:val="none"/>
                <w:lang w:val="en-US" w:eastAsia="zh-CN" w:bidi="ar-SA"/>
              </w:rPr>
              <w:t>（</w:t>
            </w:r>
            <w:r>
              <w:rPr>
                <w:rFonts w:hint="eastAsia" w:ascii="Times New Roman" w:hAnsi="Times New Roman" w:eastAsia="宋体" w:cs="Times New Roman"/>
                <w:bCs/>
                <w:spacing w:val="0"/>
                <w:kern w:val="21"/>
                <w:position w:val="0"/>
                <w:sz w:val="24"/>
                <w:szCs w:val="24"/>
                <w:highlight w:val="none"/>
                <w:lang w:val="en-US" w:eastAsia="zh-CN" w:bidi="ar-SA"/>
              </w:rPr>
              <w:t>2）</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乏风取热设施废水：</w:t>
            </w:r>
            <w:r>
              <w:rPr>
                <w:rFonts w:hint="default" w:ascii="Times New Roman" w:hAnsi="Times New Roman" w:eastAsia="宋体" w:cs="Times New Roman"/>
                <w:bCs/>
                <w:spacing w:val="0"/>
                <w:kern w:val="21"/>
                <w:position w:val="0"/>
                <w:sz w:val="24"/>
                <w:szCs w:val="24"/>
                <w:highlight w:val="none"/>
                <w:lang w:val="en-US" w:eastAsia="zh-CN" w:bidi="ar-SA"/>
              </w:rPr>
              <w:t>乏风取热室设置取热箱，取热箱从乏风中提取热量，乏风温度降低后会析出冷凝水，</w:t>
            </w:r>
            <w:r>
              <w:rPr>
                <w:rFonts w:hint="eastAsia" w:cs="Times New Roman"/>
                <w:bCs/>
                <w:spacing w:val="0"/>
                <w:kern w:val="21"/>
                <w:position w:val="0"/>
                <w:sz w:val="24"/>
                <w:szCs w:val="24"/>
                <w:highlight w:val="none"/>
                <w:lang w:val="en-US" w:eastAsia="zh-CN" w:bidi="ar-SA"/>
              </w:rPr>
              <w:t>再加上</w:t>
            </w:r>
            <w:r>
              <w:rPr>
                <w:rFonts w:hint="default" w:ascii="Times New Roman" w:hAnsi="Times New Roman" w:eastAsia="宋体" w:cs="Times New Roman"/>
                <w:bCs/>
                <w:spacing w:val="0"/>
                <w:kern w:val="21"/>
                <w:position w:val="0"/>
                <w:sz w:val="24"/>
                <w:szCs w:val="24"/>
                <w:highlight w:val="none"/>
                <w:lang w:val="en-US" w:eastAsia="zh-CN" w:bidi="ar-SA"/>
              </w:rPr>
              <w:t>乏风取热箱冲洗水</w:t>
            </w:r>
            <w:r>
              <w:rPr>
                <w:rFonts w:hint="eastAsia" w:cs="Times New Roman"/>
                <w:color w:val="000000" w:themeColor="text1"/>
                <w:spacing w:val="0"/>
                <w:kern w:val="21"/>
                <w:positio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乏风取热</w:t>
            </w:r>
            <w:r>
              <w:rPr>
                <w:rFonts w:hint="eastAsia" w:cs="Times New Roman"/>
                <w:color w:val="000000" w:themeColor="text1"/>
                <w:spacing w:val="0"/>
                <w:kern w:val="21"/>
                <w:position w:val="0"/>
                <w:sz w:val="24"/>
                <w:szCs w:val="24"/>
                <w:highlight w:val="none"/>
                <w:lang w:val="en-US" w:eastAsia="zh-CN"/>
                <w14:textFill>
                  <w14:solidFill>
                    <w14:schemeClr w14:val="tx1"/>
                  </w14:solidFill>
                </w14:textFill>
              </w:rPr>
              <w:t>系统废水产生量约380</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pacing w:val="0"/>
                <w:kern w:val="21"/>
                <w:position w:val="0"/>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/d</w:t>
            </w:r>
            <w:r>
              <w:rPr>
                <w:rFonts w:hint="eastAsia" w:cs="Times New Roman"/>
                <w:color w:val="000000" w:themeColor="text1"/>
                <w:spacing w:val="0"/>
                <w:kern w:val="21"/>
                <w:position w:val="0"/>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kern w:val="0"/>
                <w:sz w:val="24"/>
                <w:highlight w:val="none"/>
                <w:lang w:val="en-US" w:eastAsia="zh-CN"/>
              </w:rPr>
              <w:t>主要污染物为SS。</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乏风取热设施生产冲洗</w:t>
            </w:r>
            <w:r>
              <w:rPr>
                <w:rFonts w:hint="eastAsia" w:cs="Times New Roman"/>
                <w:color w:val="000000" w:themeColor="text1"/>
                <w:spacing w:val="0"/>
                <w:kern w:val="21"/>
                <w:position w:val="0"/>
                <w:sz w:val="24"/>
                <w:szCs w:val="24"/>
                <w:highlight w:val="none"/>
                <w:lang w:val="en-US" w:eastAsia="zh-CN"/>
                <w14:textFill>
                  <w14:solidFill>
                    <w14:schemeClr w14:val="tx1"/>
                  </w14:solidFill>
                </w14:textFill>
              </w:rPr>
              <w:t>水</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与冷凝水</w:t>
            </w:r>
            <w:r>
              <w:rPr>
                <w:rFonts w:hint="default" w:ascii="Times New Roman" w:hAnsi="Times New Roman" w:eastAsia="宋体" w:cs="Times New Roman"/>
                <w:bCs/>
                <w:spacing w:val="0"/>
                <w:kern w:val="21"/>
                <w:position w:val="0"/>
                <w:sz w:val="24"/>
                <w:szCs w:val="24"/>
                <w:highlight w:val="none"/>
                <w:lang w:val="en-US" w:eastAsia="zh-CN" w:bidi="ar-SA"/>
              </w:rPr>
              <w:t>汇入凝结水池收集后进入雨水收集池，</w:t>
            </w:r>
            <w:r>
              <w:rPr>
                <w:rFonts w:hint="eastAsia" w:cs="Times New Roman"/>
                <w:bCs/>
                <w:spacing w:val="0"/>
                <w:kern w:val="21"/>
                <w:position w:val="0"/>
                <w:sz w:val="24"/>
                <w:szCs w:val="24"/>
                <w:highlight w:val="none"/>
                <w:lang w:val="en-US" w:eastAsia="zh-CN" w:bidi="ar-SA"/>
              </w:rPr>
              <w:t>最终</w:t>
            </w:r>
            <w:r>
              <w:rPr>
                <w:rFonts w:hint="default" w:ascii="Times New Roman" w:hAnsi="Times New Roman" w:eastAsia="宋体" w:cs="Times New Roman"/>
                <w:spacing w:val="0"/>
                <w:kern w:val="21"/>
                <w:position w:val="0"/>
                <w:sz w:val="24"/>
                <w:szCs w:val="24"/>
                <w:highlight w:val="none"/>
                <w:lang w:eastAsia="zh-CN"/>
              </w:rPr>
              <w:t>送</w:t>
            </w:r>
            <w:r>
              <w:rPr>
                <w:rFonts w:hint="default" w:ascii="Times New Roman" w:hAnsi="Times New Roman" w:eastAsia="宋体" w:cs="Times New Roman"/>
                <w:spacing w:val="0"/>
                <w:kern w:val="21"/>
                <w:position w:val="0"/>
                <w:sz w:val="24"/>
                <w:szCs w:val="24"/>
                <w:highlight w:val="none"/>
              </w:rPr>
              <w:t>至</w:t>
            </w:r>
            <w:r>
              <w:rPr>
                <w:rFonts w:hint="default" w:ascii="Times New Roman" w:hAnsi="Times New Roman" w:eastAsia="宋体" w:cs="Times New Roman"/>
                <w:spacing w:val="0"/>
                <w:kern w:val="21"/>
                <w:position w:val="0"/>
                <w:sz w:val="24"/>
                <w:szCs w:val="24"/>
                <w:highlight w:val="none"/>
                <w:lang w:eastAsia="zh-CN"/>
              </w:rPr>
              <w:t>塔然高勒煤矿</w:t>
            </w:r>
            <w:r>
              <w:rPr>
                <w:rFonts w:hint="default" w:ascii="Times New Roman" w:hAnsi="Times New Roman" w:eastAsia="宋体" w:cs="Times New Roman"/>
                <w:spacing w:val="0"/>
                <w:kern w:val="21"/>
                <w:position w:val="0"/>
                <w:sz w:val="24"/>
                <w:szCs w:val="24"/>
                <w:highlight w:val="none"/>
              </w:rPr>
              <w:t>矿井水处理站进行处理</w:t>
            </w:r>
            <w:r>
              <w:rPr>
                <w:rFonts w:hint="eastAsia" w:ascii="宋体" w:hAnsi="宋体" w:cs="宋体"/>
                <w:highlight w:val="none"/>
                <w:lang w:val="en-US" w:eastAsia="zh-CN"/>
              </w:rPr>
              <w:t>，</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矿井水经过处理后，</w:t>
            </w:r>
            <w:r>
              <w:rPr>
                <w:rFonts w:hint="eastAsia" w:ascii="Times New Roman" w:hAnsi="Times New Roman" w:eastAsia="宋体" w:cs="Times New Roman"/>
                <w:spacing w:val="0"/>
                <w:kern w:val="21"/>
                <w:position w:val="0"/>
                <w:sz w:val="24"/>
                <w:szCs w:val="24"/>
                <w:highlight w:val="none"/>
              </w:rPr>
              <w:t>作为井下消防、选煤等用水</w:t>
            </w:r>
            <w:r>
              <w:rPr>
                <w:rFonts w:hint="default" w:ascii="Times New Roman" w:hAnsi="Times New Roman" w:eastAsia="宋体" w:cs="Times New Roman"/>
                <w:bCs/>
                <w:spacing w:val="0"/>
                <w:kern w:val="21"/>
                <w:position w:val="0"/>
                <w:sz w:val="24"/>
                <w:szCs w:val="24"/>
                <w:highlight w:val="none"/>
                <w:lang w:val="en-US" w:eastAsia="zh-CN" w:bidi="ar-SA"/>
              </w:rPr>
              <w:t>。</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生产冲洗</w:t>
            </w:r>
            <w:r>
              <w:rPr>
                <w:rFonts w:hint="eastAsia" w:cs="Times New Roman"/>
                <w:color w:val="000000" w:themeColor="text1"/>
                <w:spacing w:val="0"/>
                <w:kern w:val="21"/>
                <w:position w:val="0"/>
                <w:sz w:val="24"/>
                <w:szCs w:val="24"/>
                <w:highlight w:val="none"/>
                <w:lang w:val="en-US" w:eastAsia="zh-CN"/>
                <w14:textFill>
                  <w14:solidFill>
                    <w14:schemeClr w14:val="tx1"/>
                  </w14:solidFill>
                </w14:textFill>
              </w:rPr>
              <w:t>水主要用于冲洗乏风取热箱的表面因长时间运行积累的煤尘</w:t>
            </w:r>
            <w:r>
              <w:rPr>
                <w:rFonts w:hint="eastAsia"/>
                <w:highlight w:val="none"/>
                <w:lang w:eastAsia="zh-CN"/>
              </w:rPr>
              <w:t>。</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default" w:ascii="Times New Roman" w:hAnsi="Times New Roman" w:eastAsia="宋体" w:cs="Times New Roman"/>
                <w:bCs/>
                <w:spacing w:val="0"/>
                <w:kern w:val="21"/>
                <w:position w:val="0"/>
                <w:sz w:val="24"/>
                <w:szCs w:val="24"/>
                <w:highlight w:val="none"/>
                <w:lang w:val="en-US" w:eastAsia="zh-CN"/>
              </w:rPr>
            </w:pPr>
            <w:r>
              <w:rPr>
                <w:rFonts w:hint="eastAsia" w:cs="Times New Roman"/>
                <w:spacing w:val="0"/>
                <w:kern w:val="21"/>
                <w:position w:val="0"/>
                <w:sz w:val="24"/>
                <w:szCs w:val="24"/>
                <w:highlight w:val="none"/>
                <w:lang w:eastAsia="zh-CN"/>
              </w:rPr>
              <w:t>（</w:t>
            </w:r>
            <w:r>
              <w:rPr>
                <w:rFonts w:hint="default" w:ascii="Times New Roman" w:hAnsi="Times New Roman" w:eastAsia="宋体" w:cs="Times New Roman"/>
                <w:spacing w:val="0"/>
                <w:kern w:val="21"/>
                <w:position w:val="0"/>
                <w:sz w:val="24"/>
                <w:szCs w:val="24"/>
                <w:highlight w:val="none"/>
                <w:lang w:val="en-US" w:eastAsia="zh-CN"/>
              </w:rPr>
              <w:t>3</w:t>
            </w:r>
            <w:r>
              <w:rPr>
                <w:rFonts w:hint="default" w:ascii="Times New Roman" w:hAnsi="Times New Roman" w:eastAsia="宋体" w:cs="Times New Roman"/>
                <w:spacing w:val="0"/>
                <w:kern w:val="21"/>
                <w:position w:val="0"/>
                <w:sz w:val="24"/>
                <w:szCs w:val="24"/>
                <w:highlight w:val="none"/>
                <w:lang w:eastAsia="zh-CN"/>
              </w:rPr>
              <w:t>）</w:t>
            </w:r>
            <w:r>
              <w:rPr>
                <w:rFonts w:hint="default" w:ascii="Times New Roman" w:hAnsi="Times New Roman" w:eastAsia="宋体" w:cs="Times New Roman"/>
                <w:spacing w:val="0"/>
                <w:kern w:val="21"/>
                <w:position w:val="0"/>
                <w:sz w:val="24"/>
                <w:szCs w:val="24"/>
                <w:highlight w:val="none"/>
              </w:rPr>
              <w:t>北部风井场地采用雨污分流排水系统，场区雨水采用盖板明沟的排水方式</w:t>
            </w:r>
            <w:r>
              <w:rPr>
                <w:rFonts w:hint="default" w:ascii="Times New Roman" w:hAnsi="Times New Roman" w:eastAsia="宋体" w:cs="Times New Roman"/>
                <w:spacing w:val="0"/>
                <w:kern w:val="21"/>
                <w:position w:val="0"/>
                <w:sz w:val="24"/>
                <w:szCs w:val="24"/>
                <w:highlight w:val="none"/>
                <w:lang w:eastAsia="zh-CN"/>
              </w:rPr>
              <w:t>。</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根据《塔然高勒矿井及选煤厂初步设计</w:t>
            </w:r>
            <w:r>
              <w:rPr>
                <w:rFonts w:hint="eastAsia" w:cs="Times New Roman"/>
                <w:color w:val="000000" w:themeColor="text1"/>
                <w:spacing w:val="0"/>
                <w:kern w:val="21"/>
                <w:positio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修改）</w:t>
            </w:r>
            <w:r>
              <w:rPr>
                <w:rFonts w:hint="eastAsia" w:cs="Times New Roman"/>
                <w:color w:val="000000" w:themeColor="text1"/>
                <w:spacing w:val="0"/>
                <w:kern w:val="21"/>
                <w:position w:val="0"/>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矿井部分）说明书》</w:t>
            </w:r>
            <w:r>
              <w:rPr>
                <w:rFonts w:hint="eastAsia"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w:t>
            </w:r>
            <w:r>
              <w:rPr>
                <w:rFonts w:hint="eastAsia"/>
                <w:sz w:val="24"/>
                <w:szCs w:val="24"/>
                <w:highlight w:val="none"/>
                <w:lang w:eastAsia="zh-CN"/>
              </w:rPr>
              <w:t>本项目风井场地</w:t>
            </w:r>
            <w:r>
              <w:rPr>
                <w:rFonts w:hint="eastAsia"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需要调蓄雨水容积为237m</w:t>
            </w:r>
            <w:r>
              <w:rPr>
                <w:rFonts w:hint="eastAsia" w:ascii="Times New Roman" w:hAnsi="Times New Roman" w:eastAsia="宋体" w:cs="Times New Roman"/>
                <w:color w:val="000000" w:themeColor="text1"/>
                <w:spacing w:val="0"/>
                <w:kern w:val="21"/>
                <w:position w:val="0"/>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，本项目设置</w:t>
            </w:r>
            <w:r>
              <w:rPr>
                <w:rFonts w:hint="default" w:ascii="Times New Roman" w:hAnsi="Times New Roman" w:eastAsia="宋体" w:cs="Times New Roman"/>
                <w:spacing w:val="0"/>
                <w:kern w:val="21"/>
                <w:position w:val="0"/>
                <w:sz w:val="24"/>
                <w:szCs w:val="24"/>
                <w:highlight w:val="none"/>
              </w:rPr>
              <w:t>钢砼结构</w:t>
            </w:r>
            <w:r>
              <w:rPr>
                <w:rFonts w:hint="eastAsia" w:ascii="Times New Roman" w:hAnsi="Times New Roman" w:eastAsia="宋体" w:cs="Times New Roman"/>
                <w:spacing w:val="0"/>
                <w:kern w:val="21"/>
                <w:position w:val="0"/>
                <w:sz w:val="24"/>
                <w:szCs w:val="24"/>
                <w:highlight w:val="none"/>
                <w:lang w:val="en-US" w:eastAsia="zh-CN"/>
              </w:rPr>
              <w:t>1座</w:t>
            </w:r>
            <w:r>
              <w:rPr>
                <w:rFonts w:hint="eastAsia"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初期雨水收集池，</w:t>
            </w:r>
            <w:r>
              <w:rPr>
                <w:rFonts w:hint="default" w:ascii="Times New Roman" w:hAnsi="Times New Roman" w:eastAsia="宋体" w:cs="Times New Roman"/>
                <w:spacing w:val="0"/>
                <w:kern w:val="21"/>
                <w:position w:val="0"/>
                <w:sz w:val="24"/>
                <w:szCs w:val="24"/>
                <w:highlight w:val="none"/>
              </w:rPr>
              <w:t>有效容积400m</w:t>
            </w:r>
            <w:r>
              <w:rPr>
                <w:rFonts w:hint="default" w:ascii="Times New Roman" w:hAnsi="Times New Roman" w:eastAsia="宋体" w:cs="Times New Roman"/>
                <w:spacing w:val="0"/>
                <w:kern w:val="21"/>
                <w:position w:val="0"/>
                <w:sz w:val="24"/>
                <w:szCs w:val="24"/>
                <w:highlight w:val="none"/>
                <w:vertAlign w:val="superscript"/>
              </w:rPr>
              <w:t>3</w:t>
            </w:r>
            <w:r>
              <w:rPr>
                <w:rFonts w:hint="default" w:ascii="Times New Roman" w:hAnsi="Times New Roman" w:eastAsia="宋体" w:cs="Times New Roman"/>
                <w:spacing w:val="0"/>
                <w:kern w:val="21"/>
                <w:position w:val="0"/>
                <w:sz w:val="24"/>
                <w:szCs w:val="24"/>
                <w:highlight w:val="none"/>
              </w:rPr>
              <w:t>。雨水经排水明沟汇入场地初期雨水集水池。初期雨水池内储存的初期雨水</w:t>
            </w:r>
            <w:r>
              <w:rPr>
                <w:rFonts w:hint="default" w:ascii="Times New Roman" w:hAnsi="Times New Roman" w:eastAsia="宋体" w:cs="Times New Roman"/>
                <w:spacing w:val="0"/>
                <w:kern w:val="21"/>
                <w:position w:val="0"/>
                <w:sz w:val="24"/>
                <w:szCs w:val="24"/>
                <w:highlight w:val="none"/>
                <w:lang w:eastAsia="zh-CN"/>
              </w:rPr>
              <w:t>送</w:t>
            </w:r>
            <w:r>
              <w:rPr>
                <w:rFonts w:hint="default" w:ascii="Times New Roman" w:hAnsi="Times New Roman" w:eastAsia="宋体" w:cs="Times New Roman"/>
                <w:spacing w:val="0"/>
                <w:kern w:val="21"/>
                <w:position w:val="0"/>
                <w:sz w:val="24"/>
                <w:szCs w:val="24"/>
                <w:highlight w:val="none"/>
              </w:rPr>
              <w:t>至</w:t>
            </w:r>
            <w:r>
              <w:rPr>
                <w:rFonts w:hint="default" w:ascii="Times New Roman" w:hAnsi="Times New Roman" w:eastAsia="宋体" w:cs="Times New Roman"/>
                <w:spacing w:val="0"/>
                <w:kern w:val="21"/>
                <w:position w:val="0"/>
                <w:sz w:val="24"/>
                <w:szCs w:val="24"/>
                <w:highlight w:val="none"/>
                <w:lang w:eastAsia="zh-CN"/>
              </w:rPr>
              <w:t>塔然高勒煤矿</w:t>
            </w:r>
            <w:r>
              <w:rPr>
                <w:rFonts w:hint="default" w:ascii="Times New Roman" w:hAnsi="Times New Roman" w:eastAsia="宋体" w:cs="Times New Roman"/>
                <w:spacing w:val="0"/>
                <w:kern w:val="21"/>
                <w:position w:val="0"/>
                <w:sz w:val="24"/>
                <w:szCs w:val="24"/>
                <w:highlight w:val="none"/>
              </w:rPr>
              <w:t>矿井水处理站进行处理</w:t>
            </w:r>
            <w:r>
              <w:rPr>
                <w:rFonts w:hint="default" w:ascii="Times New Roman" w:hAnsi="Times New Roman" w:eastAsia="宋体" w:cs="Times New Roman"/>
                <w:bCs/>
                <w:spacing w:val="0"/>
                <w:kern w:val="21"/>
                <w:position w:val="0"/>
                <w:sz w:val="24"/>
                <w:szCs w:val="24"/>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sz w:val="24"/>
                <w:szCs w:val="24"/>
                <w:highlight w:val="none"/>
                <w:lang w:val="en-US" w:eastAsia="zh-CN"/>
              </w:rPr>
            </w:pPr>
            <w:r>
              <w:rPr>
                <w:rFonts w:hint="eastAsia" w:ascii="Times New Roman" w:hAnsi="Times New Roman" w:cs="Times New Roman"/>
                <w:bCs/>
                <w:sz w:val="24"/>
                <w:szCs w:val="24"/>
                <w:highlight w:val="none"/>
                <w:lang w:val="en-US" w:eastAsia="zh-CN"/>
              </w:rPr>
              <w:t>项目</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北部进回风立井采用冻结法施工，不会有地下水渗出进入井筒</w:t>
            </w:r>
            <w:r>
              <w:rPr>
                <w:rFonts w:hint="eastAsia" w:cs="Times New Roman"/>
                <w:bCs/>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bCs/>
                <w:sz w:val="24"/>
                <w:szCs w:val="24"/>
                <w:highlight w:val="none"/>
                <w:lang w:val="en-US" w:eastAsia="zh-CN"/>
              </w:rPr>
              <w:t>运营期无废水外排，本项目运营期对周围地表水环境影响较小。</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bCs/>
                <w:sz w:val="24"/>
                <w:szCs w:val="24"/>
                <w:highlight w:val="none"/>
                <w:lang w:val="en-US" w:eastAsia="zh-CN"/>
              </w:rPr>
            </w:pPr>
            <w:r>
              <w:rPr>
                <w:rFonts w:hint="eastAsia" w:ascii="Times New Roman" w:hAnsi="Times New Roman" w:cs="Times New Roman"/>
                <w:bCs/>
                <w:sz w:val="24"/>
                <w:szCs w:val="24"/>
                <w:highlight w:val="none"/>
                <w:lang w:val="en-US" w:eastAsia="zh-CN"/>
              </w:rPr>
              <w:t>3</w:t>
            </w:r>
            <w:r>
              <w:rPr>
                <w:rFonts w:hint="eastAsia" w:cs="Times New Roman"/>
                <w:bCs/>
                <w:sz w:val="24"/>
                <w:szCs w:val="24"/>
                <w:highlight w:val="none"/>
                <w:lang w:val="en-US" w:eastAsia="zh-CN"/>
              </w:rPr>
              <w:t>.</w:t>
            </w:r>
            <w:r>
              <w:rPr>
                <w:rFonts w:hint="eastAsia" w:ascii="Times New Roman" w:hAnsi="Times New Roman" w:cs="Times New Roman"/>
                <w:bCs/>
                <w:sz w:val="24"/>
                <w:szCs w:val="24"/>
                <w:highlight w:val="none"/>
                <w:lang w:val="en-US" w:eastAsia="zh-CN"/>
              </w:rPr>
              <w:t>声环境影响分析</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textAlignment w:val="auto"/>
              <w:rPr>
                <w:rFonts w:hint="default" w:ascii="Times New Roman" w:hAnsi="Times New Roman" w:cs="Times New Roman"/>
                <w:color w:val="auto"/>
                <w:sz w:val="24"/>
                <w:szCs w:val="24"/>
                <w:highlight w:val="none"/>
                <w:lang w:eastAsia="zh-CN"/>
              </w:rPr>
            </w:pPr>
            <w:r>
              <w:rPr>
                <w:rFonts w:hint="eastAsia" w:cs="Times New Roman"/>
                <w:color w:val="auto"/>
                <w:sz w:val="24"/>
                <w:szCs w:val="24"/>
                <w:highlight w:val="none"/>
                <w:lang w:val="en-US" w:eastAsia="zh-CN"/>
              </w:rPr>
              <w:t>本项目</w:t>
            </w:r>
            <w:r>
              <w:rPr>
                <w:rFonts w:hint="default" w:ascii="Times New Roman" w:hAnsi="Times New Roman" w:cs="Times New Roman"/>
                <w:color w:val="auto"/>
                <w:sz w:val="24"/>
                <w:szCs w:val="24"/>
                <w:highlight w:val="none"/>
                <w:lang w:val="en-US" w:eastAsia="zh-CN"/>
              </w:rPr>
              <w:t>运营期噪声源主要来自</w:t>
            </w:r>
            <w:r>
              <w:rPr>
                <w:rFonts w:hint="eastAsia" w:cs="Times New Roman"/>
                <w:color w:val="auto"/>
                <w:sz w:val="24"/>
                <w:szCs w:val="24"/>
                <w:highlight w:val="none"/>
                <w:lang w:val="en-US" w:eastAsia="zh-CN"/>
              </w:rPr>
              <w:t>风井场地设备</w:t>
            </w:r>
            <w:r>
              <w:rPr>
                <w:rFonts w:hint="default" w:ascii="Times New Roman" w:hAnsi="Times New Roman" w:cs="Times New Roman"/>
                <w:color w:val="auto"/>
                <w:sz w:val="24"/>
                <w:szCs w:val="24"/>
                <w:highlight w:val="none"/>
                <w:lang w:val="en-US" w:eastAsia="zh-CN"/>
              </w:rPr>
              <w:t>通风机、空压机、乏风热泵</w:t>
            </w:r>
            <w:r>
              <w:rPr>
                <w:rFonts w:hint="eastAsia" w:cs="Times New Roman"/>
                <w:color w:val="auto"/>
                <w:sz w:val="24"/>
                <w:szCs w:val="24"/>
                <w:highlight w:val="none"/>
                <w:lang w:val="en-US" w:eastAsia="zh-CN"/>
              </w:rPr>
              <w:t>等设备噪声以及场外道路交通噪声。</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200"/>
              <w:textAlignment w:val="auto"/>
              <w:rPr>
                <w:rFonts w:hint="default" w:ascii="Times New Roman" w:hAnsi="Times New Roman" w:cs="Times New Roman"/>
                <w:color w:val="auto"/>
                <w:sz w:val="24"/>
                <w:szCs w:val="24"/>
                <w:highlight w:val="none"/>
                <w:lang w:eastAsia="zh-CN"/>
              </w:rPr>
            </w:pPr>
            <w:r>
              <w:rPr>
                <w:rFonts w:hint="eastAsia" w:cs="Times New Roman"/>
                <w:color w:val="auto"/>
                <w:sz w:val="24"/>
                <w:szCs w:val="24"/>
                <w:highlight w:val="none"/>
                <w:lang w:val="en-US" w:eastAsia="zh-CN"/>
              </w:rPr>
              <w:t>（1）风井场地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北部风井场地主要噪声源</w:t>
            </w:r>
            <w:r>
              <w:rPr>
                <w:rFonts w:hint="eastAsia" w:ascii="Times New Roman" w:hAnsi="Times New Roman" w:eastAsia="宋体" w:cs="Times New Roman"/>
                <w:color w:val="auto"/>
                <w:kern w:val="2"/>
                <w:sz w:val="24"/>
                <w:szCs w:val="24"/>
                <w:highlight w:val="none"/>
                <w:lang w:val="en-US" w:eastAsia="zh-CN" w:bidi="ar-SA"/>
              </w:rPr>
              <w:t>为风井场地</w:t>
            </w:r>
            <w:r>
              <w:rPr>
                <w:rFonts w:hint="default" w:ascii="Times New Roman" w:hAnsi="Times New Roman" w:eastAsia="宋体" w:cs="Times New Roman"/>
                <w:color w:val="auto"/>
                <w:kern w:val="2"/>
                <w:sz w:val="24"/>
                <w:szCs w:val="24"/>
                <w:highlight w:val="none"/>
                <w:lang w:val="en-US" w:eastAsia="zh-CN" w:bidi="ar-SA"/>
              </w:rPr>
              <w:t>通风机、空压机、乏风热泵</w:t>
            </w:r>
            <w:r>
              <w:rPr>
                <w:rFonts w:hint="eastAsia" w:ascii="Times New Roman" w:hAnsi="Times New Roman" w:eastAsia="宋体" w:cs="Times New Roman"/>
                <w:color w:val="auto"/>
                <w:kern w:val="2"/>
                <w:sz w:val="24"/>
                <w:szCs w:val="24"/>
                <w:highlight w:val="none"/>
                <w:lang w:val="en-US" w:eastAsia="zh-CN" w:bidi="ar-SA"/>
              </w:rPr>
              <w:t>、水泵等设备噪声</w:t>
            </w:r>
            <w:r>
              <w:rPr>
                <w:rFonts w:hint="default" w:ascii="Times New Roman" w:hAnsi="Times New Roman" w:eastAsia="宋体" w:cs="Times New Roman"/>
                <w:color w:val="auto"/>
                <w:kern w:val="2"/>
                <w:sz w:val="24"/>
                <w:szCs w:val="24"/>
                <w:highlight w:val="none"/>
                <w:lang w:val="en-US" w:eastAsia="zh-CN" w:bidi="ar-SA"/>
              </w:rPr>
              <w:t>，噪声的声压级一般在</w:t>
            </w:r>
            <w:r>
              <w:rPr>
                <w:rFonts w:hint="eastAsia" w:cs="Times New Roman"/>
                <w:color w:val="auto"/>
                <w:kern w:val="2"/>
                <w:sz w:val="24"/>
                <w:szCs w:val="24"/>
                <w:highlight w:val="none"/>
                <w:lang w:val="en-US" w:eastAsia="zh-CN" w:bidi="ar-SA"/>
              </w:rPr>
              <w:t>85</w:t>
            </w: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90</w:t>
            </w:r>
            <w:r>
              <w:rPr>
                <w:rFonts w:hint="default" w:ascii="Times New Roman" w:hAnsi="Times New Roman" w:eastAsia="宋体" w:cs="Times New Roman"/>
                <w:color w:val="auto"/>
                <w:kern w:val="2"/>
                <w:sz w:val="24"/>
                <w:szCs w:val="24"/>
                <w:highlight w:val="none"/>
                <w:lang w:val="en-US" w:eastAsia="zh-CN" w:bidi="ar-SA"/>
              </w:rPr>
              <w:t>dB</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A</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左右</w:t>
            </w: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采用</w:t>
            </w:r>
            <w:r>
              <w:rPr>
                <w:rFonts w:hint="default" w:ascii="Times New Roman" w:hAnsi="Times New Roman" w:eastAsia="宋体" w:cs="Times New Roman"/>
                <w:color w:val="auto"/>
                <w:kern w:val="2"/>
                <w:sz w:val="24"/>
                <w:szCs w:val="24"/>
                <w:highlight w:val="none"/>
                <w:lang w:val="en-US" w:eastAsia="zh-CN" w:bidi="ar-SA"/>
              </w:rPr>
              <w:t>选用低噪声设备，安装消声器，</w:t>
            </w:r>
            <w:r>
              <w:rPr>
                <w:rFonts w:hint="eastAsia" w:ascii="Times New Roman" w:hAnsi="Times New Roman" w:eastAsia="宋体" w:cs="Times New Roman"/>
                <w:color w:val="auto"/>
                <w:kern w:val="2"/>
                <w:sz w:val="24"/>
                <w:szCs w:val="24"/>
                <w:highlight w:val="none"/>
                <w:lang w:val="en-US" w:eastAsia="zh-CN" w:bidi="ar-SA"/>
              </w:rPr>
              <w:t>设置隔声罩</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基础减振、隔声门窗</w:t>
            </w:r>
            <w:r>
              <w:rPr>
                <w:rFonts w:hint="eastAsia" w:cs="Times New Roman"/>
                <w:color w:val="auto"/>
                <w:kern w:val="2"/>
                <w:sz w:val="24"/>
                <w:szCs w:val="24"/>
                <w:highlight w:val="none"/>
                <w:lang w:val="en-US" w:eastAsia="zh-CN" w:bidi="ar-SA"/>
              </w:rPr>
              <w:t>等措施</w:t>
            </w:r>
            <w:r>
              <w:rPr>
                <w:rFonts w:hint="default" w:ascii="Times New Roman" w:hAnsi="Times New Roman" w:eastAsia="宋体" w:cs="Times New Roman"/>
                <w:color w:val="auto"/>
                <w:kern w:val="2"/>
                <w:sz w:val="24"/>
                <w:szCs w:val="24"/>
                <w:highlight w:val="none"/>
                <w:lang w:val="en-US" w:eastAsia="zh-CN" w:bidi="ar-SA"/>
              </w:rPr>
              <w:t>。</w:t>
            </w:r>
          </w:p>
          <w:p>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sz w:val="21"/>
                <w:szCs w:val="21"/>
                <w:highlight w:val="none"/>
                <w:lang w:val="en-US" w:eastAsia="zh-CN"/>
              </w:rPr>
            </w:pPr>
            <w:r>
              <w:rPr>
                <w:rFonts w:hint="eastAsia" w:cs="Times New Roman"/>
                <w:color w:val="auto"/>
                <w:kern w:val="2"/>
                <w:sz w:val="21"/>
                <w:szCs w:val="21"/>
                <w:highlight w:val="none"/>
                <w:lang w:val="en-US" w:eastAsia="zh-CN" w:bidi="ar-SA"/>
              </w:rPr>
              <w:t>表4-5本项目噪声源一览表</w:t>
            </w:r>
          </w:p>
          <w:tbl>
            <w:tblPr>
              <w:tblStyle w:val="41"/>
              <w:tblW w:w="787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9"/>
              <w:gridCol w:w="916"/>
              <w:gridCol w:w="905"/>
              <w:gridCol w:w="851"/>
              <w:gridCol w:w="3794"/>
              <w:gridCol w:w="9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jc w:val="center"/>
              </w:trPr>
              <w:tc>
                <w:tcPr>
                  <w:tcW w:w="439" w:type="dxa"/>
                  <w:tcBorders>
                    <w:tl2br w:val="nil"/>
                    <w:tr2bl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pacing w:val="0"/>
                      <w:kern w:val="0"/>
                      <w:position w:val="0"/>
                      <w:sz w:val="21"/>
                      <w:szCs w:val="21"/>
                      <w:highlight w:val="none"/>
                    </w:rPr>
                  </w:pPr>
                  <w:r>
                    <w:rPr>
                      <w:spacing w:val="0"/>
                      <w:kern w:val="0"/>
                      <w:position w:val="0"/>
                      <w:sz w:val="21"/>
                      <w:szCs w:val="21"/>
                      <w:highlight w:val="none"/>
                    </w:rPr>
                    <w:t>序号</w:t>
                  </w:r>
                </w:p>
              </w:tc>
              <w:tc>
                <w:tcPr>
                  <w:tcW w:w="916" w:type="dxa"/>
                  <w:tcBorders>
                    <w:tl2br w:val="nil"/>
                    <w:tr2bl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宋体"/>
                      <w:spacing w:val="0"/>
                      <w:kern w:val="0"/>
                      <w:position w:val="0"/>
                      <w:sz w:val="21"/>
                      <w:szCs w:val="21"/>
                      <w:highlight w:val="none"/>
                      <w:lang w:val="en-US" w:eastAsia="zh-CN"/>
                    </w:rPr>
                  </w:pPr>
                  <w:r>
                    <w:rPr>
                      <w:rFonts w:hint="eastAsia"/>
                      <w:spacing w:val="0"/>
                      <w:kern w:val="0"/>
                      <w:position w:val="0"/>
                      <w:sz w:val="21"/>
                      <w:szCs w:val="21"/>
                      <w:highlight w:val="none"/>
                      <w:lang w:val="en-US" w:eastAsia="zh-CN"/>
                    </w:rPr>
                    <w:t>位置</w:t>
                  </w:r>
                </w:p>
              </w:tc>
              <w:tc>
                <w:tcPr>
                  <w:tcW w:w="905" w:type="dxa"/>
                  <w:tcBorders>
                    <w:tl2br w:val="nil"/>
                    <w:tr2bl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pacing w:val="0"/>
                      <w:kern w:val="0"/>
                      <w:position w:val="0"/>
                      <w:sz w:val="21"/>
                      <w:szCs w:val="21"/>
                      <w:highlight w:val="none"/>
                    </w:rPr>
                  </w:pPr>
                  <w:r>
                    <w:rPr>
                      <w:spacing w:val="0"/>
                      <w:kern w:val="0"/>
                      <w:position w:val="0"/>
                      <w:sz w:val="21"/>
                      <w:szCs w:val="21"/>
                      <w:highlight w:val="none"/>
                    </w:rPr>
                    <w:t>声源名称</w:t>
                  </w:r>
                </w:p>
              </w:tc>
              <w:tc>
                <w:tcPr>
                  <w:tcW w:w="851" w:type="dxa"/>
                  <w:tcBorders>
                    <w:tl2br w:val="nil"/>
                    <w:tr2bl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宋体"/>
                      <w:spacing w:val="0"/>
                      <w:kern w:val="0"/>
                      <w:position w:val="0"/>
                      <w:sz w:val="21"/>
                      <w:szCs w:val="21"/>
                      <w:highlight w:val="none"/>
                      <w:lang w:eastAsia="zh-CN"/>
                    </w:rPr>
                  </w:pPr>
                  <w:r>
                    <w:rPr>
                      <w:rFonts w:hint="eastAsia"/>
                      <w:spacing w:val="0"/>
                      <w:kern w:val="0"/>
                      <w:position w:val="0"/>
                      <w:sz w:val="21"/>
                      <w:szCs w:val="21"/>
                      <w:highlight w:val="none"/>
                      <w:lang w:val="en-US" w:eastAsia="zh-CN"/>
                    </w:rPr>
                    <w:t>噪声</w:t>
                  </w:r>
                  <w:r>
                    <w:rPr>
                      <w:spacing w:val="0"/>
                      <w:kern w:val="0"/>
                      <w:position w:val="0"/>
                      <w:sz w:val="21"/>
                      <w:szCs w:val="21"/>
                      <w:highlight w:val="none"/>
                    </w:rPr>
                    <w:t>源强</w:t>
                  </w:r>
                  <w:r>
                    <w:rPr>
                      <w:rFonts w:ascii="Times New Roman" w:hAnsi="Times New Roman" w:eastAsia="Times New Roman" w:cs="Times New Roman"/>
                      <w:spacing w:val="0"/>
                      <w:kern w:val="0"/>
                      <w:position w:val="0"/>
                      <w:sz w:val="21"/>
                      <w:szCs w:val="21"/>
                      <w:highlight w:val="none"/>
                    </w:rPr>
                    <w:t>dB</w:t>
                  </w:r>
                  <w:r>
                    <w:rPr>
                      <w:rFonts w:hint="eastAsia" w:ascii="Times New Roman" w:hAnsi="Times New Roman" w:eastAsia="宋体" w:cs="Times New Roman"/>
                      <w:spacing w:val="0"/>
                      <w:kern w:val="0"/>
                      <w:position w:val="0"/>
                      <w:sz w:val="21"/>
                      <w:szCs w:val="21"/>
                      <w:highlight w:val="none"/>
                      <w:lang w:eastAsia="zh-CN"/>
                    </w:rPr>
                    <w:t>（</w:t>
                  </w:r>
                  <w:r>
                    <w:rPr>
                      <w:rFonts w:ascii="Times New Roman" w:hAnsi="Times New Roman" w:eastAsia="Times New Roman" w:cs="Times New Roman"/>
                      <w:spacing w:val="0"/>
                      <w:kern w:val="0"/>
                      <w:position w:val="0"/>
                      <w:sz w:val="21"/>
                      <w:szCs w:val="21"/>
                      <w:highlight w:val="none"/>
                    </w:rPr>
                    <w:t>A</w:t>
                  </w:r>
                  <w:r>
                    <w:rPr>
                      <w:rFonts w:hint="eastAsia" w:ascii="Times New Roman" w:hAnsi="Times New Roman" w:eastAsia="宋体" w:cs="Times New Roman"/>
                      <w:spacing w:val="0"/>
                      <w:kern w:val="0"/>
                      <w:position w:val="0"/>
                      <w:sz w:val="21"/>
                      <w:szCs w:val="21"/>
                      <w:highlight w:val="none"/>
                      <w:lang w:eastAsia="zh-CN"/>
                    </w:rPr>
                    <w:t>）</w:t>
                  </w:r>
                </w:p>
              </w:tc>
              <w:tc>
                <w:tcPr>
                  <w:tcW w:w="3794" w:type="dxa"/>
                  <w:tcBorders>
                    <w:tl2br w:val="nil"/>
                    <w:tr2bl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pacing w:val="0"/>
                      <w:kern w:val="0"/>
                      <w:position w:val="0"/>
                      <w:sz w:val="21"/>
                      <w:szCs w:val="21"/>
                      <w:highlight w:val="none"/>
                    </w:rPr>
                  </w:pPr>
                  <w:r>
                    <w:rPr>
                      <w:spacing w:val="0"/>
                      <w:kern w:val="0"/>
                      <w:position w:val="0"/>
                      <w:sz w:val="21"/>
                      <w:szCs w:val="21"/>
                      <w:highlight w:val="none"/>
                    </w:rPr>
                    <w:t>声源控制措施</w:t>
                  </w:r>
                </w:p>
              </w:tc>
              <w:tc>
                <w:tcPr>
                  <w:tcW w:w="973" w:type="dxa"/>
                  <w:tcBorders>
                    <w:tl2br w:val="nil"/>
                    <w:tr2bl w:val="nil"/>
                  </w:tcBorders>
                  <w:vAlign w:val="center"/>
                </w:tcPr>
                <w:p>
                  <w:pPr>
                    <w:pStyle w:val="21"/>
                    <w:widowControl w:val="0"/>
                    <w:autoSpaceDE w:val="0"/>
                    <w:autoSpaceDN w:val="0"/>
                    <w:spacing w:before="0" w:beforeAutospacing="0" w:after="0" w:afterAutospacing="0"/>
                    <w:jc w:val="center"/>
                    <w:rPr>
                      <w:rFonts w:hint="eastAsia" w:ascii="Times New Roman" w:hAnsi="Times New Roman" w:eastAsia="宋体" w:cs="Times New Roman"/>
                      <w:color w:val="000000"/>
                      <w:kern w:val="0"/>
                      <w:sz w:val="21"/>
                      <w:szCs w:val="21"/>
                      <w:highlight w:val="none"/>
                      <w:lang w:val="en-US" w:eastAsia="zh-CN" w:bidi="ar-SA"/>
                    </w:rPr>
                  </w:pPr>
                  <w:r>
                    <w:rPr>
                      <w:rFonts w:ascii="Times New Roman" w:hAnsi="Times New Roman"/>
                      <w:color w:val="000000"/>
                      <w:sz w:val="21"/>
                      <w:szCs w:val="21"/>
                      <w:highlight w:val="none"/>
                      <w:lang w:bidi="ar"/>
                    </w:rPr>
                    <w:t>治理后源强dB</w:t>
                  </w:r>
                  <w:r>
                    <w:rPr>
                      <w:rFonts w:hint="eastAsia" w:ascii="Times New Roman" w:hAnsi="Times New Roman"/>
                      <w:color w:val="000000"/>
                      <w:sz w:val="21"/>
                      <w:szCs w:val="21"/>
                      <w:highlight w:val="none"/>
                      <w:lang w:eastAsia="zh-CN" w:bidi="ar"/>
                    </w:rPr>
                    <w:t>（</w:t>
                  </w:r>
                  <w:r>
                    <w:rPr>
                      <w:rFonts w:ascii="Times New Roman" w:hAnsi="Times New Roman"/>
                      <w:color w:val="000000"/>
                      <w:sz w:val="21"/>
                      <w:szCs w:val="21"/>
                      <w:highlight w:val="none"/>
                      <w:lang w:bidi="ar"/>
                    </w:rPr>
                    <w:t>A</w:t>
                  </w:r>
                  <w:r>
                    <w:rPr>
                      <w:rFonts w:hint="eastAsia" w:ascii="Times New Roman" w:hAnsi="Times New Roman"/>
                      <w:color w:val="000000"/>
                      <w:sz w:val="21"/>
                      <w:szCs w:val="21"/>
                      <w:highlight w:val="none"/>
                      <w:lang w:eastAsia="zh-CN" w:bidi="ar"/>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jc w:val="center"/>
              </w:trPr>
              <w:tc>
                <w:tcPr>
                  <w:tcW w:w="43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pacing w:val="0"/>
                      <w:kern w:val="0"/>
                      <w:position w:val="0"/>
                      <w:sz w:val="21"/>
                      <w:szCs w:val="21"/>
                      <w:highlight w:val="none"/>
                    </w:rPr>
                  </w:pPr>
                  <w:r>
                    <w:rPr>
                      <w:rFonts w:ascii="Times New Roman" w:hAnsi="Times New Roman" w:eastAsia="Times New Roman" w:cs="Times New Roman"/>
                      <w:spacing w:val="0"/>
                      <w:kern w:val="0"/>
                      <w:position w:val="0"/>
                      <w:sz w:val="21"/>
                      <w:szCs w:val="21"/>
                      <w:highlight w:val="none"/>
                    </w:rPr>
                    <w:t>1</w:t>
                  </w:r>
                </w:p>
              </w:tc>
              <w:tc>
                <w:tcPr>
                  <w:tcW w:w="916" w:type="dxa"/>
                  <w:tcBorders>
                    <w:tl2br w:val="nil"/>
                    <w:tr2bl w:val="nil"/>
                  </w:tcBorders>
                  <w:vAlign w:val="top"/>
                </w:tcPr>
                <w:p>
                  <w:pPr>
                    <w:pStyle w:val="42"/>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宋体" w:hAnsi="宋体" w:eastAsia="宋体" w:cs="宋体"/>
                      <w:spacing w:val="0"/>
                      <w:kern w:val="0"/>
                      <w:position w:val="0"/>
                      <w:sz w:val="21"/>
                      <w:szCs w:val="21"/>
                      <w:highlight w:val="none"/>
                      <w:lang w:val="en-US" w:eastAsia="en-US" w:bidi="ar-SA"/>
                    </w:rPr>
                  </w:pPr>
                  <w:r>
                    <w:rPr>
                      <w:rFonts w:ascii="宋体" w:hAnsi="宋体" w:eastAsia="宋体" w:cs="宋体"/>
                      <w:spacing w:val="0"/>
                      <w:kern w:val="0"/>
                      <w:position w:val="0"/>
                      <w:sz w:val="21"/>
                      <w:szCs w:val="21"/>
                      <w:highlight w:val="none"/>
                      <w:lang w:val="en-US" w:eastAsia="en-US" w:bidi="ar-SA"/>
                    </w:rPr>
                    <w:t>通风机房</w:t>
                  </w:r>
                </w:p>
              </w:tc>
              <w:tc>
                <w:tcPr>
                  <w:tcW w:w="905" w:type="dxa"/>
                  <w:tcBorders>
                    <w:tl2br w:val="nil"/>
                    <w:tr2bl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eastAsia="宋体"/>
                      <w:spacing w:val="0"/>
                      <w:kern w:val="0"/>
                      <w:position w:val="0"/>
                      <w:sz w:val="21"/>
                      <w:szCs w:val="21"/>
                      <w:highlight w:val="none"/>
                      <w:lang w:val="en-US" w:eastAsia="zh-CN"/>
                    </w:rPr>
                  </w:pPr>
                  <w:r>
                    <w:rPr>
                      <w:spacing w:val="0"/>
                      <w:kern w:val="0"/>
                      <w:position w:val="0"/>
                      <w:sz w:val="21"/>
                      <w:szCs w:val="21"/>
                      <w:highlight w:val="none"/>
                    </w:rPr>
                    <w:t>通风机</w:t>
                  </w:r>
                  <w:r>
                    <w:rPr>
                      <w:rFonts w:hint="eastAsia"/>
                      <w:spacing w:val="0"/>
                      <w:kern w:val="0"/>
                      <w:position w:val="0"/>
                      <w:sz w:val="21"/>
                      <w:szCs w:val="21"/>
                      <w:highlight w:val="none"/>
                      <w:lang w:val="en-US" w:eastAsia="zh-CN"/>
                    </w:rPr>
                    <w:t>1台</w:t>
                  </w:r>
                </w:p>
              </w:tc>
              <w:tc>
                <w:tcPr>
                  <w:tcW w:w="851" w:type="dxa"/>
                  <w:tcBorders>
                    <w:tl2br w:val="nil"/>
                    <w:tr2bl w:val="nil"/>
                  </w:tcBorders>
                  <w:vAlign w:val="center"/>
                </w:tcPr>
                <w:p>
                  <w:pPr>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eastAsia="宋体" w:cs="Times New Roman"/>
                      <w:spacing w:val="0"/>
                      <w:kern w:val="0"/>
                      <w:position w:val="0"/>
                      <w:sz w:val="21"/>
                      <w:szCs w:val="21"/>
                      <w:highlight w:val="none"/>
                      <w:lang w:val="en-US" w:eastAsia="zh-CN"/>
                    </w:rPr>
                  </w:pPr>
                  <w:r>
                    <w:rPr>
                      <w:rFonts w:hint="eastAsia" w:eastAsia="宋体" w:cs="Times New Roman"/>
                      <w:sz w:val="20"/>
                      <w:szCs w:val="20"/>
                      <w:highlight w:val="none"/>
                      <w:lang w:val="en-US" w:eastAsia="zh-CN"/>
                    </w:rPr>
                    <w:t>90</w:t>
                  </w:r>
                </w:p>
              </w:tc>
              <w:tc>
                <w:tcPr>
                  <w:tcW w:w="3794" w:type="dxa"/>
                  <w:tcBorders>
                    <w:tl2br w:val="nil"/>
                    <w:tr2bl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pacing w:val="0"/>
                      <w:kern w:val="0"/>
                      <w:position w:val="0"/>
                      <w:sz w:val="21"/>
                      <w:szCs w:val="21"/>
                      <w:highlight w:val="none"/>
                    </w:rPr>
                  </w:pPr>
                  <w:r>
                    <w:rPr>
                      <w:spacing w:val="0"/>
                      <w:kern w:val="0"/>
                      <w:position w:val="0"/>
                      <w:sz w:val="21"/>
                      <w:szCs w:val="21"/>
                      <w:highlight w:val="none"/>
                    </w:rPr>
                    <w:t>选用低噪声设备，通风机进、出气口安装消声器，通风机</w:t>
                  </w:r>
                  <w:r>
                    <w:rPr>
                      <w:rFonts w:hint="eastAsia"/>
                      <w:spacing w:val="0"/>
                      <w:kern w:val="0"/>
                      <w:position w:val="0"/>
                      <w:sz w:val="21"/>
                      <w:szCs w:val="21"/>
                      <w:highlight w:val="none"/>
                      <w:lang w:val="en-US" w:eastAsia="zh-CN"/>
                    </w:rPr>
                    <w:t>设置隔声罩</w:t>
                  </w:r>
                  <w:r>
                    <w:rPr>
                      <w:spacing w:val="0"/>
                      <w:kern w:val="0"/>
                      <w:position w:val="0"/>
                      <w:sz w:val="21"/>
                      <w:szCs w:val="21"/>
                      <w:highlight w:val="none"/>
                    </w:rPr>
                    <w:t>。通风机机座进行隔震处理。北部风井场地通风机出气口设置有取热装置，对噪声扩散有一定阻挡作用。</w:t>
                  </w:r>
                </w:p>
              </w:tc>
              <w:tc>
                <w:tcPr>
                  <w:tcW w:w="973" w:type="dxa"/>
                  <w:tcBorders>
                    <w:tl2br w:val="nil"/>
                    <w:tr2bl w:val="nil"/>
                  </w:tcBorders>
                  <w:vAlign w:val="center"/>
                </w:tcPr>
                <w:p>
                  <w:pPr>
                    <w:pStyle w:val="57"/>
                    <w:autoSpaceDE w:val="0"/>
                    <w:autoSpaceDN w:val="0"/>
                    <w:jc w:val="center"/>
                    <w:rPr>
                      <w:rFonts w:hint="default" w:ascii="Times New Roman" w:hAnsi="Times New Roman" w:eastAsia="宋体" w:cs="Times New Roman"/>
                      <w:color w:val="000000"/>
                      <w:kern w:val="2"/>
                      <w:sz w:val="21"/>
                      <w:szCs w:val="21"/>
                      <w:highlight w:val="none"/>
                      <w:lang w:val="en-US" w:eastAsia="zh-CN" w:bidi="zh-CN"/>
                    </w:rPr>
                  </w:pPr>
                  <w:r>
                    <w:rPr>
                      <w:rFonts w:hint="eastAsia" w:ascii="Times New Roman" w:hAnsi="Times New Roman" w:cs="Times New Roman"/>
                      <w:color w:val="000000"/>
                      <w:kern w:val="2"/>
                      <w:sz w:val="21"/>
                      <w:szCs w:val="21"/>
                      <w:highlight w:val="none"/>
                      <w:lang w:val="en-US" w:eastAsia="zh-CN" w:bidi="zh-CN"/>
                    </w:rPr>
                    <w:t>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jc w:val="center"/>
              </w:trPr>
              <w:tc>
                <w:tcPr>
                  <w:tcW w:w="43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pacing w:val="0"/>
                      <w:kern w:val="0"/>
                      <w:position w:val="0"/>
                      <w:sz w:val="21"/>
                      <w:szCs w:val="21"/>
                      <w:highlight w:val="none"/>
                    </w:rPr>
                  </w:pPr>
                  <w:r>
                    <w:rPr>
                      <w:rFonts w:ascii="Times New Roman" w:hAnsi="Times New Roman" w:eastAsia="Times New Roman" w:cs="Times New Roman"/>
                      <w:spacing w:val="0"/>
                      <w:kern w:val="0"/>
                      <w:position w:val="0"/>
                      <w:sz w:val="21"/>
                      <w:szCs w:val="21"/>
                      <w:highlight w:val="none"/>
                    </w:rPr>
                    <w:t>2</w:t>
                  </w:r>
                </w:p>
              </w:tc>
              <w:tc>
                <w:tcPr>
                  <w:tcW w:w="916" w:type="dxa"/>
                  <w:tcBorders>
                    <w:tl2br w:val="nil"/>
                    <w:tr2bl w:val="nil"/>
                  </w:tcBorders>
                  <w:vAlign w:val="top"/>
                </w:tcPr>
                <w:p>
                  <w:pPr>
                    <w:pStyle w:val="42"/>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宋体" w:hAnsi="宋体" w:eastAsia="宋体" w:cs="宋体"/>
                      <w:spacing w:val="0"/>
                      <w:kern w:val="0"/>
                      <w:position w:val="0"/>
                      <w:sz w:val="21"/>
                      <w:szCs w:val="21"/>
                      <w:highlight w:val="none"/>
                      <w:lang w:val="en-US" w:eastAsia="en-US" w:bidi="ar-SA"/>
                    </w:rPr>
                  </w:pPr>
                  <w:r>
                    <w:rPr>
                      <w:rFonts w:ascii="宋体" w:hAnsi="宋体" w:eastAsia="宋体" w:cs="宋体"/>
                      <w:spacing w:val="0"/>
                      <w:kern w:val="0"/>
                      <w:position w:val="0"/>
                      <w:sz w:val="21"/>
                      <w:szCs w:val="21"/>
                      <w:highlight w:val="none"/>
                      <w:lang w:val="en-US" w:eastAsia="en-US" w:bidi="ar-SA"/>
                    </w:rPr>
                    <w:t>空压机房</w:t>
                  </w:r>
                </w:p>
              </w:tc>
              <w:tc>
                <w:tcPr>
                  <w:tcW w:w="905" w:type="dxa"/>
                  <w:tcBorders>
                    <w:tl2br w:val="nil"/>
                    <w:tr2bl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0"/>
                      <w:kern w:val="0"/>
                      <w:position w:val="0"/>
                      <w:sz w:val="21"/>
                      <w:szCs w:val="21"/>
                      <w:highlight w:val="none"/>
                      <w:lang w:val="en-US" w:eastAsia="zh-CN"/>
                    </w:rPr>
                  </w:pPr>
                  <w:r>
                    <w:rPr>
                      <w:spacing w:val="0"/>
                      <w:kern w:val="0"/>
                      <w:position w:val="0"/>
                      <w:sz w:val="21"/>
                      <w:szCs w:val="21"/>
                      <w:highlight w:val="none"/>
                    </w:rPr>
                    <w:t>空压机</w:t>
                  </w:r>
                  <w:r>
                    <w:rPr>
                      <w:rFonts w:hint="eastAsia" w:ascii="Times New Roman" w:hAnsi="Times New Roman" w:eastAsia="宋体" w:cs="Times New Roman"/>
                      <w:spacing w:val="0"/>
                      <w:kern w:val="0"/>
                      <w:position w:val="0"/>
                      <w:sz w:val="21"/>
                      <w:szCs w:val="21"/>
                      <w:highlight w:val="none"/>
                      <w:lang w:val="en-US" w:eastAsia="zh-CN"/>
                    </w:rPr>
                    <w:t>2台</w:t>
                  </w:r>
                </w:p>
              </w:tc>
              <w:tc>
                <w:tcPr>
                  <w:tcW w:w="851" w:type="dxa"/>
                  <w:tcBorders>
                    <w:tl2br w:val="nil"/>
                    <w:tr2bl w:val="nil"/>
                  </w:tcBorders>
                  <w:vAlign w:val="center"/>
                </w:tcPr>
                <w:p>
                  <w:pPr>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ascii="Times New Roman" w:hAnsi="Times New Roman" w:eastAsia="Times New Roman" w:cs="Times New Roman"/>
                      <w:spacing w:val="0"/>
                      <w:kern w:val="0"/>
                      <w:position w:val="0"/>
                      <w:sz w:val="21"/>
                      <w:szCs w:val="21"/>
                      <w:highlight w:val="none"/>
                    </w:rPr>
                  </w:pPr>
                  <w:r>
                    <w:rPr>
                      <w:rFonts w:ascii="Times New Roman" w:hAnsi="Times New Roman" w:eastAsia="Times New Roman" w:cs="Times New Roman"/>
                      <w:spacing w:val="-2"/>
                      <w:sz w:val="20"/>
                      <w:szCs w:val="20"/>
                      <w:highlight w:val="none"/>
                    </w:rPr>
                    <w:t>85</w:t>
                  </w:r>
                </w:p>
              </w:tc>
              <w:tc>
                <w:tcPr>
                  <w:tcW w:w="3794" w:type="dxa"/>
                  <w:tcBorders>
                    <w:tl2br w:val="nil"/>
                    <w:tr2bl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pacing w:val="0"/>
                      <w:kern w:val="0"/>
                      <w:position w:val="0"/>
                      <w:sz w:val="21"/>
                      <w:szCs w:val="21"/>
                      <w:highlight w:val="none"/>
                    </w:rPr>
                  </w:pPr>
                  <w:r>
                    <w:rPr>
                      <w:spacing w:val="0"/>
                      <w:kern w:val="0"/>
                      <w:position w:val="0"/>
                      <w:sz w:val="21"/>
                      <w:szCs w:val="21"/>
                      <w:highlight w:val="none"/>
                    </w:rPr>
                    <w:t>空压机进气口安装消声器；空压机机体加装隔声罩；在压风机房内设置隔声间。</w:t>
                  </w:r>
                </w:p>
              </w:tc>
              <w:tc>
                <w:tcPr>
                  <w:tcW w:w="973" w:type="dxa"/>
                  <w:tcBorders>
                    <w:tl2br w:val="nil"/>
                    <w:tr2bl w:val="nil"/>
                  </w:tcBorders>
                  <w:vAlign w:val="center"/>
                </w:tcPr>
                <w:p>
                  <w:pPr>
                    <w:pStyle w:val="57"/>
                    <w:autoSpaceDE w:val="0"/>
                    <w:autoSpaceDN w:val="0"/>
                    <w:jc w:val="center"/>
                    <w:rPr>
                      <w:rFonts w:hint="default" w:ascii="Times New Roman" w:hAnsi="Times New Roman" w:eastAsia="宋体" w:cs="Times New Roman"/>
                      <w:color w:val="000000"/>
                      <w:kern w:val="2"/>
                      <w:sz w:val="21"/>
                      <w:szCs w:val="21"/>
                      <w:highlight w:val="none"/>
                      <w:lang w:val="en-US" w:eastAsia="zh-CN" w:bidi="zh-CN"/>
                    </w:rPr>
                  </w:pPr>
                  <w:r>
                    <w:rPr>
                      <w:rFonts w:hint="eastAsia" w:ascii="Times New Roman" w:hAnsi="Times New Roman" w:cs="Times New Roman"/>
                      <w:color w:val="000000"/>
                      <w:kern w:val="2"/>
                      <w:sz w:val="21"/>
                      <w:szCs w:val="21"/>
                      <w:highlight w:val="none"/>
                      <w:lang w:val="en-US" w:eastAsia="zh-CN" w:bidi="zh-CN"/>
                    </w:rPr>
                    <w:t>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43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pacing w:val="0"/>
                      <w:kern w:val="0"/>
                      <w:position w:val="0"/>
                      <w:sz w:val="21"/>
                      <w:szCs w:val="21"/>
                      <w:highlight w:val="none"/>
                      <w:lang w:eastAsia="zh-CN"/>
                    </w:rPr>
                  </w:pPr>
                  <w:r>
                    <w:rPr>
                      <w:rFonts w:hint="eastAsia" w:ascii="Times New Roman" w:hAnsi="Times New Roman" w:eastAsia="宋体" w:cs="Times New Roman"/>
                      <w:spacing w:val="0"/>
                      <w:kern w:val="0"/>
                      <w:position w:val="0"/>
                      <w:sz w:val="21"/>
                      <w:szCs w:val="21"/>
                      <w:highlight w:val="none"/>
                      <w:lang w:val="en-US" w:eastAsia="zh-CN"/>
                    </w:rPr>
                    <w:t>3</w:t>
                  </w:r>
                </w:p>
              </w:tc>
              <w:tc>
                <w:tcPr>
                  <w:tcW w:w="916" w:type="dxa"/>
                  <w:vMerge w:val="restart"/>
                  <w:tcBorders>
                    <w:tl2br w:val="nil"/>
                    <w:tr2bl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宋体" w:hAnsi="宋体" w:eastAsia="宋体" w:cs="宋体"/>
                      <w:spacing w:val="0"/>
                      <w:kern w:val="0"/>
                      <w:position w:val="0"/>
                      <w:sz w:val="21"/>
                      <w:szCs w:val="21"/>
                      <w:highlight w:val="none"/>
                      <w:lang w:val="en-US" w:eastAsia="en-US" w:bidi="ar-SA"/>
                    </w:rPr>
                  </w:pPr>
                  <w:r>
                    <w:rPr>
                      <w:rFonts w:ascii="宋体" w:hAnsi="宋体" w:eastAsia="宋体" w:cs="宋体"/>
                      <w:spacing w:val="0"/>
                      <w:kern w:val="0"/>
                      <w:position w:val="0"/>
                      <w:sz w:val="21"/>
                      <w:szCs w:val="21"/>
                      <w:highlight w:val="none"/>
                      <w:lang w:val="en-US" w:eastAsia="en-US" w:bidi="ar-SA"/>
                    </w:rPr>
                    <w:t>热泵机房</w:t>
                  </w:r>
                </w:p>
              </w:tc>
              <w:tc>
                <w:tcPr>
                  <w:tcW w:w="905" w:type="dxa"/>
                  <w:tcBorders>
                    <w:tl2br w:val="nil"/>
                    <w:tr2bl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pacing w:val="0"/>
                      <w:kern w:val="0"/>
                      <w:position w:val="0"/>
                      <w:sz w:val="21"/>
                      <w:szCs w:val="21"/>
                      <w:highlight w:val="none"/>
                    </w:rPr>
                  </w:pPr>
                  <w:r>
                    <w:rPr>
                      <w:spacing w:val="0"/>
                      <w:kern w:val="0"/>
                      <w:position w:val="0"/>
                      <w:sz w:val="21"/>
                      <w:szCs w:val="21"/>
                      <w:highlight w:val="none"/>
                    </w:rPr>
                    <w:t>乏风热泵</w:t>
                  </w:r>
                  <w:r>
                    <w:rPr>
                      <w:rFonts w:ascii="Times New Roman" w:hAnsi="Times New Roman" w:eastAsia="Times New Roman" w:cs="Times New Roman"/>
                      <w:spacing w:val="0"/>
                      <w:kern w:val="0"/>
                      <w:position w:val="0"/>
                      <w:sz w:val="21"/>
                      <w:szCs w:val="21"/>
                      <w:highlight w:val="none"/>
                    </w:rPr>
                    <w:t>5</w:t>
                  </w:r>
                  <w:r>
                    <w:rPr>
                      <w:spacing w:val="0"/>
                      <w:kern w:val="0"/>
                      <w:position w:val="0"/>
                      <w:sz w:val="21"/>
                      <w:szCs w:val="21"/>
                      <w:highlight w:val="none"/>
                    </w:rPr>
                    <w:t>台</w:t>
                  </w:r>
                </w:p>
              </w:tc>
              <w:tc>
                <w:tcPr>
                  <w:tcW w:w="851" w:type="dxa"/>
                  <w:tcBorders>
                    <w:tl2br w:val="nil"/>
                    <w:tr2bl w:val="nil"/>
                  </w:tcBorders>
                  <w:vAlign w:val="center"/>
                </w:tcPr>
                <w:p>
                  <w:pPr>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default" w:ascii="Times New Roman" w:hAnsi="Times New Roman" w:eastAsia="宋体" w:cs="Times New Roman"/>
                      <w:spacing w:val="0"/>
                      <w:kern w:val="0"/>
                      <w:position w:val="0"/>
                      <w:sz w:val="21"/>
                      <w:szCs w:val="21"/>
                      <w:highlight w:val="none"/>
                      <w:lang w:val="en-US" w:eastAsia="zh-CN"/>
                    </w:rPr>
                  </w:pPr>
                  <w:r>
                    <w:rPr>
                      <w:rFonts w:hint="eastAsia" w:cs="Times New Roman"/>
                      <w:spacing w:val="-2"/>
                      <w:sz w:val="20"/>
                      <w:szCs w:val="20"/>
                      <w:highlight w:val="none"/>
                      <w:lang w:val="en-US" w:eastAsia="zh-CN"/>
                    </w:rPr>
                    <w:t>85</w:t>
                  </w:r>
                </w:p>
              </w:tc>
              <w:tc>
                <w:tcPr>
                  <w:tcW w:w="3794" w:type="dxa"/>
                  <w:vMerge w:val="restart"/>
                  <w:tcBorders>
                    <w:tl2br w:val="nil"/>
                    <w:tr2bl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pacing w:val="0"/>
                      <w:kern w:val="0"/>
                      <w:position w:val="0"/>
                      <w:sz w:val="21"/>
                      <w:szCs w:val="21"/>
                      <w:highlight w:val="none"/>
                    </w:rPr>
                  </w:pPr>
                  <w:r>
                    <w:rPr>
                      <w:spacing w:val="0"/>
                      <w:kern w:val="0"/>
                      <w:position w:val="0"/>
                      <w:sz w:val="21"/>
                      <w:szCs w:val="21"/>
                      <w:highlight w:val="none"/>
                    </w:rPr>
                    <w:t>选用低噪声设备，设置减振机座、隔声门窗，泵机均在出入口设置软接头，并设置减振基础。</w:t>
                  </w:r>
                </w:p>
              </w:tc>
              <w:tc>
                <w:tcPr>
                  <w:tcW w:w="973" w:type="dxa"/>
                  <w:tcBorders>
                    <w:tl2br w:val="nil"/>
                    <w:tr2bl w:val="nil"/>
                  </w:tcBorders>
                  <w:vAlign w:val="center"/>
                </w:tcPr>
                <w:p>
                  <w:pPr>
                    <w:jc w:val="center"/>
                    <w:rPr>
                      <w:rFonts w:hint="default" w:ascii="Times New Roman" w:hAnsi="Times New Roman" w:eastAsia="宋体" w:cs="Times New Roman"/>
                      <w:spacing w:val="0"/>
                      <w:kern w:val="0"/>
                      <w:position w:val="0"/>
                      <w:sz w:val="21"/>
                      <w:szCs w:val="21"/>
                      <w:highlight w:val="none"/>
                      <w:lang w:val="en-US" w:eastAsia="zh-CN" w:bidi="ar-SA"/>
                    </w:rPr>
                  </w:pPr>
                  <w:r>
                    <w:rPr>
                      <w:rFonts w:hint="eastAsia" w:ascii="Times New Roman" w:hAnsi="Times New Roman" w:eastAsia="宋体" w:cs="Times New Roman"/>
                      <w:spacing w:val="0"/>
                      <w:kern w:val="0"/>
                      <w:position w:val="0"/>
                      <w:sz w:val="21"/>
                      <w:szCs w:val="21"/>
                      <w:highlight w:val="none"/>
                      <w:lang w:val="en-US" w:eastAsia="zh-CN"/>
                    </w:rPr>
                    <w:t>6</w:t>
                  </w:r>
                  <w:r>
                    <w:rPr>
                      <w:rFonts w:hint="eastAsia" w:cs="Times New Roman"/>
                      <w:spacing w:val="0"/>
                      <w:kern w:val="0"/>
                      <w:position w:val="0"/>
                      <w:sz w:val="21"/>
                      <w:szCs w:val="21"/>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43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pacing w:val="0"/>
                      <w:kern w:val="0"/>
                      <w:position w:val="0"/>
                      <w:sz w:val="21"/>
                      <w:szCs w:val="21"/>
                      <w:highlight w:val="none"/>
                      <w:lang w:eastAsia="zh-CN"/>
                    </w:rPr>
                  </w:pPr>
                  <w:r>
                    <w:rPr>
                      <w:rFonts w:hint="eastAsia" w:ascii="Times New Roman" w:hAnsi="Times New Roman" w:eastAsia="宋体" w:cs="Times New Roman"/>
                      <w:spacing w:val="0"/>
                      <w:kern w:val="0"/>
                      <w:position w:val="0"/>
                      <w:sz w:val="21"/>
                      <w:szCs w:val="21"/>
                      <w:highlight w:val="none"/>
                      <w:lang w:val="en-US" w:eastAsia="zh-CN"/>
                    </w:rPr>
                    <w:t>4</w:t>
                  </w:r>
                </w:p>
              </w:tc>
              <w:tc>
                <w:tcPr>
                  <w:tcW w:w="916" w:type="dxa"/>
                  <w:vMerge w:val="continue"/>
                  <w:tcBorders>
                    <w:tl2br w:val="nil"/>
                    <w:tr2bl w:val="nil"/>
                  </w:tcBorders>
                  <w:vAlign w:val="top"/>
                </w:tcPr>
                <w:p>
                  <w:pPr>
                    <w:pStyle w:val="42"/>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宋体" w:hAnsi="宋体" w:eastAsia="宋体" w:cs="宋体"/>
                      <w:spacing w:val="0"/>
                      <w:kern w:val="0"/>
                      <w:position w:val="0"/>
                      <w:sz w:val="21"/>
                      <w:szCs w:val="21"/>
                      <w:highlight w:val="none"/>
                      <w:lang w:val="en-US" w:eastAsia="zh-CN" w:bidi="ar-SA"/>
                    </w:rPr>
                  </w:pPr>
                </w:p>
              </w:tc>
              <w:tc>
                <w:tcPr>
                  <w:tcW w:w="905" w:type="dxa"/>
                  <w:tcBorders>
                    <w:tl2br w:val="nil"/>
                    <w:tr2bl w:val="nil"/>
                  </w:tcBorders>
                  <w:vAlign w:val="center"/>
                </w:tcPr>
                <w:p>
                  <w:pPr>
                    <w:pStyle w:val="4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pacing w:val="0"/>
                      <w:kern w:val="0"/>
                      <w:position w:val="0"/>
                      <w:sz w:val="21"/>
                      <w:szCs w:val="21"/>
                      <w:highlight w:val="none"/>
                    </w:rPr>
                  </w:pPr>
                  <w:r>
                    <w:rPr>
                      <w:spacing w:val="0"/>
                      <w:kern w:val="0"/>
                      <w:position w:val="0"/>
                      <w:sz w:val="21"/>
                      <w:szCs w:val="21"/>
                      <w:highlight w:val="none"/>
                    </w:rPr>
                    <w:t>水泵</w:t>
                  </w:r>
                  <w:r>
                    <w:rPr>
                      <w:rFonts w:ascii="Times New Roman" w:hAnsi="Times New Roman" w:eastAsia="Times New Roman" w:cs="Times New Roman"/>
                      <w:spacing w:val="0"/>
                      <w:kern w:val="0"/>
                      <w:position w:val="0"/>
                      <w:sz w:val="21"/>
                      <w:szCs w:val="21"/>
                      <w:highlight w:val="none"/>
                    </w:rPr>
                    <w:t>9</w:t>
                  </w:r>
                  <w:r>
                    <w:rPr>
                      <w:spacing w:val="0"/>
                      <w:kern w:val="0"/>
                      <w:position w:val="0"/>
                      <w:sz w:val="21"/>
                      <w:szCs w:val="21"/>
                      <w:highlight w:val="none"/>
                    </w:rPr>
                    <w:t>台</w:t>
                  </w:r>
                </w:p>
              </w:tc>
              <w:tc>
                <w:tcPr>
                  <w:tcW w:w="851" w:type="dxa"/>
                  <w:tcBorders>
                    <w:tl2br w:val="nil"/>
                    <w:tr2bl w:val="nil"/>
                  </w:tcBorders>
                  <w:vAlign w:val="center"/>
                </w:tcPr>
                <w:p>
                  <w:pPr>
                    <w:keepNext w:val="0"/>
                    <w:keepLines w:val="0"/>
                    <w:pageBreakBefore w:val="0"/>
                    <w:widowControl w:val="0"/>
                    <w:kinsoku/>
                    <w:wordWrap/>
                    <w:overflowPunct/>
                    <w:topLinePunct w:val="0"/>
                    <w:bidi w:val="0"/>
                    <w:adjustRightInd/>
                    <w:snapToGrid/>
                    <w:spacing w:line="240" w:lineRule="auto"/>
                    <w:ind w:left="0"/>
                    <w:jc w:val="center"/>
                    <w:textAlignment w:val="auto"/>
                    <w:rPr>
                      <w:rFonts w:hint="default" w:ascii="Times New Roman" w:hAnsi="Times New Roman" w:eastAsia="宋体" w:cs="Times New Roman"/>
                      <w:spacing w:val="0"/>
                      <w:kern w:val="0"/>
                      <w:position w:val="0"/>
                      <w:sz w:val="21"/>
                      <w:szCs w:val="21"/>
                      <w:highlight w:val="none"/>
                      <w:lang w:val="en-US" w:eastAsia="zh-CN"/>
                    </w:rPr>
                  </w:pPr>
                  <w:r>
                    <w:rPr>
                      <w:rFonts w:hint="eastAsia" w:cs="Times New Roman"/>
                      <w:spacing w:val="-2"/>
                      <w:sz w:val="20"/>
                      <w:szCs w:val="20"/>
                      <w:highlight w:val="none"/>
                      <w:lang w:val="en-US" w:eastAsia="zh-CN"/>
                    </w:rPr>
                    <w:t>90</w:t>
                  </w:r>
                </w:p>
              </w:tc>
              <w:tc>
                <w:tcPr>
                  <w:tcW w:w="3794"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pacing w:val="0"/>
                      <w:kern w:val="0"/>
                      <w:position w:val="0"/>
                      <w:sz w:val="21"/>
                      <w:szCs w:val="21"/>
                      <w:highlight w:val="none"/>
                    </w:rPr>
                  </w:pPr>
                </w:p>
              </w:tc>
              <w:tc>
                <w:tcPr>
                  <w:tcW w:w="973" w:type="dxa"/>
                  <w:tcBorders>
                    <w:tl2br w:val="nil"/>
                    <w:tr2bl w:val="nil"/>
                  </w:tcBorders>
                  <w:vAlign w:val="center"/>
                </w:tcPr>
                <w:p>
                  <w:pPr>
                    <w:jc w:val="center"/>
                    <w:rPr>
                      <w:rFonts w:hint="default" w:ascii="Times New Roman" w:hAnsi="Times New Roman" w:eastAsia="宋体" w:cs="Times New Roman"/>
                      <w:spacing w:val="0"/>
                      <w:kern w:val="0"/>
                      <w:position w:val="0"/>
                      <w:sz w:val="21"/>
                      <w:szCs w:val="21"/>
                      <w:highlight w:val="none"/>
                      <w:lang w:val="en-US" w:eastAsia="zh-CN" w:bidi="ar-SA"/>
                    </w:rPr>
                  </w:pPr>
                  <w:r>
                    <w:rPr>
                      <w:rFonts w:hint="eastAsia" w:ascii="Times New Roman" w:hAnsi="Times New Roman" w:eastAsia="宋体" w:cs="Times New Roman"/>
                      <w:spacing w:val="0"/>
                      <w:kern w:val="0"/>
                      <w:position w:val="0"/>
                      <w:sz w:val="21"/>
                      <w:szCs w:val="21"/>
                      <w:highlight w:val="none"/>
                      <w:lang w:val="en-US" w:eastAsia="zh-CN" w:bidi="ar-SA"/>
                    </w:rPr>
                    <w:t>70</w:t>
                  </w:r>
                </w:p>
              </w:tc>
            </w:tr>
          </w:tbl>
          <w:p>
            <w:pPr>
              <w:spacing w:line="360" w:lineRule="auto"/>
              <w:ind w:firstLine="480" w:firstLineChars="200"/>
              <w:rPr>
                <w:rFonts w:hint="eastAsia"/>
                <w:sz w:val="24"/>
                <w:highlight w:val="none"/>
              </w:rPr>
            </w:pPr>
            <w:r>
              <w:rPr>
                <w:rFonts w:hint="eastAsia"/>
                <w:sz w:val="24"/>
                <w:highlight w:val="none"/>
              </w:rPr>
              <w:t>设备运行时产生的噪声声压级在</w:t>
            </w:r>
            <w:r>
              <w:rPr>
                <w:rFonts w:hint="eastAsia" w:cs="Times New Roman"/>
                <w:color w:val="auto"/>
                <w:kern w:val="2"/>
                <w:sz w:val="24"/>
                <w:szCs w:val="24"/>
                <w:highlight w:val="none"/>
                <w:lang w:val="en-US" w:eastAsia="zh-CN" w:bidi="ar-SA"/>
              </w:rPr>
              <w:t>85</w:t>
            </w: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90</w:t>
            </w:r>
            <w:r>
              <w:rPr>
                <w:rFonts w:hint="eastAsia"/>
                <w:sz w:val="24"/>
                <w:highlight w:val="none"/>
              </w:rPr>
              <w:t>dB</w:t>
            </w:r>
            <w:r>
              <w:rPr>
                <w:rFonts w:hint="eastAsia"/>
                <w:sz w:val="24"/>
                <w:highlight w:val="none"/>
                <w:lang w:eastAsia="zh-CN"/>
              </w:rPr>
              <w:t>（</w:t>
            </w:r>
            <w:r>
              <w:rPr>
                <w:rFonts w:hint="eastAsia"/>
                <w:sz w:val="24"/>
                <w:highlight w:val="none"/>
              </w:rPr>
              <w:t>A）之间，</w:t>
            </w:r>
            <w:r>
              <w:rPr>
                <w:rFonts w:hint="eastAsia"/>
                <w:sz w:val="24"/>
                <w:highlight w:val="none"/>
                <w:lang w:val="en-US" w:eastAsia="zh-CN"/>
              </w:rPr>
              <w:t>噪声</w:t>
            </w:r>
            <w:r>
              <w:rPr>
                <w:rFonts w:hint="eastAsia" w:cs="Times New Roman"/>
                <w:color w:val="auto"/>
                <w:kern w:val="2"/>
                <w:sz w:val="24"/>
                <w:szCs w:val="24"/>
                <w:highlight w:val="none"/>
                <w:lang w:val="en-US" w:eastAsia="zh-CN" w:bidi="ar-SA"/>
              </w:rPr>
              <w:t>采取</w:t>
            </w:r>
            <w:r>
              <w:rPr>
                <w:rFonts w:hint="default" w:ascii="Times New Roman" w:hAnsi="Times New Roman" w:eastAsia="宋体" w:cs="Times New Roman"/>
                <w:color w:val="auto"/>
                <w:kern w:val="2"/>
                <w:sz w:val="24"/>
                <w:szCs w:val="24"/>
                <w:highlight w:val="none"/>
                <w:lang w:val="en-US" w:eastAsia="zh-CN" w:bidi="ar-SA"/>
              </w:rPr>
              <w:t>低噪声设备，安装消声器，</w:t>
            </w:r>
            <w:r>
              <w:rPr>
                <w:rFonts w:hint="eastAsia" w:ascii="Times New Roman" w:hAnsi="Times New Roman" w:eastAsia="宋体" w:cs="Times New Roman"/>
                <w:color w:val="auto"/>
                <w:kern w:val="2"/>
                <w:sz w:val="24"/>
                <w:szCs w:val="24"/>
                <w:highlight w:val="none"/>
                <w:lang w:val="en-US" w:eastAsia="zh-CN" w:bidi="ar-SA"/>
              </w:rPr>
              <w:t>设置隔声罩</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基础减振、隔声门窗</w:t>
            </w:r>
            <w:r>
              <w:rPr>
                <w:rFonts w:hint="eastAsia" w:cs="Times New Roman"/>
                <w:color w:val="auto"/>
                <w:kern w:val="2"/>
                <w:sz w:val="24"/>
                <w:szCs w:val="24"/>
                <w:highlight w:val="none"/>
                <w:lang w:val="en-US" w:eastAsia="zh-CN" w:bidi="ar-SA"/>
              </w:rPr>
              <w:t>等措施，</w:t>
            </w:r>
            <w:r>
              <w:rPr>
                <w:rFonts w:hint="eastAsia"/>
                <w:sz w:val="24"/>
                <w:highlight w:val="none"/>
              </w:rPr>
              <w:t>本项目噪声源74.2dB</w:t>
            </w:r>
            <w:r>
              <w:rPr>
                <w:rFonts w:hint="eastAsia"/>
                <w:sz w:val="24"/>
                <w:highlight w:val="none"/>
                <w:lang w:eastAsia="zh-CN"/>
              </w:rPr>
              <w:t>（</w:t>
            </w:r>
            <w:r>
              <w:rPr>
                <w:rFonts w:hint="eastAsia"/>
                <w:sz w:val="24"/>
                <w:highlight w:val="none"/>
              </w:rPr>
              <w:t>A）考虑，按照《环境影响评价技术导则 声环境》</w:t>
            </w:r>
            <w:r>
              <w:rPr>
                <w:rFonts w:hint="eastAsia"/>
                <w:sz w:val="24"/>
                <w:highlight w:val="none"/>
                <w:lang w:eastAsia="zh-CN"/>
              </w:rPr>
              <w:t>（</w:t>
            </w:r>
            <w:r>
              <w:rPr>
                <w:rFonts w:hint="eastAsia"/>
                <w:sz w:val="24"/>
                <w:highlight w:val="none"/>
              </w:rPr>
              <w:t>HJ2.4</w:t>
            </w:r>
            <w:r>
              <w:rPr>
                <w:rFonts w:hint="eastAsia"/>
                <w:sz w:val="24"/>
                <w:highlight w:val="none"/>
                <w:lang w:eastAsia="zh-CN"/>
              </w:rPr>
              <w:t>-</w:t>
            </w:r>
            <w:r>
              <w:rPr>
                <w:rFonts w:hint="eastAsia"/>
                <w:sz w:val="24"/>
                <w:highlight w:val="none"/>
              </w:rPr>
              <w:t>2021）的要求，计算项目对厂界的贡献值。</w:t>
            </w:r>
          </w:p>
          <w:p>
            <w:pPr>
              <w:spacing w:line="360" w:lineRule="auto"/>
              <w:ind w:firstLine="480" w:firstLineChars="200"/>
              <w:rPr>
                <w:sz w:val="24"/>
                <w:highlight w:val="none"/>
              </w:rPr>
            </w:pPr>
            <w:r>
              <w:rPr>
                <w:sz w:val="24"/>
                <w:highlight w:val="none"/>
              </w:rPr>
              <w:t>本项目噪声</w:t>
            </w:r>
            <w:r>
              <w:rPr>
                <w:rFonts w:hint="eastAsia"/>
                <w:sz w:val="24"/>
                <w:highlight w:val="none"/>
              </w:rPr>
              <w:t>贡献值计算公式为</w:t>
            </w:r>
            <w:r>
              <w:rPr>
                <w:sz w:val="24"/>
                <w:highlight w:val="none"/>
              </w:rPr>
              <w:t>：</w:t>
            </w:r>
          </w:p>
          <w:p>
            <w:pPr>
              <w:spacing w:line="360" w:lineRule="auto"/>
              <w:jc w:val="center"/>
              <w:rPr>
                <w:rFonts w:hint="eastAsia"/>
                <w:b/>
                <w:bCs/>
                <w:sz w:val="24"/>
                <w:highlight w:val="none"/>
              </w:rPr>
            </w:pPr>
            <w:r>
              <w:rPr>
                <w:rFonts w:hint="eastAsia"/>
                <w:b/>
                <w:bCs/>
                <w:position w:val="-30"/>
                <w:sz w:val="24"/>
                <w:highlight w:val="none"/>
              </w:rPr>
              <w:object>
                <v:shape id="_x0000_i1025" o:spt="75" type="#_x0000_t75" style="height:36pt;width:129pt;" o:ole="t" filled="f" o:preferrelative="t" stroked="f" coordsize="21600,21600">
                  <v:path/>
                  <v:fill on="f" focussize="0,0"/>
                  <v:stroke on="f"/>
                  <v:imagedata r:id="rId14" o:title=""/>
                  <o:lock v:ext="edit" aspectratio="t"/>
                  <w10:wrap type="none"/>
                  <w10:anchorlock/>
                </v:shape>
                <o:OLEObject Type="Embed" ProgID="Equation.KSEE3" ShapeID="_x0000_i1025" DrawAspect="Content" ObjectID="_1468075725" r:id="rId13">
                  <o:LockedField>false</o:LockedField>
                </o:OLEObject>
              </w:object>
            </w:r>
          </w:p>
          <w:p>
            <w:pPr>
              <w:spacing w:line="360" w:lineRule="auto"/>
              <w:ind w:firstLine="480" w:firstLineChars="200"/>
              <w:rPr>
                <w:sz w:val="24"/>
                <w:highlight w:val="none"/>
              </w:rPr>
            </w:pPr>
            <w:r>
              <w:rPr>
                <w:sz w:val="24"/>
                <w:highlight w:val="none"/>
              </w:rPr>
              <w:t>式中：</w:t>
            </w:r>
            <w:r>
              <w:rPr>
                <w:sz w:val="24"/>
                <w:highlight w:val="none"/>
              </w:rPr>
              <w:drawing>
                <wp:inline distT="0" distB="0" distL="114300" distR="114300">
                  <wp:extent cx="257175" cy="238125"/>
                  <wp:effectExtent l="0" t="0" r="1905" b="4445"/>
                  <wp:docPr id="1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4"/>
                          <pic:cNvPicPr>
                            <a:picLocks noChangeAspect="1"/>
                          </pic:cNvPicPr>
                        </pic:nvPicPr>
                        <pic:blipFill>
                          <a:blip r:embed="rId15"/>
                          <a:stretch>
                            <a:fillRect/>
                          </a:stretch>
                        </pic:blipFill>
                        <pic:spPr>
                          <a:xfrm>
                            <a:off x="0" y="0"/>
                            <a:ext cx="257175" cy="238125"/>
                          </a:xfrm>
                          <a:prstGeom prst="rect">
                            <a:avLst/>
                          </a:prstGeom>
                          <a:noFill/>
                          <a:ln>
                            <a:noFill/>
                          </a:ln>
                        </pic:spPr>
                      </pic:pic>
                    </a:graphicData>
                  </a:graphic>
                </wp:inline>
              </w:drawing>
            </w:r>
            <w:r>
              <w:rPr>
                <w:rFonts w:hint="eastAsia"/>
                <w:sz w:val="24"/>
                <w:highlight w:val="none"/>
                <w:lang w:eastAsia="zh-CN"/>
              </w:rPr>
              <w:t>-</w:t>
            </w:r>
            <w:r>
              <w:rPr>
                <w:rFonts w:hint="eastAsia"/>
                <w:sz w:val="24"/>
                <w:highlight w:val="none"/>
              </w:rPr>
              <w:t>噪声贡献值，dB；</w:t>
            </w:r>
          </w:p>
          <w:p>
            <w:pPr>
              <w:spacing w:line="360" w:lineRule="auto"/>
              <w:ind w:firstLine="1200" w:firstLineChars="500"/>
              <w:rPr>
                <w:rFonts w:hint="eastAsia"/>
                <w:sz w:val="24"/>
                <w:highlight w:val="none"/>
              </w:rPr>
            </w:pPr>
            <w:r>
              <w:rPr>
                <w:rFonts w:hint="eastAsia"/>
                <w:i/>
                <w:iCs/>
                <w:sz w:val="24"/>
                <w:highlight w:val="none"/>
              </w:rPr>
              <w:t>T</w:t>
            </w:r>
            <w:r>
              <w:rPr>
                <w:rFonts w:hint="eastAsia"/>
                <w:i/>
                <w:iCs/>
                <w:sz w:val="24"/>
                <w:highlight w:val="none"/>
                <w:lang w:eastAsia="zh-CN"/>
              </w:rPr>
              <w:t>-</w:t>
            </w:r>
            <w:r>
              <w:rPr>
                <w:rFonts w:hint="eastAsia"/>
                <w:sz w:val="24"/>
                <w:highlight w:val="none"/>
              </w:rPr>
              <w:t>预测计算的时间段，s</w:t>
            </w:r>
            <w:r>
              <w:rPr>
                <w:sz w:val="24"/>
                <w:highlight w:val="none"/>
              </w:rPr>
              <w:t>；</w:t>
            </w:r>
          </w:p>
          <w:p>
            <w:pPr>
              <w:spacing w:line="360" w:lineRule="auto"/>
              <w:ind w:firstLine="1200" w:firstLineChars="500"/>
              <w:rPr>
                <w:rFonts w:hint="eastAsia"/>
                <w:sz w:val="24"/>
                <w:highlight w:val="none"/>
              </w:rPr>
            </w:pPr>
            <w:r>
              <w:rPr>
                <w:rFonts w:hint="eastAsia"/>
                <w:i/>
                <w:iCs/>
                <w:sz w:val="24"/>
                <w:highlight w:val="none"/>
              </w:rPr>
              <w:t>t</w:t>
            </w:r>
            <w:r>
              <w:rPr>
                <w:rFonts w:hint="eastAsia"/>
                <w:i/>
                <w:iCs/>
                <w:sz w:val="24"/>
                <w:highlight w:val="none"/>
                <w:vertAlign w:val="subscript"/>
              </w:rPr>
              <w:t>i</w:t>
            </w:r>
            <w:r>
              <w:rPr>
                <w:rFonts w:hint="eastAsia"/>
                <w:i/>
                <w:iCs/>
                <w:sz w:val="24"/>
                <w:highlight w:val="none"/>
                <w:lang w:eastAsia="zh-CN"/>
              </w:rPr>
              <w:t>-</w:t>
            </w:r>
            <w:r>
              <w:rPr>
                <w:rFonts w:hint="eastAsia"/>
                <w:i/>
                <w:iCs/>
                <w:sz w:val="24"/>
                <w:highlight w:val="none"/>
              </w:rPr>
              <w:t>i</w:t>
            </w:r>
            <w:r>
              <w:rPr>
                <w:rFonts w:hint="eastAsia"/>
                <w:sz w:val="24"/>
                <w:highlight w:val="none"/>
              </w:rPr>
              <w:t>声源在</w:t>
            </w:r>
            <w:r>
              <w:rPr>
                <w:rFonts w:hint="eastAsia"/>
                <w:i/>
                <w:iCs/>
                <w:sz w:val="24"/>
                <w:highlight w:val="none"/>
              </w:rPr>
              <w:t>T</w:t>
            </w:r>
            <w:r>
              <w:rPr>
                <w:rFonts w:hint="eastAsia"/>
                <w:sz w:val="24"/>
                <w:highlight w:val="none"/>
              </w:rPr>
              <w:t>时间段内的运行时间，s</w:t>
            </w:r>
            <w:r>
              <w:rPr>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i/>
                <w:iCs/>
                <w:sz w:val="24"/>
                <w:highlight w:val="none"/>
              </w:rPr>
              <w:t>L</w:t>
            </w:r>
            <w:r>
              <w:rPr>
                <w:rFonts w:hint="eastAsia"/>
                <w:i/>
                <w:iCs/>
                <w:sz w:val="24"/>
                <w:highlight w:val="none"/>
                <w:vertAlign w:val="subscript"/>
              </w:rPr>
              <w:t>Ai</w:t>
            </w:r>
            <w:r>
              <w:rPr>
                <w:rFonts w:hint="eastAsia"/>
                <w:i/>
                <w:iCs/>
                <w:sz w:val="24"/>
                <w:highlight w:val="none"/>
                <w:lang w:eastAsia="zh-CN"/>
              </w:rPr>
              <w:t>-</w:t>
            </w:r>
            <w:r>
              <w:rPr>
                <w:rFonts w:hint="eastAsia"/>
                <w:i/>
                <w:iCs/>
                <w:sz w:val="24"/>
                <w:highlight w:val="none"/>
              </w:rPr>
              <w:t>i</w:t>
            </w:r>
            <w:r>
              <w:rPr>
                <w:rFonts w:hint="eastAsia"/>
                <w:sz w:val="24"/>
                <w:highlight w:val="none"/>
              </w:rPr>
              <w:t>声源在预测点产生的等效连续A声级</w:t>
            </w:r>
            <w:r>
              <w:rPr>
                <w:rFonts w:hint="eastAsia"/>
                <w:highlight w:val="none"/>
              </w:rPr>
              <w:t>，dB</w:t>
            </w:r>
            <w:r>
              <w:rPr>
                <w:sz w:val="24"/>
                <w:highlight w:val="none"/>
              </w:rPr>
              <w:t>；</w:t>
            </w:r>
          </w:p>
          <w:p>
            <w:pPr>
              <w:pStyle w:val="2"/>
              <w:spacing w:before="0" w:after="0" w:line="360" w:lineRule="auto"/>
              <w:ind w:right="0" w:firstLine="480" w:firstLineChars="200"/>
              <w:rPr>
                <w:rFonts w:hint="eastAsia"/>
                <w:b/>
                <w:sz w:val="21"/>
                <w:szCs w:val="21"/>
                <w:highlight w:val="none"/>
              </w:rPr>
            </w:pPr>
            <w:r>
              <w:rPr>
                <w:rFonts w:hint="eastAsia"/>
                <w:sz w:val="24"/>
                <w:szCs w:val="24"/>
                <w:highlight w:val="none"/>
              </w:rPr>
              <w:t>设备厂界贡献值预测结果如下：</w:t>
            </w:r>
          </w:p>
          <w:p>
            <w:pPr>
              <w:ind w:firstLine="420" w:firstLineChars="200"/>
              <w:jc w:val="center"/>
              <w:rPr>
                <w:rFonts w:hint="eastAsia"/>
                <w:b w:val="0"/>
                <w:bCs/>
                <w:sz w:val="24"/>
                <w:highlight w:val="none"/>
              </w:rPr>
            </w:pPr>
            <w:r>
              <w:rPr>
                <w:rFonts w:hint="eastAsia"/>
                <w:b w:val="0"/>
                <w:bCs/>
                <w:szCs w:val="21"/>
                <w:highlight w:val="none"/>
              </w:rPr>
              <w:t>表4</w:t>
            </w:r>
            <w:r>
              <w:rPr>
                <w:rFonts w:hint="eastAsia"/>
                <w:b w:val="0"/>
                <w:bCs/>
                <w:szCs w:val="21"/>
                <w:highlight w:val="none"/>
                <w:lang w:eastAsia="zh-CN"/>
              </w:rPr>
              <w:t>-</w:t>
            </w:r>
            <w:r>
              <w:rPr>
                <w:rFonts w:hint="eastAsia"/>
                <w:b w:val="0"/>
                <w:bCs/>
                <w:szCs w:val="21"/>
                <w:highlight w:val="none"/>
                <w:lang w:val="en-US" w:eastAsia="zh-CN"/>
              </w:rPr>
              <w:t>6</w:t>
            </w:r>
            <w:r>
              <w:rPr>
                <w:rFonts w:hint="eastAsia"/>
                <w:b w:val="0"/>
                <w:bCs/>
                <w:szCs w:val="21"/>
                <w:highlight w:val="none"/>
              </w:rPr>
              <w:t>声环境影响贡献值计算结果   单位：dB</w:t>
            </w:r>
            <w:r>
              <w:rPr>
                <w:rFonts w:hint="eastAsia"/>
                <w:b w:val="0"/>
                <w:bCs/>
                <w:szCs w:val="21"/>
                <w:highlight w:val="none"/>
                <w:lang w:eastAsia="zh-CN"/>
              </w:rPr>
              <w:t>（</w:t>
            </w:r>
            <w:r>
              <w:rPr>
                <w:rFonts w:hint="eastAsia"/>
                <w:b w:val="0"/>
                <w:bCs/>
                <w:szCs w:val="21"/>
                <w:highlight w:val="none"/>
              </w:rPr>
              <w:t>A）</w:t>
            </w:r>
          </w:p>
          <w:tbl>
            <w:tblPr>
              <w:tblStyle w:val="2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62"/>
              <w:gridCol w:w="1353"/>
              <w:gridCol w:w="1593"/>
              <w:gridCol w:w="1527"/>
              <w:gridCol w:w="1022"/>
              <w:gridCol w:w="9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3" w:hRule="atLeast"/>
                <w:jc w:val="center"/>
              </w:trPr>
              <w:tc>
                <w:tcPr>
                  <w:tcW w:w="76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r>
                    <w:rPr>
                      <w:snapToGrid w:val="0"/>
                      <w:color w:val="000000"/>
                      <w:kern w:val="0"/>
                      <w:szCs w:val="21"/>
                      <w:highlight w:val="none"/>
                    </w:rPr>
                    <w:t>序号</w:t>
                  </w:r>
                </w:p>
              </w:tc>
              <w:tc>
                <w:tcPr>
                  <w:tcW w:w="13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r>
                    <w:rPr>
                      <w:snapToGrid w:val="0"/>
                      <w:color w:val="000000"/>
                      <w:kern w:val="0"/>
                      <w:szCs w:val="21"/>
                      <w:highlight w:val="none"/>
                    </w:rPr>
                    <w:t>场界</w:t>
                  </w:r>
                </w:p>
              </w:tc>
              <w:tc>
                <w:tcPr>
                  <w:tcW w:w="15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snapToGrid w:val="0"/>
                      <w:color w:val="000000"/>
                      <w:kern w:val="0"/>
                      <w:szCs w:val="21"/>
                      <w:highlight w:val="none"/>
                      <w:lang w:val="en-US" w:eastAsia="zh-CN"/>
                    </w:rPr>
                  </w:pPr>
                  <w:r>
                    <w:rPr>
                      <w:rFonts w:hint="eastAsia"/>
                      <w:snapToGrid w:val="0"/>
                      <w:color w:val="000000"/>
                      <w:kern w:val="0"/>
                      <w:szCs w:val="21"/>
                      <w:highlight w:val="none"/>
                      <w:lang w:eastAsia="zh-CN"/>
                    </w:rPr>
                    <w:t>设备</w:t>
                  </w:r>
                  <w:r>
                    <w:rPr>
                      <w:rFonts w:hint="eastAsia"/>
                      <w:snapToGrid w:val="0"/>
                      <w:color w:val="000000"/>
                      <w:kern w:val="0"/>
                      <w:szCs w:val="21"/>
                      <w:highlight w:val="none"/>
                    </w:rPr>
                    <w:t>与场界距离</w:t>
                  </w:r>
                  <w:r>
                    <w:rPr>
                      <w:rFonts w:hint="eastAsia"/>
                      <w:snapToGrid w:val="0"/>
                      <w:color w:val="000000"/>
                      <w:kern w:val="0"/>
                      <w:szCs w:val="21"/>
                      <w:highlight w:val="none"/>
                      <w:lang w:eastAsia="zh-CN"/>
                    </w:rPr>
                    <w:t>（</w:t>
                  </w:r>
                  <w:r>
                    <w:rPr>
                      <w:rFonts w:hint="eastAsia"/>
                      <w:snapToGrid w:val="0"/>
                      <w:color w:val="000000"/>
                      <w:kern w:val="0"/>
                      <w:szCs w:val="21"/>
                      <w:highlight w:val="none"/>
                      <w:lang w:val="en-US" w:eastAsia="zh-CN"/>
                    </w:rPr>
                    <w:t>m</w:t>
                  </w:r>
                  <w:r>
                    <w:rPr>
                      <w:rFonts w:hint="eastAsia"/>
                      <w:snapToGrid w:val="0"/>
                      <w:color w:val="000000"/>
                      <w:kern w:val="0"/>
                      <w:szCs w:val="21"/>
                      <w:highlight w:val="none"/>
                      <w:lang w:eastAsia="zh-CN"/>
                    </w:rPr>
                    <w:t>）</w:t>
                  </w: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r>
                    <w:rPr>
                      <w:snapToGrid w:val="0"/>
                      <w:color w:val="000000"/>
                      <w:kern w:val="0"/>
                      <w:szCs w:val="21"/>
                      <w:highlight w:val="none"/>
                    </w:rPr>
                    <w:t>贡献值</w:t>
                  </w:r>
                </w:p>
              </w:tc>
              <w:tc>
                <w:tcPr>
                  <w:tcW w:w="194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r>
                    <w:rPr>
                      <w:snapToGrid w:val="0"/>
                      <w:color w:val="000000"/>
                      <w:kern w:val="0"/>
                      <w:szCs w:val="21"/>
                      <w:highlight w:val="none"/>
                    </w:rPr>
                    <w:t>排放限值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7" w:hRule="atLeast"/>
                <w:jc w:val="center"/>
              </w:trPr>
              <w:tc>
                <w:tcPr>
                  <w:tcW w:w="76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r>
                    <w:rPr>
                      <w:snapToGrid w:val="0"/>
                      <w:color w:val="000000"/>
                      <w:kern w:val="0"/>
                      <w:szCs w:val="21"/>
                      <w:highlight w:val="none"/>
                    </w:rPr>
                    <w:t>1</w:t>
                  </w:r>
                </w:p>
              </w:tc>
              <w:tc>
                <w:tcPr>
                  <w:tcW w:w="13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r>
                    <w:rPr>
                      <w:snapToGrid w:val="0"/>
                      <w:color w:val="000000"/>
                      <w:kern w:val="0"/>
                      <w:szCs w:val="21"/>
                      <w:highlight w:val="none"/>
                    </w:rPr>
                    <w:t>东场界</w:t>
                  </w:r>
                </w:p>
              </w:tc>
              <w:tc>
                <w:tcPr>
                  <w:tcW w:w="15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snapToGrid w:val="0"/>
                      <w:color w:val="000000"/>
                      <w:kern w:val="0"/>
                      <w:szCs w:val="21"/>
                      <w:highlight w:val="none"/>
                      <w:lang w:val="en-US" w:eastAsia="zh-CN"/>
                    </w:rPr>
                  </w:pPr>
                  <w:r>
                    <w:rPr>
                      <w:rFonts w:hint="eastAsia"/>
                      <w:snapToGrid w:val="0"/>
                      <w:color w:val="000000"/>
                      <w:kern w:val="0"/>
                      <w:szCs w:val="21"/>
                      <w:highlight w:val="none"/>
                      <w:lang w:val="en-US" w:eastAsia="zh-CN"/>
                    </w:rPr>
                    <w:t>70</w:t>
                  </w: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000000"/>
                      <w:szCs w:val="21"/>
                      <w:highlight w:val="none"/>
                      <w:lang w:val="en-US" w:eastAsia="zh-CN"/>
                    </w:rPr>
                  </w:pPr>
                  <w:r>
                    <w:rPr>
                      <w:rFonts w:hint="eastAsia"/>
                      <w:color w:val="000000"/>
                      <w:szCs w:val="21"/>
                      <w:highlight w:val="none"/>
                      <w:lang w:val="en-US" w:eastAsia="zh-CN"/>
                    </w:rPr>
                    <w:t>37.30</w:t>
                  </w:r>
                </w:p>
              </w:tc>
              <w:tc>
                <w:tcPr>
                  <w:tcW w:w="102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snapToGrid w:val="0"/>
                      <w:color w:val="000000"/>
                      <w:kern w:val="0"/>
                      <w:szCs w:val="21"/>
                      <w:highlight w:val="none"/>
                      <w:lang w:val="en-US" w:eastAsia="zh-CN"/>
                    </w:rPr>
                  </w:pPr>
                  <w:r>
                    <w:rPr>
                      <w:rFonts w:hint="eastAsia"/>
                      <w:snapToGrid w:val="0"/>
                      <w:color w:val="000000"/>
                      <w:kern w:val="0"/>
                      <w:szCs w:val="21"/>
                      <w:highlight w:val="none"/>
                      <w:lang w:val="en-US" w:eastAsia="zh-CN"/>
                    </w:rPr>
                    <w:t>昼间55</w:t>
                  </w:r>
                </w:p>
              </w:tc>
              <w:tc>
                <w:tcPr>
                  <w:tcW w:w="9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snapToGrid w:val="0"/>
                      <w:color w:val="000000"/>
                      <w:kern w:val="0"/>
                      <w:szCs w:val="21"/>
                      <w:highlight w:val="none"/>
                      <w:lang w:val="en-US" w:eastAsia="zh-CN"/>
                    </w:rPr>
                  </w:pPr>
                  <w:r>
                    <w:rPr>
                      <w:rFonts w:hint="eastAsia"/>
                      <w:snapToGrid w:val="0"/>
                      <w:color w:val="000000"/>
                      <w:kern w:val="0"/>
                      <w:szCs w:val="21"/>
                      <w:highlight w:val="none"/>
                      <w:lang w:val="en-US" w:eastAsia="zh-CN"/>
                    </w:rPr>
                    <w:t>夜间45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76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r>
                    <w:rPr>
                      <w:snapToGrid w:val="0"/>
                      <w:color w:val="000000"/>
                      <w:kern w:val="0"/>
                      <w:szCs w:val="21"/>
                      <w:highlight w:val="none"/>
                    </w:rPr>
                    <w:t>2</w:t>
                  </w:r>
                </w:p>
              </w:tc>
              <w:tc>
                <w:tcPr>
                  <w:tcW w:w="13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r>
                    <w:rPr>
                      <w:snapToGrid w:val="0"/>
                      <w:color w:val="000000"/>
                      <w:kern w:val="0"/>
                      <w:szCs w:val="21"/>
                      <w:highlight w:val="none"/>
                    </w:rPr>
                    <w:t>南场界</w:t>
                  </w:r>
                </w:p>
              </w:tc>
              <w:tc>
                <w:tcPr>
                  <w:tcW w:w="15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snapToGrid w:val="0"/>
                      <w:color w:val="000000"/>
                      <w:kern w:val="0"/>
                      <w:szCs w:val="21"/>
                      <w:highlight w:val="none"/>
                      <w:lang w:val="en-US" w:eastAsia="zh-CN"/>
                    </w:rPr>
                  </w:pPr>
                  <w:r>
                    <w:rPr>
                      <w:rFonts w:hint="eastAsia"/>
                      <w:snapToGrid w:val="0"/>
                      <w:color w:val="000000"/>
                      <w:kern w:val="0"/>
                      <w:szCs w:val="21"/>
                      <w:highlight w:val="none"/>
                      <w:lang w:val="en-US" w:eastAsia="zh-CN"/>
                    </w:rPr>
                    <w:t>48</w:t>
                  </w: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000000"/>
                      <w:szCs w:val="21"/>
                      <w:highlight w:val="none"/>
                      <w:lang w:val="en-US" w:eastAsia="zh-CN"/>
                    </w:rPr>
                  </w:pPr>
                  <w:r>
                    <w:rPr>
                      <w:rFonts w:hint="eastAsia"/>
                      <w:color w:val="000000"/>
                      <w:szCs w:val="21"/>
                      <w:highlight w:val="none"/>
                      <w:lang w:val="en-US" w:eastAsia="zh-CN"/>
                    </w:rPr>
                    <w:t>40.58</w:t>
                  </w:r>
                </w:p>
              </w:tc>
              <w:tc>
                <w:tcPr>
                  <w:tcW w:w="10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p>
              </w:tc>
              <w:tc>
                <w:tcPr>
                  <w:tcW w:w="9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76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r>
                    <w:rPr>
                      <w:snapToGrid w:val="0"/>
                      <w:color w:val="000000"/>
                      <w:kern w:val="0"/>
                      <w:szCs w:val="21"/>
                      <w:highlight w:val="none"/>
                    </w:rPr>
                    <w:t>3</w:t>
                  </w:r>
                </w:p>
              </w:tc>
              <w:tc>
                <w:tcPr>
                  <w:tcW w:w="13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r>
                    <w:rPr>
                      <w:snapToGrid w:val="0"/>
                      <w:color w:val="000000"/>
                      <w:kern w:val="0"/>
                      <w:szCs w:val="21"/>
                      <w:highlight w:val="none"/>
                    </w:rPr>
                    <w:t>西场界</w:t>
                  </w:r>
                </w:p>
              </w:tc>
              <w:tc>
                <w:tcPr>
                  <w:tcW w:w="15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snapToGrid w:val="0"/>
                      <w:color w:val="000000"/>
                      <w:kern w:val="0"/>
                      <w:szCs w:val="21"/>
                      <w:highlight w:val="none"/>
                      <w:lang w:val="en-US" w:eastAsia="zh-CN"/>
                    </w:rPr>
                  </w:pPr>
                  <w:r>
                    <w:rPr>
                      <w:rFonts w:hint="eastAsia"/>
                      <w:snapToGrid w:val="0"/>
                      <w:color w:val="000000"/>
                      <w:kern w:val="0"/>
                      <w:szCs w:val="21"/>
                      <w:highlight w:val="none"/>
                      <w:lang w:val="en-US" w:eastAsia="zh-CN"/>
                    </w:rPr>
                    <w:t>42</w:t>
                  </w: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000000"/>
                      <w:szCs w:val="21"/>
                      <w:highlight w:val="none"/>
                      <w:lang w:val="en-US" w:eastAsia="zh-CN"/>
                    </w:rPr>
                  </w:pPr>
                  <w:r>
                    <w:rPr>
                      <w:rFonts w:hint="default" w:eastAsia="宋体"/>
                      <w:color w:val="000000"/>
                      <w:szCs w:val="21"/>
                      <w:highlight w:val="none"/>
                      <w:lang w:val="en-US" w:eastAsia="zh-CN"/>
                    </w:rPr>
                    <w:t>41.7</w:t>
                  </w:r>
                  <w:r>
                    <w:rPr>
                      <w:rFonts w:hint="eastAsia"/>
                      <w:color w:val="000000"/>
                      <w:szCs w:val="21"/>
                      <w:highlight w:val="none"/>
                      <w:lang w:val="en-US" w:eastAsia="zh-CN"/>
                    </w:rPr>
                    <w:t>4</w:t>
                  </w:r>
                </w:p>
              </w:tc>
              <w:tc>
                <w:tcPr>
                  <w:tcW w:w="10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p>
              </w:tc>
              <w:tc>
                <w:tcPr>
                  <w:tcW w:w="9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76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r>
                    <w:rPr>
                      <w:snapToGrid w:val="0"/>
                      <w:color w:val="000000"/>
                      <w:kern w:val="0"/>
                      <w:szCs w:val="21"/>
                      <w:highlight w:val="none"/>
                    </w:rPr>
                    <w:t>4</w:t>
                  </w:r>
                </w:p>
              </w:tc>
              <w:tc>
                <w:tcPr>
                  <w:tcW w:w="13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r>
                    <w:rPr>
                      <w:snapToGrid w:val="0"/>
                      <w:color w:val="000000"/>
                      <w:kern w:val="0"/>
                      <w:szCs w:val="21"/>
                      <w:highlight w:val="none"/>
                    </w:rPr>
                    <w:t>北场界</w:t>
                  </w:r>
                </w:p>
              </w:tc>
              <w:tc>
                <w:tcPr>
                  <w:tcW w:w="15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napToGrid w:val="0"/>
                      <w:color w:val="000000"/>
                      <w:kern w:val="0"/>
                      <w:szCs w:val="21"/>
                      <w:highlight w:val="none"/>
                      <w:lang w:val="en-US"/>
                    </w:rPr>
                  </w:pPr>
                  <w:r>
                    <w:rPr>
                      <w:rFonts w:hint="eastAsia"/>
                      <w:snapToGrid w:val="0"/>
                      <w:color w:val="000000"/>
                      <w:kern w:val="0"/>
                      <w:szCs w:val="21"/>
                      <w:highlight w:val="none"/>
                      <w:lang w:val="en-US" w:eastAsia="zh-CN"/>
                    </w:rPr>
                    <w:t>30</w:t>
                  </w: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000000"/>
                      <w:szCs w:val="21"/>
                      <w:highlight w:val="none"/>
                      <w:lang w:val="en-US" w:eastAsia="zh-CN"/>
                    </w:rPr>
                  </w:pPr>
                  <w:r>
                    <w:rPr>
                      <w:rFonts w:hint="default" w:eastAsia="宋体"/>
                      <w:color w:val="000000"/>
                      <w:szCs w:val="21"/>
                      <w:highlight w:val="none"/>
                      <w:lang w:val="en-US" w:eastAsia="zh-CN"/>
                    </w:rPr>
                    <w:t>44.6</w:t>
                  </w:r>
                  <w:r>
                    <w:rPr>
                      <w:rFonts w:hint="eastAsia"/>
                      <w:color w:val="000000"/>
                      <w:szCs w:val="21"/>
                      <w:highlight w:val="none"/>
                      <w:lang w:val="en-US" w:eastAsia="zh-CN"/>
                    </w:rPr>
                    <w:t>6</w:t>
                  </w:r>
                </w:p>
              </w:tc>
              <w:tc>
                <w:tcPr>
                  <w:tcW w:w="102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p>
              </w:tc>
              <w:tc>
                <w:tcPr>
                  <w:tcW w:w="9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napToGrid w:val="0"/>
                      <w:color w:val="000000"/>
                      <w:kern w:val="0"/>
                      <w:szCs w:val="21"/>
                      <w:highlight w:val="none"/>
                    </w:rPr>
                  </w:pP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sz w:val="24"/>
                <w:szCs w:val="24"/>
                <w:highlight w:val="none"/>
              </w:rPr>
              <w:t>由</w:t>
            </w:r>
            <w:r>
              <w:rPr>
                <w:rFonts w:hint="eastAsia"/>
                <w:sz w:val="24"/>
                <w:szCs w:val="24"/>
                <w:highlight w:val="none"/>
              </w:rPr>
              <w:t>噪声预测结果</w:t>
            </w:r>
            <w:r>
              <w:rPr>
                <w:sz w:val="24"/>
                <w:szCs w:val="24"/>
                <w:highlight w:val="none"/>
              </w:rPr>
              <w:t>可知，</w:t>
            </w:r>
            <w:r>
              <w:rPr>
                <w:rFonts w:hint="eastAsia"/>
                <w:sz w:val="24"/>
                <w:szCs w:val="24"/>
                <w:highlight w:val="none"/>
              </w:rPr>
              <w:t>厂界</w:t>
            </w:r>
            <w:r>
              <w:rPr>
                <w:sz w:val="24"/>
                <w:szCs w:val="24"/>
                <w:highlight w:val="none"/>
              </w:rPr>
              <w:t>昼间噪声贡献值在</w:t>
            </w:r>
            <w:r>
              <w:rPr>
                <w:rFonts w:hint="eastAsia"/>
                <w:sz w:val="24"/>
                <w:szCs w:val="24"/>
                <w:highlight w:val="none"/>
                <w:lang w:val="en-US" w:eastAsia="zh-CN"/>
              </w:rPr>
              <w:t>37.30</w:t>
            </w:r>
            <w:r>
              <w:rPr>
                <w:rFonts w:hint="eastAsia"/>
                <w:sz w:val="24"/>
                <w:szCs w:val="24"/>
                <w:highlight w:val="none"/>
                <w:lang w:eastAsia="zh-CN"/>
              </w:rPr>
              <w:t>-</w:t>
            </w:r>
            <w:r>
              <w:rPr>
                <w:rFonts w:hint="default"/>
                <w:sz w:val="24"/>
                <w:szCs w:val="24"/>
                <w:highlight w:val="none"/>
                <w:lang w:val="en-US" w:eastAsia="zh-CN"/>
              </w:rPr>
              <w:t>44.6</w:t>
            </w:r>
            <w:r>
              <w:rPr>
                <w:rFonts w:hint="eastAsia"/>
                <w:sz w:val="24"/>
                <w:szCs w:val="24"/>
                <w:highlight w:val="none"/>
                <w:lang w:val="en-US" w:eastAsia="zh-CN"/>
              </w:rPr>
              <w:t>6</w:t>
            </w:r>
            <w:r>
              <w:rPr>
                <w:sz w:val="24"/>
                <w:szCs w:val="24"/>
                <w:highlight w:val="none"/>
              </w:rPr>
              <w:t>dB</w:t>
            </w:r>
            <w:r>
              <w:rPr>
                <w:rFonts w:hint="eastAsia"/>
                <w:sz w:val="24"/>
                <w:szCs w:val="24"/>
                <w:highlight w:val="none"/>
                <w:lang w:eastAsia="zh-CN"/>
              </w:rPr>
              <w:t>（</w:t>
            </w:r>
            <w:r>
              <w:rPr>
                <w:sz w:val="24"/>
                <w:szCs w:val="24"/>
                <w:highlight w:val="none"/>
              </w:rPr>
              <w:t>A</w:t>
            </w:r>
            <w:r>
              <w:rPr>
                <w:rFonts w:hint="eastAsia"/>
                <w:sz w:val="24"/>
                <w:szCs w:val="24"/>
                <w:highlight w:val="none"/>
                <w:lang w:eastAsia="zh-CN"/>
              </w:rPr>
              <w:t>）</w:t>
            </w:r>
            <w:r>
              <w:rPr>
                <w:sz w:val="24"/>
                <w:szCs w:val="24"/>
                <w:highlight w:val="none"/>
              </w:rPr>
              <w:t>之间，均满足</w:t>
            </w:r>
            <w:r>
              <w:rPr>
                <w:rFonts w:hint="eastAsia"/>
                <w:sz w:val="24"/>
                <w:szCs w:val="24"/>
                <w:highlight w:val="none"/>
              </w:rPr>
              <w:t>《工业企业厂界环境噪声排放标准》</w:t>
            </w:r>
            <w:r>
              <w:rPr>
                <w:rFonts w:hint="eastAsia"/>
                <w:sz w:val="24"/>
                <w:szCs w:val="24"/>
                <w:highlight w:val="none"/>
                <w:lang w:eastAsia="zh-CN"/>
              </w:rPr>
              <w:t>（</w:t>
            </w:r>
            <w:r>
              <w:rPr>
                <w:rFonts w:hint="eastAsia"/>
                <w:sz w:val="24"/>
                <w:szCs w:val="24"/>
                <w:highlight w:val="none"/>
              </w:rPr>
              <w:t>GB12348</w:t>
            </w:r>
            <w:r>
              <w:rPr>
                <w:rFonts w:hint="eastAsia"/>
                <w:sz w:val="24"/>
                <w:szCs w:val="24"/>
                <w:highlight w:val="none"/>
                <w:lang w:eastAsia="zh-CN"/>
              </w:rPr>
              <w:t>-</w:t>
            </w:r>
            <w:r>
              <w:rPr>
                <w:rFonts w:hint="eastAsia"/>
                <w:sz w:val="24"/>
                <w:szCs w:val="24"/>
                <w:highlight w:val="none"/>
              </w:rPr>
              <w:t>2008）</w:t>
            </w:r>
            <w:r>
              <w:rPr>
                <w:rFonts w:hint="eastAsia"/>
                <w:sz w:val="24"/>
                <w:szCs w:val="24"/>
                <w:highlight w:val="none"/>
                <w:lang w:val="en-US" w:eastAsia="zh-CN"/>
              </w:rPr>
              <w:t>1</w:t>
            </w:r>
            <w:r>
              <w:rPr>
                <w:rFonts w:hint="eastAsia"/>
                <w:sz w:val="24"/>
                <w:szCs w:val="24"/>
                <w:highlight w:val="none"/>
              </w:rPr>
              <w:t>类</w:t>
            </w:r>
            <w:r>
              <w:rPr>
                <w:rFonts w:hint="eastAsia"/>
                <w:sz w:val="24"/>
                <w:szCs w:val="24"/>
                <w:highlight w:val="none"/>
                <w:lang w:eastAsia="zh-CN"/>
              </w:rPr>
              <w:t>（</w:t>
            </w:r>
            <w:r>
              <w:rPr>
                <w:sz w:val="24"/>
                <w:szCs w:val="24"/>
                <w:highlight w:val="none"/>
              </w:rPr>
              <w:t>昼间</w:t>
            </w:r>
            <w:r>
              <w:rPr>
                <w:rFonts w:hint="eastAsia"/>
                <w:sz w:val="24"/>
                <w:szCs w:val="24"/>
                <w:highlight w:val="none"/>
                <w:lang w:val="en-US" w:eastAsia="zh-CN"/>
              </w:rPr>
              <w:t>55</w:t>
            </w:r>
            <w:r>
              <w:rPr>
                <w:sz w:val="24"/>
                <w:szCs w:val="24"/>
                <w:highlight w:val="none"/>
              </w:rPr>
              <w:t>dB</w:t>
            </w:r>
            <w:r>
              <w:rPr>
                <w:rFonts w:hint="eastAsia"/>
                <w:sz w:val="24"/>
                <w:szCs w:val="24"/>
                <w:highlight w:val="none"/>
                <w:lang w:eastAsia="zh-CN"/>
              </w:rPr>
              <w:t>（</w:t>
            </w:r>
            <w:r>
              <w:rPr>
                <w:sz w:val="24"/>
                <w:szCs w:val="24"/>
                <w:highlight w:val="none"/>
              </w:rPr>
              <w:t>A），夜间</w:t>
            </w:r>
            <w:r>
              <w:rPr>
                <w:rFonts w:hint="eastAsia"/>
                <w:sz w:val="24"/>
                <w:szCs w:val="24"/>
                <w:highlight w:val="none"/>
                <w:lang w:val="en-US" w:eastAsia="zh-CN"/>
              </w:rPr>
              <w:t>45</w:t>
            </w:r>
            <w:r>
              <w:rPr>
                <w:sz w:val="24"/>
                <w:szCs w:val="24"/>
                <w:highlight w:val="none"/>
              </w:rPr>
              <w:t>dB</w:t>
            </w:r>
            <w:r>
              <w:rPr>
                <w:rFonts w:hint="eastAsia"/>
                <w:sz w:val="24"/>
                <w:szCs w:val="24"/>
                <w:highlight w:val="none"/>
                <w:lang w:eastAsia="zh-CN"/>
              </w:rPr>
              <w:t>（</w:t>
            </w:r>
            <w:r>
              <w:rPr>
                <w:sz w:val="24"/>
                <w:szCs w:val="24"/>
                <w:highlight w:val="none"/>
              </w:rPr>
              <w:t>A））的噪声标准限值要求</w:t>
            </w:r>
            <w:r>
              <w:rPr>
                <w:rFonts w:hint="default" w:ascii="Times New Roman" w:hAnsi="Times New Roman" w:eastAsia="宋体" w:cs="Times New Roman"/>
                <w:color w:val="auto"/>
                <w:kern w:val="2"/>
                <w:sz w:val="24"/>
                <w:szCs w:val="24"/>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风井场地</w:t>
            </w:r>
            <w:r>
              <w:rPr>
                <w:rFonts w:hint="default" w:ascii="Times New Roman" w:hAnsi="Times New Roman" w:eastAsia="宋体" w:cs="Times New Roman"/>
                <w:color w:val="auto"/>
                <w:kern w:val="2"/>
                <w:sz w:val="24"/>
                <w:szCs w:val="24"/>
                <w:highlight w:val="none"/>
                <w:lang w:val="en-US" w:eastAsia="zh-CN" w:bidi="ar-SA"/>
              </w:rPr>
              <w:t>周边无声环境敏感点</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故该项目对外环境噪声影响较小。</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200" w:right="0" w:rightChars="0"/>
              <w:jc w:val="both"/>
              <w:textAlignment w:val="auto"/>
              <w:rPr>
                <w:rFonts w:hint="eastAsia"/>
                <w:spacing w:val="0"/>
                <w:w w:val="100"/>
                <w:position w:val="0"/>
                <w:sz w:val="24"/>
                <w:szCs w:val="24"/>
                <w:highlight w:val="none"/>
                <w:lang w:val="en-US" w:eastAsia="zh-CN"/>
              </w:rPr>
            </w:pPr>
            <w:r>
              <w:rPr>
                <w:rFonts w:hint="eastAsia"/>
                <w:spacing w:val="0"/>
                <w:w w:val="100"/>
                <w:position w:val="0"/>
                <w:sz w:val="24"/>
                <w:szCs w:val="24"/>
                <w:highlight w:val="none"/>
                <w:lang w:val="en-US" w:eastAsia="zh-CN"/>
              </w:rPr>
              <w:t>（2）道路噪声</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0" w:leftChars="0" w:right="0" w:rightChars="0" w:firstLine="480" w:firstLineChars="200"/>
              <w:jc w:val="both"/>
              <w:textAlignment w:val="auto"/>
              <w:rPr>
                <w:spacing w:val="0"/>
                <w:w w:val="100"/>
                <w:position w:val="0"/>
                <w:sz w:val="24"/>
                <w:szCs w:val="24"/>
                <w:highlight w:val="none"/>
              </w:rPr>
            </w:pPr>
            <w:r>
              <w:rPr>
                <w:spacing w:val="0"/>
                <w:w w:val="100"/>
                <w:position w:val="0"/>
                <w:sz w:val="24"/>
                <w:szCs w:val="24"/>
                <w:highlight w:val="none"/>
              </w:rPr>
              <w:t>项目</w:t>
            </w:r>
            <w:r>
              <w:rPr>
                <w:rFonts w:hint="eastAsia"/>
                <w:spacing w:val="0"/>
                <w:w w:val="100"/>
                <w:position w:val="0"/>
                <w:sz w:val="24"/>
                <w:szCs w:val="24"/>
                <w:highlight w:val="none"/>
                <w:lang w:val="en-US" w:eastAsia="zh-CN"/>
              </w:rPr>
              <w:t>场外</w:t>
            </w:r>
            <w:r>
              <w:rPr>
                <w:spacing w:val="0"/>
                <w:w w:val="100"/>
                <w:position w:val="0"/>
                <w:sz w:val="24"/>
                <w:szCs w:val="24"/>
                <w:highlight w:val="none"/>
              </w:rPr>
              <w:t>道路交通量仅为日常通勤及对外联络车辆，车流量极低。北部风井道路</w:t>
            </w:r>
            <w:r>
              <w:rPr>
                <w:rFonts w:hint="eastAsia"/>
                <w:spacing w:val="0"/>
                <w:w w:val="100"/>
                <w:position w:val="0"/>
                <w:sz w:val="24"/>
                <w:szCs w:val="24"/>
                <w:highlight w:val="none"/>
                <w:lang w:val="en-US" w:eastAsia="zh-CN"/>
              </w:rPr>
              <w:t>5</w:t>
            </w:r>
            <w:r>
              <w:rPr>
                <w:rFonts w:ascii="Times New Roman" w:hAnsi="Times New Roman" w:eastAsia="Times New Roman" w:cs="Times New Roman"/>
                <w:spacing w:val="0"/>
                <w:w w:val="100"/>
                <w:position w:val="0"/>
                <w:sz w:val="24"/>
                <w:szCs w:val="24"/>
                <w:highlight w:val="none"/>
              </w:rPr>
              <w:t>0m</w:t>
            </w:r>
            <w:r>
              <w:rPr>
                <w:spacing w:val="0"/>
                <w:w w:val="100"/>
                <w:position w:val="0"/>
                <w:sz w:val="24"/>
                <w:szCs w:val="24"/>
                <w:highlight w:val="none"/>
              </w:rPr>
              <w:t>范围内涉及</w:t>
            </w:r>
            <w:r>
              <w:rPr>
                <w:rFonts w:ascii="宋体" w:hAnsi="宋体" w:cs="宋体"/>
                <w:sz w:val="24"/>
                <w:szCs w:val="24"/>
                <w:highlight w:val="none"/>
                <w:lang w:val="en-US" w:eastAsia="zh-CN"/>
              </w:rPr>
              <w:t>乌定补拉格村</w:t>
            </w:r>
            <w:r>
              <w:rPr>
                <w:rFonts w:hint="eastAsia" w:ascii="Times New Roman" w:hAnsi="Times New Roman" w:eastAsia="宋体" w:cs="Times New Roman"/>
                <w:spacing w:val="0"/>
                <w:w w:val="100"/>
                <w:position w:val="0"/>
                <w:sz w:val="24"/>
                <w:szCs w:val="24"/>
                <w:highlight w:val="none"/>
                <w:lang w:val="en-US" w:eastAsia="zh-CN"/>
              </w:rPr>
              <w:t>1</w:t>
            </w:r>
            <w:r>
              <w:rPr>
                <w:spacing w:val="0"/>
                <w:w w:val="100"/>
                <w:position w:val="0"/>
                <w:sz w:val="24"/>
                <w:szCs w:val="24"/>
                <w:highlight w:val="none"/>
              </w:rPr>
              <w:t>户居民。项目</w:t>
            </w:r>
            <w:r>
              <w:rPr>
                <w:rFonts w:hint="eastAsia"/>
                <w:spacing w:val="0"/>
                <w:w w:val="100"/>
                <w:position w:val="0"/>
                <w:sz w:val="24"/>
                <w:szCs w:val="24"/>
                <w:highlight w:val="none"/>
                <w:lang w:val="en-US" w:eastAsia="zh-CN"/>
              </w:rPr>
              <w:t>场外</w:t>
            </w:r>
            <w:r>
              <w:rPr>
                <w:spacing w:val="0"/>
                <w:w w:val="100"/>
                <w:position w:val="0"/>
                <w:sz w:val="24"/>
                <w:szCs w:val="24"/>
                <w:highlight w:val="none"/>
              </w:rPr>
              <w:t>道路交通量仅为日常通勤及对外联络车辆，</w:t>
            </w:r>
            <w:r>
              <w:rPr>
                <w:rFonts w:hint="eastAsia"/>
                <w:spacing w:val="0"/>
                <w:w w:val="100"/>
                <w:position w:val="0"/>
                <w:sz w:val="24"/>
                <w:szCs w:val="24"/>
                <w:highlight w:val="none"/>
                <w:lang w:eastAsia="zh-CN"/>
              </w:rPr>
              <w:t>主要是</w:t>
            </w:r>
            <w:r>
              <w:rPr>
                <w:rFonts w:hint="eastAsia"/>
                <w:spacing w:val="0"/>
                <w:w w:val="100"/>
                <w:position w:val="0"/>
                <w:sz w:val="24"/>
                <w:szCs w:val="24"/>
                <w:highlight w:val="none"/>
                <w:lang w:val="en-US" w:eastAsia="zh-CN"/>
              </w:rPr>
              <w:t>皮卡车和越野车等小型车辆较多，</w:t>
            </w:r>
            <w:r>
              <w:rPr>
                <w:spacing w:val="0"/>
                <w:w w:val="100"/>
                <w:position w:val="0"/>
                <w:sz w:val="24"/>
                <w:szCs w:val="24"/>
                <w:highlight w:val="none"/>
              </w:rPr>
              <w:t>车流量极低</w:t>
            </w:r>
            <w:r>
              <w:rPr>
                <w:rFonts w:hint="eastAsia"/>
                <w:spacing w:val="0"/>
                <w:w w:val="100"/>
                <w:position w:val="0"/>
                <w:sz w:val="24"/>
                <w:szCs w:val="24"/>
                <w:highlight w:val="none"/>
                <w:lang w:eastAsia="zh-CN"/>
              </w:rPr>
              <w:t>，车流量每日约</w:t>
            </w:r>
            <w:r>
              <w:rPr>
                <w:rFonts w:hint="eastAsia"/>
                <w:spacing w:val="0"/>
                <w:w w:val="100"/>
                <w:position w:val="0"/>
                <w:sz w:val="24"/>
                <w:szCs w:val="24"/>
                <w:highlight w:val="none"/>
                <w:lang w:val="en-US" w:eastAsia="zh-CN"/>
              </w:rPr>
              <w:t>10辆</w:t>
            </w:r>
            <w:r>
              <w:rPr>
                <w:spacing w:val="0"/>
                <w:w w:val="100"/>
                <w:position w:val="0"/>
                <w:sz w:val="24"/>
                <w:szCs w:val="24"/>
                <w:highlight w:val="none"/>
              </w:rPr>
              <w:t>。道路的运输噪声不会对周边的声环境及声环境敏感目标造成较大影响。为了将场外道路噪声影响降低到最小程度，本次评价提出道路两旁进行绿化、加强路面管理减少颠簸及尽量减少鸣笛次数</w:t>
            </w:r>
            <w:r>
              <w:rPr>
                <w:rFonts w:hint="eastAsia"/>
                <w:spacing w:val="0"/>
                <w:w w:val="100"/>
                <w:position w:val="0"/>
                <w:sz w:val="24"/>
                <w:szCs w:val="24"/>
                <w:highlight w:val="none"/>
                <w:lang w:eastAsia="zh-CN"/>
              </w:rPr>
              <w:t>；</w:t>
            </w:r>
            <w:r>
              <w:rPr>
                <w:rFonts w:hint="eastAsia"/>
                <w:spacing w:val="0"/>
                <w:w w:val="100"/>
                <w:position w:val="0"/>
                <w:sz w:val="24"/>
                <w:szCs w:val="24"/>
                <w:highlight w:val="none"/>
                <w:lang w:val="en-US" w:eastAsia="zh-CN"/>
              </w:rPr>
              <w:t>设置标志牌，车辆经过敏感点路段限速5km/h，定期对敏感点进行噪声跟踪监测</w:t>
            </w:r>
            <w:r>
              <w:rPr>
                <w:spacing w:val="0"/>
                <w:w w:val="100"/>
                <w:position w:val="0"/>
                <w:sz w:val="24"/>
                <w:szCs w:val="24"/>
                <w:highlight w:val="none"/>
              </w:rPr>
              <w:t>等。</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0" w:leftChars="0" w:right="0" w:rightChars="0" w:firstLine="480" w:firstLineChars="200"/>
              <w:jc w:val="both"/>
              <w:textAlignment w:val="auto"/>
              <w:rPr>
                <w:rFonts w:hint="eastAsia" w:ascii="宋体" w:hAnsi="宋体" w:cs="宋体"/>
                <w:bCs/>
                <w:szCs w:val="21"/>
                <w:highlight w:val="none"/>
                <w:lang w:val="en-US" w:eastAsia="zh-CN"/>
              </w:rPr>
            </w:pPr>
            <w:r>
              <w:rPr>
                <w:rFonts w:hint="eastAsia" w:ascii="Times New Roman" w:hAnsi="Times New Roman" w:cs="Times New Roman"/>
                <w:color w:val="auto"/>
                <w:sz w:val="24"/>
                <w:szCs w:val="24"/>
                <w:highlight w:val="none"/>
                <w:lang w:val="en-US" w:eastAsia="zh-CN"/>
              </w:rPr>
              <w:t>因此，在采取合适的噪声防治措施后</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eastAsia="zh-CN"/>
              </w:rPr>
              <w:t>本项目的建设对区域声环境影响较小。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4.固废环境影响分析</w:t>
            </w:r>
          </w:p>
          <w:p>
            <w:pPr>
              <w:pStyle w:val="57"/>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项目运营期固体废物主要是35kv</w:t>
            </w:r>
            <w:r>
              <w:rPr>
                <w:rFonts w:hint="eastAsia"/>
                <w:sz w:val="24"/>
                <w:szCs w:val="24"/>
                <w:highlight w:val="none"/>
                <w:lang w:val="en-US" w:eastAsia="zh-CN"/>
              </w:rPr>
              <w:t>预制舱式</w:t>
            </w:r>
            <w:r>
              <w:rPr>
                <w:rFonts w:hint="eastAsia" w:ascii="Times New Roman" w:hAnsi="Times New Roman" w:cs="Times New Roman"/>
                <w:color w:val="auto"/>
                <w:sz w:val="24"/>
                <w:szCs w:val="24"/>
                <w:highlight w:val="none"/>
                <w:lang w:val="en-US" w:eastAsia="zh-CN"/>
              </w:rPr>
              <w:t>变压器产生的废蓄电池及废变压油。</w:t>
            </w:r>
          </w:p>
          <w:p>
            <w:pPr>
              <w:pStyle w:val="57"/>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①废蓄电池</w:t>
            </w:r>
          </w:p>
          <w:p>
            <w:pPr>
              <w:pStyle w:val="57"/>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根据《国家危险废物名录》（2021年版）废蓄电池类别为HW49其它废物，废物代码为900-044-49，</w:t>
            </w:r>
            <w:r>
              <w:rPr>
                <w:rFonts w:hint="eastAsia"/>
                <w:sz w:val="24"/>
                <w:highlight w:val="none"/>
              </w:rPr>
              <w:t>一般</w:t>
            </w:r>
            <w:r>
              <w:rPr>
                <w:rFonts w:hint="eastAsia"/>
                <w:sz w:val="24"/>
                <w:highlight w:val="none"/>
                <w:lang w:val="en-US" w:eastAsia="zh-CN"/>
              </w:rPr>
              <w:t>5年左右对蓄电池进行检查</w:t>
            </w:r>
            <w:r>
              <w:rPr>
                <w:rFonts w:hint="eastAsia"/>
                <w:sz w:val="24"/>
                <w:highlight w:val="none"/>
              </w:rPr>
              <w:t>更换，</w:t>
            </w:r>
            <w:r>
              <w:rPr>
                <w:rFonts w:hint="eastAsia"/>
                <w:sz w:val="24"/>
                <w:highlight w:val="none"/>
                <w:lang w:eastAsia="zh-CN"/>
              </w:rPr>
              <w:t>根据设备厂家经验，每</w:t>
            </w:r>
            <w:r>
              <w:rPr>
                <w:rFonts w:hint="eastAsia"/>
                <w:sz w:val="24"/>
                <w:highlight w:val="none"/>
              </w:rPr>
              <w:t>次更换</w:t>
            </w:r>
            <w:r>
              <w:rPr>
                <w:rFonts w:hint="eastAsia"/>
                <w:sz w:val="24"/>
                <w:highlight w:val="none"/>
                <w:lang w:eastAsia="zh-CN"/>
              </w:rPr>
              <w:t>约</w:t>
            </w:r>
            <w:r>
              <w:rPr>
                <w:rFonts w:hint="eastAsia"/>
                <w:sz w:val="24"/>
                <w:highlight w:val="none"/>
                <w:lang w:val="en-US" w:eastAsia="zh-CN"/>
              </w:rPr>
              <w:t>3</w:t>
            </w:r>
            <w:r>
              <w:rPr>
                <w:rFonts w:hint="eastAsia"/>
                <w:sz w:val="24"/>
                <w:highlight w:val="none"/>
              </w:rPr>
              <w:t>块</w:t>
            </w:r>
            <w:r>
              <w:rPr>
                <w:rFonts w:hint="eastAsia"/>
                <w:sz w:val="24"/>
                <w:highlight w:val="none"/>
                <w:lang w:val="en-US" w:eastAsia="zh-CN"/>
              </w:rPr>
              <w:t>蓄电池</w:t>
            </w:r>
            <w:r>
              <w:rPr>
                <w:rFonts w:hint="eastAsia"/>
                <w:sz w:val="24"/>
                <w:highlight w:val="none"/>
                <w:lang w:eastAsia="zh-CN"/>
              </w:rPr>
              <w:t>，</w:t>
            </w:r>
            <w:r>
              <w:rPr>
                <w:rFonts w:hint="eastAsia" w:ascii="Times New Roman" w:hAnsi="Times New Roman" w:cs="Times New Roman"/>
                <w:color w:val="auto"/>
                <w:sz w:val="24"/>
                <w:szCs w:val="24"/>
                <w:highlight w:val="none"/>
                <w:lang w:val="en-US" w:eastAsia="zh-CN"/>
              </w:rPr>
              <w:t>废蓄电池一般不暂存，由有资质的电池供应商更换电池时回收处置，不在场内暂存，不会对环境产生影响。</w:t>
            </w:r>
          </w:p>
          <w:p>
            <w:pPr>
              <w:pStyle w:val="57"/>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 xml:space="preserve">②废变压油 </w:t>
            </w:r>
          </w:p>
          <w:p>
            <w:pPr>
              <w:pStyle w:val="57"/>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35kv变压器运营期有极少量的废变压油，产生量约8.4t，属于《国家危险废物名录》（2021年版）中HW08废矿物油，危废代码为 900-214-08。</w:t>
            </w:r>
          </w:p>
          <w:p>
            <w:pPr>
              <w:pStyle w:val="57"/>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变电站内设置1座62.5m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的事故油池，主变压器事故时产生的废变压油，废变压油经排油管自流进入事故油池，暂存于事故油池中，事故后立即交由具有资质单位统一处理，对周边环境影响较小。</w:t>
            </w:r>
          </w:p>
          <w:p>
            <w:pPr>
              <w:pStyle w:val="57"/>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事故油池池体做防渗处理，</w:t>
            </w:r>
            <w:r>
              <w:rPr>
                <w:rFonts w:hint="default"/>
                <w:sz w:val="21"/>
                <w:szCs w:val="21"/>
                <w:highlight w:val="none"/>
                <w:lang w:val="en-US" w:eastAsia="zh-CN"/>
              </w:rPr>
              <w:t>事故油池</w:t>
            </w:r>
            <w:r>
              <w:rPr>
                <w:rFonts w:hint="eastAsia" w:ascii="Times New Roman" w:hAnsi="Times New Roman" w:cs="Times New Roman"/>
                <w:color w:val="auto"/>
                <w:sz w:val="21"/>
                <w:szCs w:val="21"/>
                <w:highlight w:val="none"/>
                <w:lang w:val="en-US" w:eastAsia="zh-CN"/>
              </w:rPr>
              <w:t>按照《</w:t>
            </w:r>
            <w:r>
              <w:rPr>
                <w:rFonts w:ascii="宋体" w:hAnsi="宋体" w:eastAsia="宋体" w:cs="宋体"/>
                <w:sz w:val="21"/>
                <w:szCs w:val="21"/>
                <w:highlight w:val="none"/>
              </w:rPr>
              <w:t>危险废物贮存污染控制标准</w:t>
            </w:r>
            <w:r>
              <w:rPr>
                <w:rFonts w:hint="eastAsia" w:ascii="Times New Roman" w:hAnsi="Times New Roman" w:cs="Times New Roman"/>
                <w:color w:val="auto"/>
                <w:sz w:val="21"/>
                <w:szCs w:val="21"/>
                <w:highlight w:val="none"/>
                <w:lang w:val="en-US" w:eastAsia="zh-CN"/>
              </w:rPr>
              <w:t>》（GB18597-2023）要求进行建设，</w:t>
            </w:r>
            <w:r>
              <w:rPr>
                <w:rFonts w:hint="eastAsia" w:ascii="Times New Roman" w:hAnsi="Times New Roman" w:cs="Times New Roman"/>
                <w:color w:val="auto"/>
                <w:sz w:val="24"/>
                <w:szCs w:val="24"/>
                <w:highlight w:val="none"/>
                <w:lang w:val="en-US" w:eastAsia="zh-CN"/>
              </w:rPr>
              <w:t>渗透系数不大于10</w:t>
            </w:r>
            <w:r>
              <w:rPr>
                <w:rFonts w:hint="eastAsia" w:ascii="Times New Roman" w:hAnsi="Times New Roman" w:cs="Times New Roman"/>
                <w:color w:val="auto"/>
                <w:sz w:val="24"/>
                <w:szCs w:val="24"/>
                <w:highlight w:val="none"/>
                <w:vertAlign w:val="superscript"/>
                <w:lang w:val="en-US" w:eastAsia="zh-CN"/>
              </w:rPr>
              <w:t>-10</w:t>
            </w:r>
            <w:r>
              <w:rPr>
                <w:rFonts w:hint="eastAsia" w:ascii="Times New Roman" w:hAnsi="Times New Roman" w:cs="Times New Roman"/>
                <w:color w:val="auto"/>
                <w:sz w:val="24"/>
                <w:szCs w:val="24"/>
                <w:highlight w:val="none"/>
                <w:lang w:val="en-US" w:eastAsia="zh-CN"/>
              </w:rPr>
              <w:t>cm/s。贮存设施应根据危险废物的形态、物理化学性质、包装形式和污染物迁移途径，采取必要的防风、防晒、防雨、防漏、防渗、防腐以及其他环境污染防治措施，不应露天堆放危险废物。</w:t>
            </w:r>
          </w:p>
          <w:p>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5.土壤、地下水环境影响分析</w:t>
            </w:r>
          </w:p>
          <w:p>
            <w:pPr>
              <w:pStyle w:val="5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项目运营过程可能对地下水、土壤产生污染途径主要为事故油池事故变压油的泄露，对项目周边地下水、土壤环境产生影响，本项目对事故油池采取防渗措施，</w:t>
            </w:r>
            <w:r>
              <w:rPr>
                <w:rFonts w:hint="default"/>
                <w:sz w:val="21"/>
                <w:szCs w:val="21"/>
                <w:highlight w:val="none"/>
                <w:lang w:val="en-US" w:eastAsia="zh-CN"/>
              </w:rPr>
              <w:t>事故油池</w:t>
            </w:r>
            <w:r>
              <w:rPr>
                <w:rFonts w:hint="eastAsia" w:ascii="Times New Roman" w:hAnsi="Times New Roman" w:cs="Times New Roman"/>
                <w:color w:val="auto"/>
                <w:sz w:val="21"/>
                <w:szCs w:val="21"/>
                <w:highlight w:val="none"/>
                <w:lang w:val="en-US" w:eastAsia="zh-CN"/>
              </w:rPr>
              <w:t>按照《</w:t>
            </w:r>
            <w:r>
              <w:rPr>
                <w:rFonts w:ascii="宋体" w:hAnsi="宋体" w:eastAsia="宋体" w:cs="宋体"/>
                <w:sz w:val="21"/>
                <w:szCs w:val="21"/>
                <w:highlight w:val="none"/>
              </w:rPr>
              <w:t>危险废物贮存污染控制标准</w:t>
            </w:r>
            <w:r>
              <w:rPr>
                <w:rFonts w:hint="eastAsia" w:ascii="Times New Roman" w:hAnsi="Times New Roman" w:cs="Times New Roman"/>
                <w:color w:val="auto"/>
                <w:sz w:val="21"/>
                <w:szCs w:val="21"/>
                <w:highlight w:val="none"/>
                <w:lang w:val="en-US" w:eastAsia="zh-CN"/>
              </w:rPr>
              <w:t>》（GB18597-2023）要求进行建设，渗透系数不大于10</w:t>
            </w:r>
            <w:r>
              <w:rPr>
                <w:rFonts w:hint="eastAsia" w:ascii="Times New Roman" w:hAnsi="Times New Roman" w:cs="Times New Roman"/>
                <w:color w:val="auto"/>
                <w:sz w:val="21"/>
                <w:szCs w:val="21"/>
                <w:highlight w:val="none"/>
                <w:vertAlign w:val="superscript"/>
                <w:lang w:val="en-US" w:eastAsia="zh-CN"/>
              </w:rPr>
              <w:t>-10</w:t>
            </w:r>
            <w:r>
              <w:rPr>
                <w:rFonts w:hint="eastAsia" w:ascii="Times New Roman" w:hAnsi="Times New Roman" w:cs="Times New Roman"/>
                <w:color w:val="auto"/>
                <w:sz w:val="21"/>
                <w:szCs w:val="21"/>
                <w:highlight w:val="none"/>
                <w:lang w:val="en-US" w:eastAsia="zh-CN"/>
              </w:rPr>
              <w:t>cm/s</w:t>
            </w:r>
            <w:r>
              <w:rPr>
                <w:rFonts w:hint="eastAsia" w:ascii="Times New Roman" w:hAnsi="Times New Roman" w:cs="Times New Roman"/>
                <w:color w:val="auto"/>
                <w:sz w:val="24"/>
                <w:szCs w:val="24"/>
                <w:highlight w:val="none"/>
                <w:lang w:val="en-US" w:eastAsia="zh-CN"/>
              </w:rPr>
              <w:t>。</w:t>
            </w:r>
          </w:p>
          <w:p>
            <w:pPr>
              <w:pStyle w:val="57"/>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 xml:space="preserve">6.环境风险影响 </w:t>
            </w:r>
          </w:p>
          <w:p>
            <w:pPr>
              <w:pStyle w:val="57"/>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项目风险物质主要为事故变压器油，暂存于事故油池。</w:t>
            </w:r>
          </w:p>
          <w:p>
            <w:pPr>
              <w:pStyle w:val="57"/>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 xml:space="preserve">（1）环境风险潜势初判 </w:t>
            </w:r>
          </w:p>
          <w:p>
            <w:pPr>
              <w:pStyle w:val="57"/>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根据《建设项目环境风险评价技术导则》（HJ169-2018）附录 B，废矿物油临界量按矿物类油2500t 计，本项目暂存废变压油8.4t；计算得出危险物质与临界量的比值Q=0.00336&lt;1，则该项目环境风险潜势为Ⅰ。</w:t>
            </w:r>
          </w:p>
          <w:p>
            <w:pPr>
              <w:keepNext w:val="0"/>
              <w:keepLines w:val="0"/>
              <w:widowControl/>
              <w:suppressLineNumbers w:val="0"/>
              <w:ind w:firstLine="480" w:firstLineChars="200"/>
              <w:jc w:val="left"/>
              <w:rPr>
                <w:highlight w:val="none"/>
              </w:rPr>
            </w:pPr>
            <w:r>
              <w:rPr>
                <w:rFonts w:hint="eastAsia" w:ascii="宋体" w:hAnsi="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en-US" w:eastAsia="zh-CN" w:bidi="ar"/>
              </w:rPr>
              <w:t xml:space="preserve">）评价等级判定 </w:t>
            </w:r>
          </w:p>
          <w:p>
            <w:pPr>
              <w:keepNext w:val="0"/>
              <w:keepLines w:val="0"/>
              <w:widowControl/>
              <w:suppressLineNumbers w:val="0"/>
              <w:jc w:val="center"/>
              <w:rPr>
                <w:b w:val="0"/>
                <w:bCs w:val="0"/>
                <w:highlight w:val="none"/>
              </w:rPr>
            </w:pPr>
            <w:r>
              <w:rPr>
                <w:rFonts w:hint="eastAsia" w:ascii="宋体" w:hAnsi="宋体" w:eastAsia="宋体" w:cs="宋体"/>
                <w:b w:val="0"/>
                <w:bCs w:val="0"/>
                <w:color w:val="000000"/>
                <w:kern w:val="0"/>
                <w:sz w:val="20"/>
                <w:szCs w:val="20"/>
                <w:highlight w:val="none"/>
                <w:lang w:val="en-US" w:eastAsia="zh-CN" w:bidi="ar"/>
              </w:rPr>
              <w:t>表</w:t>
            </w:r>
            <w:r>
              <w:rPr>
                <w:rFonts w:hint="default" w:ascii="Times New Roman" w:hAnsi="Times New Roman" w:eastAsia="宋体" w:cs="Times New Roman"/>
                <w:b w:val="0"/>
                <w:bCs w:val="0"/>
                <w:color w:val="000000"/>
                <w:kern w:val="0"/>
                <w:sz w:val="20"/>
                <w:szCs w:val="20"/>
                <w:highlight w:val="none"/>
                <w:lang w:val="en-US" w:eastAsia="zh-CN" w:bidi="ar"/>
              </w:rPr>
              <w:t>4</w:t>
            </w:r>
            <w:r>
              <w:rPr>
                <w:rFonts w:hint="eastAsia" w:cs="Times New Roman"/>
                <w:b w:val="0"/>
                <w:bCs w:val="0"/>
                <w:color w:val="000000"/>
                <w:kern w:val="0"/>
                <w:sz w:val="20"/>
                <w:szCs w:val="20"/>
                <w:highlight w:val="none"/>
                <w:lang w:val="en-US" w:eastAsia="zh-CN" w:bidi="ar"/>
              </w:rPr>
              <w:t>-7</w:t>
            </w:r>
            <w:r>
              <w:rPr>
                <w:rFonts w:hint="eastAsia" w:ascii="宋体" w:hAnsi="宋体" w:eastAsia="宋体" w:cs="宋体"/>
                <w:b w:val="0"/>
                <w:bCs w:val="0"/>
                <w:color w:val="000000"/>
                <w:kern w:val="0"/>
                <w:sz w:val="20"/>
                <w:szCs w:val="20"/>
                <w:highlight w:val="none"/>
                <w:lang w:val="en-US" w:eastAsia="zh-CN" w:bidi="ar"/>
              </w:rPr>
              <w:t>评价工作等级划定</w:t>
            </w:r>
          </w:p>
          <w:tbl>
            <w:tblPr>
              <w:tblStyle w:val="24"/>
              <w:tblW w:w="81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9"/>
              <w:gridCol w:w="1629"/>
              <w:gridCol w:w="1629"/>
              <w:gridCol w:w="1630"/>
              <w:gridCol w:w="1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tcPr>
                <w:p>
                  <w:pPr>
                    <w:keepNext w:val="0"/>
                    <w:keepLines w:val="0"/>
                    <w:widowControl/>
                    <w:suppressLineNumbers w:val="0"/>
                    <w:jc w:val="center"/>
                    <w:rPr>
                      <w:rFonts w:hint="default" w:ascii="Times New Roman" w:hAnsi="Times New Roman" w:cs="Times New Roman"/>
                      <w:color w:val="auto"/>
                      <w:sz w:val="24"/>
                      <w:szCs w:val="24"/>
                      <w:highlight w:val="none"/>
                      <w:vertAlign w:val="baseline"/>
                      <w:lang w:val="en-US" w:eastAsia="zh-CN"/>
                    </w:rPr>
                  </w:pPr>
                  <w:r>
                    <w:rPr>
                      <w:rFonts w:hint="eastAsia" w:ascii="宋体" w:hAnsi="宋体" w:eastAsia="宋体" w:cs="宋体"/>
                      <w:color w:val="000000"/>
                      <w:kern w:val="0"/>
                      <w:sz w:val="20"/>
                      <w:szCs w:val="20"/>
                      <w:highlight w:val="none"/>
                      <w:lang w:val="en-US" w:eastAsia="zh-CN" w:bidi="ar"/>
                    </w:rPr>
                    <w:t>环境风险潜势</w:t>
                  </w:r>
                </w:p>
              </w:tc>
              <w:tc>
                <w:tcPr>
                  <w:tcW w:w="1629" w:type="dxa"/>
                </w:tcPr>
                <w:p>
                  <w:pPr>
                    <w:pStyle w:val="57"/>
                    <w:spacing w:line="360" w:lineRule="auto"/>
                    <w:jc w:val="center"/>
                    <w:rPr>
                      <w:rFonts w:hint="default" w:ascii="Times New Roman" w:hAnsi="Times New Roman" w:cs="Times New Roman"/>
                      <w:color w:val="auto"/>
                      <w:sz w:val="24"/>
                      <w:szCs w:val="24"/>
                      <w:highlight w:val="none"/>
                      <w:vertAlign w:val="baseline"/>
                      <w:lang w:val="en-US" w:eastAsia="zh-CN"/>
                    </w:rPr>
                  </w:pPr>
                  <w:r>
                    <w:rPr>
                      <w:rFonts w:hint="eastAsia" w:ascii="宋体" w:hAnsi="宋体" w:eastAsia="宋体" w:cs="宋体"/>
                      <w:color w:val="000000"/>
                      <w:kern w:val="0"/>
                      <w:sz w:val="20"/>
                      <w:szCs w:val="20"/>
                      <w:highlight w:val="none"/>
                      <w:lang w:val="en-US" w:eastAsia="zh-CN" w:bidi="ar"/>
                    </w:rPr>
                    <w:t>Ⅳ</w:t>
                  </w:r>
                  <w:r>
                    <w:rPr>
                      <w:rFonts w:hint="default" w:ascii="Times New Roman" w:hAnsi="Times New Roman" w:eastAsia="宋体" w:cs="Times New Roman"/>
                      <w:color w:val="000000"/>
                      <w:kern w:val="0"/>
                      <w:sz w:val="20"/>
                      <w:szCs w:val="20"/>
                      <w:highlight w:val="none"/>
                      <w:lang w:val="en-US" w:eastAsia="zh-CN" w:bidi="ar"/>
                    </w:rPr>
                    <w:t>+</w:t>
                  </w:r>
                  <w:r>
                    <w:rPr>
                      <w:rFonts w:hint="eastAsia" w:ascii="宋体" w:hAnsi="宋体" w:eastAsia="宋体" w:cs="宋体"/>
                      <w:color w:val="000000"/>
                      <w:kern w:val="0"/>
                      <w:sz w:val="20"/>
                      <w:szCs w:val="20"/>
                      <w:highlight w:val="none"/>
                      <w:lang w:val="en-US" w:eastAsia="zh-CN" w:bidi="ar"/>
                    </w:rPr>
                    <w:t>、Ⅳ</w:t>
                  </w:r>
                </w:p>
              </w:tc>
              <w:tc>
                <w:tcPr>
                  <w:tcW w:w="1629" w:type="dxa"/>
                </w:tcPr>
                <w:p>
                  <w:pPr>
                    <w:pStyle w:val="57"/>
                    <w:spacing w:line="360" w:lineRule="auto"/>
                    <w:jc w:val="center"/>
                    <w:rPr>
                      <w:rFonts w:hint="default" w:ascii="Times New Roman" w:hAnsi="Times New Roman" w:cs="Times New Roman"/>
                      <w:color w:val="auto"/>
                      <w:sz w:val="24"/>
                      <w:szCs w:val="24"/>
                      <w:highlight w:val="none"/>
                      <w:vertAlign w:val="baseline"/>
                      <w:lang w:val="en-US" w:eastAsia="zh-CN"/>
                    </w:rPr>
                  </w:pPr>
                  <w:r>
                    <w:rPr>
                      <w:rFonts w:hint="eastAsia" w:ascii="宋体" w:hAnsi="宋体" w:eastAsia="宋体" w:cs="宋体"/>
                      <w:color w:val="000000"/>
                      <w:kern w:val="0"/>
                      <w:sz w:val="20"/>
                      <w:szCs w:val="20"/>
                      <w:highlight w:val="none"/>
                      <w:lang w:val="en-US" w:eastAsia="zh-CN" w:bidi="ar"/>
                    </w:rPr>
                    <w:t>Ⅲ</w:t>
                  </w:r>
                </w:p>
              </w:tc>
              <w:tc>
                <w:tcPr>
                  <w:tcW w:w="1630" w:type="dxa"/>
                </w:tcPr>
                <w:p>
                  <w:pPr>
                    <w:pStyle w:val="57"/>
                    <w:spacing w:line="360" w:lineRule="auto"/>
                    <w:jc w:val="center"/>
                    <w:rPr>
                      <w:rFonts w:hint="default" w:ascii="Times New Roman" w:hAnsi="Times New Roman" w:cs="Times New Roman"/>
                      <w:color w:val="auto"/>
                      <w:sz w:val="24"/>
                      <w:szCs w:val="24"/>
                      <w:highlight w:val="none"/>
                      <w:vertAlign w:val="baseline"/>
                      <w:lang w:val="en-US" w:eastAsia="zh-CN"/>
                    </w:rPr>
                  </w:pPr>
                  <w:r>
                    <w:rPr>
                      <w:rFonts w:hint="eastAsia" w:ascii="宋体" w:hAnsi="宋体" w:eastAsia="宋体" w:cs="宋体"/>
                      <w:color w:val="000000"/>
                      <w:kern w:val="0"/>
                      <w:sz w:val="20"/>
                      <w:szCs w:val="20"/>
                      <w:highlight w:val="none"/>
                      <w:lang w:val="en-US" w:eastAsia="zh-CN" w:bidi="ar"/>
                    </w:rPr>
                    <w:t>Ⅱ</w:t>
                  </w:r>
                </w:p>
              </w:tc>
              <w:tc>
                <w:tcPr>
                  <w:tcW w:w="1630" w:type="dxa"/>
                </w:tcPr>
                <w:p>
                  <w:pPr>
                    <w:pStyle w:val="57"/>
                    <w:spacing w:line="360" w:lineRule="auto"/>
                    <w:jc w:val="center"/>
                    <w:rPr>
                      <w:rFonts w:hint="default" w:ascii="Times New Roman" w:hAnsi="Times New Roman" w:cs="Times New Roman"/>
                      <w:color w:val="auto"/>
                      <w:sz w:val="24"/>
                      <w:szCs w:val="24"/>
                      <w:highlight w:val="none"/>
                      <w:vertAlign w:val="baseline"/>
                      <w:lang w:val="en-US" w:eastAsia="zh-CN"/>
                    </w:rPr>
                  </w:pPr>
                  <w:r>
                    <w:rPr>
                      <w:rFonts w:hint="eastAsia" w:ascii="宋体" w:hAnsi="宋体" w:eastAsia="宋体" w:cs="宋体"/>
                      <w:color w:val="000000"/>
                      <w:kern w:val="0"/>
                      <w:sz w:val="20"/>
                      <w:szCs w:val="20"/>
                      <w:highlight w:val="none"/>
                      <w:lang w:val="en-US" w:eastAsia="zh-CN" w:bidi="ar"/>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tcPr>
                <w:p>
                  <w:pPr>
                    <w:keepNext w:val="0"/>
                    <w:keepLines w:val="0"/>
                    <w:widowControl/>
                    <w:suppressLineNumbers w:val="0"/>
                    <w:jc w:val="center"/>
                    <w:rPr>
                      <w:rFonts w:hint="default" w:ascii="Times New Roman" w:hAnsi="Times New Roman" w:cs="Times New Roman"/>
                      <w:color w:val="auto"/>
                      <w:sz w:val="24"/>
                      <w:szCs w:val="24"/>
                      <w:highlight w:val="none"/>
                      <w:vertAlign w:val="baseline"/>
                      <w:lang w:val="en-US" w:eastAsia="zh-CN"/>
                    </w:rPr>
                  </w:pPr>
                  <w:r>
                    <w:rPr>
                      <w:rFonts w:hint="eastAsia" w:ascii="宋体" w:hAnsi="宋体" w:eastAsia="宋体" w:cs="宋体"/>
                      <w:color w:val="000000"/>
                      <w:kern w:val="0"/>
                      <w:sz w:val="20"/>
                      <w:szCs w:val="20"/>
                      <w:highlight w:val="none"/>
                      <w:lang w:val="en-US" w:eastAsia="zh-CN" w:bidi="ar"/>
                    </w:rPr>
                    <w:t>评价工作等级</w:t>
                  </w:r>
                </w:p>
              </w:tc>
              <w:tc>
                <w:tcPr>
                  <w:tcW w:w="1629" w:type="dxa"/>
                </w:tcPr>
                <w:p>
                  <w:pPr>
                    <w:keepNext w:val="0"/>
                    <w:keepLines w:val="0"/>
                    <w:widowControl/>
                    <w:suppressLineNumbers w:val="0"/>
                    <w:jc w:val="center"/>
                    <w:rPr>
                      <w:rFonts w:hint="default" w:ascii="Times New Roman" w:hAnsi="Times New Roman" w:cs="Times New Roman"/>
                      <w:color w:val="auto"/>
                      <w:sz w:val="24"/>
                      <w:szCs w:val="24"/>
                      <w:highlight w:val="none"/>
                      <w:vertAlign w:val="baseline"/>
                      <w:lang w:val="en-US" w:eastAsia="zh-CN"/>
                    </w:rPr>
                  </w:pPr>
                  <w:r>
                    <w:rPr>
                      <w:rFonts w:hint="eastAsia" w:ascii="宋体" w:hAnsi="宋体" w:eastAsia="宋体" w:cs="宋体"/>
                      <w:color w:val="000000"/>
                      <w:kern w:val="0"/>
                      <w:sz w:val="20"/>
                      <w:szCs w:val="20"/>
                      <w:highlight w:val="none"/>
                      <w:lang w:val="en-US" w:eastAsia="zh-CN" w:bidi="ar"/>
                    </w:rPr>
                    <w:t>一</w:t>
                  </w:r>
                </w:p>
              </w:tc>
              <w:tc>
                <w:tcPr>
                  <w:tcW w:w="1629" w:type="dxa"/>
                </w:tcPr>
                <w:p>
                  <w:pPr>
                    <w:keepNext w:val="0"/>
                    <w:keepLines w:val="0"/>
                    <w:widowControl/>
                    <w:suppressLineNumbers w:val="0"/>
                    <w:jc w:val="center"/>
                    <w:rPr>
                      <w:rFonts w:hint="default" w:ascii="Times New Roman" w:hAnsi="Times New Roman" w:cs="Times New Roman"/>
                      <w:color w:val="auto"/>
                      <w:sz w:val="24"/>
                      <w:szCs w:val="24"/>
                      <w:highlight w:val="none"/>
                      <w:vertAlign w:val="baseline"/>
                      <w:lang w:val="en-US" w:eastAsia="zh-CN"/>
                    </w:rPr>
                  </w:pPr>
                  <w:r>
                    <w:rPr>
                      <w:rFonts w:hint="eastAsia" w:ascii="宋体" w:hAnsi="宋体" w:eastAsia="宋体" w:cs="宋体"/>
                      <w:color w:val="000000"/>
                      <w:kern w:val="0"/>
                      <w:sz w:val="20"/>
                      <w:szCs w:val="20"/>
                      <w:highlight w:val="none"/>
                      <w:lang w:val="en-US" w:eastAsia="zh-CN" w:bidi="ar"/>
                    </w:rPr>
                    <w:t>二</w:t>
                  </w:r>
                </w:p>
              </w:tc>
              <w:tc>
                <w:tcPr>
                  <w:tcW w:w="1630" w:type="dxa"/>
                </w:tcPr>
                <w:p>
                  <w:pPr>
                    <w:keepNext w:val="0"/>
                    <w:keepLines w:val="0"/>
                    <w:widowControl/>
                    <w:suppressLineNumbers w:val="0"/>
                    <w:jc w:val="center"/>
                    <w:rPr>
                      <w:rFonts w:hint="default" w:ascii="Times New Roman" w:hAnsi="Times New Roman" w:cs="Times New Roman"/>
                      <w:color w:val="auto"/>
                      <w:sz w:val="24"/>
                      <w:szCs w:val="24"/>
                      <w:highlight w:val="none"/>
                      <w:vertAlign w:val="baseline"/>
                      <w:lang w:val="en-US" w:eastAsia="zh-CN"/>
                    </w:rPr>
                  </w:pPr>
                  <w:r>
                    <w:rPr>
                      <w:rFonts w:hint="eastAsia" w:ascii="宋体" w:hAnsi="宋体" w:eastAsia="宋体" w:cs="宋体"/>
                      <w:color w:val="000000"/>
                      <w:kern w:val="0"/>
                      <w:sz w:val="20"/>
                      <w:szCs w:val="20"/>
                      <w:highlight w:val="none"/>
                      <w:lang w:val="en-US" w:eastAsia="zh-CN" w:bidi="ar"/>
                    </w:rPr>
                    <w:t>三</w:t>
                  </w:r>
                </w:p>
              </w:tc>
              <w:tc>
                <w:tcPr>
                  <w:tcW w:w="1630" w:type="dxa"/>
                </w:tcPr>
                <w:p>
                  <w:pPr>
                    <w:keepNext w:val="0"/>
                    <w:keepLines w:val="0"/>
                    <w:widowControl/>
                    <w:suppressLineNumbers w:val="0"/>
                    <w:jc w:val="center"/>
                    <w:rPr>
                      <w:rFonts w:hint="default" w:ascii="Times New Roman" w:hAnsi="Times New Roman" w:cs="Times New Roman"/>
                      <w:color w:val="auto"/>
                      <w:sz w:val="24"/>
                      <w:szCs w:val="24"/>
                      <w:highlight w:val="none"/>
                      <w:vertAlign w:val="baseline"/>
                      <w:lang w:val="en-US" w:eastAsia="zh-CN"/>
                    </w:rPr>
                  </w:pPr>
                  <w:r>
                    <w:rPr>
                      <w:rFonts w:hint="eastAsia" w:ascii="宋体" w:hAnsi="宋体" w:eastAsia="宋体" w:cs="宋体"/>
                      <w:color w:val="000000"/>
                      <w:kern w:val="0"/>
                      <w:sz w:val="20"/>
                      <w:szCs w:val="20"/>
                      <w:highlight w:val="none"/>
                      <w:lang w:val="en-US" w:eastAsia="zh-CN" w:bidi="ar"/>
                    </w:rPr>
                    <w:t>简单分析</w:t>
                  </w:r>
                </w:p>
              </w:tc>
            </w:tr>
          </w:tbl>
          <w:p>
            <w:pPr>
              <w:pStyle w:val="57"/>
              <w:spacing w:line="360" w:lineRule="auto"/>
              <w:jc w:val="both"/>
              <w:rPr>
                <w:rFonts w:hint="default" w:ascii="Times New Roman" w:hAnsi="Times New Roman" w:cs="Times New Roman"/>
                <w:color w:val="auto"/>
                <w:sz w:val="24"/>
                <w:szCs w:val="24"/>
                <w:highlight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本项目风险潜势为Ⅰ，根据《建设项目环境风险评价技术导则》</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HJ/T169</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2018</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 xml:space="preserve">中的有关规定，本项目风险评价只需简单分析。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 xml:space="preserve">3）环境风险识别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本项目暂存的事故变压器油属于《国家危险废物名录》</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2021 年版）中HW08废矿物油与含矿物油</w:t>
            </w:r>
            <w:r>
              <w:rPr>
                <w:rFonts w:hint="eastAsia" w:cs="Times New Roman"/>
                <w:color w:val="000000"/>
                <w:kern w:val="0"/>
                <w:sz w:val="24"/>
                <w:szCs w:val="24"/>
                <w:highlight w:val="none"/>
                <w:lang w:val="en-US" w:eastAsia="zh-CN" w:bidi="ar"/>
              </w:rPr>
              <w:t>的</w:t>
            </w:r>
            <w:r>
              <w:rPr>
                <w:rFonts w:hint="default" w:ascii="Times New Roman" w:hAnsi="Times New Roman" w:eastAsia="宋体" w:cs="Times New Roman"/>
                <w:color w:val="000000"/>
                <w:kern w:val="0"/>
                <w:sz w:val="24"/>
                <w:szCs w:val="24"/>
                <w:highlight w:val="none"/>
                <w:lang w:val="en-US" w:eastAsia="zh-CN" w:bidi="ar"/>
              </w:rPr>
              <w:t>废物，其中，事故变压器油的危废代码为900</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214</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 xml:space="preserve">08。事故变压器油在储存、装卸过程操作不当造成油料泄漏至地面，泄漏液造成挥发、渗漏，会对周围工作人员及地下水造成影响。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 xml:space="preserve">4）环境影响途径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 xml:space="preserve">本项目不涉及变压器油的加工利用，环境风险主要来自暂存过程发生的泄漏、火灾事故。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事故变压器油在储存时容器发生故障，均有可能导致物质的释放与泄漏，一旦渗漏会渗入土壤并随雨水渗入地下水，造成土壤和地下水污染，同时，储存过程中接触高热，可能导致火灾事故。</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 xml:space="preserve">5）风险防范措施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一般贮存要求</w:t>
            </w:r>
            <w:r>
              <w:rPr>
                <w:rFonts w:hint="eastAsia" w:cs="Times New Roman"/>
                <w:color w:val="000000"/>
                <w:kern w:val="0"/>
                <w:sz w:val="24"/>
                <w:szCs w:val="24"/>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①加强运行管理，定期检查，避免</w:t>
            </w:r>
            <w:r>
              <w:rPr>
                <w:rFonts w:hint="eastAsia" w:cs="Times New Roman"/>
                <w:color w:val="000000"/>
                <w:kern w:val="0"/>
                <w:sz w:val="24"/>
                <w:szCs w:val="24"/>
                <w:highlight w:val="none"/>
                <w:lang w:val="en-US" w:eastAsia="zh-CN" w:bidi="ar"/>
              </w:rPr>
              <w:t>危险废物</w:t>
            </w:r>
            <w:r>
              <w:rPr>
                <w:rFonts w:hint="default" w:ascii="Times New Roman" w:hAnsi="Times New Roman" w:eastAsia="宋体" w:cs="Times New Roman"/>
                <w:color w:val="000000"/>
                <w:kern w:val="0"/>
                <w:sz w:val="24"/>
                <w:szCs w:val="24"/>
                <w:highlight w:val="none"/>
                <w:lang w:val="en-US" w:eastAsia="zh-CN" w:bidi="ar"/>
              </w:rPr>
              <w:t xml:space="preserve">的泄漏；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 xml:space="preserve">②加强操作人员的岗位培训，严格遵守规程，对事故易发处按规定时间巡检，发现问题及早解决；该项目防火等消防安全措施必须到位；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③当发生泄漏时应及时控制油水的扩散范围，保护周围环境；同时明确泄漏可能导致的后果，泄漏危</w:t>
            </w:r>
            <w:r>
              <w:rPr>
                <w:rFonts w:hint="eastAsia" w:cs="Times New Roman"/>
                <w:color w:val="000000"/>
                <w:kern w:val="0"/>
                <w:sz w:val="24"/>
                <w:szCs w:val="24"/>
                <w:highlight w:val="none"/>
                <w:lang w:val="en-US" w:eastAsia="zh-CN" w:bidi="ar"/>
              </w:rPr>
              <w:t>及</w:t>
            </w:r>
            <w:r>
              <w:rPr>
                <w:rFonts w:hint="default" w:ascii="Times New Roman" w:hAnsi="Times New Roman" w:eastAsia="宋体" w:cs="Times New Roman"/>
                <w:color w:val="000000"/>
                <w:kern w:val="0"/>
                <w:sz w:val="24"/>
                <w:szCs w:val="24"/>
                <w:highlight w:val="none"/>
                <w:lang w:val="en-US" w:eastAsia="zh-CN" w:bidi="ar"/>
              </w:rPr>
              <w:t xml:space="preserve">周围环境的可能性，隔离泄漏区，周围设警告标志；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 xml:space="preserve">④加强管理，建立并严格执行安全生产责任制度，科学监控设备运行，消除故障隐患；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 xml:space="preserve">⑤制定定期巡查制度，发现异常及时处理和报告；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 xml:space="preserve">⑥建立应急响应机构，配备快捷的交通通讯工具，以便对泄漏事故及时作出反应和处理；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火灾防范措施</w:t>
            </w:r>
            <w:r>
              <w:rPr>
                <w:rFonts w:hint="eastAsia" w:cs="Times New Roman"/>
                <w:color w:val="000000"/>
                <w:kern w:val="0"/>
                <w:sz w:val="24"/>
                <w:szCs w:val="24"/>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 xml:space="preserve">本项目事故变压器油属于易燃液体，闪点较高，一般情况较为稳定，但遇明火或高温可能发生火灾危险。本项目场区内严禁明火。发生火灾使用泡沫灭火，不会产生大量的液体。要求企业按照消防规定设置消防设施及灭火器材，包括泡沫灭火器、消防沙、防护服、防毒面具等。如事故发生后，消防及事故收集的废液统一交由资质单位处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 xml:space="preserve">6）事故应急措施及风险预案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eastAsia" w:cs="Times New Roman"/>
                <w:color w:val="000000"/>
                <w:kern w:val="0"/>
                <w:sz w:val="24"/>
                <w:szCs w:val="24"/>
                <w:highlight w:val="none"/>
                <w:lang w:val="en-US" w:eastAsia="zh-CN" w:bidi="ar"/>
              </w:rPr>
              <w:t>主变压器</w:t>
            </w:r>
            <w:r>
              <w:rPr>
                <w:rFonts w:hint="default" w:ascii="Times New Roman" w:hAnsi="Times New Roman" w:eastAsia="宋体" w:cs="Times New Roman"/>
                <w:color w:val="000000"/>
                <w:kern w:val="0"/>
                <w:sz w:val="24"/>
                <w:szCs w:val="24"/>
                <w:highlight w:val="none"/>
                <w:lang w:val="en-US" w:eastAsia="zh-CN" w:bidi="ar"/>
              </w:rPr>
              <w:t>发生</w:t>
            </w:r>
            <w:r>
              <w:rPr>
                <w:rFonts w:hint="eastAsia" w:cs="Times New Roman"/>
                <w:color w:val="000000"/>
                <w:kern w:val="0"/>
                <w:sz w:val="24"/>
                <w:szCs w:val="24"/>
                <w:highlight w:val="none"/>
                <w:lang w:val="en-US" w:eastAsia="zh-CN" w:bidi="ar"/>
              </w:rPr>
              <w:t>漏油</w:t>
            </w:r>
            <w:r>
              <w:rPr>
                <w:rFonts w:hint="default" w:ascii="Times New Roman" w:hAnsi="Times New Roman" w:eastAsia="宋体" w:cs="Times New Roman"/>
                <w:color w:val="000000"/>
                <w:kern w:val="0"/>
                <w:sz w:val="24"/>
                <w:szCs w:val="24"/>
                <w:highlight w:val="none"/>
                <w:lang w:val="en-US" w:eastAsia="zh-CN" w:bidi="ar"/>
              </w:rPr>
              <w:t>事故后，及时启动事故应急预案，并及时上报通知环保、安全有关部门；迅速撤离工作人员至安全区，并进行隔离，严格限制出入；同时尽可能切断泄漏源；发生火灾事故后，采取正当的灭火措施灭火；根据实际情况，及时、妥善</w:t>
            </w:r>
            <w:r>
              <w:rPr>
                <w:rFonts w:hint="eastAsia" w:cs="Times New Roman"/>
                <w:color w:val="000000"/>
                <w:kern w:val="0"/>
                <w:sz w:val="24"/>
                <w:szCs w:val="24"/>
                <w:highlight w:val="none"/>
                <w:lang w:val="en-US" w:eastAsia="zh-CN" w:bidi="ar"/>
              </w:rPr>
              <w:t>地</w:t>
            </w:r>
            <w:r>
              <w:rPr>
                <w:rFonts w:hint="default" w:ascii="Times New Roman" w:hAnsi="Times New Roman" w:eastAsia="宋体" w:cs="Times New Roman"/>
                <w:color w:val="000000"/>
                <w:kern w:val="0"/>
                <w:sz w:val="24"/>
                <w:szCs w:val="24"/>
                <w:highlight w:val="none"/>
                <w:lang w:val="en-US" w:eastAsia="zh-CN" w:bidi="ar"/>
              </w:rPr>
              <w:t>疏散人员至安全区域。本项目储存的废变压器油属于危险废物，储存严格按照《危险废物储存污染控制标准》</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GB 18597</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2023）中相关要求执行。</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 xml:space="preserve">7）分析结论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本项目涉及的主要危险废物为事故变压器油。项目主要事故类型为事故变压器油泄漏。本项目的环境风险主要表现为在非正常工况</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储存事故、恶劣自然条件等情况下突发的泄漏、火灾事故导致的大气、水体及土壤的环境污染，同时在发生火灾爆炸等事故时会产生一些次坐、伴生污染物的影响。在泄漏或火灾事故时必定会对周围环境产生一定的不良影响，但事故影响持续时间不长，且处理及时。总体来说对煤矿员工的身体健康不会产生大的影响。企业在生产过程中必须做好的物料的储存工作，严格做好安全生产工作，避免泄漏或火灾事故发生，同时制定事故应急预案，使事故发生对能及时有效的得到控制，缩短事故发生的持续时间，从而降低对周围环境的影响。</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highlight w:val="none"/>
              </w:rPr>
            </w:pPr>
            <w:r>
              <w:rPr>
                <w:rFonts w:hint="default" w:ascii="Times New Roman" w:hAnsi="Times New Roman" w:eastAsia="宋体" w:cs="Times New Roman"/>
                <w:color w:val="000000"/>
                <w:kern w:val="0"/>
                <w:sz w:val="24"/>
                <w:szCs w:val="24"/>
                <w:highlight w:val="none"/>
                <w:lang w:val="en-US" w:eastAsia="zh-CN" w:bidi="ar"/>
              </w:rPr>
              <w:t>总体来说，本项目环境风险主要为事故状态下事故变压器油泄漏，根据分析，建设单位通过采取事故防范措施及采取一定的应急处理措施，可以将本项目的风险降到较低的水平，本项目的环境风险可以接受。</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本项目环境风险简单分析内容表见表6</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rPr>
              <w: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表</w:t>
            </w:r>
            <w:r>
              <w:rPr>
                <w:rFonts w:hint="eastAsia" w:cs="Times New Roman"/>
                <w:sz w:val="21"/>
                <w:szCs w:val="21"/>
                <w:highlight w:val="none"/>
                <w:lang w:val="en-US" w:eastAsia="zh-CN"/>
              </w:rPr>
              <w:t>4-8</w:t>
            </w:r>
            <w:r>
              <w:rPr>
                <w:rFonts w:hint="default" w:ascii="Times New Roman" w:hAnsi="Times New Roman" w:eastAsia="宋体" w:cs="Times New Roman"/>
                <w:sz w:val="21"/>
                <w:szCs w:val="21"/>
                <w:highlight w:val="none"/>
              </w:rPr>
              <w:t xml:space="preserve"> </w:t>
            </w:r>
            <w:r>
              <w:rPr>
                <w:rFonts w:hint="default" w:ascii="Times New Roman" w:hAnsi="Times New Roman" w:eastAsia="宋体" w:cs="Times New Roman"/>
                <w:sz w:val="21"/>
                <w:szCs w:val="21"/>
                <w:highlight w:val="none"/>
                <w:lang w:eastAsia="zh-CN"/>
              </w:rPr>
              <w:t>建设项目</w:t>
            </w:r>
            <w:r>
              <w:rPr>
                <w:rFonts w:hint="default" w:ascii="Times New Roman" w:hAnsi="Times New Roman" w:eastAsia="宋体" w:cs="Times New Roman"/>
                <w:sz w:val="21"/>
                <w:szCs w:val="21"/>
                <w:highlight w:val="none"/>
              </w:rPr>
              <w:t>环境风险简单分析内容表</w:t>
            </w:r>
          </w:p>
          <w:tbl>
            <w:tblPr>
              <w:tblStyle w:val="23"/>
              <w:tblW w:w="799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58"/>
              <w:gridCol w:w="1827"/>
              <w:gridCol w:w="1747"/>
              <w:gridCol w:w="246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95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highlight w:val="none"/>
                    </w:rPr>
                  </w:pPr>
                  <w:r>
                    <w:rPr>
                      <w:rFonts w:hint="default"/>
                      <w:highlight w:val="none"/>
                    </w:rPr>
                    <w:t>建设项目名称</w:t>
                  </w:r>
                </w:p>
              </w:tc>
              <w:tc>
                <w:tcPr>
                  <w:tcW w:w="6041" w:type="dxa"/>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auto"/>
                    <w:rPr>
                      <w:rFonts w:hint="default"/>
                      <w:highlight w:val="none"/>
                    </w:rPr>
                  </w:pPr>
                  <w:r>
                    <w:rPr>
                      <w:rFonts w:hint="default"/>
                      <w:highlight w:val="none"/>
                      <w:lang w:val="en-US" w:eastAsia="zh-CN"/>
                    </w:rPr>
                    <w:t>塔然高勒煤矿项目北部风井场地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195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highlight w:val="none"/>
                    </w:rPr>
                  </w:pPr>
                  <w:r>
                    <w:rPr>
                      <w:rFonts w:hint="default"/>
                      <w:highlight w:val="none"/>
                    </w:rPr>
                    <w:t>建设地点</w:t>
                  </w:r>
                </w:p>
              </w:tc>
              <w:tc>
                <w:tcPr>
                  <w:tcW w:w="18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auto"/>
                    <w:rPr>
                      <w:rFonts w:hint="default"/>
                      <w:highlight w:val="none"/>
                    </w:rPr>
                  </w:pPr>
                  <w:r>
                    <w:rPr>
                      <w:rFonts w:hint="default"/>
                      <w:highlight w:val="none"/>
                    </w:rPr>
                    <w:t>内蒙古自治区</w:t>
                  </w:r>
                </w:p>
              </w:tc>
              <w:tc>
                <w:tcPr>
                  <w:tcW w:w="174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auto"/>
                    <w:rPr>
                      <w:rFonts w:hint="default"/>
                      <w:highlight w:val="none"/>
                    </w:rPr>
                  </w:pPr>
                  <w:r>
                    <w:rPr>
                      <w:rFonts w:hint="default"/>
                      <w:highlight w:val="none"/>
                    </w:rPr>
                    <w:t>鄂尔多斯市</w:t>
                  </w:r>
                </w:p>
              </w:tc>
              <w:tc>
                <w:tcPr>
                  <w:tcW w:w="246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auto"/>
                    <w:rPr>
                      <w:rFonts w:hint="default"/>
                      <w:highlight w:val="none"/>
                    </w:rPr>
                  </w:pPr>
                  <w:r>
                    <w:rPr>
                      <w:rFonts w:hint="eastAsia"/>
                      <w:highlight w:val="none"/>
                      <w:lang w:eastAsia="zh-CN"/>
                    </w:rPr>
                    <w:t>杭锦旗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195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highlight w:val="none"/>
                    </w:rPr>
                  </w:pPr>
                  <w:r>
                    <w:rPr>
                      <w:rFonts w:hint="default"/>
                      <w:highlight w:val="none"/>
                    </w:rPr>
                    <w:t>地理坐标</w:t>
                  </w:r>
                  <w:r>
                    <w:rPr>
                      <w:rFonts w:hint="eastAsia"/>
                      <w:highlight w:val="none"/>
                      <w:lang w:eastAsia="zh-CN"/>
                    </w:rPr>
                    <w:t>（</w:t>
                  </w:r>
                  <w:r>
                    <w:rPr>
                      <w:rFonts w:hint="default"/>
                      <w:highlight w:val="none"/>
                    </w:rPr>
                    <w:t>WGS84坐标系）</w:t>
                  </w:r>
                </w:p>
              </w:tc>
              <w:tc>
                <w:tcPr>
                  <w:tcW w:w="6041" w:type="dxa"/>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center"/>
                    <w:textAlignment w:val="auto"/>
                    <w:rPr>
                      <w:rFonts w:hint="default"/>
                      <w:highlight w:val="none"/>
                    </w:rPr>
                  </w:pPr>
                  <w:r>
                    <w:rPr>
                      <w:rFonts w:hint="eastAsia" w:ascii="宋体" w:hAnsi="宋体" w:eastAsia="宋体" w:cs="宋体"/>
                      <w:kern w:val="0"/>
                      <w:sz w:val="21"/>
                      <w:szCs w:val="21"/>
                      <w:highlight w:val="none"/>
                      <w:u w:val="none"/>
                      <w:lang w:eastAsia="zh-CN"/>
                    </w:rPr>
                    <w:t>109°9′59.082″</w:t>
                  </w:r>
                  <w:r>
                    <w:rPr>
                      <w:rFonts w:hint="eastAsia" w:ascii="宋体" w:hAnsi="宋体" w:cs="宋体"/>
                      <w:kern w:val="0"/>
                      <w:sz w:val="21"/>
                      <w:szCs w:val="21"/>
                      <w:highlight w:val="none"/>
                      <w:u w:val="none"/>
                      <w:lang w:eastAsia="zh-CN"/>
                    </w:rPr>
                    <w:t>，</w:t>
                  </w:r>
                  <w:r>
                    <w:rPr>
                      <w:rFonts w:hint="eastAsia" w:ascii="宋体" w:hAnsi="宋体" w:eastAsia="宋体" w:cs="宋体"/>
                      <w:kern w:val="0"/>
                      <w:sz w:val="21"/>
                      <w:szCs w:val="21"/>
                      <w:highlight w:val="none"/>
                      <w:u w:val="none"/>
                      <w:lang w:eastAsia="zh-CN"/>
                    </w:rPr>
                    <w:t>40°3′16.030″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9" w:hRule="atLeast"/>
                <w:jc w:val="center"/>
              </w:trPr>
              <w:tc>
                <w:tcPr>
                  <w:tcW w:w="195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highlight w:val="none"/>
                    </w:rPr>
                  </w:pPr>
                  <w:r>
                    <w:rPr>
                      <w:rFonts w:hint="default"/>
                      <w:highlight w:val="none"/>
                    </w:rPr>
                    <w:t>主要危险物质及分布</w:t>
                  </w:r>
                </w:p>
              </w:tc>
              <w:tc>
                <w:tcPr>
                  <w:tcW w:w="6041" w:type="dxa"/>
                  <w:gridSpan w:val="3"/>
                  <w:tcBorders>
                    <w:tl2br w:val="nil"/>
                    <w:tr2bl w:val="nil"/>
                  </w:tcBorders>
                  <w:noWrap w:val="0"/>
                  <w:vAlign w:val="center"/>
                </w:tcPr>
                <w:p>
                  <w:pPr>
                    <w:pStyle w:val="4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highlight w:val="none"/>
                      <w:lang w:eastAsia="zh-CN"/>
                    </w:rPr>
                  </w:pPr>
                  <w:r>
                    <w:rPr>
                      <w:spacing w:val="9"/>
                      <w:highlight w:val="none"/>
                    </w:rPr>
                    <w:t>主要危险物质为</w:t>
                  </w:r>
                  <w:r>
                    <w:rPr>
                      <w:rFonts w:hint="default"/>
                      <w:spacing w:val="9"/>
                      <w:highlight w:val="none"/>
                      <w:lang w:val="en-US" w:eastAsia="zh-CN"/>
                    </w:rPr>
                    <w:t>事故变压器油</w:t>
                  </w:r>
                  <w:r>
                    <w:rPr>
                      <w:spacing w:val="14"/>
                      <w:highlight w:val="none"/>
                    </w:rPr>
                    <w:t>，</w:t>
                  </w:r>
                  <w:r>
                    <w:rPr>
                      <w:rFonts w:hint="eastAsia"/>
                      <w:spacing w:val="14"/>
                      <w:highlight w:val="none"/>
                      <w:lang w:eastAsia="zh-CN"/>
                    </w:rPr>
                    <w:t>事故时</w:t>
                  </w:r>
                  <w:r>
                    <w:rPr>
                      <w:spacing w:val="7"/>
                      <w:highlight w:val="none"/>
                    </w:rPr>
                    <w:t>储存于</w:t>
                  </w:r>
                  <w:r>
                    <w:rPr>
                      <w:rFonts w:hint="eastAsia"/>
                      <w:spacing w:val="7"/>
                      <w:highlight w:val="none"/>
                      <w:lang w:eastAsia="zh-CN"/>
                    </w:rPr>
                    <w:t>事故油池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4" w:hRule="atLeast"/>
                <w:jc w:val="center"/>
              </w:trPr>
              <w:tc>
                <w:tcPr>
                  <w:tcW w:w="195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highlight w:val="none"/>
                    </w:rPr>
                  </w:pPr>
                  <w:r>
                    <w:rPr>
                      <w:rFonts w:hint="default"/>
                      <w:highlight w:val="none"/>
                    </w:rPr>
                    <w:t>环境影响途径及危害后果</w:t>
                  </w:r>
                  <w:r>
                    <w:rPr>
                      <w:rFonts w:hint="eastAsia"/>
                      <w:highlight w:val="none"/>
                      <w:lang w:eastAsia="zh-CN"/>
                    </w:rPr>
                    <w:t>（</w:t>
                  </w:r>
                  <w:r>
                    <w:rPr>
                      <w:rFonts w:hint="default"/>
                      <w:highlight w:val="none"/>
                    </w:rPr>
                    <w:t>大气、地表水、地下水等）</w:t>
                  </w:r>
                </w:p>
              </w:tc>
              <w:tc>
                <w:tcPr>
                  <w:tcW w:w="6041" w:type="dxa"/>
                  <w:gridSpan w:val="3"/>
                  <w:tcBorders>
                    <w:tl2br w:val="nil"/>
                    <w:tr2bl w:val="nil"/>
                  </w:tcBorders>
                  <w:noWrap w:val="0"/>
                  <w:vAlign w:val="center"/>
                </w:tcPr>
                <w:p>
                  <w:pPr>
                    <w:pStyle w:val="42"/>
                    <w:keepNext w:val="0"/>
                    <w:keepLines w:val="0"/>
                    <w:pageBreakBefore w:val="0"/>
                    <w:kinsoku/>
                    <w:wordWrap/>
                    <w:overflowPunct/>
                    <w:topLinePunct w:val="0"/>
                    <w:autoSpaceDE/>
                    <w:autoSpaceDN/>
                    <w:bidi w:val="0"/>
                    <w:adjustRightInd/>
                    <w:snapToGrid/>
                    <w:spacing w:line="240" w:lineRule="auto"/>
                    <w:ind w:left="0" w:leftChars="0" w:right="0" w:rightChars="0" w:firstLine="0"/>
                    <w:jc w:val="center"/>
                    <w:textAlignment w:val="auto"/>
                    <w:rPr>
                      <w:rFonts w:hint="default"/>
                      <w:highlight w:val="none"/>
                    </w:rPr>
                  </w:pPr>
                  <w:r>
                    <w:rPr>
                      <w:rFonts w:hint="default"/>
                      <w:spacing w:val="6"/>
                      <w:highlight w:val="none"/>
                      <w:lang w:val="en-US" w:eastAsia="zh-CN"/>
                    </w:rPr>
                    <w:t>在环境风险主要来自暂存过程发生的事故变压器油泄漏、火灾事故。事故变压器油在储存时容器发生故障，均有可能导致物质的释放与泄漏，一旦渗漏会渗入土壤并随雨水渗入地下水，造成土壤和地下水污染，同时，储存过程中接触高热，可能导致火灾事故</w:t>
                  </w:r>
                  <w:r>
                    <w:rPr>
                      <w:spacing w:val="6"/>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4" w:hRule="atLeast"/>
                <w:jc w:val="center"/>
              </w:trPr>
              <w:tc>
                <w:tcPr>
                  <w:tcW w:w="195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highlight w:val="none"/>
                      <w:lang w:val="en-US" w:eastAsia="zh-CN"/>
                    </w:rPr>
                  </w:pPr>
                  <w:r>
                    <w:rPr>
                      <w:rFonts w:hint="default"/>
                      <w:highlight w:val="none"/>
                      <w:lang w:val="en-US" w:eastAsia="zh-CN"/>
                    </w:rPr>
                    <w:t>风险防范措施要求</w:t>
                  </w:r>
                </w:p>
              </w:tc>
              <w:tc>
                <w:tcPr>
                  <w:tcW w:w="6041" w:type="dxa"/>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left"/>
                    <w:textAlignment w:val="auto"/>
                    <w:rPr>
                      <w:rFonts w:hint="default"/>
                      <w:highlight w:val="none"/>
                      <w:lang w:val="en-US" w:eastAsia="zh-CN"/>
                    </w:rPr>
                  </w:pPr>
                  <w:r>
                    <w:rPr>
                      <w:rFonts w:hint="default"/>
                      <w:highlight w:val="none"/>
                      <w:lang w:val="en-US" w:eastAsia="zh-CN"/>
                    </w:rPr>
                    <w:t>①加强运行管理，定期检查，避免</w:t>
                  </w:r>
                  <w:r>
                    <w:rPr>
                      <w:rFonts w:hint="eastAsia"/>
                      <w:highlight w:val="none"/>
                      <w:lang w:val="en-US" w:eastAsia="zh-CN"/>
                    </w:rPr>
                    <w:t>危险废物</w:t>
                  </w:r>
                  <w:r>
                    <w:rPr>
                      <w:rFonts w:hint="default"/>
                      <w:highlight w:val="none"/>
                      <w:lang w:val="en-US" w:eastAsia="zh-CN"/>
                    </w:rPr>
                    <w:t xml:space="preserve">的泄漏；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left"/>
                    <w:textAlignment w:val="auto"/>
                    <w:rPr>
                      <w:rFonts w:hint="default"/>
                      <w:highlight w:val="none"/>
                      <w:lang w:val="en-US" w:eastAsia="zh-CN"/>
                    </w:rPr>
                  </w:pPr>
                  <w:r>
                    <w:rPr>
                      <w:rFonts w:hint="default"/>
                      <w:highlight w:val="none"/>
                      <w:lang w:val="en-US" w:eastAsia="zh-CN"/>
                    </w:rPr>
                    <w:t xml:space="preserve">②加强操作人员的岗位培训，对事故易发处按规定时间巡检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left"/>
                    <w:textAlignment w:val="auto"/>
                    <w:rPr>
                      <w:rFonts w:hint="default"/>
                      <w:highlight w:val="none"/>
                      <w:lang w:val="en-US" w:eastAsia="zh-CN"/>
                    </w:rPr>
                  </w:pPr>
                  <w:r>
                    <w:rPr>
                      <w:rFonts w:hint="default"/>
                      <w:highlight w:val="none"/>
                      <w:lang w:val="en-US" w:eastAsia="zh-CN"/>
                    </w:rPr>
                    <w:t>③当发生泄漏时应及时控制油水的扩散范围，保护周围环境；同时明确泄漏可能导致的后果，泄漏危</w:t>
                  </w:r>
                  <w:r>
                    <w:rPr>
                      <w:rFonts w:hint="eastAsia"/>
                      <w:highlight w:val="none"/>
                      <w:lang w:val="en-US" w:eastAsia="zh-CN"/>
                    </w:rPr>
                    <w:t>及</w:t>
                  </w:r>
                  <w:r>
                    <w:rPr>
                      <w:rFonts w:hint="default"/>
                      <w:highlight w:val="none"/>
                      <w:lang w:val="en-US" w:eastAsia="zh-CN"/>
                    </w:rPr>
                    <w:t xml:space="preserve">周围环境的可能性，隔离泄漏区，周围设警告标志；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firstLineChars="0"/>
                    <w:jc w:val="left"/>
                    <w:textAlignment w:val="auto"/>
                    <w:rPr>
                      <w:rFonts w:hint="default"/>
                      <w:highlight w:val="none"/>
                      <w:lang w:val="en-US" w:eastAsia="zh-CN"/>
                    </w:rPr>
                  </w:pPr>
                  <w:r>
                    <w:rPr>
                      <w:rFonts w:hint="default"/>
                      <w:highlight w:val="none"/>
                      <w:lang w:val="en-US" w:eastAsia="zh-CN"/>
                    </w:rPr>
                    <w:t xml:space="preserve">④加强管理，建立并严格执行安全生产责任制度，制定定期巡查制度，发现异常及时处理和报告；建立应急响应机构，配备快捷的交通通讯工具，以便对泄漏事故及时作出反应和处理；场区内严禁明火。发生火灾使用泡沫灭火，不会产生大量的液体。要求企业按照消防规定设置消防设施及灭火器材，包括泡沫灭火器、消防沙、防护服、防毒面具等。如事故发生后，消防及事故收集的废液统一交由资质单位处理。编制应急预案；出现事故及时反映，并及时采取有效措施；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999"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highlight w:val="none"/>
                      <w:lang w:val="en-US" w:eastAsia="zh-CN"/>
                    </w:rPr>
                  </w:pPr>
                  <w:r>
                    <w:rPr>
                      <w:rFonts w:hint="default"/>
                      <w:highlight w:val="none"/>
                      <w:lang w:val="en-US" w:eastAsia="zh-CN"/>
                    </w:rPr>
                    <w:t>填表说明</w:t>
                  </w:r>
                  <w:r>
                    <w:rPr>
                      <w:rFonts w:hint="eastAsia"/>
                      <w:highlight w:val="none"/>
                      <w:lang w:val="en-US" w:eastAsia="zh-CN"/>
                    </w:rPr>
                    <w:t>：</w:t>
                  </w:r>
                  <w:r>
                    <w:rPr>
                      <w:rFonts w:hint="default"/>
                      <w:highlight w:val="none"/>
                      <w:lang w:val="en-US" w:eastAsia="zh-CN"/>
                    </w:rPr>
                    <w:t>本项目环境风险潜势按照Ⅰ考虑，判定项目风险评价级别为“简单分析”。</w:t>
                  </w:r>
                </w:p>
              </w:tc>
            </w:tr>
          </w:tbl>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highlight w:val="none"/>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宋体" w:hAnsi="宋体" w:cs="宋体"/>
                <w:bCs/>
                <w:szCs w:val="21"/>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34" w:hRule="atLeast"/>
          <w:jc w:val="center"/>
        </w:trPr>
        <w:tc>
          <w:tcPr>
            <w:tcW w:w="879" w:type="dxa"/>
            <w:noWrap w:val="0"/>
            <w:vAlign w:val="center"/>
          </w:tcPr>
          <w:p>
            <w:pPr>
              <w:pStyle w:val="21"/>
              <w:adjustRightInd w:val="0"/>
              <w:snapToGrid w:val="0"/>
              <w:spacing w:before="0" w:beforeAutospacing="0" w:after="0" w:afterAutospacing="0"/>
              <w:jc w:val="center"/>
              <w:rPr>
                <w:rFonts w:cs="宋体"/>
                <w:bCs/>
                <w:kern w:val="2"/>
                <w:sz w:val="21"/>
                <w:szCs w:val="21"/>
                <w:highlight w:val="none"/>
              </w:rPr>
            </w:pPr>
            <w:r>
              <w:rPr>
                <w:rFonts w:hint="eastAsia" w:cs="宋体"/>
                <w:bCs/>
                <w:kern w:val="2"/>
                <w:sz w:val="21"/>
                <w:szCs w:val="21"/>
                <w:highlight w:val="none"/>
              </w:rPr>
              <w:t>选址选线环境合理性分析</w:t>
            </w:r>
          </w:p>
        </w:tc>
        <w:tc>
          <w:tcPr>
            <w:tcW w:w="8363" w:type="dxa"/>
            <w:noWrap w:val="0"/>
            <w:vAlign w:val="top"/>
          </w:tcPr>
          <w:p>
            <w:pPr>
              <w:adjustRightInd w:val="0"/>
              <w:snapToGrid w:val="0"/>
              <w:spacing w:line="360" w:lineRule="auto"/>
              <w:ind w:firstLine="480" w:firstLineChars="200"/>
              <w:rPr>
                <w:rFonts w:hint="eastAsia" w:ascii="宋体" w:hAnsi="宋体" w:cs="宋体"/>
                <w:sz w:val="24"/>
                <w:szCs w:val="24"/>
                <w:highlight w:val="none"/>
                <w:lang w:val="en-US" w:eastAsia="zh-CN"/>
              </w:rPr>
            </w:pPr>
            <w:r>
              <w:rPr>
                <w:rFonts w:hint="eastAsia" w:ascii="宋体" w:hAnsi="宋体" w:cs="宋体"/>
                <w:bCs/>
                <w:sz w:val="24"/>
                <w:highlight w:val="none"/>
              </w:rPr>
              <w:t>本项目位于鄂尔多斯市</w:t>
            </w:r>
            <w:r>
              <w:rPr>
                <w:rFonts w:ascii="宋体" w:hAnsi="宋体" w:cs="宋体"/>
                <w:sz w:val="24"/>
                <w:szCs w:val="24"/>
                <w:highlight w:val="none"/>
                <w:lang w:val="en-US" w:eastAsia="zh-CN"/>
              </w:rPr>
              <w:t>杭锦旗独贵塔拉镇乌定补拉格村</w:t>
            </w:r>
            <w:r>
              <w:rPr>
                <w:rFonts w:hint="eastAsia" w:ascii="宋体" w:hAnsi="宋体" w:cs="宋体"/>
                <w:sz w:val="24"/>
                <w:szCs w:val="24"/>
                <w:highlight w:val="none"/>
                <w:lang w:val="en-US" w:eastAsia="zh-CN"/>
              </w:rPr>
              <w:t>，项目为塔然高勒煤矿附属工程，主要建设风井场地、场外道路及其他配套工程。</w:t>
            </w:r>
          </w:p>
          <w:p>
            <w:pPr>
              <w:adjustRightInd w:val="0"/>
              <w:snapToGrid w:val="0"/>
              <w:spacing w:line="360" w:lineRule="auto"/>
              <w:ind w:firstLine="480" w:firstLineChars="200"/>
              <w:rPr>
                <w:rFonts w:hint="eastAsia" w:ascii="宋体" w:hAnsi="宋体" w:cs="宋体"/>
                <w:bCs/>
                <w:sz w:val="24"/>
                <w:highlight w:val="none"/>
                <w:lang w:eastAsia="zh-CN"/>
              </w:rPr>
            </w:pPr>
            <w:r>
              <w:rPr>
                <w:rFonts w:hint="eastAsia" w:ascii="宋体" w:hAnsi="宋体" w:eastAsia="宋体" w:cs="宋体"/>
                <w:color w:val="000000" w:themeColor="text1"/>
                <w:sz w:val="24"/>
                <w:szCs w:val="24"/>
                <w:highlight w:val="none"/>
                <w14:textFill>
                  <w14:solidFill>
                    <w14:schemeClr w14:val="tx1"/>
                  </w14:solidFill>
                </w14:textFill>
              </w:rPr>
              <w:t>塔然高勒煤矿在依法合规建设期间，中核集团在塔然高勒井田范围内调查发现了沉积砂岩型铀矿。</w:t>
            </w:r>
            <w:r>
              <w:rPr>
                <w:rFonts w:hint="eastAsia" w:ascii="宋体" w:hAnsi="宋体" w:eastAsia="宋体" w:cs="宋体"/>
                <w:color w:val="000000" w:themeColor="text1"/>
                <w:sz w:val="24"/>
                <w:szCs w:val="24"/>
                <w:highlight w:val="none"/>
                <w:lang w:val="en-US" w:eastAsia="zh-CN"/>
                <w14:textFill>
                  <w14:solidFill>
                    <w14:schemeClr w14:val="tx1"/>
                  </w14:solidFill>
                </w14:textFill>
              </w:rPr>
              <w:t>建设单位根据</w:t>
            </w:r>
            <w:r>
              <w:rPr>
                <w:rFonts w:hint="eastAsia" w:ascii="宋体" w:hAnsi="宋体" w:cs="宋体"/>
                <w:color w:val="000000" w:themeColor="text1"/>
                <w:sz w:val="24"/>
                <w:szCs w:val="24"/>
                <w:highlight w:val="none"/>
                <w:lang w:val="en-US" w:eastAsia="zh-CN"/>
                <w14:textFill>
                  <w14:solidFill>
                    <w14:schemeClr w14:val="tx1"/>
                  </w14:solidFill>
                </w14:textFill>
              </w:rPr>
              <w:t>煤、铀</w:t>
            </w:r>
            <w:r>
              <w:rPr>
                <w:rFonts w:hint="eastAsia" w:ascii="宋体" w:hAnsi="宋体" w:eastAsia="宋体" w:cs="宋体"/>
                <w:color w:val="000000" w:themeColor="text1"/>
                <w:sz w:val="24"/>
                <w:szCs w:val="24"/>
                <w:highlight w:val="none"/>
                <w:lang w:val="en-US" w:eastAsia="zh-CN"/>
                <w14:textFill>
                  <w14:solidFill>
                    <w14:schemeClr w14:val="tx1"/>
                  </w14:solidFill>
                </w14:textFill>
              </w:rPr>
              <w:t>协调开采协议，委托专业单位对初步设计进行了修改，2024年2月7日取得了鄂尔多斯市能源局出具的《鄂尔多斯市能源局关于神华集团有限责任公司塔然高勒矿井及选煤厂初步设计</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修改</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的批复》</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鄂能局审批发﹝2024﹞3号）。煤矿拟将首采盘区由原西一盘区和东一盘区调整至西四</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上</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盘区，本项目进、回风立井承担西四</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上</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下</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及北部后续盘区的主要进回风任务。在位于工业场地西北约7.2km、西三</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上）盘区北部且靠近西四</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上）盘区边界、Q138钻孔南侧360m处，新选择北部风井场地，布置一对北部进、回风立井。</w:t>
            </w:r>
            <w:r>
              <w:rPr>
                <w:rFonts w:hint="eastAsia" w:ascii="宋体" w:hAnsi="宋体" w:cs="宋体"/>
                <w:color w:val="000000" w:themeColor="text1"/>
                <w:sz w:val="24"/>
                <w:szCs w:val="24"/>
                <w:highlight w:val="none"/>
                <w:lang w:val="en-US" w:eastAsia="zh-CN"/>
                <w14:textFill>
                  <w14:solidFill>
                    <w14:schemeClr w14:val="tx1"/>
                  </w14:solidFill>
                </w14:textFill>
              </w:rPr>
              <w:t>现煤矿</w:t>
            </w:r>
            <w:r>
              <w:rPr>
                <w:rFonts w:hint="eastAsia" w:ascii="宋体" w:hAnsi="宋体" w:eastAsia="宋体" w:cs="宋体"/>
                <w:color w:val="000000" w:themeColor="text1"/>
                <w:sz w:val="24"/>
                <w:szCs w:val="24"/>
                <w:highlight w:val="none"/>
                <w:lang w:val="en-US" w:eastAsia="zh-CN"/>
                <w14:textFill>
                  <w14:solidFill>
                    <w14:schemeClr w14:val="tx1"/>
                  </w14:solidFill>
                </w14:textFill>
              </w:rPr>
              <w:t>工业场地已布置有3条立井井筒，即主立井、副立井、中央回风立井；北部风井场地新增北部进、回风立井2条井筒；共5条立井井筒。原初步设计在距离工业场地东侧3.5km处设有刘家渠风井场地，该场地未开工建设，因受铀矿压覆、阻隔影响，先期开采区域发生变化，不再布置刘家渠风井场地。</w:t>
            </w:r>
          </w:p>
          <w:p>
            <w:pPr>
              <w:adjustRightInd w:val="0"/>
              <w:snapToGrid w:val="0"/>
              <w:spacing w:line="360" w:lineRule="auto"/>
              <w:ind w:firstLine="480" w:firstLineChars="200"/>
              <w:rPr>
                <w:rFonts w:hint="eastAsia" w:cs="Times New Roman"/>
                <w:sz w:val="24"/>
                <w:szCs w:val="24"/>
                <w:highlight w:val="none"/>
                <w:lang w:val="en-US" w:eastAsia="zh-CN"/>
              </w:rPr>
            </w:pPr>
            <w:r>
              <w:rPr>
                <w:rFonts w:hint="eastAsia" w:ascii="宋体" w:hAnsi="宋体" w:cs="宋体"/>
                <w:bCs/>
                <w:sz w:val="24"/>
                <w:highlight w:val="none"/>
                <w:lang w:eastAsia="zh-CN"/>
              </w:rPr>
              <w:t>根据</w:t>
            </w:r>
            <w:r>
              <w:rPr>
                <w:rFonts w:hint="eastAsia" w:cs="Times New Roman"/>
                <w:sz w:val="24"/>
                <w:szCs w:val="24"/>
                <w:highlight w:val="none"/>
                <w:lang w:val="en-US" w:eastAsia="zh-CN"/>
              </w:rPr>
              <w:t>《鄂尔多斯市生态环境局杭锦旗分局关于国家能源集团杭锦能源有限责任公司申请塔然高勒煤矿项目北部风井场地建设用地涉及水源地保护区查询的复函》（</w:t>
            </w:r>
            <w:r>
              <w:rPr>
                <w:rFonts w:hint="default" w:ascii="Times New Roman" w:hAnsi="Times New Roman" w:eastAsia="宋体" w:cs="Times New Roman"/>
                <w:sz w:val="24"/>
                <w:szCs w:val="24"/>
                <w:highlight w:val="none"/>
                <w:lang w:val="en-US" w:eastAsia="zh-CN"/>
              </w:rPr>
              <w:t>附件</w:t>
            </w:r>
            <w:r>
              <w:rPr>
                <w:rFonts w:hint="eastAsia" w:cs="Times New Roman"/>
                <w:sz w:val="24"/>
                <w:szCs w:val="24"/>
                <w:highlight w:val="none"/>
                <w:lang w:val="en-US" w:eastAsia="zh-CN"/>
              </w:rPr>
              <w:t>3），国家能源集团杭锦能源有限责任公司塔然高勒煤矿项目北部风井场地建设用地不在杭锦旗已划定的集中式饮用水水源地保护区范围内。</w:t>
            </w:r>
          </w:p>
          <w:p>
            <w:pPr>
              <w:adjustRightInd w:val="0"/>
              <w:snapToGrid w:val="0"/>
              <w:spacing w:line="360" w:lineRule="auto"/>
              <w:ind w:firstLine="480" w:firstLineChars="200"/>
              <w:rPr>
                <w:rFonts w:hint="default" w:cs="Times New Roman"/>
                <w:sz w:val="24"/>
                <w:szCs w:val="24"/>
                <w:highlight w:val="none"/>
                <w:lang w:val="en-US" w:eastAsia="zh-CN"/>
              </w:rPr>
            </w:pPr>
            <w:r>
              <w:rPr>
                <w:rFonts w:hint="eastAsia" w:cs="Times New Roman"/>
                <w:sz w:val="24"/>
                <w:szCs w:val="24"/>
                <w:highlight w:val="none"/>
                <w:lang w:val="en-US" w:eastAsia="zh-CN"/>
              </w:rPr>
              <w:t>《</w:t>
            </w:r>
            <w:r>
              <w:rPr>
                <w:rFonts w:hint="default" w:cs="Times New Roman"/>
                <w:sz w:val="24"/>
                <w:szCs w:val="24"/>
                <w:highlight w:val="none"/>
                <w:lang w:val="en-US" w:eastAsia="zh-CN"/>
              </w:rPr>
              <w:t>内蒙古自治区文物局关于杭锦旗塔然高勒煤矿项目北部风井场地文物核查的意见</w:t>
            </w:r>
            <w:r>
              <w:rPr>
                <w:rFonts w:hint="eastAsia" w:cs="Times New Roman"/>
                <w:sz w:val="24"/>
                <w:szCs w:val="24"/>
                <w:highlight w:val="none"/>
                <w:lang w:val="en-US" w:eastAsia="zh-CN"/>
              </w:rPr>
              <w:t>》（附件3）：原则同意此项目建设。在项目施工建设中如发现或涉及文物遗存，建设方采取必要的文物安全保护措施并及时报告。如需考古发掘，须报国家文物局批准后方可组织施工。</w:t>
            </w:r>
          </w:p>
          <w:p>
            <w:pPr>
              <w:adjustRightInd w:val="0"/>
              <w:snapToGrid w:val="0"/>
              <w:spacing w:line="360" w:lineRule="auto"/>
              <w:ind w:firstLine="480" w:firstLineChars="200"/>
              <w:rPr>
                <w:rFonts w:hint="eastAsia" w:ascii="宋体" w:hAnsi="宋体" w:cs="宋体"/>
                <w:color w:val="000000"/>
                <w:kern w:val="0"/>
                <w:sz w:val="24"/>
                <w:szCs w:val="24"/>
                <w:highlight w:val="none"/>
                <w:lang w:val="en-US" w:eastAsia="zh-CN" w:bidi="ar"/>
              </w:rPr>
            </w:pPr>
            <w:r>
              <w:rPr>
                <w:rFonts w:hint="eastAsia" w:cs="Times New Roman"/>
                <w:sz w:val="24"/>
                <w:szCs w:val="24"/>
                <w:highlight w:val="none"/>
                <w:lang w:val="en-US" w:eastAsia="zh-CN"/>
              </w:rPr>
              <w:t>《关于塔然高勒矿井及选煤厂变更项目井田及外扩两公里范围查询地类的说明》</w:t>
            </w:r>
            <w:r>
              <w:rPr>
                <w:rFonts w:hint="eastAsia" w:cs="Times New Roman"/>
                <w:color w:val="000000" w:themeColor="text1"/>
                <w:sz w:val="24"/>
                <w:szCs w:val="24"/>
                <w:highlight w:val="none"/>
                <w:lang w:val="en-US" w:eastAsia="zh-CN"/>
                <w14:textFill>
                  <w14:solidFill>
                    <w14:schemeClr w14:val="tx1"/>
                  </w14:solidFill>
                </w14:textFill>
              </w:rPr>
              <w:t>（见附件5）</w:t>
            </w:r>
            <w:r>
              <w:rPr>
                <w:rFonts w:hint="eastAsia" w:ascii="宋体" w:hAnsi="宋体" w:cs="宋体"/>
                <w:color w:val="000000"/>
                <w:kern w:val="0"/>
                <w:sz w:val="24"/>
                <w:szCs w:val="24"/>
                <w:highlight w:val="none"/>
                <w:lang w:val="en-US" w:eastAsia="zh-CN" w:bidi="ar"/>
              </w:rPr>
              <w:t>，该查询文件用地范围包含了本项目用地，</w:t>
            </w:r>
            <w:r>
              <w:rPr>
                <w:rFonts w:hint="eastAsia" w:ascii="宋体" w:hAnsi="宋体" w:cs="宋体"/>
                <w:bCs/>
                <w:sz w:val="24"/>
                <w:highlight w:val="none"/>
              </w:rPr>
              <w:t>本项目用地范围不涉及永久基本农田，不在生态保护红线范围内</w:t>
            </w:r>
            <w:r>
              <w:rPr>
                <w:rFonts w:hint="eastAsia" w:ascii="宋体" w:hAnsi="宋体" w:cs="宋体"/>
                <w:color w:val="000000"/>
                <w:kern w:val="0"/>
                <w:sz w:val="24"/>
                <w:szCs w:val="24"/>
                <w:highlight w:val="none"/>
                <w:lang w:val="en-US" w:eastAsia="zh-CN" w:bidi="ar"/>
              </w:rPr>
              <w:t>；</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宋体" w:cs="宋体"/>
                <w:color w:val="000000"/>
                <w:kern w:val="0"/>
                <w:sz w:val="24"/>
                <w:szCs w:val="24"/>
                <w:highlight w:val="none"/>
                <w:lang w:val="en-US" w:eastAsia="zh-CN" w:bidi="ar"/>
              </w:rPr>
              <w:t>本项目不涉及</w:t>
            </w:r>
            <w:r>
              <w:rPr>
                <w:rFonts w:hint="eastAsia" w:ascii="宋体" w:hAnsi="宋体" w:eastAsia="宋体" w:cs="宋体"/>
                <w:color w:val="000000"/>
                <w:kern w:val="0"/>
                <w:sz w:val="24"/>
                <w:szCs w:val="24"/>
                <w:highlight w:val="none"/>
                <w:lang w:val="en-US" w:eastAsia="zh-CN" w:bidi="ar"/>
              </w:rPr>
              <w:t>自然保护区、风景名胜区</w:t>
            </w:r>
            <w:r>
              <w:rPr>
                <w:rFonts w:hint="eastAsia" w:ascii="宋体" w:hAnsi="宋体" w:cs="宋体"/>
                <w:color w:val="000000"/>
                <w:kern w:val="0"/>
                <w:sz w:val="24"/>
                <w:szCs w:val="24"/>
                <w:highlight w:val="none"/>
                <w:lang w:val="en-US" w:eastAsia="zh-CN" w:bidi="ar"/>
              </w:rPr>
              <w:t>、国家公园、天然林等敏感区</w:t>
            </w:r>
            <w:r>
              <w:rPr>
                <w:rFonts w:hint="eastAsia" w:ascii="宋体" w:hAnsi="宋体" w:eastAsia="宋体" w:cs="宋体"/>
                <w:color w:val="000000"/>
                <w:kern w:val="0"/>
                <w:sz w:val="24"/>
                <w:szCs w:val="24"/>
                <w:highlight w:val="none"/>
                <w:lang w:val="en-US" w:eastAsia="zh-CN" w:bidi="ar"/>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本项目涉及地方公益林0.6009公顷，建设方已于2022年10月21日取得《杭锦旗林业和草原局关于塔然高勒煤矿项目</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北部风井场地</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使用林地的审查意见》</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杭林草审字〔2022〕135号）</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见附件10），并已缴纳森林植被恢复费；</w:t>
            </w:r>
          </w:p>
          <w:p>
            <w:pPr>
              <w:adjustRightInd w:val="0"/>
              <w:snapToGrid w:val="0"/>
              <w:spacing w:line="360" w:lineRule="auto"/>
              <w:ind w:firstLine="480" w:firstLineChars="200"/>
              <w:rPr>
                <w:rFonts w:hint="eastAsia" w:ascii="宋体" w:hAnsi="宋体" w:eastAsia="宋体" w:cs="宋体"/>
                <w:color w:val="000000"/>
                <w:kern w:val="0"/>
                <w:sz w:val="24"/>
                <w:szCs w:val="24"/>
                <w:highlight w:val="none"/>
                <w:lang w:val="en-US" w:eastAsia="zh-CN" w:bidi="ar"/>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杭锦旗水利局关于塔然高勒煤矿项目北部风井场地及道路工程是否占用水利工程及河道管理范围的函</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杭水函</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2024</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20号</w:t>
            </w:r>
            <w:r>
              <w:rPr>
                <w:rFonts w:hint="eastAsia" w:cs="Times New Roman"/>
                <w:color w:val="000000" w:themeColor="text1"/>
                <w:sz w:val="24"/>
                <w:szCs w:val="24"/>
                <w:highlight w:val="none"/>
                <w:lang w:val="en-US" w:eastAsia="zh-CN"/>
                <w14:textFill>
                  <w14:solidFill>
                    <w14:schemeClr w14:val="tx1"/>
                  </w14:solidFill>
                </w14:textFill>
              </w:rPr>
              <w:t>）（见附件11）:该项目不占用水利设施，不在河道管理范围内。</w:t>
            </w:r>
          </w:p>
          <w:p>
            <w:pPr>
              <w:adjustRightInd w:val="0"/>
              <w:snapToGrid w:val="0"/>
              <w:spacing w:line="360" w:lineRule="auto"/>
              <w:ind w:firstLine="480" w:firstLineChars="200"/>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项目运营期产生的废气、废水、噪声采取相应环保措施后，</w:t>
            </w:r>
            <w:r>
              <w:rPr>
                <w:rFonts w:hint="eastAsia" w:ascii="宋体" w:hAnsi="宋体" w:eastAsia="宋体" w:cs="宋体"/>
                <w:color w:val="000000"/>
                <w:kern w:val="0"/>
                <w:sz w:val="24"/>
                <w:szCs w:val="24"/>
                <w:highlight w:val="none"/>
                <w:lang w:val="en-US" w:eastAsia="zh-CN" w:bidi="ar"/>
              </w:rPr>
              <w:t>可实现达标排放，</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固废</w:t>
            </w:r>
            <w:r>
              <w:rPr>
                <w:rFonts w:hint="eastAsia" w:cs="Times New Roman"/>
                <w:color w:val="000000" w:themeColor="text1"/>
                <w:sz w:val="24"/>
                <w:szCs w:val="24"/>
                <w:highlight w:val="none"/>
                <w:lang w:val="en-US" w:eastAsia="zh-CN"/>
                <w14:textFill>
                  <w14:solidFill>
                    <w14:schemeClr w14:val="tx1"/>
                  </w14:solidFill>
                </w14:textFill>
              </w:rPr>
              <w:t>均</w:t>
            </w:r>
            <w:r>
              <w:rPr>
                <w:rFonts w:hint="eastAsia" w:ascii="宋体" w:hAnsi="宋体" w:eastAsia="宋体" w:cs="宋体"/>
                <w:color w:val="000000"/>
                <w:kern w:val="0"/>
                <w:sz w:val="24"/>
                <w:szCs w:val="24"/>
                <w:highlight w:val="none"/>
                <w:lang w:val="en-US" w:eastAsia="zh-CN" w:bidi="ar"/>
              </w:rPr>
              <w:t>妥善处置</w:t>
            </w:r>
            <w:r>
              <w:rPr>
                <w:rFonts w:hint="eastAsia" w:eastAsia="宋体"/>
                <w:highlight w:val="none"/>
                <w:lang w:val="en-US" w:eastAsia="zh-CN"/>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本项目风井场地周边500m范围内不涉及居民区，场外道路两侧</w:t>
            </w:r>
            <w:r>
              <w:rPr>
                <w:rFonts w:hint="eastAsia" w:ascii="宋体" w:hAnsi="宋体" w:cs="宋体"/>
                <w:color w:val="000000" w:themeColor="text1"/>
                <w:sz w:val="24"/>
                <w:szCs w:val="24"/>
                <w:highlight w:val="none"/>
                <w:lang w:val="en-US" w:eastAsia="zh-CN"/>
                <w14:textFill>
                  <w14:solidFill>
                    <w14:schemeClr w14:val="tx1"/>
                  </w14:solidFill>
                </w14:textFill>
              </w:rPr>
              <w:t>500m范围内涉及有住户</w:t>
            </w:r>
            <w:r>
              <w:rPr>
                <w:rFonts w:hint="eastAsia"/>
                <w:sz w:val="24"/>
                <w:szCs w:val="24"/>
                <w:highlight w:val="none"/>
                <w:lang w:val="en-US" w:eastAsia="zh-CN"/>
              </w:rPr>
              <w:t>7户</w:t>
            </w:r>
            <w:r>
              <w:rPr>
                <w:rFonts w:hint="eastAsia" w:ascii="宋体" w:hAnsi="宋体" w:cs="宋体"/>
                <w:color w:val="000000" w:themeColor="text1"/>
                <w:sz w:val="24"/>
                <w:szCs w:val="24"/>
                <w:highlight w:val="none"/>
                <w:lang w:val="en-US" w:eastAsia="zh-CN"/>
                <w14:textFill>
                  <w14:solidFill>
                    <w14:schemeClr w14:val="tx1"/>
                  </w14:solidFill>
                </w14:textFill>
              </w:rPr>
              <w:t>，最近一处住户距离场外道路约49m，项目场外道路车辆仅为日常通勤及对外联络车辆，车流量极低，对周边环境影响较小。</w:t>
            </w:r>
          </w:p>
          <w:p>
            <w:pPr>
              <w:adjustRightInd w:val="0"/>
              <w:snapToGrid w:val="0"/>
              <w:spacing w:line="360" w:lineRule="auto"/>
              <w:ind w:firstLine="480" w:firstLineChars="200"/>
              <w:rPr>
                <w:rFonts w:hint="eastAsia" w:ascii="宋体" w:hAnsi="宋体" w:cs="宋体"/>
                <w:bCs/>
                <w:sz w:val="24"/>
                <w:highlight w:val="none"/>
                <w:lang w:val="en-US" w:eastAsia="zh-CN"/>
              </w:rPr>
            </w:pPr>
            <w:r>
              <w:rPr>
                <w:rFonts w:hint="eastAsia" w:ascii="宋体" w:hAnsi="宋体" w:cs="宋体"/>
                <w:bCs/>
                <w:sz w:val="24"/>
                <w:highlight w:val="none"/>
              </w:rPr>
              <w:t>综上所述，</w:t>
            </w:r>
            <w:r>
              <w:rPr>
                <w:rFonts w:hint="eastAsia" w:ascii="宋体" w:hAnsi="宋体" w:cs="宋体"/>
                <w:bCs/>
                <w:sz w:val="24"/>
                <w:highlight w:val="none"/>
                <w:lang w:val="en-US" w:eastAsia="zh-CN"/>
              </w:rPr>
              <w:t>从环保角度分析，本项目选址选线合理。</w:t>
            </w:r>
          </w:p>
          <w:p>
            <w:pPr>
              <w:adjustRightInd w:val="0"/>
              <w:snapToGrid w:val="0"/>
              <w:spacing w:line="360" w:lineRule="auto"/>
              <w:ind w:firstLine="480" w:firstLineChars="200"/>
              <w:rPr>
                <w:rFonts w:hint="eastAsia" w:ascii="宋体" w:hAnsi="宋体" w:cs="宋体"/>
                <w:bCs/>
                <w:sz w:val="24"/>
                <w:highlight w:val="none"/>
                <w:lang w:val="en-US" w:eastAsia="zh-CN"/>
              </w:rPr>
            </w:pPr>
          </w:p>
        </w:tc>
      </w:tr>
    </w:tbl>
    <w:p>
      <w:pPr>
        <w:pStyle w:val="21"/>
        <w:jc w:val="center"/>
        <w:rPr>
          <w:rFonts w:ascii="黑体" w:hAnsi="黑体" w:eastAsia="黑体"/>
          <w:snapToGrid w:val="0"/>
          <w:sz w:val="36"/>
          <w:szCs w:val="36"/>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pPr>
        <w:pStyle w:val="21"/>
        <w:adjustRightInd w:val="0"/>
        <w:snapToGrid w:val="0"/>
        <w:spacing w:before="0" w:beforeAutospacing="0" w:after="0" w:afterAutospacing="0" w:line="14" w:lineRule="auto"/>
        <w:jc w:val="center"/>
        <w:outlineLvl w:val="9"/>
        <w:rPr>
          <w:rFonts w:hint="eastAsia" w:ascii="黑体" w:hAnsi="黑体" w:eastAsia="黑体"/>
          <w:snapToGrid w:val="0"/>
          <w:sz w:val="30"/>
          <w:szCs w:val="30"/>
        </w:rPr>
      </w:pPr>
    </w:p>
    <w:p>
      <w:pPr>
        <w:pStyle w:val="2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五、主要生态环境保护措施</w:t>
      </w:r>
    </w:p>
    <w:tbl>
      <w:tblPr>
        <w:tblStyle w:val="23"/>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3"/>
        <w:gridCol w:w="845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53" w:type="dxa"/>
            <w:noWrap w:val="0"/>
            <w:tcMar>
              <w:left w:w="28" w:type="dxa"/>
              <w:right w:w="28" w:type="dxa"/>
            </w:tcMar>
            <w:vAlign w:val="center"/>
          </w:tcPr>
          <w:p>
            <w:pPr>
              <w:adjustRightInd w:val="0"/>
              <w:snapToGrid w:val="0"/>
              <w:jc w:val="center"/>
              <w:rPr>
                <w:rFonts w:ascii="宋体" w:hAnsi="宋体"/>
                <w:bCs/>
                <w:szCs w:val="21"/>
                <w:highlight w:val="none"/>
              </w:rPr>
            </w:pPr>
            <w:r>
              <w:rPr>
                <w:rFonts w:hint="eastAsia" w:ascii="宋体" w:hAnsi="宋体" w:cs="宋体"/>
                <w:bCs/>
                <w:spacing w:val="10"/>
                <w:szCs w:val="21"/>
                <w:highlight w:val="none"/>
              </w:rPr>
              <w:t>施工期生态环境保护措施</w:t>
            </w:r>
          </w:p>
        </w:tc>
        <w:tc>
          <w:tcPr>
            <w:tcW w:w="8457" w:type="dxa"/>
            <w:noWrap w:val="0"/>
            <w:vAlign w:val="top"/>
          </w:tcPr>
          <w:p>
            <w:pPr>
              <w:keepNext w:val="0"/>
              <w:keepLines w:val="0"/>
              <w:pageBreakBefore w:val="0"/>
              <w:widowControl/>
              <w:suppressLineNumbers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color w:val="000000"/>
                <w:kern w:val="0"/>
                <w:sz w:val="24"/>
                <w:szCs w:val="24"/>
                <w:highlight w:val="none"/>
                <w:lang w:val="en-US" w:eastAsia="zh-CN" w:bidi="ar"/>
              </w:rPr>
              <w:t>一、生态环境保护措施</w:t>
            </w:r>
          </w:p>
          <w:p>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1</w:t>
            </w:r>
            <w:r>
              <w:rPr>
                <w:rFonts w:hint="eastAsia" w:cs="Times New Roman"/>
                <w:b w:val="0"/>
                <w:bCs w:val="0"/>
                <w:sz w:val="24"/>
                <w:szCs w:val="24"/>
                <w:highlight w:val="none"/>
                <w:lang w:val="en-US" w:eastAsia="zh-CN"/>
              </w:rPr>
              <w:t>.</w:t>
            </w:r>
            <w:r>
              <w:rPr>
                <w:rFonts w:hint="default" w:ascii="Times New Roman" w:hAnsi="Times New Roman" w:eastAsia="宋体" w:cs="Times New Roman"/>
                <w:b w:val="0"/>
                <w:bCs w:val="0"/>
                <w:sz w:val="24"/>
                <w:szCs w:val="24"/>
                <w:highlight w:val="none"/>
                <w:lang w:val="en-US" w:eastAsia="zh-CN"/>
              </w:rPr>
              <w:t>陆生生态保护措施</w:t>
            </w:r>
          </w:p>
          <w:p>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eastAsia"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1）植被保护措施</w:t>
            </w:r>
          </w:p>
          <w:p>
            <w:pPr>
              <w:pStyle w:val="31"/>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eastAsia="zh-CN"/>
              </w:rPr>
              <w:t>①</w:t>
            </w:r>
            <w:r>
              <w:rPr>
                <w:rFonts w:hint="default" w:ascii="Times New Roman" w:hAnsi="Times New Roman" w:eastAsia="宋体" w:cs="Times New Roman"/>
                <w:b w:val="0"/>
                <w:bCs w:val="0"/>
                <w:sz w:val="24"/>
                <w:szCs w:val="24"/>
                <w:highlight w:val="none"/>
              </w:rPr>
              <w:t>加强生态环境保护宣传教育。施工</w:t>
            </w:r>
            <w:r>
              <w:rPr>
                <w:rFonts w:hint="eastAsia" w:cs="Times New Roman"/>
                <w:b w:val="0"/>
                <w:bCs w:val="0"/>
                <w:sz w:val="24"/>
                <w:szCs w:val="24"/>
                <w:highlight w:val="none"/>
                <w:lang w:eastAsia="zh-CN"/>
              </w:rPr>
              <w:t>期间</w:t>
            </w:r>
            <w:r>
              <w:rPr>
                <w:rFonts w:hint="default" w:ascii="Times New Roman" w:hAnsi="Times New Roman" w:eastAsia="宋体" w:cs="Times New Roman"/>
                <w:b w:val="0"/>
                <w:bCs w:val="0"/>
                <w:sz w:val="24"/>
                <w:szCs w:val="24"/>
                <w:highlight w:val="none"/>
              </w:rPr>
              <w:t>，大量施工人员进驻施工场地，施工前对施工人员进行环境保护教育培训，让施工人员认识到在施工过程中保护好环境的重要性。主要内容包括在施工过程中不乱丢工程材料、废弃物、弃方等，要注意严格保护好施工用地范围以外的林木植被，禁止乱砍滥伐、肆意践踏</w:t>
            </w:r>
            <w:r>
              <w:rPr>
                <w:rFonts w:hint="default" w:ascii="Times New Roman" w:hAnsi="Times New Roman" w:eastAsia="宋体" w:cs="Times New Roman"/>
                <w:b w:val="0"/>
                <w:bCs w:val="0"/>
                <w:sz w:val="24"/>
                <w:szCs w:val="24"/>
                <w:highlight w:val="none"/>
                <w:lang w:eastAsia="zh-CN"/>
              </w:rPr>
              <w:t>植被</w:t>
            </w:r>
            <w:r>
              <w:rPr>
                <w:rFonts w:hint="default" w:ascii="Times New Roman" w:hAnsi="Times New Roman" w:eastAsia="宋体" w:cs="Times New Roman"/>
                <w:b w:val="0"/>
                <w:bCs w:val="0"/>
                <w:sz w:val="24"/>
                <w:szCs w:val="24"/>
                <w:highlight w:val="none"/>
              </w:rPr>
              <w:t>。</w:t>
            </w:r>
          </w:p>
          <w:p>
            <w:pPr>
              <w:pStyle w:val="31"/>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eastAsia="zh-CN"/>
              </w:rPr>
              <w:t>②场地平整过程中，</w:t>
            </w:r>
            <w:r>
              <w:rPr>
                <w:rStyle w:val="55"/>
                <w:rFonts w:hint="default" w:ascii="Times New Roman" w:hAnsi="Times New Roman" w:eastAsia="宋体" w:cs="Times New Roman"/>
                <w:color w:val="auto"/>
                <w:highlight w:val="none"/>
              </w:rPr>
              <w:t>表土剥离</w:t>
            </w:r>
            <w:r>
              <w:rPr>
                <w:rStyle w:val="55"/>
                <w:rFonts w:hint="default" w:ascii="Times New Roman" w:hAnsi="Times New Roman" w:eastAsia="宋体" w:cs="Times New Roman"/>
                <w:color w:val="auto"/>
                <w:highlight w:val="none"/>
                <w:lang w:val="en-US"/>
              </w:rPr>
              <w:t>2.38158</w:t>
            </w:r>
            <w:r>
              <w:rPr>
                <w:rStyle w:val="55"/>
                <w:rFonts w:hint="default" w:ascii="Times New Roman" w:hAnsi="Times New Roman" w:eastAsia="宋体" w:cs="Times New Roman"/>
                <w:color w:val="auto"/>
                <w:highlight w:val="none"/>
              </w:rPr>
              <w:t>万</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w:t>
            </w:r>
            <w:r>
              <w:rPr>
                <w:rStyle w:val="55"/>
                <w:rFonts w:hint="default" w:ascii="Times New Roman" w:hAnsi="Times New Roman" w:eastAsia="宋体" w:cs="Times New Roman"/>
                <w:color w:val="auto"/>
                <w:highlight w:val="none"/>
              </w:rPr>
              <w:t>表土回覆</w:t>
            </w:r>
            <w:r>
              <w:rPr>
                <w:rStyle w:val="55"/>
                <w:rFonts w:hint="default" w:ascii="Times New Roman" w:hAnsi="Times New Roman" w:eastAsia="宋体" w:cs="Times New Roman"/>
                <w:color w:val="auto"/>
                <w:highlight w:val="none"/>
                <w:lang w:val="en-US"/>
              </w:rPr>
              <w:t>2.38158</w:t>
            </w:r>
            <w:r>
              <w:rPr>
                <w:rStyle w:val="55"/>
                <w:rFonts w:hint="default" w:ascii="Times New Roman" w:hAnsi="Times New Roman" w:eastAsia="宋体" w:cs="Times New Roman"/>
                <w:color w:val="auto"/>
                <w:highlight w:val="none"/>
              </w:rPr>
              <w:t>万</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eastAsia" w:ascii="Times New Roman" w:hAnsi="Times New Roman" w:eastAsia="宋体" w:cs="Times New Roman"/>
                <w:color w:val="auto"/>
                <w:sz w:val="24"/>
                <w:highlight w:val="none"/>
                <w:vertAlign w:val="baseline"/>
                <w:lang w:eastAsia="zh-CN"/>
              </w:rPr>
              <w:t>，</w:t>
            </w:r>
            <w:r>
              <w:rPr>
                <w:rFonts w:hint="eastAsia" w:ascii="Times New Roman" w:hAnsi="Times New Roman" w:eastAsia="宋体" w:cs="Times New Roman"/>
                <w:color w:val="auto"/>
                <w:sz w:val="24"/>
                <w:highlight w:val="none"/>
                <w:vertAlign w:val="baseline"/>
                <w:lang w:val="en-US" w:eastAsia="zh-CN"/>
              </w:rPr>
              <w:t>表土剥离深度为0.3m，风井场地剥离表土就近集中堆放于附近绿化硬化空地，场外道路剥离表土堆放于道路两侧施工区，表土堆存采取密目网苫盖防护，表土</w:t>
            </w:r>
            <w:r>
              <w:rPr>
                <w:rStyle w:val="55"/>
                <w:rFonts w:hint="default" w:ascii="Times New Roman" w:hAnsi="Times New Roman" w:eastAsia="宋体" w:cs="Times New Roman"/>
                <w:color w:val="auto"/>
                <w:highlight w:val="none"/>
              </w:rPr>
              <w:t>回覆</w:t>
            </w:r>
            <w:r>
              <w:rPr>
                <w:rStyle w:val="55"/>
                <w:rFonts w:hint="eastAsia" w:ascii="Times New Roman" w:hAnsi="Times New Roman" w:eastAsia="宋体" w:cs="Times New Roman"/>
                <w:color w:val="auto"/>
                <w:highlight w:val="none"/>
                <w:lang w:val="en-US"/>
              </w:rPr>
              <w:t>于风井场地以及道路</w:t>
            </w:r>
            <w:r>
              <w:rPr>
                <w:rFonts w:hint="eastAsia" w:ascii="Times New Roman" w:hAnsi="Times New Roman" w:eastAsia="宋体" w:cs="Times New Roman"/>
                <w:color w:val="auto"/>
                <w:sz w:val="24"/>
                <w:highlight w:val="none"/>
                <w:vertAlign w:val="baseline"/>
                <w:lang w:val="en-US" w:eastAsia="zh-CN"/>
              </w:rPr>
              <w:t>绿化工程使用</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b w:val="0"/>
                <w:bCs w:val="0"/>
                <w:sz w:val="24"/>
                <w:szCs w:val="24"/>
                <w:highlight w:val="none"/>
              </w:rPr>
              <w:t>在工程施工中要加强管理，必须划定施工范围，各种施工活动应严格控制在施工区域内，尽可能地不破坏原有的地表植被和土壤，严禁乱砍滥伐灌木等植物。</w:t>
            </w:r>
          </w:p>
          <w:p>
            <w:pPr>
              <w:pStyle w:val="31"/>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eastAsia="zh-CN"/>
              </w:rPr>
              <w:t>③</w:t>
            </w:r>
            <w:r>
              <w:rPr>
                <w:spacing w:val="-1"/>
                <w:sz w:val="24"/>
                <w:szCs w:val="24"/>
                <w:highlight w:val="none"/>
              </w:rPr>
              <w:t>施工期间严格控制施工作业带宽度，</w:t>
            </w:r>
            <w:r>
              <w:rPr>
                <w:rFonts w:hint="default" w:ascii="Times New Roman" w:hAnsi="Times New Roman" w:eastAsia="宋体" w:cs="Times New Roman"/>
                <w:b w:val="0"/>
                <w:bCs w:val="0"/>
                <w:sz w:val="24"/>
                <w:szCs w:val="24"/>
                <w:highlight w:val="none"/>
              </w:rPr>
              <w:t>施工前作业带场地清理，应注意土壤的堆放及防护问题，</w:t>
            </w:r>
            <w:r>
              <w:rPr>
                <w:spacing w:val="-3"/>
                <w:sz w:val="24"/>
                <w:szCs w:val="24"/>
                <w:highlight w:val="none"/>
              </w:rPr>
              <w:t>施工过程中对临时堆土进行覆盖防尘网防护和洒水降尘；</w:t>
            </w:r>
            <w:r>
              <w:rPr>
                <w:rFonts w:hint="default" w:ascii="Times New Roman" w:hAnsi="Times New Roman" w:eastAsia="宋体" w:cs="Times New Roman"/>
                <w:b w:val="0"/>
                <w:bCs w:val="0"/>
                <w:sz w:val="24"/>
                <w:szCs w:val="24"/>
                <w:highlight w:val="none"/>
              </w:rPr>
              <w:t>避免雨天施工，造成水土流失危害。</w:t>
            </w:r>
          </w:p>
          <w:p>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eastAsia" w:ascii="Times New Roman" w:hAnsi="Times New Roman" w:eastAsia="宋体" w:cs="Times New Roman"/>
                <w:b w:val="0"/>
                <w:bCs w:val="0"/>
                <w:sz w:val="24"/>
                <w:szCs w:val="24"/>
                <w:highlight w:val="none"/>
                <w:lang w:eastAsia="zh-CN"/>
              </w:rPr>
            </w:pPr>
            <w:r>
              <w:rPr>
                <w:rFonts w:hint="default" w:ascii="Times New Roman" w:hAnsi="Times New Roman" w:eastAsia="宋体" w:cs="Times New Roman"/>
                <w:b w:val="0"/>
                <w:bCs w:val="0"/>
                <w:sz w:val="24"/>
                <w:szCs w:val="24"/>
                <w:highlight w:val="none"/>
                <w:lang w:eastAsia="zh-CN"/>
              </w:rPr>
              <w:t>④</w:t>
            </w:r>
            <w:r>
              <w:rPr>
                <w:spacing w:val="-3"/>
                <w:sz w:val="24"/>
                <w:szCs w:val="24"/>
                <w:highlight w:val="none"/>
              </w:rPr>
              <w:t>施工前进行表土剥离，对施工期内的风井场地内道路初期用碎石压盖，临时堆土采用彩钢板进行拦挡，覆盖防尘网，洒水降尘。施工结束后，对施工扰动区域进行土地整治</w:t>
            </w:r>
            <w:r>
              <w:rPr>
                <w:rFonts w:hint="eastAsia"/>
                <w:spacing w:val="-3"/>
                <w:sz w:val="24"/>
                <w:szCs w:val="24"/>
                <w:highlight w:val="none"/>
                <w:lang w:val="en-US" w:eastAsia="zh-CN"/>
              </w:rPr>
              <w:t>；</w:t>
            </w:r>
            <w:r>
              <w:rPr>
                <w:rFonts w:hint="eastAsia"/>
                <w:sz w:val="24"/>
                <w:szCs w:val="24"/>
                <w:highlight w:val="none"/>
              </w:rPr>
              <w:t>风井场地外围采用方格型浆砌片石骨架内撒播草籽护坡</w:t>
            </w:r>
            <w:r>
              <w:rPr>
                <w:rFonts w:hint="eastAsia"/>
                <w:sz w:val="24"/>
                <w:szCs w:val="24"/>
                <w:highlight w:val="none"/>
                <w:lang w:eastAsia="zh-CN"/>
              </w:rPr>
              <w:t>，护坡面积为6624m</w:t>
            </w:r>
            <w:r>
              <w:rPr>
                <w:rFonts w:hint="eastAsia"/>
                <w:sz w:val="24"/>
                <w:szCs w:val="24"/>
                <w:highlight w:val="none"/>
                <w:vertAlign w:val="superscript"/>
                <w:lang w:eastAsia="zh-CN"/>
              </w:rPr>
              <w:t>2</w:t>
            </w:r>
            <w:r>
              <w:rPr>
                <w:rFonts w:hint="eastAsia"/>
                <w:sz w:val="24"/>
                <w:szCs w:val="24"/>
                <w:highlight w:val="none"/>
                <w:vertAlign w:val="baseline"/>
                <w:lang w:eastAsia="zh-CN"/>
              </w:rPr>
              <w:t>，撒播披碱草</w:t>
            </w:r>
            <w:r>
              <w:rPr>
                <w:rFonts w:hint="eastAsia"/>
                <w:sz w:val="24"/>
                <w:szCs w:val="24"/>
                <w:highlight w:val="none"/>
                <w:vertAlign w:val="baseline"/>
                <w:lang w:val="en-US" w:eastAsia="zh-CN"/>
              </w:rPr>
              <w:t>30.912</w:t>
            </w:r>
            <w:r>
              <w:rPr>
                <w:rFonts w:hint="eastAsia"/>
                <w:sz w:val="24"/>
                <w:szCs w:val="24"/>
                <w:highlight w:val="none"/>
                <w:vertAlign w:val="baseline"/>
                <w:lang w:eastAsia="zh-CN"/>
              </w:rPr>
              <w:t>kg、羊草</w:t>
            </w:r>
            <w:r>
              <w:rPr>
                <w:rFonts w:hint="eastAsia"/>
                <w:sz w:val="24"/>
                <w:szCs w:val="24"/>
                <w:highlight w:val="none"/>
                <w:vertAlign w:val="baseline"/>
                <w:lang w:val="en-US" w:eastAsia="zh-CN"/>
              </w:rPr>
              <w:t>15.456</w:t>
            </w:r>
            <w:r>
              <w:rPr>
                <w:rFonts w:hint="eastAsia"/>
                <w:sz w:val="24"/>
                <w:szCs w:val="24"/>
                <w:highlight w:val="none"/>
                <w:vertAlign w:val="baseline"/>
                <w:lang w:eastAsia="zh-CN"/>
              </w:rPr>
              <w:t>kg</w:t>
            </w:r>
            <w:r>
              <w:rPr>
                <w:rFonts w:hint="eastAsia"/>
                <w:sz w:val="24"/>
                <w:szCs w:val="24"/>
                <w:highlight w:val="none"/>
              </w:rPr>
              <w:t>；风井场地进行植树种草绿化，绿化面积</w:t>
            </w:r>
            <w:r>
              <w:rPr>
                <w:rFonts w:hint="eastAsia"/>
                <w:spacing w:val="-3"/>
                <w:sz w:val="24"/>
                <w:szCs w:val="24"/>
                <w:highlight w:val="none"/>
                <w:lang w:val="en-US" w:eastAsia="zh-CN"/>
              </w:rPr>
              <w:t>为3370m</w:t>
            </w:r>
            <w:r>
              <w:rPr>
                <w:rFonts w:hint="eastAsia"/>
                <w:spacing w:val="-3"/>
                <w:sz w:val="24"/>
                <w:szCs w:val="24"/>
                <w:highlight w:val="none"/>
                <w:vertAlign w:val="superscript"/>
                <w:lang w:val="en-US" w:eastAsia="zh-CN"/>
              </w:rPr>
              <w:t>2</w:t>
            </w:r>
            <w:r>
              <w:rPr>
                <w:rFonts w:hint="eastAsia"/>
                <w:spacing w:val="-3"/>
                <w:sz w:val="24"/>
                <w:szCs w:val="24"/>
                <w:highlight w:val="none"/>
                <w:lang w:val="en-US" w:eastAsia="zh-CN"/>
              </w:rPr>
              <w:t>；</w:t>
            </w:r>
            <w:r>
              <w:rPr>
                <w:rFonts w:hint="default"/>
                <w:sz w:val="24"/>
                <w:szCs w:val="24"/>
                <w:highlight w:val="none"/>
              </w:rPr>
              <w:t>其中</w:t>
            </w:r>
            <w:r>
              <w:rPr>
                <w:rFonts w:hint="default"/>
                <w:sz w:val="24"/>
                <w:szCs w:val="24"/>
                <w:highlight w:val="none"/>
                <w:lang w:eastAsia="zh-CN"/>
              </w:rPr>
              <w:t>栽植</w:t>
            </w:r>
            <w:r>
              <w:rPr>
                <w:rFonts w:hint="default"/>
                <w:sz w:val="24"/>
                <w:szCs w:val="24"/>
                <w:highlight w:val="none"/>
                <w:lang w:val="zh-CN"/>
              </w:rPr>
              <w:t>榆叶梅</w:t>
            </w:r>
            <w:r>
              <w:rPr>
                <w:rFonts w:hint="eastAsia"/>
                <w:sz w:val="24"/>
                <w:szCs w:val="24"/>
                <w:highlight w:val="none"/>
                <w:lang w:val="en-US" w:eastAsia="zh-CN"/>
              </w:rPr>
              <w:t>244</w:t>
            </w:r>
            <w:r>
              <w:rPr>
                <w:rFonts w:hint="default"/>
                <w:sz w:val="24"/>
                <w:szCs w:val="24"/>
                <w:highlight w:val="none"/>
              </w:rPr>
              <w:t>株</w:t>
            </w:r>
            <w:r>
              <w:rPr>
                <w:rFonts w:hint="default"/>
                <w:sz w:val="24"/>
                <w:szCs w:val="24"/>
                <w:highlight w:val="none"/>
                <w:lang w:val="zh-CN"/>
              </w:rPr>
              <w:t>、丁香</w:t>
            </w:r>
            <w:r>
              <w:rPr>
                <w:rFonts w:hint="eastAsia"/>
                <w:sz w:val="24"/>
                <w:szCs w:val="24"/>
                <w:highlight w:val="none"/>
                <w:lang w:val="en-US" w:eastAsia="zh-CN"/>
              </w:rPr>
              <w:t>24</w:t>
            </w:r>
            <w:r>
              <w:rPr>
                <w:rFonts w:hint="default"/>
                <w:sz w:val="24"/>
                <w:szCs w:val="24"/>
                <w:highlight w:val="none"/>
              </w:rPr>
              <w:t>株</w:t>
            </w:r>
            <w:r>
              <w:rPr>
                <w:rFonts w:hint="default"/>
                <w:sz w:val="24"/>
                <w:szCs w:val="24"/>
                <w:highlight w:val="none"/>
                <w:lang w:eastAsia="zh-CN"/>
              </w:rPr>
              <w:t>，</w:t>
            </w:r>
            <w:r>
              <w:rPr>
                <w:rFonts w:hint="default"/>
                <w:sz w:val="24"/>
                <w:szCs w:val="24"/>
                <w:highlight w:val="none"/>
                <w:lang w:val="en-US" w:eastAsia="zh-CN"/>
              </w:rPr>
              <w:t>播种密度约为</w:t>
            </w:r>
            <w:r>
              <w:rPr>
                <w:rFonts w:hint="eastAsia"/>
                <w:sz w:val="24"/>
                <w:szCs w:val="24"/>
                <w:highlight w:val="none"/>
                <w:lang w:val="en-US" w:eastAsia="zh-CN"/>
              </w:rPr>
              <w:t>44</w:t>
            </w:r>
            <w:r>
              <w:rPr>
                <w:rFonts w:hint="default"/>
                <w:sz w:val="24"/>
                <w:szCs w:val="24"/>
                <w:highlight w:val="none"/>
                <w:lang w:val="en-US" w:eastAsia="zh-CN"/>
              </w:rPr>
              <w:t>kg/ha，</w:t>
            </w:r>
            <w:r>
              <w:rPr>
                <w:rFonts w:hint="default" w:ascii="Times New Roman" w:hAnsi="Times New Roman" w:eastAsia="宋体" w:cs="Times New Roman"/>
                <w:spacing w:val="-3"/>
                <w:sz w:val="24"/>
                <w:szCs w:val="24"/>
                <w:highlight w:val="none"/>
                <w:lang w:eastAsia="zh-CN"/>
              </w:rPr>
              <w:t>撒播披碱草</w:t>
            </w:r>
            <w:r>
              <w:rPr>
                <w:rFonts w:hint="eastAsia" w:ascii="Times New Roman" w:hAnsi="Times New Roman" w:eastAsia="宋体" w:cs="Times New Roman"/>
                <w:spacing w:val="-3"/>
                <w:sz w:val="24"/>
                <w:szCs w:val="24"/>
                <w:highlight w:val="none"/>
                <w:lang w:val="en-US" w:eastAsia="zh-CN"/>
              </w:rPr>
              <w:t>9.848</w:t>
            </w:r>
            <w:r>
              <w:rPr>
                <w:rFonts w:hint="default" w:ascii="Times New Roman" w:hAnsi="Times New Roman" w:eastAsia="宋体" w:cs="Times New Roman"/>
                <w:spacing w:val="-3"/>
                <w:sz w:val="24"/>
                <w:szCs w:val="24"/>
                <w:highlight w:val="none"/>
                <w:lang w:eastAsia="zh-CN"/>
              </w:rPr>
              <w:t>kg、羊草</w:t>
            </w:r>
            <w:r>
              <w:rPr>
                <w:rFonts w:hint="eastAsia" w:ascii="Times New Roman" w:hAnsi="Times New Roman" w:eastAsia="宋体" w:cs="Times New Roman"/>
                <w:spacing w:val="-3"/>
                <w:sz w:val="24"/>
                <w:szCs w:val="24"/>
                <w:highlight w:val="none"/>
                <w:lang w:val="en-US" w:eastAsia="zh-CN"/>
              </w:rPr>
              <w:t>4.98</w:t>
            </w:r>
            <w:r>
              <w:rPr>
                <w:rFonts w:hint="default" w:ascii="Times New Roman" w:hAnsi="Times New Roman" w:eastAsia="宋体" w:cs="Times New Roman"/>
                <w:spacing w:val="-3"/>
                <w:sz w:val="24"/>
                <w:szCs w:val="24"/>
                <w:highlight w:val="none"/>
                <w:lang w:eastAsia="zh-CN"/>
              </w:rPr>
              <w:t>kg</w:t>
            </w:r>
            <w:r>
              <w:rPr>
                <w:rFonts w:hint="eastAsia" w:ascii="Times New Roman" w:hAnsi="Times New Roman" w:eastAsia="宋体" w:cs="Times New Roman"/>
                <w:spacing w:val="-3"/>
                <w:sz w:val="24"/>
                <w:szCs w:val="24"/>
                <w:highlight w:val="none"/>
                <w:lang w:eastAsia="zh-CN"/>
              </w:rPr>
              <w:t>；</w:t>
            </w:r>
            <w:r>
              <w:rPr>
                <w:rFonts w:hint="eastAsia"/>
                <w:sz w:val="24"/>
                <w:szCs w:val="24"/>
                <w:highlight w:val="none"/>
              </w:rPr>
              <w:t>进场道路两侧采用六边形水泥混凝土空心块植物护坡与种草籽护坡相结合</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color w:val="auto"/>
                <w:sz w:val="24"/>
                <w:highlight w:val="none"/>
                <w:lang w:val="zh-CN"/>
              </w:rPr>
              <w:t>种草护坡</w:t>
            </w:r>
            <w:r>
              <w:rPr>
                <w:rFonts w:hint="eastAsia" w:ascii="Times New Roman" w:hAnsi="Times New Roman" w:eastAsia="宋体" w:cs="Times New Roman"/>
                <w:color w:val="auto"/>
                <w:sz w:val="24"/>
                <w:highlight w:val="none"/>
                <w:lang w:val="en-US" w:eastAsia="zh-CN"/>
              </w:rPr>
              <w:t>5200</w:t>
            </w:r>
            <w:r>
              <w:rPr>
                <w:rFonts w:hint="default" w:ascii="Times New Roman" w:hAnsi="Times New Roman" w:eastAsia="宋体" w:cs="Times New Roman"/>
                <w:color w:val="auto"/>
                <w:sz w:val="24"/>
                <w:highlight w:val="none"/>
                <w:lang w:val="zh-CN"/>
              </w:rPr>
              <w:t>m</w:t>
            </w:r>
            <w:r>
              <w:rPr>
                <w:rFonts w:hint="default" w:ascii="Times New Roman" w:hAnsi="Times New Roman" w:eastAsia="宋体" w:cs="Times New Roman"/>
                <w:color w:val="auto"/>
                <w:sz w:val="24"/>
                <w:highlight w:val="none"/>
                <w:vertAlign w:val="superscript"/>
                <w:lang w:val="zh-CN"/>
              </w:rPr>
              <w:t>2</w:t>
            </w:r>
            <w:r>
              <w:rPr>
                <w:rFonts w:hint="default" w:ascii="Times New Roman" w:hAnsi="Times New Roman" w:eastAsia="宋体" w:cs="Times New Roman"/>
                <w:color w:val="auto"/>
                <w:sz w:val="24"/>
                <w:highlight w:val="none"/>
                <w:lang w:val="zh-CN"/>
              </w:rPr>
              <w:t>，</w:t>
            </w:r>
            <w:r>
              <w:rPr>
                <w:rFonts w:hint="default" w:ascii="Times New Roman" w:hAnsi="Times New Roman" w:eastAsia="宋体" w:cs="Times New Roman"/>
                <w:color w:val="auto"/>
                <w:sz w:val="24"/>
                <w:szCs w:val="24"/>
                <w:highlight w:val="none"/>
                <w:lang w:eastAsia="zh-CN"/>
              </w:rPr>
              <w:t>撒播披碱草</w:t>
            </w:r>
            <w:r>
              <w:rPr>
                <w:rFonts w:hint="eastAsia" w:ascii="Times New Roman" w:hAnsi="Times New Roman" w:eastAsia="宋体" w:cs="Times New Roman"/>
                <w:color w:val="auto"/>
                <w:sz w:val="24"/>
                <w:szCs w:val="24"/>
                <w:highlight w:val="none"/>
                <w:lang w:val="en-US" w:eastAsia="zh-CN"/>
              </w:rPr>
              <w:t>23.9</w:t>
            </w:r>
            <w:r>
              <w:rPr>
                <w:rFonts w:hint="default" w:ascii="Times New Roman" w:hAnsi="Times New Roman" w:eastAsia="宋体" w:cs="Times New Roman"/>
                <w:color w:val="auto"/>
                <w:sz w:val="24"/>
                <w:szCs w:val="24"/>
                <w:highlight w:val="none"/>
              </w:rPr>
              <w:t>kg</w:t>
            </w:r>
            <w:r>
              <w:rPr>
                <w:rFonts w:hint="default" w:ascii="Times New Roman" w:hAnsi="Times New Roman" w:eastAsia="宋体" w:cs="Times New Roman"/>
                <w:color w:val="auto"/>
                <w:sz w:val="24"/>
                <w:szCs w:val="24"/>
                <w:highlight w:val="none"/>
                <w:lang w:eastAsia="zh-CN"/>
              </w:rPr>
              <w:t>、羊草</w:t>
            </w:r>
            <w:r>
              <w:rPr>
                <w:rFonts w:hint="eastAsia" w:ascii="Times New Roman" w:hAnsi="Times New Roman" w:eastAsia="宋体" w:cs="Times New Roman"/>
                <w:color w:val="auto"/>
                <w:sz w:val="24"/>
                <w:szCs w:val="24"/>
                <w:highlight w:val="none"/>
                <w:lang w:val="en-US" w:eastAsia="zh-CN"/>
              </w:rPr>
              <w:t>12.5</w:t>
            </w:r>
            <w:r>
              <w:rPr>
                <w:rFonts w:hint="default" w:ascii="Times New Roman" w:hAnsi="Times New Roman" w:eastAsia="宋体" w:cs="Times New Roman"/>
                <w:color w:val="auto"/>
                <w:sz w:val="24"/>
                <w:szCs w:val="24"/>
                <w:highlight w:val="none"/>
              </w:rPr>
              <w:t>kg</w:t>
            </w:r>
            <w:r>
              <w:rPr>
                <w:rFonts w:hint="default" w:ascii="Times New Roman" w:hAnsi="Times New Roman" w:eastAsia="宋体" w:cs="Times New Roman"/>
                <w:color w:val="auto"/>
                <w:sz w:val="24"/>
                <w:szCs w:val="24"/>
                <w:highlight w:val="none"/>
                <w:lang w:val="zh-CN"/>
              </w:rPr>
              <w:t>；③</w:t>
            </w:r>
            <w:r>
              <w:rPr>
                <w:rFonts w:hint="default" w:ascii="Times New Roman" w:hAnsi="Times New Roman" w:eastAsia="宋体" w:cs="Times New Roman"/>
                <w:color w:val="auto"/>
                <w:sz w:val="24"/>
                <w:highlight w:val="none"/>
                <w:lang w:val="zh-CN"/>
              </w:rPr>
              <w:t>六角空心砖内种草护坡24</w:t>
            </w:r>
            <w:r>
              <w:rPr>
                <w:rFonts w:hint="eastAsia" w:ascii="Times New Roman" w:hAnsi="Times New Roman" w:eastAsia="宋体" w:cs="Times New Roman"/>
                <w:color w:val="auto"/>
                <w:sz w:val="24"/>
                <w:highlight w:val="none"/>
                <w:lang w:val="en-US" w:eastAsia="zh-CN"/>
              </w:rPr>
              <w:t>00</w:t>
            </w:r>
            <w:r>
              <w:rPr>
                <w:rFonts w:hint="default" w:ascii="Times New Roman" w:hAnsi="Times New Roman" w:eastAsia="宋体" w:cs="Times New Roman"/>
                <w:color w:val="auto"/>
                <w:sz w:val="24"/>
                <w:highlight w:val="none"/>
                <w:lang w:val="zh-CN"/>
              </w:rPr>
              <w:t>m</w:t>
            </w:r>
            <w:r>
              <w:rPr>
                <w:rFonts w:hint="default" w:ascii="Times New Roman" w:hAnsi="Times New Roman" w:eastAsia="宋体" w:cs="Times New Roman"/>
                <w:color w:val="auto"/>
                <w:sz w:val="24"/>
                <w:highlight w:val="none"/>
                <w:vertAlign w:val="superscript"/>
                <w:lang w:val="zh-CN"/>
              </w:rPr>
              <w:t>2</w:t>
            </w:r>
            <w:r>
              <w:rPr>
                <w:rFonts w:hint="default" w:ascii="Times New Roman" w:hAnsi="Times New Roman" w:eastAsia="宋体" w:cs="Times New Roman"/>
                <w:color w:val="auto"/>
                <w:sz w:val="24"/>
                <w:highlight w:val="none"/>
                <w:lang w:val="zh-CN"/>
              </w:rPr>
              <w:t>，</w:t>
            </w:r>
            <w:r>
              <w:rPr>
                <w:rFonts w:hint="default" w:ascii="Times New Roman" w:hAnsi="Times New Roman" w:eastAsia="宋体" w:cs="Times New Roman"/>
                <w:color w:val="auto"/>
                <w:sz w:val="24"/>
                <w:szCs w:val="24"/>
                <w:highlight w:val="none"/>
                <w:lang w:eastAsia="zh-CN"/>
              </w:rPr>
              <w:t>撒播披碱草10.99</w:t>
            </w:r>
            <w:r>
              <w:rPr>
                <w:rFonts w:hint="default" w:ascii="Times New Roman" w:hAnsi="Times New Roman" w:eastAsia="宋体" w:cs="Times New Roman"/>
                <w:color w:val="auto"/>
                <w:sz w:val="24"/>
                <w:szCs w:val="24"/>
                <w:highlight w:val="none"/>
              </w:rPr>
              <w:t>kg</w:t>
            </w:r>
            <w:r>
              <w:rPr>
                <w:rFonts w:hint="default" w:ascii="Times New Roman" w:hAnsi="Times New Roman" w:eastAsia="宋体" w:cs="Times New Roman"/>
                <w:color w:val="auto"/>
                <w:sz w:val="24"/>
                <w:szCs w:val="24"/>
                <w:highlight w:val="none"/>
                <w:lang w:eastAsia="zh-CN"/>
              </w:rPr>
              <w:t>、羊草5.49</w:t>
            </w:r>
            <w:r>
              <w:rPr>
                <w:rFonts w:hint="default" w:ascii="Times New Roman" w:hAnsi="Times New Roman" w:eastAsia="宋体" w:cs="Times New Roman"/>
                <w:color w:val="auto"/>
                <w:sz w:val="24"/>
                <w:szCs w:val="24"/>
                <w:highlight w:val="none"/>
              </w:rPr>
              <w:t>kg</w:t>
            </w:r>
            <w:r>
              <w:rPr>
                <w:rFonts w:hint="default" w:ascii="Times New Roman" w:hAnsi="Times New Roman" w:eastAsia="宋体" w:cs="Times New Roman"/>
                <w:color w:val="auto"/>
                <w:sz w:val="24"/>
                <w:highlight w:val="none"/>
                <w:vertAlign w:val="baseline"/>
                <w:lang w:val="en-US" w:eastAsia="zh-CN"/>
              </w:rPr>
              <w:t>。</w:t>
            </w:r>
            <w:r>
              <w:rPr>
                <w:rFonts w:hint="eastAsia"/>
                <w:spacing w:val="-3"/>
                <w:sz w:val="24"/>
                <w:szCs w:val="24"/>
                <w:highlight w:val="none"/>
                <w:lang w:eastAsia="zh-CN"/>
              </w:rPr>
              <w:t>场外道路设置护坡是为了</w:t>
            </w:r>
            <w:r>
              <w:rPr>
                <w:rFonts w:hint="eastAsia"/>
                <w:spacing w:val="-3"/>
                <w:sz w:val="24"/>
                <w:szCs w:val="24"/>
                <w:highlight w:val="none"/>
                <w:lang w:val="en-US" w:eastAsia="zh-CN"/>
              </w:rPr>
              <w:t>保持挖填方过程产生的边坡的稳定，与维护路基稳定性。</w:t>
            </w:r>
          </w:p>
          <w:p>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eastAsia" w:cs="Times New Roman"/>
                <w:b w:val="0"/>
                <w:bCs w:val="0"/>
                <w:sz w:val="24"/>
                <w:szCs w:val="24"/>
                <w:highlight w:val="none"/>
                <w:lang w:eastAsia="zh-CN"/>
              </w:rPr>
              <w:t>（</w:t>
            </w:r>
            <w:r>
              <w:rPr>
                <w:rFonts w:hint="default" w:ascii="Times New Roman" w:hAnsi="Times New Roman" w:eastAsia="宋体" w:cs="Times New Roman"/>
                <w:b w:val="0"/>
                <w:bCs w:val="0"/>
                <w:sz w:val="24"/>
                <w:szCs w:val="24"/>
                <w:highlight w:val="none"/>
              </w:rPr>
              <w:t>2）陆生动物保护措施</w:t>
            </w:r>
          </w:p>
          <w:p>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eastAsia="zh-CN"/>
              </w:rPr>
              <w:t>①</w:t>
            </w:r>
            <w:r>
              <w:rPr>
                <w:rFonts w:hint="default" w:ascii="Times New Roman" w:hAnsi="Times New Roman" w:eastAsia="宋体" w:cs="Times New Roman"/>
                <w:b w:val="0"/>
                <w:bCs w:val="0"/>
                <w:sz w:val="24"/>
                <w:szCs w:val="24"/>
                <w:highlight w:val="none"/>
              </w:rPr>
              <w:t>施工期应加强对施工人员生态环境保护意识的教育，严禁对周围草地乱碾压，破坏生态及动物的生境、栖息地；严禁对野生动物的滥捕滥杀。</w:t>
            </w:r>
          </w:p>
          <w:p>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eastAsia="zh-CN"/>
              </w:rPr>
              <w:t>②</w:t>
            </w:r>
            <w:r>
              <w:rPr>
                <w:rFonts w:hint="default" w:ascii="Times New Roman" w:hAnsi="Times New Roman" w:eastAsia="宋体" w:cs="Times New Roman"/>
                <w:b w:val="0"/>
                <w:bCs w:val="0"/>
                <w:sz w:val="24"/>
                <w:szCs w:val="24"/>
                <w:highlight w:val="none"/>
              </w:rPr>
              <w:t>工程施工前应划定施工范围，施工必须限制在划定范围内，并且在工程施工区设置警示牌，禁止施工人员和车辆进入到施工范围以外区域，避免施工人员的非施工活动惊扰影响动物的栖息</w:t>
            </w:r>
          </w:p>
          <w:p>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eastAsia="zh-CN"/>
              </w:rPr>
              <w:t>③</w:t>
            </w:r>
            <w:r>
              <w:rPr>
                <w:rFonts w:hint="default" w:ascii="Times New Roman" w:hAnsi="Times New Roman" w:eastAsia="宋体" w:cs="Times New Roman"/>
                <w:b w:val="0"/>
                <w:bCs w:val="0"/>
                <w:sz w:val="24"/>
                <w:szCs w:val="24"/>
                <w:highlight w:val="none"/>
              </w:rPr>
              <w:t>项目建设中，各种施工作业，尤其是噪声较高的施工活动等应避开野生动物的栖息地，避免对其产生干扰。</w:t>
            </w:r>
          </w:p>
          <w:p>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eastAsia="zh-CN"/>
              </w:rPr>
              <w:t>④</w:t>
            </w:r>
            <w:r>
              <w:rPr>
                <w:rFonts w:hint="default" w:ascii="Times New Roman" w:hAnsi="Times New Roman" w:eastAsia="宋体" w:cs="Times New Roman"/>
                <w:b w:val="0"/>
                <w:bCs w:val="0"/>
                <w:sz w:val="24"/>
                <w:szCs w:val="24"/>
                <w:highlight w:val="none"/>
              </w:rPr>
              <w:t>优化施工路线，工程物料运输路线以已建道路为主，避免车辆惊扰栖息的动物。</w:t>
            </w:r>
          </w:p>
          <w:p>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eastAsia="zh-CN"/>
              </w:rPr>
              <w:t>⑤</w:t>
            </w:r>
            <w:r>
              <w:rPr>
                <w:rFonts w:hint="default" w:ascii="Times New Roman" w:hAnsi="Times New Roman" w:eastAsia="宋体" w:cs="Times New Roman"/>
                <w:b w:val="0"/>
                <w:bCs w:val="0"/>
                <w:sz w:val="24"/>
                <w:szCs w:val="24"/>
                <w:highlight w:val="none"/>
              </w:rPr>
              <w:t>施工结束后，尽快恢复和完善工程周边的绿化工作，</w:t>
            </w:r>
            <w:r>
              <w:rPr>
                <w:rFonts w:hint="eastAsia" w:cs="Times New Roman"/>
                <w:b w:val="0"/>
                <w:bCs w:val="0"/>
                <w:color w:val="000000" w:themeColor="text1"/>
                <w:sz w:val="24"/>
                <w:szCs w:val="24"/>
                <w:highlight w:val="none"/>
                <w:lang w:eastAsia="zh-CN"/>
                <w14:textFill>
                  <w14:solidFill>
                    <w14:schemeClr w14:val="tx1"/>
                  </w14:solidFill>
                </w14:textFill>
              </w:rPr>
              <w:t>植树种草后</w:t>
            </w:r>
            <w:r>
              <w:rPr>
                <w:rFonts w:hint="eastAsia"/>
                <w:color w:val="000000" w:themeColor="text1"/>
                <w:sz w:val="24"/>
                <w:highlight w:val="none"/>
                <w:lang w:eastAsia="zh-CN"/>
                <w14:textFill>
                  <w14:solidFill>
                    <w14:schemeClr w14:val="tx1"/>
                  </w14:solidFill>
                </w14:textFill>
              </w:rPr>
              <w:t>需及时进行灌溉，灌溉用水为塔然高勒煤矿工业场地矿井水处理站深度处理后的井下排水，由水车从塔然高勒煤矿工业场地拉水。</w:t>
            </w:r>
          </w:p>
          <w:p>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b w:val="0"/>
                <w:bCs w:val="0"/>
                <w:sz w:val="24"/>
                <w:szCs w:val="24"/>
                <w:highlight w:val="none"/>
                <w:lang w:val="en-US" w:eastAsia="zh-CN"/>
              </w:rPr>
            </w:pPr>
            <w:r>
              <w:rPr>
                <w:rFonts w:hint="eastAsia" w:ascii="Times New Roman" w:hAnsi="Times New Roman" w:eastAsia="宋体" w:cs="Times New Roman"/>
                <w:b w:val="0"/>
                <w:bCs w:val="0"/>
                <w:sz w:val="24"/>
                <w:szCs w:val="24"/>
                <w:highlight w:val="none"/>
                <w:lang w:val="en-US" w:eastAsia="zh-CN"/>
              </w:rPr>
              <w:t>2.</w:t>
            </w:r>
            <w:r>
              <w:rPr>
                <w:rFonts w:hint="default" w:ascii="Times New Roman" w:hAnsi="Times New Roman" w:eastAsia="宋体" w:cs="Times New Roman"/>
                <w:b w:val="0"/>
                <w:bCs w:val="0"/>
                <w:sz w:val="24"/>
                <w:szCs w:val="24"/>
                <w:highlight w:val="none"/>
                <w:lang w:val="en-US" w:eastAsia="zh-CN"/>
              </w:rPr>
              <w:t xml:space="preserve">水土流失防治措施 </w:t>
            </w:r>
          </w:p>
          <w:p>
            <w:pPr>
              <w:keepNext w:val="0"/>
              <w:keepLines w:val="0"/>
              <w:pageBreakBefore w:val="0"/>
              <w:kinsoku/>
              <w:wordWrap/>
              <w:overflowPunct/>
              <w:topLinePunct w:val="0"/>
              <w:autoSpaceDE/>
              <w:autoSpaceDN/>
              <w:bidi w:val="0"/>
              <w:adjustRightInd/>
              <w:spacing w:line="360" w:lineRule="auto"/>
              <w:ind w:firstLine="480" w:firstLineChars="200"/>
              <w:jc w:val="both"/>
              <w:textAlignment w:val="auto"/>
              <w:rPr>
                <w:sz w:val="24"/>
                <w:highlight w:val="none"/>
              </w:rPr>
            </w:pPr>
            <w:r>
              <w:rPr>
                <w:rFonts w:hint="default" w:ascii="Times New Roman" w:hAnsi="Times New Roman" w:eastAsia="宋体" w:cs="Times New Roman"/>
                <w:b w:val="0"/>
                <w:bCs w:val="0"/>
                <w:sz w:val="24"/>
                <w:szCs w:val="24"/>
                <w:highlight w:val="none"/>
                <w:lang w:val="en-US" w:eastAsia="zh-CN"/>
              </w:rPr>
              <w:t>优化单项工程的施工时序，避免暴雨天气进行场地、道路的平整、地基开挖；遭遇大风和暴雨时，应在其来临之前分别采取洒水、土袋拦挡和草垫覆盖等临时防护措施，防止风蚀和雨滴溅蚀。严控施工作业带和施工红线，禁止越线开挖，禁止将临时堆土堆放于施工作业带外。</w:t>
            </w:r>
          </w:p>
          <w:p>
            <w:pPr>
              <w:spacing w:line="360" w:lineRule="auto"/>
              <w:ind w:firstLine="480" w:firstLineChars="200"/>
              <w:rPr>
                <w:rFonts w:hint="eastAsia"/>
                <w:b w:val="0"/>
                <w:bCs w:val="0"/>
                <w:sz w:val="24"/>
                <w:highlight w:val="none"/>
              </w:rPr>
            </w:pPr>
            <w:r>
              <w:rPr>
                <w:rFonts w:hint="eastAsia"/>
                <w:b w:val="0"/>
                <w:bCs w:val="0"/>
                <w:sz w:val="24"/>
                <w:highlight w:val="none"/>
                <w:lang w:val="en-US" w:eastAsia="zh-CN"/>
              </w:rPr>
              <w:t>二</w:t>
            </w:r>
            <w:r>
              <w:rPr>
                <w:rFonts w:hint="eastAsia"/>
                <w:b w:val="0"/>
                <w:bCs w:val="0"/>
                <w:sz w:val="24"/>
                <w:highlight w:val="none"/>
              </w:rPr>
              <w:t>、</w:t>
            </w:r>
            <w:r>
              <w:rPr>
                <w:rFonts w:hint="eastAsia"/>
                <w:b w:val="0"/>
                <w:bCs w:val="0"/>
                <w:sz w:val="24"/>
                <w:highlight w:val="none"/>
                <w:lang w:val="en-US" w:eastAsia="zh-CN"/>
              </w:rPr>
              <w:t>大气环境保护措施</w:t>
            </w:r>
          </w:p>
          <w:p>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1）施工扬尘治理措施</w:t>
            </w:r>
          </w:p>
          <w:p>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spacing w:val="-1"/>
                <w:sz w:val="24"/>
                <w:szCs w:val="24"/>
                <w:highlight w:val="none"/>
              </w:rPr>
            </w:pPr>
            <w:r>
              <w:rPr>
                <w:rFonts w:hint="default" w:ascii="Times New Roman" w:hAnsi="Times New Roman" w:eastAsia="宋体" w:cs="Times New Roman"/>
                <w:sz w:val="24"/>
                <w:szCs w:val="24"/>
                <w:highlight w:val="none"/>
                <w:lang w:val="en-US" w:eastAsia="zh-CN"/>
              </w:rPr>
              <w:t>①</w:t>
            </w:r>
            <w:r>
              <w:rPr>
                <w:spacing w:val="-1"/>
                <w:sz w:val="24"/>
                <w:szCs w:val="24"/>
                <w:highlight w:val="none"/>
              </w:rPr>
              <w:t>施工工地周围应当按照有关规定设置连续、密闭的围挡</w:t>
            </w:r>
            <w:r>
              <w:rPr>
                <w:rFonts w:hint="eastAsia"/>
                <w:highlight w:val="none"/>
                <w:lang w:eastAsia="zh-CN"/>
              </w:rPr>
              <w:t>，</w:t>
            </w:r>
            <w:r>
              <w:rPr>
                <w:rFonts w:hint="eastAsia" w:ascii="Times New Roman" w:hAnsi="Times New Roman" w:eastAsia="宋体" w:cs="Times New Roman"/>
                <w:spacing w:val="-1"/>
                <w:sz w:val="24"/>
                <w:szCs w:val="24"/>
                <w:highlight w:val="none"/>
                <w:lang w:eastAsia="zh-CN"/>
              </w:rPr>
              <w:t>围挡高度不低于</w:t>
            </w:r>
            <w:r>
              <w:rPr>
                <w:rFonts w:hint="eastAsia" w:ascii="Times New Roman" w:hAnsi="Times New Roman" w:eastAsia="宋体" w:cs="Times New Roman"/>
                <w:spacing w:val="-1"/>
                <w:sz w:val="24"/>
                <w:szCs w:val="24"/>
                <w:highlight w:val="none"/>
                <w:lang w:val="en-US" w:eastAsia="zh-CN"/>
              </w:rPr>
              <w:t>2.5m。</w:t>
            </w:r>
          </w:p>
          <w:p>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 xml:space="preserve">②施工现场裸露场地采用抑尘网覆盖，并随时洒水抑尘； </w:t>
            </w:r>
          </w:p>
          <w:p>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③运输建筑材料的车辆严禁超载，运输颗粒物料沙土等车辆必须采取加盖篷布等防尘措施，防止物料沿途抛撒导致二次扬尘。车辆应按照批准的路线和时间进行物料等的运输；</w:t>
            </w:r>
            <w:r>
              <w:rPr>
                <w:rFonts w:hint="default" w:ascii="Times New Roman" w:hAnsi="Times New Roman" w:eastAsia="宋体" w:cs="Times New Roman"/>
                <w:sz w:val="24"/>
                <w:szCs w:val="24"/>
                <w:highlight w:val="none"/>
              </w:rPr>
              <w:t>施工现场设置洒水车，对施工现场和进场道路进行定期洒水，保持地面湿度，在无雨日的上下午各洒水两次，减少二次扬尘产生。</w:t>
            </w:r>
            <w:r>
              <w:rPr>
                <w:rFonts w:hint="default" w:ascii="Times New Roman" w:hAnsi="Times New Roman" w:eastAsia="宋体" w:cs="Times New Roman"/>
                <w:sz w:val="24"/>
                <w:szCs w:val="24"/>
                <w:highlight w:val="none"/>
                <w:lang w:val="en-US" w:eastAsia="zh-CN"/>
              </w:rPr>
              <w:t xml:space="preserve"> </w:t>
            </w:r>
          </w:p>
          <w:p>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④土方作业，采取洒水抑尘措施，缩短起尘操作时间；气象预报风速达到四级以上或者出现重污染天气状况时，应停止土石方作业工程施工；在施工中要加强管理、切实落实好以上措施，施工场地产生的扬尘，经过减少或延缓对其影响较小，同时该环境影响将随施工的结束而消失。</w:t>
            </w:r>
          </w:p>
          <w:p>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⑤</w:t>
            </w:r>
            <w:r>
              <w:rPr>
                <w:rFonts w:hint="default" w:ascii="Times New Roman" w:hAnsi="Times New Roman" w:eastAsia="宋体" w:cs="Times New Roman"/>
                <w:sz w:val="24"/>
                <w:szCs w:val="24"/>
                <w:highlight w:val="none"/>
              </w:rPr>
              <w:t>施工现场各类建材应进料有序，原则上不超过一周的施工用料。建材堆放应设置标牌，实现分类堆放。建材堆放应当整齐有序，无场外和占道</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绿地）堆放物料现象，禁止露天敞开堆放易扬尘性建筑施工材料。施工工地内堆放的粉状物料堆场采取封闭措施，其他工程材料、砂石、土方等易产生扬尘的物料应当采取覆盖防尘网或者防尘布等措施</w:t>
            </w:r>
            <w:r>
              <w:rPr>
                <w:rFonts w:hint="eastAsia" w:cs="Times New Roman"/>
                <w:sz w:val="24"/>
                <w:szCs w:val="24"/>
                <w:highlight w:val="none"/>
                <w:lang w:eastAsia="zh-CN"/>
              </w:rPr>
              <w:t>。</w:t>
            </w:r>
          </w:p>
          <w:p>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⑥</w:t>
            </w:r>
            <w:r>
              <w:rPr>
                <w:rFonts w:hint="default" w:ascii="Times New Roman" w:hAnsi="Times New Roman" w:eastAsia="宋体" w:cs="Times New Roman"/>
                <w:sz w:val="24"/>
                <w:szCs w:val="24"/>
                <w:highlight w:val="none"/>
                <w:lang w:val="en-US" w:eastAsia="zh-CN"/>
              </w:rPr>
              <w:t>施工期开挖土方集中堆存，临时堆土进行拦挡、苫盖防护，减少堆存量、减短堆存时间，施工期对表土进行剥离，堆放于</w:t>
            </w:r>
            <w:r>
              <w:rPr>
                <w:rFonts w:hint="eastAsia" w:cs="Times New Roman"/>
                <w:sz w:val="24"/>
                <w:szCs w:val="24"/>
                <w:highlight w:val="none"/>
                <w:lang w:val="en-US" w:eastAsia="zh-CN"/>
              </w:rPr>
              <w:t>堆场</w:t>
            </w:r>
            <w:r>
              <w:rPr>
                <w:rFonts w:hint="default" w:ascii="Times New Roman" w:hAnsi="Times New Roman" w:eastAsia="宋体" w:cs="Times New Roman"/>
                <w:sz w:val="24"/>
                <w:szCs w:val="24"/>
                <w:highlight w:val="none"/>
                <w:lang w:val="en-US" w:eastAsia="zh-CN"/>
              </w:rPr>
              <w:t>，最终用于植被恢复用土。施工结束后及时进行土地平整及植被恢复</w:t>
            </w:r>
            <w:r>
              <w:rPr>
                <w:rFonts w:hint="default" w:ascii="Times New Roman" w:hAnsi="Times New Roman" w:eastAsia="宋体" w:cs="Times New Roman"/>
                <w:sz w:val="24"/>
                <w:szCs w:val="24"/>
                <w:highlight w:val="none"/>
              </w:rPr>
              <w:t>。</w:t>
            </w:r>
          </w:p>
          <w:p>
            <w:pPr>
              <w:keepNext w:val="0"/>
              <w:keepLines w:val="0"/>
              <w:pageBreakBefore w:val="0"/>
              <w:kinsoku/>
              <w:wordWrap/>
              <w:overflowPunct/>
              <w:topLinePunct w:val="0"/>
              <w:autoSpaceDE/>
              <w:autoSpaceDN/>
              <w:bidi w:val="0"/>
              <w:adjustRightInd/>
              <w:snapToGrid w:val="0"/>
              <w:spacing w:line="360" w:lineRule="auto"/>
              <w:ind w:firstLine="480" w:firstLineChars="200"/>
              <w:jc w:val="both"/>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⑦施工单位文明施工，做好洒水抑尘工作，对撒落在路面的渣土及时清除，清理阶段做到先洒水后清扫，确保不会对周围居民造成影响。</w:t>
            </w:r>
          </w:p>
          <w:p>
            <w:pPr>
              <w:keepNext w:val="0"/>
              <w:keepLines w:val="0"/>
              <w:pageBreakBefore w:val="0"/>
              <w:widowControl/>
              <w:suppressLineNumbers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2）施工机械与运输车辆</w:t>
            </w:r>
            <w:r>
              <w:rPr>
                <w:rFonts w:hint="default" w:ascii="Times New Roman" w:hAnsi="Times New Roman" w:eastAsia="宋体" w:cs="Times New Roman"/>
                <w:sz w:val="24"/>
                <w:szCs w:val="24"/>
                <w:highlight w:val="none"/>
                <w:lang w:val="en-US" w:eastAsia="zh-CN"/>
              </w:rPr>
              <w:t>尾气</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对于施工机械与车辆产生的</w:t>
            </w:r>
            <w:r>
              <w:rPr>
                <w:rFonts w:hint="default" w:ascii="Times New Roman" w:hAnsi="Times New Roman" w:eastAsia="宋体" w:cs="Times New Roman"/>
                <w:sz w:val="24"/>
                <w:szCs w:val="24"/>
                <w:highlight w:val="none"/>
                <w:lang w:val="en-US" w:eastAsia="zh-CN"/>
              </w:rPr>
              <w:t>尾气采取以下措施，</w:t>
            </w:r>
            <w:r>
              <w:rPr>
                <w:rFonts w:hint="default" w:ascii="Times New Roman" w:hAnsi="Times New Roman" w:eastAsia="宋体" w:cs="Times New Roman"/>
                <w:color w:val="000000"/>
                <w:kern w:val="0"/>
                <w:sz w:val="24"/>
                <w:szCs w:val="24"/>
                <w:highlight w:val="none"/>
                <w:lang w:val="en-US" w:eastAsia="zh-CN" w:bidi="ar"/>
              </w:rPr>
              <w:t>施工期</w:t>
            </w:r>
            <w:r>
              <w:rPr>
                <w:rFonts w:hint="eastAsia" w:cs="Times New Roman"/>
                <w:color w:val="000000"/>
                <w:kern w:val="0"/>
                <w:sz w:val="24"/>
                <w:szCs w:val="24"/>
                <w:highlight w:val="none"/>
                <w:lang w:val="en-US" w:eastAsia="zh-CN" w:bidi="ar"/>
              </w:rPr>
              <w:t>间</w:t>
            </w:r>
            <w:r>
              <w:rPr>
                <w:rFonts w:hint="default" w:ascii="Times New Roman" w:hAnsi="Times New Roman" w:eastAsia="宋体" w:cs="Times New Roman"/>
                <w:color w:val="000000"/>
                <w:kern w:val="0"/>
                <w:sz w:val="24"/>
                <w:szCs w:val="24"/>
                <w:highlight w:val="none"/>
                <w:lang w:val="en-US" w:eastAsia="zh-CN" w:bidi="ar"/>
              </w:rPr>
              <w:t>各机械设备必须使用满足标准的油品，不得使用低于国家阶段性排放标准的汽油和柴油；在施工过程中采取控制速度，缩短怠速、减速和加速的时间；加强车辆及施工机械的维护保养，保证不排放黑烟；做好车辆疏导，减轻塞车或车速减低带来的尾气污染；在加强施工机械和运输车辆管理和合理安排调度作业的前提下，燃油废气对环境空气质量基本无影响。</w:t>
            </w:r>
          </w:p>
          <w:p>
            <w:pPr>
              <w:keepNext w:val="0"/>
              <w:keepLines w:val="0"/>
              <w:pageBreakBefore w:val="0"/>
              <w:widowControl/>
              <w:suppressLineNumbers w:val="0"/>
              <w:kinsoku/>
              <w:wordWrap/>
              <w:overflowPunct/>
              <w:topLinePunct w:val="0"/>
              <w:autoSpaceDE/>
              <w:autoSpaceDN/>
              <w:bidi w:val="0"/>
              <w:adjustRightIn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总之，项目施工期扬尘对周围空气环境有一定的影响，但是由于施工期是暂时的，影响也是短暂的，随着项目施工的竣工，施工期大气环境影响也将随之消失。</w:t>
            </w:r>
          </w:p>
          <w:p>
            <w:pPr>
              <w:pStyle w:val="39"/>
              <w:keepNext w:val="0"/>
              <w:keepLines w:val="0"/>
              <w:pageBreakBefore w:val="0"/>
              <w:tabs>
                <w:tab w:val="left" w:pos="425"/>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highlight w:val="none"/>
              </w:rPr>
            </w:pPr>
            <w:r>
              <w:rPr>
                <w:rFonts w:hint="default" w:ascii="Times New Roman" w:hAnsi="Times New Roman" w:eastAsia="宋体" w:cs="Times New Roman"/>
                <w:b w:val="0"/>
                <w:bCs/>
                <w:sz w:val="24"/>
                <w:highlight w:val="none"/>
                <w:lang w:val="en-US" w:eastAsia="zh-CN"/>
              </w:rPr>
              <w:t>三</w:t>
            </w:r>
            <w:r>
              <w:rPr>
                <w:rFonts w:hint="default" w:ascii="Times New Roman" w:hAnsi="Times New Roman" w:eastAsia="宋体" w:cs="Times New Roman"/>
                <w:b w:val="0"/>
                <w:bCs/>
                <w:sz w:val="24"/>
                <w:highlight w:val="none"/>
              </w:rPr>
              <w:t>、</w:t>
            </w:r>
            <w:r>
              <w:rPr>
                <w:rFonts w:hint="default" w:ascii="Times New Roman" w:hAnsi="Times New Roman" w:eastAsia="宋体" w:cs="Times New Roman"/>
                <w:b w:val="0"/>
                <w:bCs/>
                <w:sz w:val="24"/>
                <w:highlight w:val="none"/>
                <w:lang w:val="en-US" w:eastAsia="zh-CN"/>
              </w:rPr>
              <w:t>水环境保护措施</w:t>
            </w:r>
          </w:p>
          <w:p>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default" w:ascii="Times New Roman" w:hAnsi="Times New Roman" w:eastAsia="宋体" w:cs="Times New Roman"/>
                <w:b w:val="0"/>
                <w:bCs/>
                <w:sz w:val="24"/>
                <w:highlight w:val="none"/>
              </w:rPr>
            </w:pPr>
            <w:r>
              <w:rPr>
                <w:rFonts w:hint="default" w:ascii="Times New Roman" w:hAnsi="Times New Roman" w:eastAsia="宋体" w:cs="Times New Roman"/>
                <w:b w:val="0"/>
                <w:bCs/>
                <w:sz w:val="24"/>
                <w:highlight w:val="none"/>
                <w:lang w:eastAsia="zh-CN"/>
              </w:rPr>
              <w:t>本项目施工期</w:t>
            </w:r>
            <w:r>
              <w:rPr>
                <w:rFonts w:hint="default" w:ascii="Times New Roman" w:hAnsi="Times New Roman" w:eastAsia="宋体" w:cs="Times New Roman"/>
                <w:b w:val="0"/>
                <w:bCs/>
                <w:sz w:val="24"/>
                <w:szCs w:val="24"/>
                <w:highlight w:val="none"/>
                <w:lang w:val="en-US" w:eastAsia="zh-CN"/>
              </w:rPr>
              <w:t>施工人员产生的生活污水</w:t>
            </w:r>
            <w:r>
              <w:rPr>
                <w:spacing w:val="-3"/>
                <w:sz w:val="24"/>
                <w:szCs w:val="24"/>
                <w:highlight w:val="none"/>
              </w:rPr>
              <w:t>在施工场地</w:t>
            </w:r>
            <w:r>
              <w:rPr>
                <w:rFonts w:hint="eastAsia"/>
                <w:spacing w:val="-3"/>
                <w:sz w:val="24"/>
                <w:szCs w:val="24"/>
                <w:highlight w:val="none"/>
                <w:lang w:eastAsia="zh-CN"/>
              </w:rPr>
              <w:t>设置临时化粪池，</w:t>
            </w:r>
            <w:r>
              <w:rPr>
                <w:rFonts w:hint="default" w:ascii="Times New Roman" w:hAnsi="Times New Roman" w:eastAsia="宋体" w:cs="Times New Roman"/>
                <w:b w:val="0"/>
                <w:bCs w:val="0"/>
                <w:sz w:val="24"/>
                <w:highlight w:val="none"/>
              </w:rPr>
              <w:t>定期由吸粪车输送至工业场地既有生活污水处理站统一处理后回用，</w:t>
            </w:r>
            <w:r>
              <w:rPr>
                <w:rFonts w:hint="eastAsia" w:ascii="Times New Roman" w:hAnsi="Times New Roman" w:eastAsia="宋体" w:cs="Times New Roman"/>
                <w:b w:val="0"/>
                <w:bCs w:val="0"/>
                <w:sz w:val="24"/>
                <w:highlight w:val="none"/>
                <w:lang w:eastAsia="zh-CN"/>
              </w:rPr>
              <w:t>不外排</w:t>
            </w:r>
            <w:r>
              <w:rPr>
                <w:rFonts w:hint="default" w:ascii="Times New Roman" w:hAnsi="Times New Roman" w:eastAsia="宋体" w:cs="Times New Roman"/>
                <w:b w:val="0"/>
                <w:bCs/>
                <w:sz w:val="24"/>
                <w:szCs w:val="24"/>
                <w:highlight w:val="none"/>
                <w:lang w:val="en-US" w:eastAsia="zh-CN"/>
              </w:rPr>
              <w:t>，对环境影响较小</w:t>
            </w:r>
          </w:p>
          <w:p>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施工期废水主要污染物为SS，施工场地内设置沉淀池，施工生产废水经沉淀池处理后循环利用，对地表水环境影响小。</w:t>
            </w:r>
          </w:p>
          <w:p>
            <w:pPr>
              <w:pStyle w:val="50"/>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北部风井场地井筒掘进过程中产生的废水</w:t>
            </w:r>
            <w:r>
              <w:rPr>
                <w:rFonts w:hint="eastAsia" w:cs="Times New Roman"/>
                <w:b w:val="0"/>
                <w:bCs/>
                <w:sz w:val="24"/>
                <w:szCs w:val="24"/>
                <w:highlight w:val="none"/>
                <w:lang w:val="en-US" w:eastAsia="zh-CN"/>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根据《塔然高勒矿井及选煤厂初步设计（修改）（矿井部分）说明书》</w:t>
            </w:r>
            <w:r>
              <w:rPr>
                <w:rFonts w:hint="default" w:ascii="Times New Roman" w:hAnsi="Times New Roman" w:eastAsia="宋体" w:cs="Times New Roman"/>
                <w:color w:val="000000" w:themeColor="text1"/>
                <w:sz w:val="24"/>
                <w:szCs w:val="24"/>
                <w:highlight w:val="none"/>
                <w14:textFill>
                  <w14:solidFill>
                    <w14:schemeClr w14:val="tx1"/>
                  </w14:solidFill>
                </w14:textFill>
              </w:rPr>
              <w:t>：北部进风立井志丹群含水层正常涌水量6.11m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/h，最大涌水量8.91m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/h；直罗组含水层正常涌水量105.37m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/h，最大涌水量153.84m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/h；延安组含水层正常涌水量2.68m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/h，最大涌水量3.91m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/h。北部回风立井志丹群含水层正常涌水量6.45m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/h，最大涌水量9.42m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/h；直罗组含水层正常涌水量138.10m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/h，最大涌水量201.62m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/h；延安组含水层正常涌水量1.78m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/h，最大涌水量2.60m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/h。</w:t>
            </w:r>
            <w:r>
              <w:rPr>
                <w:rFonts w:hint="default" w:ascii="Times New Roman" w:hAnsi="Times New Roman" w:eastAsia="宋体" w:cs="Times New Roman"/>
                <w:b w:val="0"/>
                <w:bCs/>
                <w:sz w:val="24"/>
                <w:szCs w:val="24"/>
                <w:highlight w:val="none"/>
                <w:lang w:val="en-US" w:eastAsia="zh-CN"/>
              </w:rPr>
              <w:t>由抽水车定期集中抽排，运送至工业场地既有矿井水处理站处理后回用；</w:t>
            </w:r>
          </w:p>
          <w:p>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default" w:ascii="Times New Roman" w:hAnsi="Times New Roman" w:eastAsia="宋体" w:cs="Times New Roman"/>
                <w:b w:val="0"/>
                <w:bCs/>
                <w:sz w:val="24"/>
                <w:szCs w:val="24"/>
                <w:highlight w:val="none"/>
                <w:lang w:eastAsia="zh-CN"/>
              </w:rPr>
            </w:pPr>
            <w:r>
              <w:rPr>
                <w:rFonts w:hint="default" w:ascii="Times New Roman" w:hAnsi="Times New Roman" w:eastAsia="宋体" w:cs="Times New Roman"/>
                <w:b w:val="0"/>
                <w:bCs/>
                <w:sz w:val="24"/>
                <w:szCs w:val="24"/>
                <w:highlight w:val="none"/>
                <w:lang w:val="en-US" w:eastAsia="zh-CN"/>
              </w:rPr>
              <w:t>经过采取上述措施后，施工期废水对当地地表水体产生影响小。</w:t>
            </w:r>
          </w:p>
          <w:p>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default" w:ascii="Times New Roman" w:hAnsi="Times New Roman" w:eastAsia="宋体" w:cs="Times New Roman"/>
                <w:b w:val="0"/>
                <w:bCs/>
                <w:sz w:val="24"/>
                <w:highlight w:val="none"/>
              </w:rPr>
            </w:pPr>
            <w:r>
              <w:rPr>
                <w:rFonts w:hint="default" w:ascii="Times New Roman" w:hAnsi="Times New Roman" w:eastAsia="宋体" w:cs="Times New Roman"/>
                <w:b w:val="0"/>
                <w:bCs/>
                <w:sz w:val="24"/>
                <w:highlight w:val="none"/>
                <w:lang w:val="en-US" w:eastAsia="zh-CN"/>
              </w:rPr>
              <w:t>四</w:t>
            </w:r>
            <w:r>
              <w:rPr>
                <w:rFonts w:hint="default" w:ascii="Times New Roman" w:hAnsi="Times New Roman" w:eastAsia="宋体" w:cs="Times New Roman"/>
                <w:b w:val="0"/>
                <w:bCs/>
                <w:sz w:val="24"/>
                <w:highlight w:val="none"/>
              </w:rPr>
              <w:t>、</w:t>
            </w:r>
            <w:r>
              <w:rPr>
                <w:rFonts w:hint="default" w:ascii="Times New Roman" w:hAnsi="Times New Roman" w:eastAsia="宋体" w:cs="Times New Roman"/>
                <w:b w:val="0"/>
                <w:bCs/>
                <w:sz w:val="24"/>
                <w:highlight w:val="none"/>
                <w:lang w:val="en-US" w:eastAsia="zh-CN"/>
              </w:rPr>
              <w:t>声环境保护措施</w:t>
            </w:r>
          </w:p>
          <w:p>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b w:val="0"/>
                <w:bCs/>
                <w:sz w:val="24"/>
                <w:highlight w:val="none"/>
              </w:rPr>
            </w:pPr>
            <w:r>
              <w:rPr>
                <w:rFonts w:hint="default" w:ascii="Times New Roman" w:hAnsi="Times New Roman" w:eastAsia="宋体" w:cs="Times New Roman"/>
                <w:b w:val="0"/>
                <w:bCs/>
                <w:sz w:val="24"/>
                <w:highlight w:val="none"/>
              </w:rPr>
              <w:t>①施工单位要合理安排施工作业时间，</w:t>
            </w:r>
            <w:r>
              <w:rPr>
                <w:rFonts w:hint="eastAsia" w:cs="Times New Roman"/>
                <w:b w:val="0"/>
                <w:bCs/>
                <w:sz w:val="24"/>
                <w:highlight w:val="none"/>
                <w:lang w:eastAsia="zh-CN"/>
              </w:rPr>
              <w:t>夜间</w:t>
            </w:r>
            <w:r>
              <w:rPr>
                <w:rFonts w:hint="default" w:ascii="Times New Roman" w:hAnsi="Times New Roman" w:eastAsia="宋体" w:cs="Times New Roman"/>
                <w:b w:val="0"/>
                <w:bCs/>
                <w:sz w:val="24"/>
                <w:highlight w:val="none"/>
              </w:rPr>
              <w:t>严禁施工。为进一步确保周围人员不受影响，施工单位应合理安排施工机械的作业位置；</w:t>
            </w:r>
          </w:p>
          <w:p>
            <w:pPr>
              <w:keepNext w:val="0"/>
              <w:keepLines w:val="0"/>
              <w:pageBreakBefore w:val="0"/>
              <w:kinsoku/>
              <w:wordWrap/>
              <w:overflowPunct/>
              <w:topLinePunct w:val="0"/>
              <w:autoSpaceDE/>
              <w:autoSpaceDN/>
              <w:bidi w:val="0"/>
              <w:spacing w:line="360" w:lineRule="auto"/>
              <w:ind w:firstLine="480" w:firstLineChars="200"/>
              <w:textAlignment w:val="auto"/>
              <w:rPr>
                <w:highlight w:val="none"/>
              </w:rPr>
            </w:pPr>
            <w:r>
              <w:rPr>
                <w:rFonts w:hint="default" w:ascii="Times New Roman" w:hAnsi="Times New Roman" w:eastAsia="宋体" w:cs="Times New Roman"/>
                <w:b w:val="0"/>
                <w:bCs/>
                <w:sz w:val="24"/>
                <w:highlight w:val="none"/>
              </w:rPr>
              <w:t>②施工机械产生的噪声往往具有突发、无规则、不连续和高强度等特点，</w:t>
            </w:r>
            <w:r>
              <w:rPr>
                <w:rFonts w:hint="default" w:ascii="Times New Roman" w:hAnsi="Times New Roman" w:eastAsia="宋体" w:cs="Times New Roman"/>
                <w:b w:val="0"/>
                <w:bCs/>
                <w:sz w:val="24"/>
                <w:highlight w:val="none"/>
                <w:lang w:val="en-US" w:eastAsia="zh-CN"/>
              </w:rPr>
              <w:t>改进施工方式，选择低噪声施工机械，对高噪声机械要严格控制运行时段，</w:t>
            </w:r>
            <w:r>
              <w:rPr>
                <w:rFonts w:hint="default" w:ascii="Times New Roman" w:hAnsi="Times New Roman" w:eastAsia="宋体" w:cs="Times New Roman"/>
                <w:b w:val="0"/>
                <w:bCs/>
                <w:sz w:val="24"/>
                <w:highlight w:val="none"/>
              </w:rPr>
              <w:t>并减少同时作业的高噪声施工机械数量，以减轻声源叠加造成的影响。</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b w:val="0"/>
                <w:bCs/>
                <w:sz w:val="24"/>
                <w:highlight w:val="none"/>
                <w:lang w:eastAsia="zh-CN"/>
              </w:rPr>
            </w:pPr>
            <w:r>
              <w:rPr>
                <w:rFonts w:hint="eastAsia" w:ascii="Times New Roman" w:hAnsi="Times New Roman" w:eastAsia="宋体" w:cs="Times New Roman"/>
                <w:b w:val="0"/>
                <w:bCs/>
                <w:sz w:val="24"/>
                <w:highlight w:val="none"/>
                <w:lang w:eastAsia="zh-CN"/>
              </w:rPr>
              <w:t>③</w:t>
            </w:r>
            <w:r>
              <w:rPr>
                <w:rFonts w:hint="eastAsia" w:ascii="Times New Roman" w:hAnsi="Times New Roman" w:eastAsia="宋体" w:cs="Times New Roman"/>
                <w:b w:val="0"/>
                <w:bCs/>
                <w:sz w:val="24"/>
                <w:highlight w:val="none"/>
                <w:lang w:val="en-US" w:eastAsia="zh-CN"/>
              </w:rPr>
              <w:t>加强施工组织管理，提高施工机械化程度，缩短施工工期。在满足施工作业前提下，对位置相对固定的机械设备，如电锯等，必须设置在工棚内；</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b w:val="0"/>
                <w:bCs/>
                <w:sz w:val="24"/>
                <w:highlight w:val="none"/>
                <w:lang w:eastAsia="zh-CN"/>
              </w:rPr>
            </w:pPr>
            <w:r>
              <w:rPr>
                <w:rFonts w:hint="eastAsia" w:cs="Times New Roman"/>
                <w:b w:val="0"/>
                <w:bCs/>
                <w:sz w:val="24"/>
                <w:highlight w:val="none"/>
                <w:lang w:val="en-US" w:eastAsia="zh-CN"/>
              </w:rPr>
              <w:t>④</w:t>
            </w:r>
            <w:r>
              <w:rPr>
                <w:rFonts w:hint="eastAsia" w:ascii="Times New Roman" w:hAnsi="Times New Roman" w:eastAsia="宋体" w:cs="Times New Roman"/>
                <w:b w:val="0"/>
                <w:bCs/>
                <w:sz w:val="24"/>
                <w:highlight w:val="none"/>
                <w:lang w:val="en-US" w:eastAsia="zh-CN"/>
              </w:rPr>
              <w:t>对机械操作人员采取轮流工作制，减少工人接触高噪声时间、并佩戴防护耳塞等措施；</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b w:val="0"/>
                <w:bCs/>
                <w:sz w:val="24"/>
                <w:highlight w:val="none"/>
                <w:lang w:eastAsia="zh-CN"/>
              </w:rPr>
            </w:pPr>
            <w:r>
              <w:rPr>
                <w:rFonts w:hint="eastAsia" w:cs="Times New Roman"/>
                <w:b w:val="0"/>
                <w:bCs/>
                <w:sz w:val="24"/>
                <w:highlight w:val="none"/>
                <w:lang w:val="en-US" w:eastAsia="zh-CN"/>
              </w:rPr>
              <w:t>⑤</w:t>
            </w:r>
            <w:r>
              <w:rPr>
                <w:rFonts w:hint="eastAsia" w:ascii="Times New Roman" w:hAnsi="Times New Roman" w:eastAsia="宋体" w:cs="Times New Roman"/>
                <w:b w:val="0"/>
                <w:bCs/>
                <w:sz w:val="24"/>
                <w:highlight w:val="none"/>
                <w:lang w:val="en-US" w:eastAsia="zh-CN"/>
              </w:rPr>
              <w:t>运输车辆路经城镇、村庄和进入工地减速，减少鸣笛。</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b w:val="0"/>
                <w:bCs/>
                <w:sz w:val="24"/>
                <w:highlight w:val="none"/>
                <w:lang w:val="en-US" w:eastAsia="zh-CN"/>
              </w:rPr>
            </w:pPr>
            <w:r>
              <w:rPr>
                <w:rFonts w:hint="eastAsia" w:cs="Times New Roman"/>
                <w:b w:val="0"/>
                <w:bCs/>
                <w:sz w:val="24"/>
                <w:highlight w:val="none"/>
                <w:lang w:val="en-US" w:eastAsia="zh-CN"/>
              </w:rPr>
              <w:t>⑥本项目场外道路西侧49m处有1处住户，施工时</w:t>
            </w:r>
            <w:r>
              <w:rPr>
                <w:rFonts w:hint="eastAsia" w:ascii="Times New Roman" w:hAnsi="Times New Roman" w:eastAsia="宋体" w:cs="Times New Roman"/>
                <w:b w:val="0"/>
                <w:bCs/>
                <w:sz w:val="24"/>
                <w:highlight w:val="none"/>
                <w:lang w:val="en-US" w:eastAsia="zh-CN"/>
              </w:rPr>
              <w:t>合理安排施工时间，</w:t>
            </w:r>
            <w:r>
              <w:rPr>
                <w:rFonts w:hint="eastAsia"/>
                <w:color w:val="000000"/>
                <w:sz w:val="24"/>
                <w:highlight w:val="none"/>
              </w:rPr>
              <w:t>禁止夜间施工，</w:t>
            </w:r>
            <w:r>
              <w:rPr>
                <w:rFonts w:hint="eastAsia"/>
                <w:color w:val="000000"/>
                <w:sz w:val="24"/>
                <w:highlight w:val="none"/>
                <w:lang w:val="en-US" w:eastAsia="zh-CN"/>
              </w:rPr>
              <w:t>严禁在中午12：00-14：00和夜间22：00-次日6：00期间施工。</w:t>
            </w:r>
            <w:r>
              <w:rPr>
                <w:rFonts w:hint="eastAsia" w:ascii="Times New Roman" w:hAnsi="Times New Roman" w:eastAsia="宋体" w:cs="Times New Roman"/>
                <w:b w:val="0"/>
                <w:bCs/>
                <w:sz w:val="24"/>
                <w:highlight w:val="none"/>
                <w:lang w:val="en-US" w:eastAsia="zh-CN"/>
              </w:rPr>
              <w:t>提高操作水平，</w:t>
            </w:r>
            <w:r>
              <w:rPr>
                <w:rFonts w:hint="eastAsia" w:cs="Times New Roman"/>
                <w:b w:val="0"/>
                <w:bCs/>
                <w:sz w:val="24"/>
                <w:highlight w:val="none"/>
                <w:lang w:val="en-US" w:eastAsia="zh-CN"/>
              </w:rPr>
              <w:t>距离敏感点较近处</w:t>
            </w:r>
            <w:r>
              <w:rPr>
                <w:rFonts w:hint="eastAsia" w:ascii="Times New Roman" w:hAnsi="Times New Roman" w:eastAsia="宋体" w:cs="Times New Roman"/>
                <w:b w:val="0"/>
                <w:bCs/>
                <w:sz w:val="24"/>
                <w:highlight w:val="none"/>
                <w:lang w:val="en-US" w:eastAsia="zh-CN"/>
              </w:rPr>
              <w:t>不得使用高噪声的施工机械</w:t>
            </w:r>
            <w:r>
              <w:rPr>
                <w:rFonts w:hint="eastAsia" w:cs="Times New Roman"/>
                <w:b w:val="0"/>
                <w:bCs/>
                <w:sz w:val="24"/>
                <w:highlight w:val="none"/>
                <w:lang w:val="en-US" w:eastAsia="zh-CN"/>
              </w:rPr>
              <w:t>，</w:t>
            </w:r>
            <w:r>
              <w:rPr>
                <w:rFonts w:hint="eastAsia"/>
                <w:color w:val="000000"/>
                <w:sz w:val="24"/>
                <w:highlight w:val="none"/>
                <w:lang w:eastAsia="zh-CN"/>
              </w:rPr>
              <w:t>施工时</w:t>
            </w:r>
            <w:r>
              <w:rPr>
                <w:rFonts w:hint="eastAsia"/>
                <w:color w:val="000000"/>
                <w:sz w:val="24"/>
                <w:highlight w:val="none"/>
                <w:lang w:val="en-US" w:eastAsia="zh-CN"/>
              </w:rPr>
              <w:t>告知周边受影响居民，</w:t>
            </w:r>
            <w:r>
              <w:rPr>
                <w:rFonts w:hint="eastAsia" w:cs="Times New Roman"/>
                <w:b w:val="0"/>
                <w:bCs/>
                <w:sz w:val="24"/>
                <w:highlight w:val="none"/>
                <w:lang w:val="en-US" w:eastAsia="zh-CN"/>
              </w:rPr>
              <w:t>做好同居民的沟通、补偿工作，</w:t>
            </w:r>
            <w:r>
              <w:rPr>
                <w:rFonts w:hint="eastAsia" w:ascii="Times New Roman" w:hAnsi="Times New Roman" w:eastAsia="宋体" w:cs="Times New Roman"/>
                <w:b w:val="0"/>
                <w:bCs/>
                <w:sz w:val="24"/>
                <w:highlight w:val="none"/>
                <w:lang w:val="en-US" w:eastAsia="zh-CN"/>
              </w:rPr>
              <w:t>施工过程中可设置临时声屏障，</w:t>
            </w:r>
            <w:r>
              <w:rPr>
                <w:rFonts w:hint="eastAsia" w:cs="Times New Roman"/>
                <w:b w:val="0"/>
                <w:bCs/>
                <w:sz w:val="24"/>
                <w:highlight w:val="none"/>
                <w:lang w:val="en-US" w:eastAsia="zh-CN"/>
              </w:rPr>
              <w:t>施工过程中在该敏感点一侧设置临时声屏障，</w:t>
            </w:r>
            <w:r>
              <w:rPr>
                <w:rFonts w:hint="eastAsia" w:ascii="Times New Roman" w:hAnsi="Times New Roman" w:eastAsia="宋体" w:cs="Times New Roman"/>
                <w:b w:val="0"/>
                <w:bCs/>
                <w:sz w:val="24"/>
                <w:highlight w:val="none"/>
                <w:lang w:val="en-US" w:eastAsia="zh-CN"/>
              </w:rPr>
              <w:t>减少对敏感地点的影响，防止发生噪声扰民现象。</w:t>
            </w:r>
          </w:p>
          <w:p>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b w:val="0"/>
                <w:bCs/>
                <w:sz w:val="24"/>
                <w:highlight w:val="none"/>
              </w:rPr>
            </w:pPr>
            <w:r>
              <w:rPr>
                <w:rFonts w:hint="default" w:ascii="Times New Roman" w:hAnsi="Times New Roman" w:eastAsia="宋体" w:cs="Times New Roman"/>
                <w:b w:val="0"/>
                <w:bCs/>
                <w:sz w:val="24"/>
                <w:highlight w:val="none"/>
                <w:lang w:val="en-US" w:eastAsia="zh-CN"/>
              </w:rPr>
              <w:t>随着施工期的结束，施工噪声的影响将消失，所以施工噪声对环境的不利影响是暂时的，短期的行为。</w:t>
            </w:r>
            <w:r>
              <w:rPr>
                <w:rFonts w:hint="default" w:ascii="Times New Roman" w:hAnsi="Times New Roman" w:eastAsia="宋体" w:cs="Times New Roman"/>
                <w:b w:val="0"/>
                <w:bCs/>
                <w:sz w:val="24"/>
                <w:highlight w:val="none"/>
              </w:rPr>
              <w:t>对周围环境影响不大。</w:t>
            </w:r>
          </w:p>
          <w:p>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b w:val="0"/>
                <w:bCs/>
                <w:sz w:val="24"/>
                <w:highlight w:val="none"/>
              </w:rPr>
            </w:pPr>
            <w:r>
              <w:rPr>
                <w:rFonts w:hint="eastAsia" w:cs="Times New Roman"/>
                <w:b w:val="0"/>
                <w:bCs/>
                <w:sz w:val="24"/>
                <w:highlight w:val="none"/>
                <w:lang w:eastAsia="zh-CN"/>
              </w:rPr>
              <w:t>五、</w:t>
            </w:r>
            <w:r>
              <w:rPr>
                <w:rFonts w:hint="default" w:ascii="Times New Roman" w:hAnsi="Times New Roman" w:eastAsia="宋体" w:cs="Times New Roman"/>
                <w:b w:val="0"/>
                <w:bCs/>
                <w:sz w:val="24"/>
                <w:highlight w:val="none"/>
              </w:rPr>
              <w:t>固体废物</w:t>
            </w:r>
          </w:p>
          <w:p>
            <w:pPr>
              <w:keepNext w:val="0"/>
              <w:keepLines w:val="0"/>
              <w:pageBreakBefore w:val="0"/>
              <w:widowControl w:val="0"/>
              <w:kinsoku/>
              <w:wordWrap/>
              <w:overflowPunct/>
              <w:topLinePunct w:val="0"/>
              <w:autoSpaceDE/>
              <w:autoSpaceDN/>
              <w:bidi w:val="0"/>
              <w:adjustRightInd/>
              <w:snapToGrid/>
              <w:spacing w:line="360" w:lineRule="auto"/>
              <w:ind w:leftChars="0" w:right="0" w:firstLine="480" w:firstLineChars="200"/>
              <w:textAlignment w:val="auto"/>
              <w:rPr>
                <w:rFonts w:hint="default" w:ascii="Times New Roman" w:hAnsi="Times New Roman" w:eastAsia="宋体" w:cs="Times New Roman"/>
                <w:color w:val="auto"/>
                <w:sz w:val="24"/>
                <w:szCs w:val="24"/>
                <w:lang w:eastAsia="zh-CN"/>
              </w:rPr>
            </w:pPr>
            <w:r>
              <w:rPr>
                <w:rFonts w:hint="eastAsia" w:cs="Times New Roman"/>
                <w:sz w:val="24"/>
                <w:szCs w:val="24"/>
                <w:highlight w:val="none"/>
                <w:lang w:eastAsia="zh-CN"/>
              </w:rPr>
              <w:t>（</w:t>
            </w:r>
            <w:r>
              <w:rPr>
                <w:rFonts w:hint="eastAsia" w:ascii="Times New Roman" w:hAnsi="Times New Roman" w:eastAsia="宋体" w:cs="Times New Roman"/>
                <w:sz w:val="24"/>
                <w:szCs w:val="24"/>
                <w:highlight w:val="none"/>
                <w:lang w:val="en-US" w:eastAsia="zh-CN"/>
              </w:rPr>
              <w:t>1</w:t>
            </w:r>
            <w:r>
              <w:rPr>
                <w:rFonts w:hint="eastAsia" w:ascii="Times New Roman" w:hAnsi="Times New Roman" w:eastAsia="宋体" w:cs="Times New Roman"/>
                <w:sz w:val="24"/>
                <w:szCs w:val="24"/>
                <w:highlight w:val="none"/>
                <w:lang w:eastAsia="zh-CN"/>
              </w:rPr>
              <w:t>）弃土：本项目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多余土方量为1.52</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万</w:t>
            </w:r>
            <w:r>
              <w:rPr>
                <w:rFonts w:hint="default" w:ascii="Times New Roman" w:hAnsi="Times New Roman" w:eastAsia="宋体" w:cs="Times New Roman"/>
                <w:sz w:val="24"/>
                <w:szCs w:val="24"/>
                <w:highlight w:val="none"/>
              </w:rPr>
              <w:t>m</w:t>
            </w:r>
            <w:r>
              <w:rPr>
                <w:rFonts w:hint="default" w:ascii="Times New Roman" w:hAnsi="Times New Roman" w:eastAsia="宋体" w:cs="Times New Roman"/>
                <w:sz w:val="24"/>
                <w:szCs w:val="24"/>
                <w:highlight w:val="none"/>
                <w:vertAlign w:val="superscript"/>
              </w:rPr>
              <w:t>3</w:t>
            </w:r>
            <w:r>
              <w:rPr>
                <w:rFonts w:hint="default" w:ascii="Times New Roman" w:hAnsi="Times New Roman" w:eastAsia="宋体" w:cs="Times New Roman"/>
                <w:sz w:val="24"/>
                <w:szCs w:val="24"/>
                <w:highlight w:val="none"/>
                <w:vertAlign w:val="baseline"/>
                <w:lang w:eastAsia="zh-CN"/>
              </w:rPr>
              <w:t>，</w:t>
            </w:r>
            <w:r>
              <w:rPr>
                <w:rFonts w:hint="default" w:ascii="Times New Roman" w:hAnsi="Times New Roman" w:eastAsia="宋体" w:cs="Times New Roman"/>
                <w:b w:val="0"/>
                <w:bCs w:val="0"/>
                <w:sz w:val="24"/>
                <w:szCs w:val="24"/>
                <w:highlight w:val="none"/>
                <w:lang w:val="en-US" w:eastAsia="zh-CN"/>
              </w:rPr>
              <w:t>用于后续</w:t>
            </w:r>
            <w:r>
              <w:rPr>
                <w:rFonts w:hint="default" w:ascii="Times New Roman" w:hAnsi="Times New Roman" w:eastAsia="宋体" w:cs="Times New Roman"/>
                <w:b w:val="0"/>
                <w:bCs w:val="0"/>
                <w:sz w:val="24"/>
                <w:szCs w:val="24"/>
                <w:highlight w:val="none"/>
                <w:lang w:eastAsia="zh-CN"/>
              </w:rPr>
              <w:t>风井场地</w:t>
            </w:r>
            <w:r>
              <w:rPr>
                <w:rFonts w:hint="default" w:ascii="Times New Roman" w:hAnsi="Times New Roman" w:eastAsia="宋体" w:cs="Times New Roman"/>
                <w:b w:val="0"/>
                <w:bCs w:val="0"/>
                <w:sz w:val="24"/>
                <w:szCs w:val="24"/>
                <w:highlight w:val="none"/>
                <w:lang w:val="en-US" w:eastAsia="zh-CN"/>
              </w:rPr>
              <w:t>竖向设计和景观设计中，道路和场地范围线内平整绿化、加宽路基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leftChars="0" w:right="0" w:firstLine="480" w:firstLineChars="200"/>
              <w:textAlignment w:val="auto"/>
              <w:rPr>
                <w:rFonts w:hint="default" w:ascii="Times New Roman" w:hAnsi="Times New Roman" w:eastAsia="宋体" w:cs="Times New Roman"/>
                <w:b w:val="0"/>
                <w:bCs/>
                <w:sz w:val="24"/>
                <w:szCs w:val="24"/>
                <w:highlight w:val="none"/>
                <w:lang w:val="en-US" w:eastAsia="zh-CN"/>
              </w:rPr>
            </w:pPr>
            <w:r>
              <w:rPr>
                <w:rFonts w:hint="eastAsia" w:cs="Times New Roman"/>
                <w:color w:val="auto"/>
                <w:sz w:val="24"/>
                <w:szCs w:val="24"/>
                <w:lang w:eastAsia="zh-CN"/>
              </w:rPr>
              <w:t>（</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井筒掘进产生的岩石</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井筒掘进产生的岩石量约7.18万m³</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乘以松散系数后约9.34万m³），供给杭锦发电有限公司煤矸石电厂；</w:t>
            </w:r>
          </w:p>
          <w:p>
            <w:pPr>
              <w:keepNext w:val="0"/>
              <w:keepLines w:val="0"/>
              <w:pageBreakBefore w:val="0"/>
              <w:widowControl w:val="0"/>
              <w:kinsoku/>
              <w:wordWrap/>
              <w:overflowPunct/>
              <w:topLinePunct w:val="0"/>
              <w:autoSpaceDE/>
              <w:autoSpaceDN/>
              <w:bidi w:val="0"/>
              <w:adjustRightInd/>
              <w:snapToGrid/>
              <w:spacing w:line="360" w:lineRule="auto"/>
              <w:ind w:leftChars="0" w:right="0" w:firstLine="480" w:firstLineChars="200"/>
              <w:textAlignment w:val="auto"/>
              <w:rPr>
                <w:rFonts w:hint="default" w:ascii="Times New Roman" w:hAnsi="Times New Roman" w:eastAsia="宋体" w:cs="Times New Roman"/>
                <w:b w:val="0"/>
                <w:bCs/>
                <w:sz w:val="24"/>
                <w:highlight w:val="none"/>
              </w:rPr>
            </w:pPr>
            <w:r>
              <w:rPr>
                <w:rFonts w:hint="eastAsia" w:cs="Times New Roman"/>
                <w:b w:val="0"/>
                <w:bCs/>
                <w:sz w:val="24"/>
                <w:szCs w:val="24"/>
                <w:highlight w:val="none"/>
                <w:lang w:val="en-US" w:eastAsia="zh-CN"/>
              </w:rPr>
              <w:t>（3）</w:t>
            </w:r>
            <w:r>
              <w:rPr>
                <w:rFonts w:hint="default" w:ascii="Times New Roman" w:hAnsi="Times New Roman" w:eastAsia="宋体" w:cs="Times New Roman"/>
                <w:b w:val="0"/>
                <w:bCs/>
                <w:sz w:val="24"/>
                <w:szCs w:val="24"/>
                <w:highlight w:val="none"/>
                <w:lang w:val="en-US" w:eastAsia="zh-CN"/>
              </w:rPr>
              <w:t>施工人员生活垃圾</w:t>
            </w:r>
            <w:r>
              <w:rPr>
                <w:rFonts w:hint="eastAsia" w:cs="Times New Roman"/>
                <w:b w:val="0"/>
                <w:bCs/>
                <w:sz w:val="24"/>
                <w:szCs w:val="24"/>
                <w:highlight w:val="none"/>
                <w:lang w:val="en-US" w:eastAsia="zh-CN"/>
              </w:rPr>
              <w:t>：</w:t>
            </w:r>
            <w:r>
              <w:rPr>
                <w:rFonts w:hint="default" w:ascii="Times New Roman" w:hAnsi="Times New Roman" w:eastAsia="宋体" w:cs="Times New Roman"/>
                <w:b w:val="0"/>
                <w:bCs/>
                <w:sz w:val="24"/>
                <w:szCs w:val="24"/>
                <w:highlight w:val="none"/>
                <w:lang w:val="en-US" w:eastAsia="zh-CN"/>
              </w:rPr>
              <w:t>施工期间产生的生活垃圾量为</w:t>
            </w:r>
            <w:r>
              <w:rPr>
                <w:rFonts w:hint="eastAsia" w:cs="Times New Roman"/>
                <w:b w:val="0"/>
                <w:bCs/>
                <w:sz w:val="24"/>
                <w:szCs w:val="24"/>
                <w:highlight w:val="none"/>
                <w:lang w:val="en-US" w:eastAsia="zh-CN"/>
              </w:rPr>
              <w:t>1.35</w:t>
            </w:r>
            <w:r>
              <w:rPr>
                <w:rFonts w:hint="default" w:ascii="Times New Roman" w:hAnsi="Times New Roman" w:eastAsia="宋体" w:cs="Times New Roman"/>
                <w:b w:val="0"/>
                <w:bCs/>
                <w:sz w:val="24"/>
                <w:szCs w:val="24"/>
                <w:highlight w:val="none"/>
                <w:lang w:val="en-US" w:eastAsia="zh-CN"/>
              </w:rPr>
              <w:t>t。</w:t>
            </w:r>
            <w:r>
              <w:rPr>
                <w:rFonts w:hint="default" w:ascii="Times New Roman" w:hAnsi="Times New Roman" w:eastAsia="宋体" w:cs="Times New Roman"/>
                <w:b w:val="0"/>
                <w:bCs/>
                <w:sz w:val="24"/>
                <w:highlight w:val="none"/>
                <w:lang w:eastAsia="zh-CN"/>
              </w:rPr>
              <w:t>设置</w:t>
            </w:r>
            <w:r>
              <w:rPr>
                <w:rFonts w:hint="default" w:ascii="Times New Roman" w:hAnsi="Times New Roman" w:eastAsia="宋体" w:cs="Times New Roman"/>
                <w:b w:val="0"/>
                <w:bCs/>
                <w:sz w:val="24"/>
                <w:highlight w:val="none"/>
              </w:rPr>
              <w:t>垃圾桶</w:t>
            </w:r>
            <w:r>
              <w:rPr>
                <w:rFonts w:hint="default" w:ascii="Times New Roman" w:hAnsi="Times New Roman" w:eastAsia="宋体" w:cs="Times New Roman"/>
                <w:b w:val="0"/>
                <w:bCs/>
                <w:sz w:val="24"/>
                <w:highlight w:val="none"/>
                <w:lang w:eastAsia="zh-CN"/>
              </w:rPr>
              <w:t>收集</w:t>
            </w:r>
            <w:r>
              <w:rPr>
                <w:rFonts w:hint="default" w:ascii="Times New Roman" w:hAnsi="Times New Roman" w:eastAsia="宋体" w:cs="Times New Roman"/>
                <w:b w:val="0"/>
                <w:bCs/>
                <w:sz w:val="24"/>
                <w:highlight w:val="none"/>
              </w:rPr>
              <w:t>，</w:t>
            </w:r>
            <w:r>
              <w:rPr>
                <w:rFonts w:hint="default" w:ascii="Times New Roman" w:hAnsi="Times New Roman" w:eastAsia="宋体" w:cs="Times New Roman"/>
                <w:b w:val="0"/>
                <w:bCs/>
                <w:sz w:val="24"/>
                <w:highlight w:val="none"/>
                <w:lang w:val="en-US" w:eastAsia="zh-CN"/>
              </w:rPr>
              <w:t>施工人员生活垃圾集中收集后运往当地生活垃圾收集点，交当地环卫部门处置</w:t>
            </w:r>
            <w:r>
              <w:rPr>
                <w:rFonts w:hint="default" w:ascii="Times New Roman" w:hAnsi="Times New Roman" w:eastAsia="宋体" w:cs="Times New Roman"/>
                <w:b w:val="0"/>
                <w:bCs/>
                <w:sz w:val="24"/>
                <w:highlight w:val="none"/>
              </w:rPr>
              <w:t>。</w:t>
            </w:r>
          </w:p>
          <w:p>
            <w:pPr>
              <w:pStyle w:val="2"/>
              <w:spacing w:before="153" w:line="220" w:lineRule="auto"/>
              <w:ind w:left="495"/>
              <w:rPr>
                <w:rFonts w:hint="eastAsia" w:ascii="Times New Roman" w:hAnsi="Times New Roman" w:eastAsia="宋体" w:cs="Times New Roman"/>
                <w:b w:val="0"/>
                <w:bCs/>
                <w:sz w:val="24"/>
                <w:highlight w:val="none"/>
                <w:lang w:eastAsia="zh-CN"/>
              </w:rPr>
            </w:pPr>
            <w:r>
              <w:rPr>
                <w:rFonts w:hint="eastAsia" w:cs="Times New Roman"/>
                <w:b w:val="0"/>
                <w:bCs/>
                <w:sz w:val="24"/>
                <w:highlight w:val="none"/>
                <w:lang w:eastAsia="zh-CN"/>
              </w:rPr>
              <w:t>（</w:t>
            </w:r>
            <w:r>
              <w:rPr>
                <w:rFonts w:hint="eastAsia" w:cs="Times New Roman"/>
                <w:b w:val="0"/>
                <w:bCs/>
                <w:sz w:val="24"/>
                <w:highlight w:val="none"/>
                <w:lang w:val="en-US" w:eastAsia="zh-CN"/>
              </w:rPr>
              <w:t>4</w:t>
            </w:r>
            <w:r>
              <w:rPr>
                <w:rFonts w:hint="eastAsia" w:cs="Times New Roman"/>
                <w:b w:val="0"/>
                <w:bCs/>
                <w:sz w:val="24"/>
                <w:highlight w:val="none"/>
                <w:lang w:eastAsia="zh-CN"/>
              </w:rPr>
              <w:t>）</w:t>
            </w:r>
            <w:r>
              <w:rPr>
                <w:spacing w:val="-3"/>
                <w:sz w:val="24"/>
                <w:szCs w:val="24"/>
              </w:rPr>
              <w:t>建筑垃圾</w:t>
            </w:r>
            <w:r>
              <w:rPr>
                <w:rFonts w:hint="eastAsia"/>
                <w:sz w:val="24"/>
                <w:szCs w:val="24"/>
                <w:lang w:eastAsia="zh-CN"/>
              </w:rPr>
              <w:t>：</w:t>
            </w:r>
            <w:r>
              <w:rPr>
                <w:rFonts w:hint="eastAsia"/>
                <w:spacing w:val="-3"/>
                <w:sz w:val="24"/>
                <w:szCs w:val="24"/>
                <w:lang w:eastAsia="zh-CN"/>
              </w:rPr>
              <w:t>送至</w:t>
            </w:r>
            <w:r>
              <w:rPr>
                <w:rFonts w:hint="eastAsia"/>
                <w:spacing w:val="-3"/>
                <w:sz w:val="24"/>
                <w:szCs w:val="24"/>
                <w:lang w:val="en-US" w:eastAsia="zh-CN"/>
              </w:rPr>
              <w:t>当地建筑垃圾填埋场处置，不得随意丢弃</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sz w:val="24"/>
                <w:highlight w:val="none"/>
              </w:rPr>
            </w:pPr>
            <w:r>
              <w:rPr>
                <w:rFonts w:hint="default" w:ascii="Times New Roman" w:hAnsi="Times New Roman" w:eastAsia="宋体" w:cs="Times New Roman"/>
                <w:b w:val="0"/>
                <w:bCs/>
                <w:sz w:val="24"/>
                <w:highlight w:val="none"/>
              </w:rPr>
              <w:t>采取以上措施之后，施工期固体废弃物对周围环境产生的影响不大。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93" w:hRule="atLeast"/>
          <w:jc w:val="center"/>
        </w:trPr>
        <w:tc>
          <w:tcPr>
            <w:tcW w:w="753" w:type="dxa"/>
            <w:noWrap w:val="0"/>
            <w:tcMar>
              <w:left w:w="28" w:type="dxa"/>
              <w:right w:w="28" w:type="dxa"/>
            </w:tcMar>
            <w:vAlign w:val="center"/>
          </w:tcPr>
          <w:p>
            <w:pPr>
              <w:adjustRightInd w:val="0"/>
              <w:snapToGrid w:val="0"/>
              <w:jc w:val="center"/>
              <w:rPr>
                <w:rFonts w:ascii="宋体" w:hAnsi="宋体" w:cs="宋体"/>
                <w:bCs/>
                <w:spacing w:val="10"/>
                <w:szCs w:val="21"/>
                <w:highlight w:val="none"/>
              </w:rPr>
            </w:pPr>
            <w:r>
              <w:rPr>
                <w:rFonts w:hint="eastAsia" w:ascii="宋体" w:hAnsi="宋体" w:cs="宋体"/>
                <w:bCs/>
                <w:spacing w:val="10"/>
                <w:szCs w:val="21"/>
                <w:highlight w:val="none"/>
              </w:rPr>
              <w:t>运营期生态环境保护措施</w:t>
            </w:r>
          </w:p>
        </w:tc>
        <w:tc>
          <w:tcPr>
            <w:tcW w:w="8457" w:type="dxa"/>
            <w:noWrap w:val="0"/>
            <w:vAlign w:val="top"/>
          </w:tcPr>
          <w:p>
            <w:pPr>
              <w:numPr>
                <w:ilvl w:val="0"/>
                <w:numId w:val="0"/>
              </w:numPr>
              <w:adjustRightInd w:val="0"/>
              <w:snapToGrid w:val="0"/>
              <w:spacing w:line="360" w:lineRule="auto"/>
              <w:ind w:firstLine="482" w:firstLineChars="200"/>
              <w:rPr>
                <w:rFonts w:hint="eastAsia"/>
                <w:b/>
                <w:bCs/>
                <w:sz w:val="24"/>
                <w:highlight w:val="none"/>
                <w:lang w:val="en-US" w:eastAsia="zh-CN"/>
              </w:rPr>
            </w:pPr>
            <w:r>
              <w:rPr>
                <w:rFonts w:hint="eastAsia"/>
                <w:b/>
                <w:bCs/>
                <w:sz w:val="24"/>
                <w:highlight w:val="none"/>
                <w:lang w:val="en-US" w:eastAsia="zh-CN"/>
              </w:rPr>
              <w:t>1.大气环境保护措施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sz w:val="24"/>
                <w:szCs w:val="24"/>
                <w:highlight w:val="none"/>
                <w:lang w:val="en-US" w:eastAsia="zh-CN"/>
              </w:rPr>
            </w:pPr>
            <w:r>
              <w:rPr>
                <w:rFonts w:hint="eastAsia" w:ascii="Times New Roman" w:hAnsi="Times New Roman" w:cs="Times New Roman"/>
                <w:bCs/>
                <w:sz w:val="24"/>
                <w:szCs w:val="24"/>
                <w:highlight w:val="none"/>
                <w:lang w:val="en-US" w:eastAsia="zh-CN"/>
              </w:rPr>
              <w:t>风井场地运营期</w:t>
            </w:r>
            <w:r>
              <w:rPr>
                <w:rFonts w:hint="eastAsia" w:cs="Times New Roman"/>
                <w:bCs/>
                <w:sz w:val="24"/>
                <w:szCs w:val="24"/>
                <w:highlight w:val="none"/>
                <w:lang w:val="en-US" w:eastAsia="zh-CN"/>
              </w:rPr>
              <w:t>废气主要是乏风取热系统中产生废气，</w:t>
            </w:r>
            <w:r>
              <w:rPr>
                <w:rFonts w:hint="eastAsia" w:ascii="Times New Roman" w:hAnsi="Times New Roman" w:eastAsia="宋体" w:cs="Times New Roman"/>
                <w:bCs/>
                <w:sz w:val="24"/>
                <w:szCs w:val="24"/>
                <w:highlight w:val="none"/>
                <w:lang w:val="en-US" w:eastAsia="zh-CN"/>
              </w:rPr>
              <w:t>通过乏风系统设备</w:t>
            </w:r>
            <w:r>
              <w:rPr>
                <w:rFonts w:hint="eastAsia" w:cs="Times New Roman"/>
                <w:bCs/>
                <w:sz w:val="24"/>
                <w:szCs w:val="24"/>
                <w:highlight w:val="none"/>
                <w:lang w:val="en-US" w:eastAsia="zh-CN"/>
              </w:rPr>
              <w:t>水平风门</w:t>
            </w:r>
            <w:r>
              <w:rPr>
                <w:rFonts w:hint="eastAsia" w:ascii="Times New Roman" w:hAnsi="Times New Roman" w:eastAsia="宋体" w:cs="Times New Roman"/>
                <w:bCs/>
                <w:sz w:val="24"/>
                <w:szCs w:val="24"/>
                <w:highlight w:val="none"/>
                <w:lang w:val="en-US" w:eastAsia="zh-CN"/>
              </w:rPr>
              <w:t>以无组织形式排放，</w:t>
            </w:r>
            <w:r>
              <w:rPr>
                <w:rFonts w:hint="eastAsia" w:cs="Times New Roman"/>
                <w:bCs/>
                <w:sz w:val="24"/>
                <w:szCs w:val="24"/>
                <w:highlight w:val="none"/>
                <w:lang w:val="en-US" w:eastAsia="zh-CN"/>
              </w:rPr>
              <w:t>厂区定期洒水抑尘，厂区植树种草绿化，</w:t>
            </w:r>
            <w:r>
              <w:rPr>
                <w:rFonts w:hint="eastAsia" w:ascii="Times New Roman" w:hAnsi="Times New Roman" w:eastAsia="宋体" w:cs="Times New Roman"/>
                <w:bCs/>
                <w:sz w:val="24"/>
                <w:szCs w:val="24"/>
                <w:highlight w:val="none"/>
                <w:lang w:val="en-US" w:eastAsia="zh-CN"/>
              </w:rPr>
              <w:t>对周边环境影响较小。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Cs/>
                <w:sz w:val="24"/>
                <w:szCs w:val="24"/>
                <w:highlight w:val="none"/>
                <w:lang w:val="en-US" w:eastAsia="zh-CN"/>
              </w:rPr>
              <w:t>风井场地场外道路</w:t>
            </w:r>
            <w:r>
              <w:rPr>
                <w:rFonts w:hint="default" w:ascii="Times New Roman" w:hAnsi="Times New Roman" w:eastAsia="宋体" w:cs="Times New Roman"/>
                <w:color w:val="000000"/>
                <w:kern w:val="0"/>
                <w:sz w:val="24"/>
                <w:szCs w:val="24"/>
                <w:highlight w:val="none"/>
                <w:lang w:val="en-US" w:eastAsia="zh-CN" w:bidi="ar"/>
              </w:rPr>
              <w:t>行驶车辆</w:t>
            </w:r>
            <w:r>
              <w:rPr>
                <w:rFonts w:hint="default" w:ascii="Times New Roman" w:hAnsi="Times New Roman" w:eastAsia="宋体" w:cs="Times New Roman"/>
                <w:bCs/>
                <w:sz w:val="24"/>
                <w:szCs w:val="24"/>
                <w:highlight w:val="none"/>
                <w:lang w:val="en-US" w:eastAsia="zh-CN"/>
              </w:rPr>
              <w:t>所产生的机动车尾气污染物</w:t>
            </w:r>
            <w:r>
              <w:rPr>
                <w:rFonts w:hint="eastAsia" w:cs="Times New Roman"/>
                <w:bCs/>
                <w:sz w:val="24"/>
                <w:szCs w:val="24"/>
                <w:highlight w:val="none"/>
                <w:lang w:val="en-US" w:eastAsia="zh-CN"/>
              </w:rPr>
              <w:t>与扬尘</w:t>
            </w:r>
            <w:r>
              <w:rPr>
                <w:rFonts w:hint="default" w:ascii="Times New Roman" w:hAnsi="Times New Roman" w:eastAsia="宋体" w:cs="Times New Roman"/>
                <w:bCs/>
                <w:sz w:val="24"/>
                <w:szCs w:val="24"/>
                <w:highlight w:val="none"/>
                <w:lang w:val="en-US" w:eastAsia="zh-CN"/>
              </w:rPr>
              <w:t>，运营期加强道路管理及路面养护，保持道路良好运营状态，保持路面平整和清洁，保证其路面处于完好状态，平整完好的路面可以大大减少扬尘量</w:t>
            </w:r>
            <w:r>
              <w:rPr>
                <w:rFonts w:hint="eastAsia" w:cs="Times New Roman"/>
                <w:bCs/>
                <w:sz w:val="24"/>
                <w:szCs w:val="24"/>
                <w:highlight w:val="none"/>
                <w:lang w:val="en-US" w:eastAsia="zh-CN"/>
              </w:rPr>
              <w:t>；</w:t>
            </w:r>
            <w:r>
              <w:rPr>
                <w:rFonts w:hint="default" w:ascii="Times New Roman" w:hAnsi="Times New Roman" w:eastAsia="宋体" w:cs="Times New Roman"/>
                <w:color w:val="000000"/>
                <w:kern w:val="0"/>
                <w:sz w:val="24"/>
                <w:szCs w:val="24"/>
                <w:highlight w:val="none"/>
                <w:lang w:val="en-US" w:eastAsia="zh-CN" w:bidi="ar"/>
              </w:rPr>
              <w:t>路面洒水抑尘</w:t>
            </w:r>
            <w:r>
              <w:rPr>
                <w:rFonts w:hint="default" w:ascii="Times New Roman" w:hAnsi="Times New Roman" w:eastAsia="宋体" w:cs="Times New Roman"/>
                <w:sz w:val="24"/>
                <w:szCs w:val="24"/>
                <w:highlight w:val="none"/>
                <w:lang w:eastAsia="zh-CN"/>
              </w:rPr>
              <w:t>，</w:t>
            </w:r>
            <w:r>
              <w:rPr>
                <w:spacing w:val="0"/>
                <w:w w:val="100"/>
                <w:position w:val="0"/>
                <w:sz w:val="24"/>
                <w:szCs w:val="24"/>
                <w:highlight w:val="none"/>
              </w:rPr>
              <w:t>道路两旁进行绿化</w:t>
            </w:r>
            <w:r>
              <w:rPr>
                <w:rFonts w:hint="eastAsia"/>
                <w:spacing w:val="0"/>
                <w:w w:val="100"/>
                <w:position w:val="0"/>
                <w:sz w:val="24"/>
                <w:szCs w:val="24"/>
                <w:highlight w:val="none"/>
                <w:lang w:eastAsia="zh-CN"/>
              </w:rPr>
              <w:t>；</w:t>
            </w:r>
            <w:r>
              <w:rPr>
                <w:spacing w:val="-2"/>
                <w:sz w:val="24"/>
                <w:szCs w:val="24"/>
                <w:highlight w:val="none"/>
              </w:rPr>
              <w:t>为控制运输车辆的尾气污染，运输车辆应为新能源或国</w:t>
            </w:r>
            <w:r>
              <w:rPr>
                <w:spacing w:val="-58"/>
                <w:sz w:val="24"/>
                <w:szCs w:val="24"/>
                <w:highlight w:val="none"/>
              </w:rPr>
              <w:t xml:space="preserve"> </w:t>
            </w:r>
            <w:r>
              <w:rPr>
                <w:rFonts w:hint="eastAsia" w:eastAsia="宋体" w:cs="Times New Roman"/>
                <w:spacing w:val="-2"/>
                <w:sz w:val="24"/>
                <w:szCs w:val="24"/>
                <w:highlight w:val="none"/>
                <w:lang w:eastAsia="zh-CN"/>
              </w:rPr>
              <w:t>Ⅵ</w:t>
            </w:r>
            <w:r>
              <w:rPr>
                <w:spacing w:val="-2"/>
                <w:sz w:val="24"/>
                <w:szCs w:val="24"/>
                <w:highlight w:val="none"/>
              </w:rPr>
              <w:t>排放标准的车辆；</w:t>
            </w:r>
            <w:r>
              <w:rPr>
                <w:rFonts w:hint="default" w:ascii="Times New Roman" w:hAnsi="Times New Roman" w:eastAsia="宋体" w:cs="Times New Roman"/>
                <w:bCs/>
                <w:sz w:val="24"/>
                <w:szCs w:val="24"/>
                <w:highlight w:val="none"/>
                <w:lang w:val="en-US" w:eastAsia="zh-CN"/>
              </w:rPr>
              <w:t>对周围环境空气质量影响较小。</w:t>
            </w:r>
          </w:p>
          <w:p>
            <w:pPr>
              <w:numPr>
                <w:ilvl w:val="0"/>
                <w:numId w:val="0"/>
              </w:numPr>
              <w:adjustRightInd w:val="0"/>
              <w:snapToGrid w:val="0"/>
              <w:spacing w:line="360" w:lineRule="auto"/>
              <w:ind w:firstLine="482" w:firstLineChars="200"/>
              <w:rPr>
                <w:rFonts w:hint="eastAsia"/>
                <w:b/>
                <w:bCs/>
                <w:sz w:val="24"/>
                <w:highlight w:val="none"/>
                <w:lang w:val="en-US" w:eastAsia="zh-CN"/>
              </w:rPr>
            </w:pPr>
            <w:r>
              <w:rPr>
                <w:rFonts w:hint="eastAsia" w:cs="Times New Roman"/>
                <w:b/>
                <w:bCs/>
                <w:sz w:val="24"/>
                <w:highlight w:val="none"/>
                <w:lang w:val="en-US" w:eastAsia="zh-CN"/>
              </w:rPr>
              <w:t>2.</w:t>
            </w:r>
            <w:r>
              <w:rPr>
                <w:rFonts w:hint="eastAsia" w:ascii="Times New Roman" w:hAnsi="Times New Roman" w:eastAsia="宋体" w:cs="Times New Roman"/>
                <w:b/>
                <w:bCs/>
                <w:sz w:val="24"/>
                <w:highlight w:val="none"/>
                <w:lang w:val="en-US" w:eastAsia="zh-CN"/>
              </w:rPr>
              <w:t>水环境</w:t>
            </w:r>
            <w:r>
              <w:rPr>
                <w:rFonts w:hint="eastAsia"/>
                <w:b/>
                <w:bCs/>
                <w:sz w:val="24"/>
                <w:highlight w:val="none"/>
                <w:lang w:val="en-US" w:eastAsia="zh-CN"/>
              </w:rPr>
              <w:t>保护措施</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Times New Roman" w:hAnsi="Times New Roman" w:cs="Times New Roman"/>
                <w:bCs/>
                <w:sz w:val="24"/>
                <w:szCs w:val="24"/>
                <w:highlight w:val="none"/>
                <w:lang w:val="en-US" w:eastAsia="zh-CN"/>
              </w:rPr>
            </w:pPr>
            <w:r>
              <w:rPr>
                <w:rFonts w:hint="eastAsia" w:cs="Times New Roman"/>
                <w:bCs/>
                <w:sz w:val="24"/>
                <w:szCs w:val="24"/>
                <w:highlight w:val="none"/>
                <w:lang w:val="en-US" w:eastAsia="zh-CN"/>
              </w:rPr>
              <w:t>（</w:t>
            </w:r>
            <w:r>
              <w:rPr>
                <w:rFonts w:hint="eastAsia" w:ascii="Times New Roman" w:hAnsi="Times New Roman" w:cs="Times New Roman"/>
                <w:bCs/>
                <w:sz w:val="24"/>
                <w:szCs w:val="24"/>
                <w:highlight w:val="none"/>
                <w:lang w:val="en-US" w:eastAsia="zh-CN"/>
              </w:rPr>
              <w:t>1）本项目劳动定员为塔然高勒煤矿现有员工调配，</w:t>
            </w:r>
            <w:r>
              <w:rPr>
                <w:sz w:val="24"/>
                <w:szCs w:val="24"/>
                <w:highlight w:val="none"/>
              </w:rPr>
              <w:t>本项目不新增劳动定员</w:t>
            </w:r>
            <w:r>
              <w:rPr>
                <w:rFonts w:hint="eastAsia"/>
                <w:sz w:val="24"/>
                <w:szCs w:val="24"/>
                <w:highlight w:val="none"/>
                <w:lang w:eastAsia="zh-CN"/>
              </w:rPr>
              <w:t>，</w:t>
            </w:r>
            <w:r>
              <w:rPr>
                <w:rFonts w:hint="eastAsia" w:ascii="Times New Roman" w:hAnsi="Times New Roman" w:cs="Times New Roman"/>
                <w:bCs/>
                <w:sz w:val="24"/>
                <w:szCs w:val="24"/>
                <w:highlight w:val="none"/>
                <w:lang w:val="en-US" w:eastAsia="zh-CN"/>
              </w:rPr>
              <w:t>不新增生活污水量。</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default" w:ascii="Times New Roman" w:hAnsi="Times New Roman" w:eastAsia="宋体" w:cs="Times New Roman"/>
                <w:spacing w:val="0"/>
                <w:kern w:val="21"/>
                <w:position w:val="0"/>
                <w:sz w:val="24"/>
                <w:szCs w:val="24"/>
                <w:highlight w:val="none"/>
              </w:rPr>
            </w:pPr>
            <w:r>
              <w:rPr>
                <w:rFonts w:hint="eastAsia" w:cs="Times New Roman"/>
                <w:bCs/>
                <w:spacing w:val="0"/>
                <w:kern w:val="21"/>
                <w:position w:val="0"/>
                <w:sz w:val="24"/>
                <w:szCs w:val="24"/>
                <w:highlight w:val="none"/>
                <w:lang w:val="en-US" w:eastAsia="zh-CN" w:bidi="ar-SA"/>
              </w:rPr>
              <w:t>（</w:t>
            </w:r>
            <w:r>
              <w:rPr>
                <w:rFonts w:hint="eastAsia" w:ascii="Times New Roman" w:hAnsi="Times New Roman" w:eastAsia="宋体" w:cs="Times New Roman"/>
                <w:bCs/>
                <w:spacing w:val="0"/>
                <w:kern w:val="21"/>
                <w:position w:val="0"/>
                <w:sz w:val="24"/>
                <w:szCs w:val="24"/>
                <w:highlight w:val="none"/>
                <w:lang w:val="en-US" w:eastAsia="zh-CN" w:bidi="ar-SA"/>
              </w:rPr>
              <w:t>2）</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乏风取热设施废水：乏风取热设施生产冲洗</w:t>
            </w:r>
            <w:r>
              <w:rPr>
                <w:rFonts w:hint="eastAsia" w:cs="Times New Roman"/>
                <w:color w:val="000000" w:themeColor="text1"/>
                <w:spacing w:val="0"/>
                <w:kern w:val="21"/>
                <w:position w:val="0"/>
                <w:sz w:val="24"/>
                <w:szCs w:val="24"/>
                <w:highlight w:val="none"/>
                <w:lang w:val="en-US" w:eastAsia="zh-CN"/>
                <w14:textFill>
                  <w14:solidFill>
                    <w14:schemeClr w14:val="tx1"/>
                  </w14:solidFill>
                </w14:textFill>
              </w:rPr>
              <w:t>水</w:t>
            </w:r>
            <w:r>
              <w:rPr>
                <w:rFonts w:hint="default" w:ascii="Times New Roman" w:hAnsi="Times New Roman" w:eastAsia="宋体" w:cs="Times New Roman"/>
                <w:color w:val="000000" w:themeColor="text1"/>
                <w:spacing w:val="0"/>
                <w:kern w:val="21"/>
                <w:position w:val="0"/>
                <w:sz w:val="24"/>
                <w:szCs w:val="24"/>
                <w:highlight w:val="none"/>
                <w:lang w:val="en-US" w:eastAsia="zh-CN"/>
                <w14:textFill>
                  <w14:solidFill>
                    <w14:schemeClr w14:val="tx1"/>
                  </w14:solidFill>
                </w14:textFill>
              </w:rPr>
              <w:t>与冷凝水</w:t>
            </w:r>
            <w:r>
              <w:rPr>
                <w:rFonts w:hint="default" w:ascii="Times New Roman" w:hAnsi="Times New Roman" w:eastAsia="宋体" w:cs="Times New Roman"/>
                <w:bCs/>
                <w:spacing w:val="0"/>
                <w:kern w:val="21"/>
                <w:position w:val="0"/>
                <w:sz w:val="24"/>
                <w:szCs w:val="24"/>
                <w:highlight w:val="none"/>
                <w:lang w:val="en-US" w:eastAsia="zh-CN" w:bidi="ar-SA"/>
              </w:rPr>
              <w:t>汇入凝结水池收集后进入雨水收集池，</w:t>
            </w:r>
            <w:r>
              <w:rPr>
                <w:rFonts w:hint="eastAsia" w:cs="Times New Roman"/>
                <w:bCs/>
                <w:spacing w:val="0"/>
                <w:kern w:val="21"/>
                <w:position w:val="0"/>
                <w:sz w:val="24"/>
                <w:szCs w:val="24"/>
                <w:highlight w:val="none"/>
                <w:lang w:val="en-US" w:eastAsia="zh-CN" w:bidi="ar-SA"/>
              </w:rPr>
              <w:t>最终</w:t>
            </w:r>
            <w:r>
              <w:rPr>
                <w:rFonts w:hint="eastAsia"/>
                <w:sz w:val="24"/>
                <w:szCs w:val="24"/>
                <w:highlight w:val="none"/>
                <w:lang w:eastAsia="zh-CN"/>
              </w:rPr>
              <w:t>由拉水罐车</w:t>
            </w:r>
            <w:r>
              <w:rPr>
                <w:rFonts w:hint="default" w:ascii="Times New Roman" w:hAnsi="Times New Roman" w:eastAsia="宋体" w:cs="Times New Roman"/>
                <w:spacing w:val="0"/>
                <w:kern w:val="21"/>
                <w:position w:val="0"/>
                <w:sz w:val="24"/>
                <w:szCs w:val="24"/>
                <w:highlight w:val="none"/>
                <w:lang w:eastAsia="zh-CN"/>
              </w:rPr>
              <w:t>送</w:t>
            </w:r>
            <w:r>
              <w:rPr>
                <w:rFonts w:hint="default" w:ascii="Times New Roman" w:hAnsi="Times New Roman" w:eastAsia="宋体" w:cs="Times New Roman"/>
                <w:spacing w:val="0"/>
                <w:kern w:val="21"/>
                <w:position w:val="0"/>
                <w:sz w:val="24"/>
                <w:szCs w:val="24"/>
                <w:highlight w:val="none"/>
              </w:rPr>
              <w:t>至</w:t>
            </w:r>
            <w:r>
              <w:rPr>
                <w:rFonts w:hint="default" w:ascii="Times New Roman" w:hAnsi="Times New Roman" w:eastAsia="宋体" w:cs="Times New Roman"/>
                <w:spacing w:val="0"/>
                <w:kern w:val="21"/>
                <w:position w:val="0"/>
                <w:sz w:val="24"/>
                <w:szCs w:val="24"/>
                <w:highlight w:val="none"/>
                <w:lang w:eastAsia="zh-CN"/>
              </w:rPr>
              <w:t>塔然高勒煤矿</w:t>
            </w:r>
            <w:r>
              <w:rPr>
                <w:rFonts w:hint="default" w:ascii="Times New Roman" w:hAnsi="Times New Roman" w:eastAsia="宋体" w:cs="Times New Roman"/>
                <w:spacing w:val="0"/>
                <w:kern w:val="21"/>
                <w:position w:val="0"/>
                <w:sz w:val="24"/>
                <w:szCs w:val="24"/>
                <w:highlight w:val="none"/>
              </w:rPr>
              <w:t>矿井水处理站进行处理</w:t>
            </w:r>
            <w:r>
              <w:rPr>
                <w:rFonts w:hint="eastAsia" w:ascii="Times New Roman" w:hAnsi="Times New Roman" w:cs="Times New Roman"/>
                <w:spacing w:val="0"/>
                <w:kern w:val="21"/>
                <w:position w:val="0"/>
                <w:sz w:val="24"/>
                <w:szCs w:val="24"/>
                <w:highlight w:val="none"/>
                <w:lang w:eastAsia="zh-CN"/>
              </w:rPr>
              <w:t>，</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矿井水经过处理后，</w:t>
            </w:r>
            <w:r>
              <w:rPr>
                <w:rFonts w:hint="eastAsia" w:ascii="Times New Roman" w:hAnsi="Times New Roman" w:eastAsia="宋体" w:cs="Times New Roman"/>
                <w:spacing w:val="0"/>
                <w:kern w:val="21"/>
                <w:position w:val="0"/>
                <w:sz w:val="24"/>
                <w:szCs w:val="24"/>
                <w:highlight w:val="none"/>
              </w:rPr>
              <w:t>作为井下消防、选煤等用水</w:t>
            </w:r>
            <w:r>
              <w:rPr>
                <w:rFonts w:hint="default" w:ascii="Times New Roman" w:hAnsi="Times New Roman" w:eastAsia="宋体" w:cs="Times New Roman"/>
                <w:bCs/>
                <w:spacing w:val="0"/>
                <w:kern w:val="21"/>
                <w:position w:val="0"/>
                <w:sz w:val="24"/>
                <w:szCs w:val="24"/>
                <w:highlight w:val="none"/>
                <w:lang w:val="en-US" w:eastAsia="zh-CN" w:bidi="ar-SA"/>
              </w:rPr>
              <w:t>。</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default" w:ascii="Times New Roman" w:hAnsi="Times New Roman" w:eastAsia="宋体" w:cs="Times New Roman"/>
                <w:bCs/>
                <w:spacing w:val="0"/>
                <w:kern w:val="21"/>
                <w:position w:val="0"/>
                <w:sz w:val="24"/>
                <w:szCs w:val="24"/>
                <w:highlight w:val="none"/>
                <w:lang w:val="en-US" w:eastAsia="zh-CN" w:bidi="ar-SA"/>
              </w:rPr>
            </w:pPr>
            <w:r>
              <w:rPr>
                <w:rFonts w:hint="eastAsia" w:cs="Times New Roman"/>
                <w:spacing w:val="0"/>
                <w:kern w:val="21"/>
                <w:position w:val="0"/>
                <w:sz w:val="24"/>
                <w:szCs w:val="24"/>
                <w:highlight w:val="none"/>
                <w:lang w:eastAsia="zh-CN"/>
              </w:rPr>
              <w:t>（</w:t>
            </w:r>
            <w:r>
              <w:rPr>
                <w:rFonts w:hint="default" w:ascii="Times New Roman" w:hAnsi="Times New Roman" w:eastAsia="宋体" w:cs="Times New Roman"/>
                <w:spacing w:val="0"/>
                <w:kern w:val="21"/>
                <w:position w:val="0"/>
                <w:sz w:val="24"/>
                <w:szCs w:val="24"/>
                <w:highlight w:val="none"/>
                <w:lang w:val="en-US" w:eastAsia="zh-CN"/>
              </w:rPr>
              <w:t>3</w:t>
            </w:r>
            <w:r>
              <w:rPr>
                <w:rFonts w:hint="default" w:ascii="Times New Roman" w:hAnsi="Times New Roman" w:eastAsia="宋体" w:cs="Times New Roman"/>
                <w:spacing w:val="0"/>
                <w:kern w:val="21"/>
                <w:position w:val="0"/>
                <w:sz w:val="24"/>
                <w:szCs w:val="24"/>
                <w:highlight w:val="none"/>
                <w:lang w:eastAsia="zh-CN"/>
              </w:rPr>
              <w:t>）</w:t>
            </w:r>
            <w:r>
              <w:rPr>
                <w:rFonts w:hint="default" w:ascii="Times New Roman" w:hAnsi="Times New Roman" w:eastAsia="宋体" w:cs="Times New Roman"/>
                <w:spacing w:val="0"/>
                <w:kern w:val="21"/>
                <w:position w:val="0"/>
                <w:sz w:val="24"/>
                <w:szCs w:val="24"/>
                <w:highlight w:val="none"/>
              </w:rPr>
              <w:t>北部风井场地采用雨污分流排水系统，场区雨水采用盖板明沟的排水方式</w:t>
            </w:r>
            <w:r>
              <w:rPr>
                <w:rFonts w:hint="default" w:ascii="Times New Roman" w:hAnsi="Times New Roman" w:eastAsia="宋体" w:cs="Times New Roman"/>
                <w:spacing w:val="0"/>
                <w:kern w:val="21"/>
                <w:position w:val="0"/>
                <w:sz w:val="24"/>
                <w:szCs w:val="24"/>
                <w:highlight w:val="none"/>
                <w:lang w:eastAsia="zh-CN"/>
              </w:rPr>
              <w:t>。</w:t>
            </w:r>
            <w:r>
              <w:rPr>
                <w:rFonts w:hint="default" w:ascii="Times New Roman" w:hAnsi="Times New Roman" w:eastAsia="宋体" w:cs="Times New Roman"/>
                <w:spacing w:val="0"/>
                <w:kern w:val="21"/>
                <w:position w:val="0"/>
                <w:sz w:val="24"/>
                <w:szCs w:val="24"/>
                <w:highlight w:val="none"/>
              </w:rPr>
              <w:t>雨水经排水明沟汇入场地初期雨水集水池。初期雨水池内储存的初期雨水</w:t>
            </w:r>
            <w:r>
              <w:rPr>
                <w:rFonts w:hint="default" w:ascii="Times New Roman" w:hAnsi="Times New Roman" w:eastAsia="宋体" w:cs="Times New Roman"/>
                <w:spacing w:val="0"/>
                <w:kern w:val="21"/>
                <w:position w:val="0"/>
                <w:sz w:val="24"/>
                <w:szCs w:val="24"/>
                <w:highlight w:val="none"/>
                <w:lang w:eastAsia="zh-CN"/>
              </w:rPr>
              <w:t>送</w:t>
            </w:r>
            <w:r>
              <w:rPr>
                <w:rFonts w:hint="default" w:ascii="Times New Roman" w:hAnsi="Times New Roman" w:eastAsia="宋体" w:cs="Times New Roman"/>
                <w:spacing w:val="0"/>
                <w:kern w:val="21"/>
                <w:position w:val="0"/>
                <w:sz w:val="24"/>
                <w:szCs w:val="24"/>
                <w:highlight w:val="none"/>
              </w:rPr>
              <w:t>至</w:t>
            </w:r>
            <w:r>
              <w:rPr>
                <w:rFonts w:hint="default" w:ascii="Times New Roman" w:hAnsi="Times New Roman" w:eastAsia="宋体" w:cs="Times New Roman"/>
                <w:spacing w:val="0"/>
                <w:kern w:val="21"/>
                <w:position w:val="0"/>
                <w:sz w:val="24"/>
                <w:szCs w:val="24"/>
                <w:highlight w:val="none"/>
                <w:lang w:eastAsia="zh-CN"/>
              </w:rPr>
              <w:t>塔然高勒煤矿</w:t>
            </w:r>
            <w:r>
              <w:rPr>
                <w:rFonts w:hint="default" w:ascii="Times New Roman" w:hAnsi="Times New Roman" w:eastAsia="宋体" w:cs="Times New Roman"/>
                <w:spacing w:val="0"/>
                <w:kern w:val="21"/>
                <w:position w:val="0"/>
                <w:sz w:val="24"/>
                <w:szCs w:val="24"/>
                <w:highlight w:val="none"/>
              </w:rPr>
              <w:t>矿井水处理站进行处理，矿井水经过处理后，作为井下消防、选煤等用水</w:t>
            </w:r>
            <w:r>
              <w:rPr>
                <w:rFonts w:hint="default" w:ascii="Times New Roman" w:hAnsi="Times New Roman" w:eastAsia="宋体" w:cs="Times New Roman"/>
                <w:bCs/>
                <w:spacing w:val="0"/>
                <w:kern w:val="21"/>
                <w:position w:val="0"/>
                <w:sz w:val="24"/>
                <w:szCs w:val="24"/>
                <w:highlight w:val="none"/>
                <w:lang w:val="en-US" w:eastAsia="zh-CN" w:bidi="ar-SA"/>
              </w:rPr>
              <w:t>。</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right="0" w:firstLine="482" w:firstLineChars="200"/>
              <w:jc w:val="both"/>
              <w:textAlignment w:val="auto"/>
              <w:rPr>
                <w:rFonts w:hint="eastAsia" w:ascii="Times New Roman" w:hAnsi="Times New Roman" w:eastAsia="宋体" w:cs="Times New Roman"/>
                <w:b/>
                <w:bCs/>
                <w:kern w:val="2"/>
                <w:sz w:val="24"/>
                <w:szCs w:val="24"/>
                <w:highlight w:val="none"/>
                <w:lang w:val="en-US" w:eastAsia="zh-CN" w:bidi="ar-SA"/>
              </w:rPr>
            </w:pPr>
            <w:r>
              <w:rPr>
                <w:rFonts w:hint="eastAsia" w:cs="Times New Roman"/>
                <w:b/>
                <w:bCs/>
                <w:kern w:val="2"/>
                <w:sz w:val="24"/>
                <w:szCs w:val="24"/>
                <w:highlight w:val="none"/>
                <w:lang w:val="en-US" w:eastAsia="zh-CN" w:bidi="ar-SA"/>
              </w:rPr>
              <w:t>3.</w:t>
            </w:r>
            <w:r>
              <w:rPr>
                <w:rFonts w:hint="eastAsia" w:ascii="Times New Roman" w:hAnsi="Times New Roman" w:eastAsia="宋体" w:cs="Times New Roman"/>
                <w:b/>
                <w:bCs/>
                <w:kern w:val="2"/>
                <w:sz w:val="24"/>
                <w:szCs w:val="24"/>
                <w:highlight w:val="none"/>
                <w:lang w:val="en-US" w:eastAsia="zh-CN" w:bidi="ar-SA"/>
              </w:rPr>
              <w:t>声环境保护措施</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本项目</w:t>
            </w:r>
            <w:r>
              <w:rPr>
                <w:rFonts w:hint="default" w:ascii="Times New Roman" w:hAnsi="Times New Roman" w:cs="Times New Roman"/>
                <w:color w:val="auto"/>
                <w:sz w:val="24"/>
                <w:szCs w:val="24"/>
                <w:highlight w:val="none"/>
                <w:lang w:val="en-US" w:eastAsia="zh-CN"/>
              </w:rPr>
              <w:t>运营期噪声源主要来自</w:t>
            </w:r>
            <w:r>
              <w:rPr>
                <w:rFonts w:hint="eastAsia" w:cs="Times New Roman"/>
                <w:color w:val="auto"/>
                <w:sz w:val="24"/>
                <w:szCs w:val="24"/>
                <w:highlight w:val="none"/>
                <w:lang w:val="en-US" w:eastAsia="zh-CN"/>
              </w:rPr>
              <w:t>风井场地设备</w:t>
            </w:r>
            <w:r>
              <w:rPr>
                <w:rFonts w:hint="default" w:ascii="Times New Roman" w:hAnsi="Times New Roman" w:cs="Times New Roman"/>
                <w:color w:val="auto"/>
                <w:sz w:val="24"/>
                <w:szCs w:val="24"/>
                <w:highlight w:val="none"/>
                <w:lang w:val="en-US" w:eastAsia="zh-CN"/>
              </w:rPr>
              <w:t>通风机、空压机、乏风热泵</w:t>
            </w:r>
            <w:r>
              <w:rPr>
                <w:rFonts w:hint="eastAsia" w:cs="Times New Roman"/>
                <w:color w:val="auto"/>
                <w:sz w:val="24"/>
                <w:szCs w:val="24"/>
                <w:highlight w:val="none"/>
                <w:lang w:val="en-US" w:eastAsia="zh-CN"/>
              </w:rPr>
              <w:t>等设备噪声以及场外道路交通噪声，拟采取的措施如下：</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200"/>
              <w:textAlignment w:val="auto"/>
              <w:rPr>
                <w:rFonts w:hint="default" w:ascii="Times New Roman" w:hAnsi="Times New Roman" w:cs="Times New Roman"/>
                <w:color w:val="auto"/>
                <w:sz w:val="24"/>
                <w:szCs w:val="24"/>
                <w:highlight w:val="none"/>
                <w:lang w:eastAsia="zh-CN"/>
              </w:rPr>
            </w:pPr>
            <w:r>
              <w:rPr>
                <w:rFonts w:hint="eastAsia" w:cs="Times New Roman"/>
                <w:color w:val="auto"/>
                <w:sz w:val="24"/>
                <w:szCs w:val="24"/>
                <w:highlight w:val="none"/>
                <w:lang w:val="en-US" w:eastAsia="zh-CN"/>
              </w:rPr>
              <w:t>（1）风井场地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选用低噪声设备，通风机进、出气口安装消声器，</w:t>
            </w:r>
            <w:r>
              <w:rPr>
                <w:rFonts w:hint="eastAsia" w:ascii="Times New Roman" w:hAnsi="Times New Roman" w:eastAsia="宋体" w:cs="Times New Roman"/>
                <w:color w:val="auto"/>
                <w:kern w:val="2"/>
                <w:sz w:val="24"/>
                <w:szCs w:val="24"/>
                <w:highlight w:val="none"/>
                <w:lang w:val="en-US" w:eastAsia="zh-CN" w:bidi="ar-SA"/>
              </w:rPr>
              <w:t>设置隔声罩</w:t>
            </w:r>
            <w:r>
              <w:rPr>
                <w:rFonts w:hint="default" w:ascii="Times New Roman" w:hAnsi="Times New Roman" w:eastAsia="宋体" w:cs="Times New Roman"/>
                <w:color w:val="auto"/>
                <w:kern w:val="2"/>
                <w:sz w:val="24"/>
                <w:szCs w:val="24"/>
                <w:highlight w:val="none"/>
                <w:lang w:val="en-US" w:eastAsia="zh-CN" w:bidi="ar-SA"/>
              </w:rPr>
              <w:t>。通风机机座进行隔震处理。北部风井场地通风机出气口设置有取热装置，对噪声扩散有一定阻挡作用。空压机进气口安装消声器；空压机机体加装隔声罩；在压风机房内设置隔声间。</w:t>
            </w:r>
            <w:r>
              <w:rPr>
                <w:rFonts w:hint="eastAsia" w:ascii="Times New Roman" w:hAnsi="Times New Roman" w:eastAsia="宋体" w:cs="Times New Roman"/>
                <w:color w:val="auto"/>
                <w:kern w:val="2"/>
                <w:sz w:val="24"/>
                <w:szCs w:val="24"/>
                <w:highlight w:val="none"/>
                <w:lang w:val="en-US" w:eastAsia="zh-CN" w:bidi="ar-SA"/>
              </w:rPr>
              <w:t>对于</w:t>
            </w:r>
            <w:r>
              <w:rPr>
                <w:rFonts w:hint="default" w:ascii="Times New Roman" w:hAnsi="Times New Roman" w:eastAsia="宋体" w:cs="Times New Roman"/>
                <w:color w:val="auto"/>
                <w:kern w:val="2"/>
                <w:sz w:val="24"/>
                <w:szCs w:val="24"/>
                <w:highlight w:val="none"/>
                <w:lang w:val="en-US" w:eastAsia="zh-CN" w:bidi="ar-SA"/>
              </w:rPr>
              <w:t>泵机选用低噪声设备，设置减振机座、隔声门窗，泵机均在出入口设置软接头，并设置减振基础。</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200" w:right="0" w:rightChars="0"/>
              <w:jc w:val="both"/>
              <w:textAlignment w:val="auto"/>
              <w:rPr>
                <w:rFonts w:hint="eastAsia"/>
                <w:spacing w:val="0"/>
                <w:w w:val="100"/>
                <w:position w:val="0"/>
                <w:sz w:val="24"/>
                <w:szCs w:val="24"/>
                <w:lang w:val="en-US" w:eastAsia="zh-CN"/>
              </w:rPr>
            </w:pPr>
            <w:r>
              <w:rPr>
                <w:rFonts w:hint="eastAsia"/>
                <w:spacing w:val="0"/>
                <w:w w:val="100"/>
                <w:position w:val="0"/>
                <w:sz w:val="24"/>
                <w:szCs w:val="24"/>
                <w:lang w:val="en-US" w:eastAsia="zh-CN"/>
              </w:rPr>
              <w:t>（2）道路噪声</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0" w:leftChars="0" w:right="0" w:rightChars="0" w:firstLine="480" w:firstLineChars="200"/>
              <w:jc w:val="both"/>
              <w:textAlignment w:val="auto"/>
              <w:rPr>
                <w:spacing w:val="0"/>
                <w:w w:val="100"/>
                <w:position w:val="0"/>
                <w:sz w:val="24"/>
                <w:szCs w:val="24"/>
                <w:highlight w:val="none"/>
              </w:rPr>
            </w:pPr>
            <w:r>
              <w:rPr>
                <w:spacing w:val="0"/>
                <w:w w:val="100"/>
                <w:position w:val="0"/>
                <w:sz w:val="24"/>
                <w:szCs w:val="24"/>
              </w:rPr>
              <w:t>道路两旁进行绿化、加强路面管理。</w:t>
            </w:r>
            <w:r>
              <w:rPr>
                <w:rFonts w:hint="eastAsia"/>
                <w:spacing w:val="0"/>
                <w:w w:val="100"/>
                <w:position w:val="0"/>
                <w:sz w:val="24"/>
                <w:szCs w:val="24"/>
                <w:lang w:val="en-US" w:eastAsia="zh-CN"/>
              </w:rPr>
              <w:t>加强进入本项目区车辆的运输管理，</w:t>
            </w:r>
            <w:r>
              <w:rPr>
                <w:rFonts w:hint="eastAsia"/>
                <w:spacing w:val="0"/>
                <w:w w:val="100"/>
                <w:position w:val="0"/>
                <w:sz w:val="24"/>
                <w:szCs w:val="24"/>
                <w:highlight w:val="none"/>
                <w:lang w:val="en-US" w:eastAsia="zh-CN"/>
              </w:rPr>
              <w:t>经过敏感点道路段限速、禁止鸣笛，设置标志牌，车辆经过敏感点路段限速5km/h；定期对敏感点进行噪声跟踪监测措施。</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right="0" w:firstLine="482" w:firstLineChars="200"/>
              <w:jc w:val="both"/>
              <w:textAlignment w:val="auto"/>
              <w:rPr>
                <w:rFonts w:hint="eastAsia" w:ascii="Times New Roman" w:hAnsi="Times New Roman" w:eastAsia="宋体" w:cs="Times New Roman"/>
                <w:b/>
                <w:bCs/>
                <w:kern w:val="2"/>
                <w:sz w:val="24"/>
                <w:szCs w:val="24"/>
                <w:highlight w:val="none"/>
                <w:lang w:val="en-US" w:eastAsia="zh-CN" w:bidi="ar-SA"/>
              </w:rPr>
            </w:pPr>
            <w:r>
              <w:rPr>
                <w:rFonts w:hint="eastAsia" w:ascii="Times New Roman" w:hAnsi="Times New Roman" w:eastAsia="宋体" w:cs="Times New Roman"/>
                <w:b/>
                <w:bCs/>
                <w:kern w:val="2"/>
                <w:sz w:val="24"/>
                <w:szCs w:val="24"/>
                <w:highlight w:val="none"/>
                <w:lang w:val="en-US" w:eastAsia="zh-CN" w:bidi="ar-SA"/>
              </w:rPr>
              <w:t>4.</w:t>
            </w:r>
            <w:r>
              <w:rPr>
                <w:rFonts w:hint="default" w:ascii="Times New Roman" w:hAnsi="Times New Roman" w:eastAsia="宋体" w:cs="Times New Roman"/>
                <w:b/>
                <w:bCs/>
                <w:kern w:val="2"/>
                <w:sz w:val="24"/>
                <w:szCs w:val="24"/>
                <w:highlight w:val="none"/>
                <w:lang w:val="en-US" w:eastAsia="zh-CN" w:bidi="ar-SA"/>
              </w:rPr>
              <w:t>固体废物影响保护措施</w:t>
            </w:r>
          </w:p>
          <w:p>
            <w:pPr>
              <w:pStyle w:val="2"/>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default" w:ascii="Times New Roman" w:hAnsi="Times New Roman" w:eastAsia="宋体" w:cs="Times New Roman"/>
                <w:bCs/>
                <w:spacing w:val="0"/>
                <w:kern w:val="21"/>
                <w:position w:val="0"/>
                <w:sz w:val="24"/>
                <w:szCs w:val="24"/>
                <w:highlight w:val="none"/>
                <w:lang w:val="en-US" w:eastAsia="zh-CN" w:bidi="ar-SA"/>
              </w:rPr>
            </w:pPr>
            <w:r>
              <w:rPr>
                <w:rFonts w:hint="eastAsia" w:cs="Times New Roman"/>
                <w:bCs/>
                <w:spacing w:val="0"/>
                <w:kern w:val="21"/>
                <w:position w:val="0"/>
                <w:sz w:val="24"/>
                <w:szCs w:val="24"/>
                <w:highlight w:val="none"/>
                <w:lang w:val="en-US" w:eastAsia="zh-CN" w:bidi="ar-SA"/>
              </w:rPr>
              <w:t>（1）</w:t>
            </w:r>
            <w:r>
              <w:rPr>
                <w:rFonts w:hint="default" w:ascii="Times New Roman" w:hAnsi="Times New Roman" w:eastAsia="宋体" w:cs="Times New Roman"/>
                <w:bCs/>
                <w:spacing w:val="0"/>
                <w:kern w:val="21"/>
                <w:position w:val="0"/>
                <w:sz w:val="24"/>
                <w:szCs w:val="24"/>
                <w:highlight w:val="none"/>
                <w:lang w:val="en-US" w:eastAsia="zh-CN" w:bidi="ar-SA"/>
              </w:rPr>
              <w:t>由于本项目无新增劳动定员，故运营期无新增生活垃圾。</w:t>
            </w:r>
          </w:p>
          <w:p>
            <w:pPr>
              <w:pStyle w:val="57"/>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（2）废蓄电池更换时直接由厂家回收处置，不在场内暂存。</w:t>
            </w:r>
          </w:p>
          <w:p>
            <w:pPr>
              <w:pStyle w:val="57"/>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（3）变电站内设置1座62.5m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的事故油池，主变压器事故时产生的废变压油，暂存于事故油池中，事故后立即交具有资质单位统一处理，对周边环境影响较小。事故油池池体采取防渗措施，</w:t>
            </w:r>
            <w:r>
              <w:rPr>
                <w:rFonts w:hint="default"/>
                <w:sz w:val="24"/>
                <w:szCs w:val="24"/>
                <w:highlight w:val="none"/>
                <w:lang w:val="en-US" w:eastAsia="zh-CN"/>
              </w:rPr>
              <w:t>事故油池</w:t>
            </w:r>
            <w:r>
              <w:rPr>
                <w:rFonts w:hint="eastAsia" w:ascii="Times New Roman" w:hAnsi="Times New Roman" w:cs="Times New Roman"/>
                <w:color w:val="auto"/>
                <w:sz w:val="24"/>
                <w:szCs w:val="24"/>
                <w:highlight w:val="none"/>
                <w:lang w:val="en-US" w:eastAsia="zh-CN"/>
              </w:rPr>
              <w:t>按照《</w:t>
            </w:r>
            <w:r>
              <w:rPr>
                <w:rFonts w:ascii="宋体" w:hAnsi="宋体" w:eastAsia="宋体" w:cs="宋体"/>
                <w:sz w:val="24"/>
                <w:szCs w:val="24"/>
                <w:highlight w:val="none"/>
              </w:rPr>
              <w:t>危险废物贮存污染控制标准</w:t>
            </w:r>
            <w:r>
              <w:rPr>
                <w:rFonts w:hint="eastAsia" w:ascii="Times New Roman" w:hAnsi="Times New Roman" w:cs="Times New Roman"/>
                <w:color w:val="auto"/>
                <w:sz w:val="24"/>
                <w:szCs w:val="24"/>
                <w:highlight w:val="none"/>
                <w:lang w:val="en-US" w:eastAsia="zh-CN"/>
              </w:rPr>
              <w:t>》（GB18597-2023）要求进行建设，渗透系数不大于10</w:t>
            </w:r>
            <w:r>
              <w:rPr>
                <w:rFonts w:hint="eastAsia" w:ascii="Times New Roman" w:hAnsi="Times New Roman" w:cs="Times New Roman"/>
                <w:color w:val="auto"/>
                <w:sz w:val="24"/>
                <w:szCs w:val="24"/>
                <w:highlight w:val="none"/>
                <w:vertAlign w:val="superscript"/>
                <w:lang w:val="en-US" w:eastAsia="zh-CN"/>
              </w:rPr>
              <w:t>-10</w:t>
            </w:r>
            <w:r>
              <w:rPr>
                <w:rFonts w:hint="eastAsia" w:ascii="Times New Roman" w:hAnsi="Times New Roman" w:cs="Times New Roman"/>
                <w:color w:val="auto"/>
                <w:sz w:val="24"/>
                <w:szCs w:val="24"/>
                <w:highlight w:val="none"/>
                <w:lang w:val="en-US" w:eastAsia="zh-CN"/>
              </w:rPr>
              <w:t>cm/s</w:t>
            </w:r>
            <w:r>
              <w:rPr>
                <w:rFonts w:hint="eastAsia" w:ascii="Times New Roman" w:hAnsi="Times New Roman" w:cs="Times New Roman"/>
                <w:color w:val="auto"/>
                <w:sz w:val="21"/>
                <w:szCs w:val="21"/>
                <w:highlight w:val="none"/>
                <w:lang w:val="en-US" w:eastAsia="zh-CN"/>
              </w:rPr>
              <w:t>。</w:t>
            </w:r>
            <w:r>
              <w:rPr>
                <w:rFonts w:hint="eastAsia" w:ascii="Times New Roman" w:hAnsi="Times New Roman" w:cs="Times New Roman"/>
                <w:color w:val="auto"/>
                <w:sz w:val="24"/>
                <w:szCs w:val="24"/>
                <w:highlight w:val="none"/>
                <w:lang w:val="en-US" w:eastAsia="zh-CN"/>
              </w:rPr>
              <w:t>贮存设施应根据危险废物的形态、物理化学性质、包装形式和污染物迁移途径，采取必要的防风、防晒、防雨、防漏、防渗、防腐以及其他环境污染防治措施，不应露天堆放危险废物。</w:t>
            </w:r>
          </w:p>
          <w:p>
            <w:pPr>
              <w:pStyle w:val="57"/>
              <w:keepNext w:val="0"/>
              <w:keepLines w:val="0"/>
              <w:pageBreakBefore w:val="0"/>
              <w:widowControl w:val="0"/>
              <w:kinsoku/>
              <w:wordWrap/>
              <w:overflowPunct/>
              <w:topLinePunct w:val="0"/>
              <w:autoSpaceDE/>
              <w:autoSpaceDN/>
              <w:bidi w:val="0"/>
              <w:spacing w:line="360" w:lineRule="auto"/>
              <w:ind w:firstLine="482" w:firstLineChars="200"/>
              <w:jc w:val="both"/>
              <w:textAlignment w:val="auto"/>
              <w:rPr>
                <w:rFonts w:hint="eastAsia" w:ascii="Times New Roman" w:hAnsi="Times New Roman" w:eastAsia="宋体" w:cs="Times New Roman"/>
                <w:b/>
                <w:bCs/>
                <w:kern w:val="2"/>
                <w:sz w:val="24"/>
                <w:szCs w:val="24"/>
                <w:highlight w:val="none"/>
                <w:lang w:val="en-US" w:eastAsia="zh-CN" w:bidi="ar-SA"/>
              </w:rPr>
            </w:pPr>
            <w:r>
              <w:rPr>
                <w:rFonts w:hint="eastAsia" w:ascii="Times New Roman" w:hAnsi="Times New Roman" w:eastAsia="宋体" w:cs="Times New Roman"/>
                <w:b/>
                <w:bCs/>
                <w:kern w:val="2"/>
                <w:sz w:val="24"/>
                <w:szCs w:val="24"/>
                <w:highlight w:val="none"/>
                <w:lang w:val="en-US" w:eastAsia="zh-CN" w:bidi="ar-SA"/>
              </w:rPr>
              <w:t>5.土壤、地下水保护措施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zh-CN"/>
              </w:rPr>
            </w:pPr>
            <w:r>
              <w:rPr>
                <w:rFonts w:hint="eastAsia" w:ascii="Times New Roman" w:hAnsi="Times New Roman" w:eastAsia="宋体" w:cs="Times New Roman"/>
                <w:color w:val="auto"/>
                <w:kern w:val="2"/>
                <w:sz w:val="24"/>
                <w:szCs w:val="24"/>
                <w:highlight w:val="none"/>
                <w:lang w:val="en-US" w:eastAsia="zh-CN" w:bidi="zh-CN"/>
              </w:rPr>
              <w:t>①</w:t>
            </w:r>
            <w:r>
              <w:rPr>
                <w:rFonts w:hint="eastAsia" w:ascii="Times New Roman" w:hAnsi="Times New Roman" w:cs="Times New Roman"/>
                <w:color w:val="auto"/>
                <w:sz w:val="24"/>
                <w:szCs w:val="24"/>
                <w:highlight w:val="none"/>
                <w:lang w:val="en-US" w:eastAsia="zh-CN"/>
              </w:rPr>
              <w:t>事故油池池体采取防渗措施，</w:t>
            </w:r>
            <w:r>
              <w:rPr>
                <w:rFonts w:hint="default"/>
                <w:sz w:val="24"/>
                <w:szCs w:val="24"/>
                <w:highlight w:val="none"/>
                <w:lang w:val="en-US" w:eastAsia="zh-CN"/>
              </w:rPr>
              <w:t>事故油池</w:t>
            </w:r>
            <w:r>
              <w:rPr>
                <w:rFonts w:hint="eastAsia" w:ascii="Times New Roman" w:hAnsi="Times New Roman" w:cs="Times New Roman"/>
                <w:color w:val="auto"/>
                <w:sz w:val="24"/>
                <w:szCs w:val="24"/>
                <w:highlight w:val="none"/>
                <w:lang w:val="en-US" w:eastAsia="zh-CN"/>
              </w:rPr>
              <w:t>按照《</w:t>
            </w:r>
            <w:r>
              <w:rPr>
                <w:rFonts w:ascii="宋体" w:hAnsi="宋体" w:eastAsia="宋体" w:cs="宋体"/>
                <w:sz w:val="24"/>
                <w:szCs w:val="24"/>
                <w:highlight w:val="none"/>
              </w:rPr>
              <w:t>危险废物贮存污染控制标准</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GB18597</w:t>
            </w:r>
            <w:r>
              <w:rPr>
                <w:rFonts w:hint="eastAsia"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2023）要求进行建设，渗透系数不大于10</w:t>
            </w:r>
            <w:r>
              <w:rPr>
                <w:rFonts w:hint="eastAsia" w:cs="Times New Roman"/>
                <w:color w:val="auto"/>
                <w:sz w:val="24"/>
                <w:szCs w:val="24"/>
                <w:highlight w:val="none"/>
                <w:vertAlign w:val="superscript"/>
                <w:lang w:val="en-US" w:eastAsia="zh-CN"/>
              </w:rPr>
              <w:t>-</w:t>
            </w:r>
            <w:r>
              <w:rPr>
                <w:rFonts w:hint="eastAsia" w:ascii="Times New Roman" w:hAnsi="Times New Roman" w:cs="Times New Roman"/>
                <w:color w:val="auto"/>
                <w:sz w:val="24"/>
                <w:szCs w:val="24"/>
                <w:highlight w:val="none"/>
                <w:vertAlign w:val="superscript"/>
                <w:lang w:val="en-US" w:eastAsia="zh-CN"/>
              </w:rPr>
              <w:t>10</w:t>
            </w:r>
            <w:r>
              <w:rPr>
                <w:rFonts w:hint="eastAsia" w:ascii="Times New Roman" w:hAnsi="Times New Roman" w:cs="Times New Roman"/>
                <w:color w:val="auto"/>
                <w:sz w:val="24"/>
                <w:szCs w:val="24"/>
                <w:highlight w:val="none"/>
                <w:lang w:val="en-US" w:eastAsia="zh-CN"/>
              </w:rPr>
              <w:t>cm/s</w:t>
            </w:r>
            <w:r>
              <w:rPr>
                <w:rFonts w:hint="default" w:ascii="Times New Roman" w:hAnsi="Times New Roman" w:eastAsia="宋体" w:cs="Times New Roman"/>
                <w:color w:val="auto"/>
                <w:kern w:val="2"/>
                <w:sz w:val="24"/>
                <w:szCs w:val="24"/>
                <w:highlight w:val="none"/>
                <w:lang w:val="en-US" w:eastAsia="zh-CN" w:bidi="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zh-CN"/>
              </w:rPr>
            </w:pPr>
            <w:r>
              <w:rPr>
                <w:rFonts w:hint="eastAsia" w:ascii="Times New Roman" w:hAnsi="Times New Roman" w:eastAsia="宋体" w:cs="Times New Roman"/>
                <w:color w:val="auto"/>
                <w:kern w:val="2"/>
                <w:sz w:val="24"/>
                <w:szCs w:val="24"/>
                <w:highlight w:val="none"/>
                <w:lang w:val="en-US" w:eastAsia="zh-CN" w:bidi="zh-CN"/>
              </w:rPr>
              <w:t>②</w:t>
            </w:r>
            <w:r>
              <w:rPr>
                <w:rFonts w:hint="default" w:ascii="Times New Roman" w:hAnsi="Times New Roman" w:eastAsia="宋体" w:cs="Times New Roman"/>
                <w:color w:val="auto"/>
                <w:kern w:val="2"/>
                <w:sz w:val="24"/>
                <w:szCs w:val="24"/>
                <w:highlight w:val="none"/>
                <w:lang w:val="en-US" w:eastAsia="zh-CN" w:bidi="zh-CN"/>
              </w:rPr>
              <w:t xml:space="preserve">加强日常管理和维修维护工作，防止和减少跑冒滴漏现象的发生。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zh-CN"/>
              </w:rPr>
            </w:pPr>
            <w:r>
              <w:rPr>
                <w:rFonts w:hint="eastAsia" w:ascii="Times New Roman" w:hAnsi="Times New Roman" w:eastAsia="宋体" w:cs="Times New Roman"/>
                <w:color w:val="auto"/>
                <w:kern w:val="2"/>
                <w:sz w:val="24"/>
                <w:szCs w:val="24"/>
                <w:highlight w:val="none"/>
                <w:lang w:val="en-US" w:eastAsia="zh-CN" w:bidi="zh-CN"/>
              </w:rPr>
              <w:t>③加强运行管理，定期检查，对事故易发处按规定时间巡检，一旦发现地面防渗设施出现破损要及时修整，并达到相应的防渗要求，保证不会进入</w:t>
            </w:r>
            <w:r>
              <w:rPr>
                <w:rFonts w:hint="eastAsia" w:ascii="Times New Roman" w:hAnsi="Times New Roman" w:cs="Times New Roman"/>
                <w:color w:val="auto"/>
                <w:sz w:val="24"/>
                <w:szCs w:val="24"/>
                <w:highlight w:val="none"/>
                <w:lang w:val="en-US" w:eastAsia="zh-CN"/>
              </w:rPr>
              <w:t>土壤、</w:t>
            </w:r>
            <w:r>
              <w:rPr>
                <w:rFonts w:hint="eastAsia" w:ascii="Times New Roman" w:hAnsi="Times New Roman" w:eastAsia="宋体" w:cs="Times New Roman"/>
                <w:color w:val="auto"/>
                <w:kern w:val="2"/>
                <w:sz w:val="24"/>
                <w:szCs w:val="24"/>
                <w:highlight w:val="none"/>
                <w:lang w:val="en-US" w:eastAsia="zh-CN" w:bidi="zh-CN"/>
              </w:rPr>
              <w:t>地下水。</w:t>
            </w:r>
          </w:p>
          <w:p>
            <w:pPr>
              <w:pStyle w:val="57"/>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color w:val="auto"/>
                <w:sz w:val="24"/>
                <w:szCs w:val="24"/>
                <w:highlight w:val="yellow"/>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34" w:hRule="atLeast"/>
          <w:jc w:val="center"/>
        </w:trPr>
        <w:tc>
          <w:tcPr>
            <w:tcW w:w="753" w:type="dxa"/>
            <w:noWrap w:val="0"/>
            <w:vAlign w:val="center"/>
          </w:tcPr>
          <w:p>
            <w:pPr>
              <w:adjustRightInd w:val="0"/>
              <w:snapToGrid w:val="0"/>
              <w:jc w:val="center"/>
              <w:rPr>
                <w:rFonts w:ascii="宋体" w:hAnsi="宋体" w:cs="宋体"/>
                <w:bCs/>
                <w:spacing w:val="10"/>
                <w:szCs w:val="21"/>
                <w:highlight w:val="none"/>
              </w:rPr>
            </w:pPr>
            <w:r>
              <w:rPr>
                <w:rFonts w:hint="eastAsia" w:ascii="宋体" w:hAnsi="宋体"/>
                <w:bCs/>
                <w:szCs w:val="21"/>
                <w:highlight w:val="none"/>
              </w:rPr>
              <w:t>其他</w:t>
            </w:r>
          </w:p>
        </w:tc>
        <w:tc>
          <w:tcPr>
            <w:tcW w:w="8457" w:type="dxa"/>
            <w:noWrap w:val="0"/>
            <w:vAlign w:val="top"/>
          </w:tcPr>
          <w:p>
            <w:pPr>
              <w:adjustRightInd w:val="0"/>
              <w:snapToGrid w:val="0"/>
              <w:spacing w:line="360" w:lineRule="auto"/>
              <w:ind w:firstLine="482" w:firstLineChars="200"/>
              <w:rPr>
                <w:rFonts w:hint="eastAsia" w:ascii="Times New Roman" w:hAnsi="Times New Roman" w:eastAsia="宋体" w:cs="Times New Roman"/>
                <w:b/>
                <w:bCs/>
                <w:kern w:val="2"/>
                <w:sz w:val="24"/>
                <w:szCs w:val="24"/>
                <w:highlight w:val="none"/>
                <w:lang w:val="en-US" w:eastAsia="zh-CN" w:bidi="ar-SA"/>
              </w:rPr>
            </w:pPr>
            <w:r>
              <w:rPr>
                <w:rFonts w:hint="eastAsia" w:ascii="Times New Roman" w:hAnsi="Times New Roman" w:eastAsia="宋体" w:cs="Times New Roman"/>
                <w:b/>
                <w:bCs/>
                <w:kern w:val="2"/>
                <w:sz w:val="24"/>
                <w:szCs w:val="24"/>
                <w:highlight w:val="none"/>
                <w:lang w:val="en-US" w:eastAsia="zh-CN" w:bidi="ar-SA"/>
              </w:rPr>
              <w:t xml:space="preserve">1.环境管理 </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本项目的环境管理纳入</w:t>
            </w:r>
            <w:r>
              <w:rPr>
                <w:rFonts w:hint="eastAsia" w:cs="Times New Roman"/>
                <w:color w:val="000000" w:themeColor="text1"/>
                <w:sz w:val="24"/>
                <w:szCs w:val="24"/>
                <w:highlight w:val="none"/>
                <w:lang w:val="en-US" w:eastAsia="zh-CN"/>
                <w14:textFill>
                  <w14:solidFill>
                    <w14:schemeClr w14:val="tx1"/>
                  </w14:solidFill>
                </w14:textFill>
              </w:rPr>
              <w:t>塔然高勒</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煤矿日常环境管理中。</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1）施工期的环境管理和监督 </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施工招标中对投标单位提出建设期间的环保要求。在施工设计文件中详细说明建设期应注意的环保问题，严格要求施工单位按设计文件施工，特别是按环保设计要求施工。建设期环境管理的职责和任务如下：</w:t>
            </w:r>
          </w:p>
          <w:p>
            <w:pPr>
              <w:numPr>
                <w:ilvl w:val="0"/>
                <w:numId w:val="10"/>
              </w:num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贯彻执行国家、地方的各项环保方针、政策、法规和各项规章制度。</w:t>
            </w:r>
          </w:p>
          <w:p>
            <w:pPr>
              <w:numPr>
                <w:ilvl w:val="0"/>
                <w:numId w:val="10"/>
              </w:num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制定本工程施工中的环境保护计划，负责工程施工过程中各项环境保护措施实施的监督和日常管理。</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3）组织和开展对施工人员进行施工活动中应遵循的环保法规、知识的培训，提高全体员工文明施工的认识。加强人员教育，严格控制施工范围。施工结束后对施工扰动区及时进行绿化。 </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4）做好施工中各种环境问题的收集、记录、建档和处理工作。</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5）监督施工单位，使设计、施工过程的各项环境保护措施与主体工程同步实施。 </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在建设过程中，加强环境保护的宣传教育工作，在施工现场竖立醒目的环保标志，加强施工现场的环境监理、监测，建立环境质量档案，发现问题，及时通知有关部门、单位或企业进行整改，并监督整改措施的实施和验收。</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2）运行期的环境管理和监督 </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为落实本项目环境保护措施，塔然高勒矿设置环境管理机构，设有专职环保人员2人，负责整个项目环境管理和环境监测工作的实施，煤矿设1名副矿长负责环保工作，环境管理机构职责如下：</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1）贯彻执行环境保护法规和环境标准，制定本单位的环境保护管理的规章制度，并监督执行。</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2）建立健全企业的环境管理制度，并实施检查和监督工作。</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3）拟定企业的环保工作计划并</w:t>
            </w:r>
            <w:bookmarkStart w:id="15" w:name="_GoBack"/>
            <w:bookmarkEnd w:id="15"/>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实施，配合企业领导完成环境保护责任目标。</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4）领导并组织企业环境监测工作，检查环境保护设施的运行情况，建立监控档案。</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5）协调企业所在区域的环境管理。</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6）开展环保教育和专业培训，提高企业员工的环保素质。</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7）负责厂区绿化和日常环境保护管理工作。</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8）接受各级</w:t>
            </w:r>
            <w:r>
              <w:rPr>
                <w:rFonts w:hint="eastAsia" w:cs="Times New Roman"/>
                <w:color w:val="000000" w:themeColor="text1"/>
                <w:sz w:val="24"/>
                <w:szCs w:val="24"/>
                <w:highlight w:val="none"/>
                <w:lang w:val="en-US" w:eastAsia="zh-CN"/>
                <w14:textFill>
                  <w14:solidFill>
                    <w14:schemeClr w14:val="tx1"/>
                  </w14:solidFill>
                </w14:textFill>
              </w:rPr>
              <w:t>生态环境</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部门的检查、监督，按要求上报各项环保报表，并定期向上级主管部门汇报环境保护工作情况。</w:t>
            </w:r>
          </w:p>
          <w:p>
            <w:pPr>
              <w:adjustRightInd w:val="0"/>
              <w:snapToGrid w:val="0"/>
              <w:spacing w:line="360" w:lineRule="auto"/>
              <w:ind w:firstLine="482" w:firstLineChars="200"/>
              <w:rPr>
                <w:rFonts w:hint="eastAsia" w:ascii="Times New Roman" w:hAnsi="Times New Roman" w:eastAsia="宋体" w:cs="Times New Roman"/>
                <w:b/>
                <w:bCs/>
                <w:kern w:val="2"/>
                <w:sz w:val="24"/>
                <w:szCs w:val="24"/>
                <w:highlight w:val="none"/>
                <w:lang w:val="en-US" w:eastAsia="zh-CN" w:bidi="ar-SA"/>
              </w:rPr>
            </w:pPr>
            <w:r>
              <w:rPr>
                <w:rFonts w:hint="eastAsia" w:ascii="Times New Roman" w:hAnsi="Times New Roman" w:eastAsia="宋体" w:cs="Times New Roman"/>
                <w:b/>
                <w:bCs/>
                <w:kern w:val="2"/>
                <w:sz w:val="24"/>
                <w:szCs w:val="24"/>
                <w:highlight w:val="none"/>
                <w:lang w:val="en-US" w:eastAsia="zh-CN" w:bidi="ar-SA"/>
              </w:rPr>
              <w:t>2.环境监测</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为了加强环境管理，贯彻实施污染物达标排放要求，地方生态环境主管部门和建设单位须对施工期产生的污染物排放情况进行监测。项目运行期环境监测工作可并入</w:t>
            </w:r>
            <w:r>
              <w:rPr>
                <w:rFonts w:hint="eastAsia" w:cs="Times New Roman"/>
                <w:color w:val="000000" w:themeColor="text1"/>
                <w:sz w:val="24"/>
                <w:szCs w:val="24"/>
                <w:highlight w:val="none"/>
                <w:lang w:val="en-US" w:eastAsia="zh-CN"/>
                <w14:textFill>
                  <w14:solidFill>
                    <w14:schemeClr w14:val="tx1"/>
                  </w14:solidFill>
                </w14:textFill>
              </w:rPr>
              <w:t>塔然高勒</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煤矿监测计划中，建设单位必要时也可委托第三方环境监测机构进行监测。本项目监测计划具体见</w:t>
            </w:r>
            <w:r>
              <w:rPr>
                <w:rFonts w:hint="eastAsia" w:cs="Times New Roman"/>
                <w:color w:val="000000" w:themeColor="text1"/>
                <w:sz w:val="24"/>
                <w:szCs w:val="24"/>
                <w:highlight w:val="none"/>
                <w:lang w:val="en-US" w:eastAsia="zh-CN"/>
                <w14:textFill>
                  <w14:solidFill>
                    <w14:schemeClr w14:val="tx1"/>
                  </w14:solidFill>
                </w14:textFill>
              </w:rPr>
              <w:t>下</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表。</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表5-1环境监测计划</w:t>
            </w:r>
          </w:p>
          <w:tbl>
            <w:tblPr>
              <w:tblStyle w:val="23"/>
              <w:tblW w:w="8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116"/>
              <w:gridCol w:w="1647"/>
              <w:gridCol w:w="1183"/>
              <w:gridCol w:w="3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2" w:hRule="atLeast"/>
                <w:jc w:val="center"/>
              </w:trPr>
              <w:tc>
                <w:tcPr>
                  <w:tcW w:w="6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342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监测内容</w:t>
                  </w:r>
                </w:p>
              </w:tc>
              <w:tc>
                <w:tcPr>
                  <w:tcW w:w="11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342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sz w:val="21"/>
                      <w:szCs w:val="21"/>
                      <w:highlight w:val="none"/>
                    </w:rPr>
                    <w:t>监测</w:t>
                  </w:r>
                  <w:r>
                    <w:rPr>
                      <w:rFonts w:hint="default" w:ascii="Times New Roman" w:hAnsi="Times New Roman" w:eastAsia="宋体" w:cs="Times New Roman"/>
                      <w:sz w:val="21"/>
                      <w:szCs w:val="21"/>
                      <w:highlight w:val="none"/>
                      <w:lang w:eastAsia="zh-CN"/>
                    </w:rPr>
                    <w:t>因子</w:t>
                  </w:r>
                </w:p>
              </w:tc>
              <w:tc>
                <w:tcPr>
                  <w:tcW w:w="16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342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监测点位</w:t>
                  </w:r>
                </w:p>
              </w:tc>
              <w:tc>
                <w:tcPr>
                  <w:tcW w:w="11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342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监测频率</w:t>
                  </w:r>
                </w:p>
              </w:tc>
              <w:tc>
                <w:tcPr>
                  <w:tcW w:w="3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342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67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tabs>
                      <w:tab w:val="left" w:pos="342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噪声</w:t>
                  </w:r>
                </w:p>
              </w:tc>
              <w:tc>
                <w:tcPr>
                  <w:tcW w:w="1116" w:type="dxa"/>
                  <w:vMerge w:val="restart"/>
                  <w:tcBorders>
                    <w:top w:val="single" w:color="auto" w:sz="4" w:space="0"/>
                    <w:left w:val="single" w:color="auto" w:sz="4" w:space="0"/>
                    <w:right w:val="single" w:color="auto" w:sz="4" w:space="0"/>
                  </w:tcBorders>
                  <w:noWrap w:val="0"/>
                  <w:vAlign w:val="center"/>
                </w:tcPr>
                <w:p>
                  <w:pPr>
                    <w:keepNext w:val="0"/>
                    <w:keepLines w:val="0"/>
                    <w:pageBreakBefore w:val="0"/>
                    <w:tabs>
                      <w:tab w:val="left" w:pos="342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pacing w:val="0"/>
                      <w:sz w:val="21"/>
                      <w:szCs w:val="21"/>
                      <w:highlight w:val="none"/>
                    </w:rPr>
                    <w:t>等效连续A声级</w:t>
                  </w:r>
                </w:p>
              </w:tc>
              <w:tc>
                <w:tcPr>
                  <w:tcW w:w="16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000000"/>
                      <w:kern w:val="0"/>
                      <w:sz w:val="21"/>
                      <w:szCs w:val="21"/>
                      <w:highlight w:val="none"/>
                      <w:lang w:val="en-US" w:eastAsia="zh-CN" w:bidi="ar"/>
                    </w:rPr>
                    <w:t>厂界四周</w:t>
                  </w:r>
                </w:p>
              </w:tc>
              <w:tc>
                <w:tcPr>
                  <w:tcW w:w="11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每季度1次</w:t>
                  </w:r>
                </w:p>
              </w:tc>
              <w:tc>
                <w:tcPr>
                  <w:tcW w:w="3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《工业企业厂界环境噪声排放标准》</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GB12348</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2008）中</w:t>
                  </w:r>
                  <w:r>
                    <w:rPr>
                      <w:rFonts w:hint="eastAsia"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670"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highlight w:val="none"/>
                    </w:rPr>
                  </w:pPr>
                </w:p>
              </w:tc>
              <w:tc>
                <w:tcPr>
                  <w:tcW w:w="1116"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highlight w:val="none"/>
                    </w:rPr>
                  </w:pPr>
                </w:p>
              </w:tc>
              <w:tc>
                <w:tcPr>
                  <w:tcW w:w="16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乌定补拉格村住户</w:t>
                  </w:r>
                  <w:r>
                    <w:rPr>
                      <w:rFonts w:hint="eastAsia"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北部风井</w:t>
                  </w:r>
                  <w:r>
                    <w:rPr>
                      <w:rFonts w:hint="eastAsia" w:cs="Times New Roman"/>
                      <w:color w:val="000000"/>
                      <w:kern w:val="0"/>
                      <w:sz w:val="21"/>
                      <w:szCs w:val="21"/>
                      <w:highlight w:val="none"/>
                      <w:lang w:val="en-US" w:eastAsia="zh-CN" w:bidi="ar"/>
                    </w:rPr>
                    <w:t>场地场外</w:t>
                  </w:r>
                  <w:r>
                    <w:rPr>
                      <w:rFonts w:hint="default" w:ascii="Times New Roman" w:hAnsi="Times New Roman" w:eastAsia="宋体" w:cs="Times New Roman"/>
                      <w:color w:val="000000"/>
                      <w:kern w:val="0"/>
                      <w:sz w:val="21"/>
                      <w:szCs w:val="21"/>
                      <w:highlight w:val="none"/>
                      <w:lang w:val="en-US" w:eastAsia="zh-CN" w:bidi="ar"/>
                    </w:rPr>
                    <w:t>道路西侧49m处）</w:t>
                  </w:r>
                </w:p>
              </w:tc>
              <w:tc>
                <w:tcPr>
                  <w:tcW w:w="11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auto"/>
                      <w:sz w:val="21"/>
                      <w:szCs w:val="21"/>
                      <w:highlight w:val="none"/>
                    </w:rPr>
                    <w:t>每季度1次</w:t>
                  </w:r>
                </w:p>
              </w:tc>
              <w:tc>
                <w:tcPr>
                  <w:tcW w:w="3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《声环境质量标准》</w:t>
                  </w:r>
                  <w:r>
                    <w:rPr>
                      <w:rFonts w:hint="eastAsia"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GB3096</w:t>
                  </w:r>
                  <w:r>
                    <w:rPr>
                      <w:rFonts w:hint="eastAsia"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2008）</w:t>
                  </w:r>
                  <w:r>
                    <w:rPr>
                      <w:rFonts w:hint="eastAsia" w:cs="Times New Roman"/>
                      <w:color w:val="000000"/>
                      <w:kern w:val="0"/>
                      <w:sz w:val="21"/>
                      <w:szCs w:val="21"/>
                      <w:highlight w:val="none"/>
                      <w:lang w:val="en-US" w:eastAsia="zh-CN" w:bidi="ar"/>
                    </w:rPr>
                    <w:t>1</w:t>
                  </w:r>
                  <w:r>
                    <w:rPr>
                      <w:rFonts w:hint="default" w:ascii="Times New Roman" w:hAnsi="Times New Roman" w:eastAsia="宋体" w:cs="Times New Roman"/>
                      <w:color w:val="000000"/>
                      <w:kern w:val="0"/>
                      <w:sz w:val="21"/>
                      <w:szCs w:val="21"/>
                      <w:highlight w:val="none"/>
                      <w:lang w:val="en-US" w:eastAsia="zh-CN" w:bidi="ar"/>
                    </w:rPr>
                    <w:t>类标准限值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670"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highlight w:val="none"/>
                      <w:lang w:eastAsia="zh-CN"/>
                    </w:rPr>
                  </w:pPr>
                  <w:r>
                    <w:rPr>
                      <w:rFonts w:hint="eastAsia"/>
                      <w:highlight w:val="none"/>
                      <w:lang w:eastAsia="zh-CN"/>
                    </w:rPr>
                    <w:t>废气</w:t>
                  </w:r>
                </w:p>
              </w:tc>
              <w:tc>
                <w:tcPr>
                  <w:tcW w:w="1116"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eastAsia="宋体"/>
                      <w:highlight w:val="none"/>
                      <w:lang w:val="en-US" w:eastAsia="zh-CN"/>
                    </w:rPr>
                  </w:pPr>
                  <w:r>
                    <w:rPr>
                      <w:rFonts w:hint="eastAsia"/>
                      <w:highlight w:val="none"/>
                      <w:lang w:val="en-US" w:eastAsia="zh-CN"/>
                    </w:rPr>
                    <w:t>TSP</w:t>
                  </w:r>
                </w:p>
              </w:tc>
              <w:tc>
                <w:tcPr>
                  <w:tcW w:w="16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厂界</w:t>
                  </w:r>
                  <w:r>
                    <w:rPr>
                      <w:rFonts w:hint="default" w:ascii="Times New Roman" w:hAnsi="Times New Roman" w:eastAsia="宋体" w:cs="Times New Roman"/>
                      <w:color w:val="000000"/>
                      <w:kern w:val="0"/>
                      <w:sz w:val="21"/>
                      <w:szCs w:val="21"/>
                      <w:highlight w:val="none"/>
                      <w:lang w:val="en-US" w:eastAsia="zh-CN" w:bidi="ar"/>
                    </w:rPr>
                    <w:t>上风向和下风向。</w:t>
                  </w:r>
                </w:p>
              </w:tc>
              <w:tc>
                <w:tcPr>
                  <w:tcW w:w="11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每季度1次</w:t>
                  </w:r>
                </w:p>
              </w:tc>
              <w:tc>
                <w:tcPr>
                  <w:tcW w:w="3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highlight w:val="none"/>
                      <w:lang w:val="en-US" w:eastAsia="zh-CN" w:bidi="ar"/>
                    </w:rPr>
                  </w:pPr>
                  <w:r>
                    <w:rPr>
                      <w:spacing w:val="5"/>
                      <w:highlight w:val="none"/>
                    </w:rPr>
                    <w:t>颗粒物无组织排放浓度满足《煤炭工业污染物</w:t>
                  </w:r>
                  <w:r>
                    <w:rPr>
                      <w:spacing w:val="7"/>
                      <w:highlight w:val="none"/>
                    </w:rPr>
                    <w:t>排放标准》</w:t>
                  </w:r>
                  <w:r>
                    <w:rPr>
                      <w:rFonts w:hint="eastAsia"/>
                      <w:spacing w:val="7"/>
                      <w:highlight w:val="none"/>
                      <w:lang w:eastAsia="zh-CN"/>
                    </w:rPr>
                    <w:t>（</w:t>
                  </w:r>
                  <w:r>
                    <w:rPr>
                      <w:rFonts w:ascii="Times New Roman" w:hAnsi="Times New Roman" w:eastAsia="Times New Roman" w:cs="Times New Roman"/>
                      <w:highlight w:val="none"/>
                    </w:rPr>
                    <w:t>GB</w:t>
                  </w:r>
                  <w:r>
                    <w:rPr>
                      <w:rFonts w:ascii="Times New Roman" w:hAnsi="Times New Roman" w:eastAsia="Times New Roman" w:cs="Times New Roman"/>
                      <w:spacing w:val="7"/>
                      <w:highlight w:val="none"/>
                    </w:rPr>
                    <w:t>20426</w:t>
                  </w:r>
                  <w:r>
                    <w:rPr>
                      <w:rFonts w:hint="eastAsia" w:cs="Times New Roman"/>
                      <w:spacing w:val="7"/>
                      <w:highlight w:val="none"/>
                      <w:lang w:eastAsia="zh-CN"/>
                    </w:rPr>
                    <w:t>-</w:t>
                  </w:r>
                  <w:r>
                    <w:rPr>
                      <w:rFonts w:ascii="Times New Roman" w:hAnsi="Times New Roman" w:eastAsia="Times New Roman" w:cs="Times New Roman"/>
                      <w:spacing w:val="7"/>
                      <w:highlight w:val="none"/>
                    </w:rPr>
                    <w:t>2006</w:t>
                  </w:r>
                  <w:r>
                    <w:rPr>
                      <w:spacing w:val="7"/>
                      <w:highlight w:val="none"/>
                    </w:rPr>
                    <w:t>）标准要求。</w:t>
                  </w:r>
                </w:p>
              </w:tc>
            </w:tr>
          </w:tbl>
          <w:p>
            <w:pPr>
              <w:adjustRightInd w:val="0"/>
              <w:snapToGrid w:val="0"/>
              <w:spacing w:line="360" w:lineRule="auto"/>
              <w:ind w:firstLine="460" w:firstLineChars="200"/>
              <w:rPr>
                <w:rFonts w:hint="default" w:ascii="宋体" w:hAnsi="宋体" w:cs="宋体"/>
                <w:bCs/>
                <w:spacing w:val="10"/>
                <w:szCs w:val="21"/>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53" w:type="dxa"/>
            <w:noWrap w:val="0"/>
            <w:vAlign w:val="center"/>
          </w:tcPr>
          <w:p>
            <w:pPr>
              <w:adjustRightInd w:val="0"/>
              <w:snapToGrid w:val="0"/>
              <w:jc w:val="center"/>
              <w:rPr>
                <w:rFonts w:ascii="宋体" w:hAnsi="宋体" w:cs="宋体"/>
                <w:bCs/>
                <w:spacing w:val="10"/>
                <w:szCs w:val="21"/>
                <w:highlight w:val="none"/>
              </w:rPr>
            </w:pPr>
            <w:r>
              <w:rPr>
                <w:rFonts w:hint="eastAsia" w:ascii="宋体" w:hAnsi="宋体"/>
                <w:bCs/>
                <w:szCs w:val="21"/>
                <w:highlight w:val="none"/>
              </w:rPr>
              <w:t>环保投资</w:t>
            </w:r>
          </w:p>
        </w:tc>
        <w:tc>
          <w:tcPr>
            <w:tcW w:w="8457" w:type="dxa"/>
            <w:noWrap w:val="0"/>
            <w:vAlign w:val="top"/>
          </w:tcPr>
          <w:p>
            <w:pPr>
              <w:spacing w:line="360" w:lineRule="auto"/>
              <w:ind w:firstLine="480" w:firstLineChars="200"/>
              <w:jc w:val="left"/>
              <w:rPr>
                <w:rFonts w:hint="default"/>
                <w:b/>
                <w:sz w:val="24"/>
                <w:highlight w:val="none"/>
                <w:lang w:val="en-US"/>
              </w:rPr>
            </w:pPr>
            <w:r>
              <w:rPr>
                <w:rFonts w:hint="eastAsia" w:ascii="Times New Roman" w:hAnsi="Times New Roman" w:cs="Times New Roman"/>
                <w:bCs/>
                <w:sz w:val="24"/>
                <w:szCs w:val="24"/>
                <w:highlight w:val="none"/>
                <w:lang w:eastAsia="zh-CN"/>
              </w:rPr>
              <w:t>本项目</w:t>
            </w:r>
            <w:r>
              <w:rPr>
                <w:rFonts w:hint="default" w:ascii="Times New Roman" w:hAnsi="Times New Roman" w:cs="Times New Roman"/>
                <w:bCs/>
                <w:sz w:val="24"/>
                <w:szCs w:val="24"/>
                <w:highlight w:val="none"/>
              </w:rPr>
              <w:t>总投资为</w:t>
            </w:r>
            <w:r>
              <w:rPr>
                <w:rFonts w:hint="default" w:ascii="Times New Roman" w:hAnsi="Times New Roman" w:eastAsia="宋体" w:cs="Times New Roman"/>
                <w:sz w:val="24"/>
                <w:szCs w:val="24"/>
                <w:highlight w:val="none"/>
                <w:lang w:val="en-US" w:eastAsia="zh-CN"/>
              </w:rPr>
              <w:t>22000</w:t>
            </w:r>
            <w:r>
              <w:rPr>
                <w:rFonts w:hint="default" w:ascii="Times New Roman" w:hAnsi="Times New Roman" w:cs="Times New Roman"/>
                <w:bCs/>
                <w:sz w:val="24"/>
                <w:szCs w:val="24"/>
                <w:highlight w:val="none"/>
              </w:rPr>
              <w:t>万元，</w:t>
            </w:r>
            <w:r>
              <w:rPr>
                <w:rFonts w:hint="eastAsia" w:cs="Times New Roman"/>
                <w:bCs/>
                <w:sz w:val="24"/>
                <w:szCs w:val="24"/>
                <w:highlight w:val="none"/>
                <w:lang w:val="en-US" w:eastAsia="zh-CN"/>
              </w:rPr>
              <w:t>其中</w:t>
            </w:r>
            <w:r>
              <w:rPr>
                <w:rFonts w:hint="eastAsia" w:cs="Times New Roman"/>
                <w:bCs/>
                <w:sz w:val="24"/>
                <w:szCs w:val="24"/>
                <w:highlight w:val="none"/>
                <w:lang w:eastAsia="zh-CN"/>
              </w:rPr>
              <w:t>环保投资</w:t>
            </w:r>
            <w:r>
              <w:rPr>
                <w:rFonts w:hint="eastAsia" w:cs="Times New Roman"/>
                <w:bCs/>
                <w:sz w:val="24"/>
                <w:szCs w:val="24"/>
                <w:highlight w:val="none"/>
                <w:lang w:val="en-US" w:eastAsia="zh-CN"/>
              </w:rPr>
              <w:t>89.6万元</w:t>
            </w:r>
            <w:r>
              <w:rPr>
                <w:rFonts w:hint="eastAsia" w:cs="Times New Roman"/>
                <w:bCs/>
                <w:sz w:val="24"/>
                <w:szCs w:val="24"/>
                <w:highlight w:val="none"/>
                <w:lang w:eastAsia="zh-CN"/>
              </w:rPr>
              <w:t>，环保投资</w:t>
            </w:r>
            <w:r>
              <w:rPr>
                <w:rFonts w:hint="eastAsia" w:ascii="Times New Roman" w:hAnsi="Times New Roman" w:cs="Times New Roman"/>
                <w:bCs/>
                <w:sz w:val="24"/>
                <w:szCs w:val="24"/>
                <w:highlight w:val="none"/>
                <w:lang w:eastAsia="zh-CN"/>
              </w:rPr>
              <w:t>占总投资的</w:t>
            </w:r>
            <w:r>
              <w:rPr>
                <w:rFonts w:hint="eastAsia" w:cs="Times New Roman"/>
                <w:bCs/>
                <w:sz w:val="24"/>
                <w:szCs w:val="24"/>
                <w:highlight w:val="none"/>
                <w:lang w:val="en-US" w:eastAsia="zh-CN"/>
              </w:rPr>
              <w:t>0.41</w:t>
            </w:r>
            <w:r>
              <w:rPr>
                <w:rFonts w:hint="eastAsia" w:ascii="Times New Roman" w:hAnsi="Times New Roman" w:cs="Times New Roman"/>
                <w:bCs/>
                <w:sz w:val="24"/>
                <w:szCs w:val="24"/>
                <w:highlight w:val="none"/>
                <w:lang w:val="en-US" w:eastAsia="zh-CN"/>
              </w:rPr>
              <w:t>%。</w:t>
            </w:r>
            <w:r>
              <w:rPr>
                <w:rFonts w:hint="eastAsia" w:cs="Times New Roman"/>
                <w:bCs/>
                <w:sz w:val="24"/>
                <w:szCs w:val="24"/>
                <w:highlight w:val="none"/>
                <w:lang w:val="en-US" w:eastAsia="zh-CN"/>
              </w:rPr>
              <w:t>具体见下表。</w:t>
            </w:r>
          </w:p>
          <w:p>
            <w:pPr>
              <w:pStyle w:val="4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val="0"/>
                <w:bCs w:val="0"/>
                <w:color w:val="auto"/>
                <w:sz w:val="21"/>
                <w:szCs w:val="21"/>
                <w:highlight w:val="none"/>
              </w:rPr>
              <w:t>表</w:t>
            </w:r>
            <w:r>
              <w:rPr>
                <w:rFonts w:hint="eastAsia" w:eastAsia="宋体" w:cs="Times New Roman"/>
                <w:b w:val="0"/>
                <w:bCs w:val="0"/>
                <w:color w:val="auto"/>
                <w:sz w:val="21"/>
                <w:szCs w:val="21"/>
                <w:highlight w:val="none"/>
                <w:lang w:val="en-US" w:eastAsia="zh-CN"/>
              </w:rPr>
              <w:t>5-3</w:t>
            </w:r>
            <w:r>
              <w:rPr>
                <w:rFonts w:hint="default" w:ascii="Times New Roman" w:hAnsi="Times New Roman" w:eastAsia="宋体" w:cs="Times New Roman"/>
                <w:b w:val="0"/>
                <w:bCs w:val="0"/>
                <w:color w:val="auto"/>
                <w:sz w:val="21"/>
                <w:szCs w:val="21"/>
                <w:highlight w:val="none"/>
              </w:rPr>
              <w:t>环保措施及投资估算一览表</w:t>
            </w:r>
          </w:p>
          <w:tbl>
            <w:tblPr>
              <w:tblStyle w:val="23"/>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80"/>
              <w:gridCol w:w="706"/>
              <w:gridCol w:w="1374"/>
              <w:gridCol w:w="4862"/>
              <w:gridCol w:w="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3" w:hRule="atLeast"/>
                <w:jc w:val="center"/>
              </w:trPr>
              <w:tc>
                <w:tcPr>
                  <w:tcW w:w="35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类型</w:t>
                  </w:r>
                </w:p>
              </w:tc>
              <w:tc>
                <w:tcPr>
                  <w:tcW w:w="42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时期</w:t>
                  </w: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污染工序</w:t>
                  </w:r>
                </w:p>
              </w:tc>
              <w:tc>
                <w:tcPr>
                  <w:tcW w:w="295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环保设施</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投资</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671" w:hRule="atLeast"/>
                <w:jc w:val="center"/>
              </w:trPr>
              <w:tc>
                <w:tcPr>
                  <w:tcW w:w="352" w:type="pct"/>
                  <w:vMerge w:val="restar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废气</w:t>
                  </w:r>
                </w:p>
              </w:tc>
              <w:tc>
                <w:tcPr>
                  <w:tcW w:w="429" w:type="pct"/>
                  <w:vMerge w:val="restar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施工期</w:t>
                  </w: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扬尘</w:t>
                  </w:r>
                </w:p>
              </w:tc>
              <w:tc>
                <w:tcPr>
                  <w:tcW w:w="2959" w:type="pct"/>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eastAsia="zh-CN"/>
                    </w:rPr>
                  </w:pPr>
                  <w:r>
                    <w:rPr>
                      <w:rFonts w:hint="eastAsia"/>
                      <w:sz w:val="21"/>
                      <w:szCs w:val="21"/>
                      <w:highlight w:val="none"/>
                      <w:lang w:val="en-US" w:eastAsia="zh-CN"/>
                    </w:rPr>
                    <w:t>施工区设置围挡</w:t>
                  </w:r>
                  <w:r>
                    <w:rPr>
                      <w:rFonts w:hint="default"/>
                      <w:sz w:val="21"/>
                      <w:szCs w:val="21"/>
                      <w:highlight w:val="none"/>
                      <w:lang w:val="en-US" w:eastAsia="zh-CN"/>
                    </w:rPr>
                    <w:t>。施工现场裸露场地采用抑尘网覆盖，并随时洒水抑尘；运输车辆加盖篷布，</w:t>
                  </w:r>
                  <w:r>
                    <w:rPr>
                      <w:rFonts w:hint="eastAsia"/>
                      <w:sz w:val="21"/>
                      <w:szCs w:val="21"/>
                      <w:highlight w:val="none"/>
                      <w:lang w:val="en-US" w:eastAsia="zh-CN"/>
                    </w:rPr>
                    <w:t>施工区定期洒水；</w:t>
                  </w:r>
                  <w:r>
                    <w:rPr>
                      <w:rFonts w:hint="default"/>
                      <w:sz w:val="21"/>
                      <w:szCs w:val="21"/>
                      <w:highlight w:val="none"/>
                      <w:lang w:val="en-US" w:eastAsia="zh-CN"/>
                    </w:rPr>
                    <w:t>施工工地内堆放的粉状物料堆场采取封闭措施，易产生扬尘的物料应当采取覆盖防尘网或者防尘布等措施</w:t>
                  </w:r>
                  <w:r>
                    <w:rPr>
                      <w:rFonts w:hint="eastAsia"/>
                      <w:sz w:val="21"/>
                      <w:szCs w:val="21"/>
                      <w:highlight w:val="none"/>
                      <w:lang w:val="en-US" w:eastAsia="zh-CN"/>
                    </w:rPr>
                    <w:t>。</w:t>
                  </w:r>
                  <w:r>
                    <w:rPr>
                      <w:rFonts w:hint="default"/>
                      <w:sz w:val="21"/>
                      <w:szCs w:val="21"/>
                      <w:highlight w:val="none"/>
                      <w:lang w:val="en-US" w:eastAsia="zh-CN"/>
                    </w:rPr>
                    <w:t>临时堆土进行拦挡、苫盖防护，</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3" w:hRule="atLeast"/>
                <w:jc w:val="center"/>
              </w:trPr>
              <w:tc>
                <w:tcPr>
                  <w:tcW w:w="352"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sz w:val="21"/>
                      <w:szCs w:val="21"/>
                      <w:highlight w:val="none"/>
                    </w:rPr>
                  </w:pPr>
                </w:p>
              </w:tc>
              <w:tc>
                <w:tcPr>
                  <w:tcW w:w="429"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施工机械与运输车辆尾气</w:t>
                  </w:r>
                </w:p>
              </w:tc>
              <w:tc>
                <w:tcPr>
                  <w:tcW w:w="295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使用满足标准的施工机械和油品，做好设备的维护。</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3" w:hRule="atLeast"/>
                <w:jc w:val="center"/>
              </w:trPr>
              <w:tc>
                <w:tcPr>
                  <w:tcW w:w="352"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sz w:val="21"/>
                      <w:szCs w:val="21"/>
                      <w:highlight w:val="none"/>
                    </w:rPr>
                  </w:pPr>
                </w:p>
              </w:tc>
              <w:tc>
                <w:tcPr>
                  <w:tcW w:w="42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运营期</w:t>
                  </w: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车辆尾气与扬尘</w:t>
                  </w:r>
                </w:p>
              </w:tc>
              <w:tc>
                <w:tcPr>
                  <w:tcW w:w="2959" w:type="pct"/>
                  <w:noWrap w:val="0"/>
                  <w:vAlign w:val="center"/>
                </w:tcPr>
                <w:p>
                  <w:pPr>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default"/>
                      <w:sz w:val="21"/>
                      <w:szCs w:val="21"/>
                      <w:highlight w:val="none"/>
                      <w:lang w:val="en-US" w:eastAsia="zh-CN"/>
                    </w:rPr>
                    <w:t>加强道路管理及路面养护，保持道路良好运营状态，保持路面平整和清洁，保证其路面处于完好状态，路面洒水抑尘，道路两旁进行绿化</w:t>
                  </w:r>
                  <w:r>
                    <w:rPr>
                      <w:rFonts w:hint="eastAsia"/>
                      <w:sz w:val="21"/>
                      <w:szCs w:val="21"/>
                      <w:highlight w:val="none"/>
                      <w:lang w:val="en-US" w:eastAsia="zh-CN"/>
                    </w:rPr>
                    <w:t>，运输车辆应为新能源或国</w:t>
                  </w:r>
                  <w:r>
                    <w:rPr>
                      <w:rFonts w:hint="default"/>
                      <w:sz w:val="21"/>
                      <w:szCs w:val="21"/>
                      <w:highlight w:val="none"/>
                      <w:lang w:val="en-US" w:eastAsia="zh-CN"/>
                    </w:rPr>
                    <w:t>Ⅵ</w:t>
                  </w:r>
                  <w:r>
                    <w:rPr>
                      <w:rFonts w:hint="eastAsia"/>
                      <w:sz w:val="21"/>
                      <w:szCs w:val="21"/>
                      <w:highlight w:val="none"/>
                      <w:lang w:val="en-US" w:eastAsia="zh-CN"/>
                    </w:rPr>
                    <w:t>排放标准的车辆</w:t>
                  </w:r>
                  <w:r>
                    <w:rPr>
                      <w:rFonts w:hint="default"/>
                      <w:sz w:val="21"/>
                      <w:szCs w:val="21"/>
                      <w:highlight w:val="none"/>
                      <w:lang w:val="en-US" w:eastAsia="zh-CN"/>
                    </w:rPr>
                    <w:t>。</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4" w:hRule="atLeast"/>
                <w:jc w:val="center"/>
              </w:trPr>
              <w:tc>
                <w:tcPr>
                  <w:tcW w:w="352" w:type="pct"/>
                  <w:vMerge w:val="restar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废水</w:t>
                  </w:r>
                </w:p>
              </w:tc>
              <w:tc>
                <w:tcPr>
                  <w:tcW w:w="429" w:type="pct"/>
                  <w:vMerge w:val="restart"/>
                  <w:noWrap w:val="0"/>
                  <w:vAlign w:val="center"/>
                </w:tcPr>
                <w:p>
                  <w:pPr>
                    <w:pStyle w:val="44"/>
                    <w:keepNext w:val="0"/>
                    <w:keepLines w:val="0"/>
                    <w:suppressLineNumbers w:val="0"/>
                    <w:adjustRightInd w:val="0"/>
                    <w:snapToGrid w:val="0"/>
                    <w:spacing w:before="0" w:beforeAutospacing="0" w:after="0" w:afterAutospacing="0" w:line="240" w:lineRule="atLeast"/>
                    <w:ind w:left="0" w:leftChars="0" w:right="0" w:rightChars="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施工期</w:t>
                  </w: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施工废水</w:t>
                  </w:r>
                </w:p>
              </w:tc>
              <w:tc>
                <w:tcPr>
                  <w:tcW w:w="295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default" w:ascii="宋体" w:hAnsi="宋体" w:cs="宋体"/>
                      <w:sz w:val="21"/>
                      <w:szCs w:val="21"/>
                      <w:highlight w:val="none"/>
                      <w:lang w:val="en-US" w:eastAsia="zh-CN"/>
                    </w:rPr>
                    <w:t>施工废水经沉淀池沉淀后循环利用；</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7" w:hRule="atLeast"/>
                <w:jc w:val="center"/>
              </w:trPr>
              <w:tc>
                <w:tcPr>
                  <w:tcW w:w="352"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highlight w:val="none"/>
                    </w:rPr>
                  </w:pPr>
                </w:p>
              </w:tc>
              <w:tc>
                <w:tcPr>
                  <w:tcW w:w="429"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cs="宋体"/>
                      <w:sz w:val="21"/>
                      <w:szCs w:val="21"/>
                      <w:highlight w:val="none"/>
                      <w:lang w:val="en-US" w:eastAsia="zh-CN"/>
                    </w:rPr>
                  </w:pP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宋体" w:hAnsi="宋体" w:cs="宋体"/>
                      <w:sz w:val="21"/>
                      <w:szCs w:val="21"/>
                      <w:highlight w:val="none"/>
                      <w:lang w:val="en-US" w:eastAsia="zh-CN"/>
                    </w:rPr>
                    <w:t>生活污水</w:t>
                  </w:r>
                </w:p>
              </w:tc>
              <w:tc>
                <w:tcPr>
                  <w:tcW w:w="295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cs="宋体"/>
                      <w:sz w:val="21"/>
                      <w:szCs w:val="21"/>
                      <w:highlight w:val="none"/>
                      <w:lang w:val="en-US" w:eastAsia="zh-CN"/>
                    </w:rPr>
                    <w:t>设置临时化粪池收集</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3" w:hRule="atLeast"/>
                <w:jc w:val="center"/>
              </w:trPr>
              <w:tc>
                <w:tcPr>
                  <w:tcW w:w="352"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p>
              </w:tc>
              <w:tc>
                <w:tcPr>
                  <w:tcW w:w="429"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cs="宋体"/>
                      <w:sz w:val="21"/>
                      <w:szCs w:val="21"/>
                      <w:highlight w:val="none"/>
                      <w:lang w:val="en-US" w:eastAsia="zh-CN"/>
                    </w:rPr>
                  </w:pP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宋体" w:hAnsi="宋体" w:cs="宋体"/>
                      <w:sz w:val="21"/>
                      <w:szCs w:val="21"/>
                      <w:highlight w:val="none"/>
                      <w:lang w:val="en-US" w:eastAsia="zh-CN"/>
                    </w:rPr>
                    <w:t>井筒掘进废水</w:t>
                  </w:r>
                </w:p>
              </w:tc>
              <w:tc>
                <w:tcPr>
                  <w:tcW w:w="295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宋体" w:hAnsi="宋体" w:cs="宋体"/>
                      <w:sz w:val="21"/>
                      <w:szCs w:val="21"/>
                      <w:highlight w:val="none"/>
                      <w:lang w:val="en-US" w:eastAsia="zh-CN"/>
                    </w:rPr>
                    <w:t>由抽水车定期集中抽排，运送至工业场地既有矿井水处理站处理后回用</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9" w:hRule="atLeast"/>
                <w:jc w:val="center"/>
              </w:trPr>
              <w:tc>
                <w:tcPr>
                  <w:tcW w:w="352"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p>
              </w:tc>
              <w:tc>
                <w:tcPr>
                  <w:tcW w:w="429" w:type="pct"/>
                  <w:vMerge w:val="restart"/>
                  <w:noWrap w:val="0"/>
                  <w:vAlign w:val="center"/>
                </w:tcPr>
                <w:p>
                  <w:pPr>
                    <w:pStyle w:val="44"/>
                    <w:keepNext w:val="0"/>
                    <w:keepLines w:val="0"/>
                    <w:suppressLineNumbers w:val="0"/>
                    <w:adjustRightInd w:val="0"/>
                    <w:snapToGrid w:val="0"/>
                    <w:spacing w:before="0" w:beforeAutospacing="0" w:after="0" w:afterAutospacing="0" w:line="240" w:lineRule="atLeast"/>
                    <w:ind w:left="0" w:leftChars="0" w:right="0" w:rightChars="0"/>
                    <w:jc w:val="center"/>
                    <w:rPr>
                      <w:rFonts w:hint="eastAsia" w:ascii="宋体" w:hAnsi="宋体" w:cs="宋体"/>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运营期</w:t>
                  </w: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宋体" w:hAnsi="宋体" w:cs="宋体"/>
                      <w:sz w:val="21"/>
                      <w:szCs w:val="21"/>
                      <w:highlight w:val="none"/>
                      <w:lang w:val="en-US" w:eastAsia="zh-CN"/>
                    </w:rPr>
                  </w:pPr>
                  <w:r>
                    <w:rPr>
                      <w:rFonts w:hint="default" w:ascii="宋体" w:hAnsi="宋体" w:cs="宋体"/>
                      <w:sz w:val="21"/>
                      <w:szCs w:val="21"/>
                      <w:highlight w:val="none"/>
                      <w:lang w:val="en-US" w:eastAsia="zh-CN"/>
                    </w:rPr>
                    <w:t>乏风取热设施废水</w:t>
                  </w:r>
                </w:p>
              </w:tc>
              <w:tc>
                <w:tcPr>
                  <w:tcW w:w="2959" w:type="pct"/>
                  <w:noWrap w:val="0"/>
                  <w:vAlign w:val="center"/>
                </w:tcPr>
                <w:p>
                  <w:pPr>
                    <w:adjustRightInd w:val="0"/>
                    <w:snapToGrid w:val="0"/>
                    <w:spacing w:line="240" w:lineRule="auto"/>
                    <w:jc w:val="center"/>
                    <w:rPr>
                      <w:rFonts w:hint="eastAsia" w:ascii="宋体" w:hAnsi="宋体" w:cs="宋体"/>
                      <w:sz w:val="21"/>
                      <w:szCs w:val="21"/>
                      <w:highlight w:val="none"/>
                      <w:lang w:val="en-US" w:eastAsia="zh-CN"/>
                    </w:rPr>
                  </w:pPr>
                  <w:r>
                    <w:rPr>
                      <w:rFonts w:hint="default" w:ascii="宋体" w:hAnsi="宋体" w:cs="宋体"/>
                      <w:sz w:val="21"/>
                      <w:szCs w:val="21"/>
                      <w:highlight w:val="none"/>
                      <w:lang w:val="en-US" w:eastAsia="zh-CN"/>
                    </w:rPr>
                    <w:t>乏风取热设施废水</w:t>
                  </w:r>
                  <w:r>
                    <w:rPr>
                      <w:rFonts w:hint="eastAsia" w:ascii="宋体" w:hAnsi="宋体" w:cs="宋体"/>
                      <w:sz w:val="21"/>
                      <w:szCs w:val="21"/>
                      <w:highlight w:val="none"/>
                      <w:lang w:val="en-US" w:eastAsia="zh-CN"/>
                    </w:rPr>
                    <w:t>由</w:t>
                  </w:r>
                  <w:r>
                    <w:rPr>
                      <w:rFonts w:hint="default" w:ascii="宋体" w:hAnsi="宋体" w:cs="宋体"/>
                      <w:sz w:val="21"/>
                      <w:szCs w:val="21"/>
                      <w:highlight w:val="none"/>
                      <w:lang w:val="en-US" w:eastAsia="zh-CN"/>
                    </w:rPr>
                    <w:t>凝结水池收集后进入雨水收集池，</w:t>
                  </w:r>
                  <w:r>
                    <w:rPr>
                      <w:rFonts w:hint="eastAsia" w:ascii="宋体" w:hAnsi="宋体" w:cs="宋体"/>
                      <w:sz w:val="21"/>
                      <w:szCs w:val="21"/>
                      <w:highlight w:val="none"/>
                      <w:lang w:val="en-US" w:eastAsia="zh-CN"/>
                    </w:rPr>
                    <w:t>最终</w:t>
                  </w:r>
                  <w:r>
                    <w:rPr>
                      <w:rFonts w:hint="default" w:ascii="宋体" w:hAnsi="宋体" w:cs="宋体"/>
                      <w:sz w:val="21"/>
                      <w:szCs w:val="21"/>
                      <w:highlight w:val="none"/>
                      <w:lang w:val="en-US" w:eastAsia="zh-CN"/>
                    </w:rPr>
                    <w:t>送至塔然高勒煤矿矿井水处理站进行处理。</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9" w:hRule="atLeast"/>
                <w:jc w:val="center"/>
              </w:trPr>
              <w:tc>
                <w:tcPr>
                  <w:tcW w:w="352"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highlight w:val="none"/>
                    </w:rPr>
                  </w:pPr>
                </w:p>
              </w:tc>
              <w:tc>
                <w:tcPr>
                  <w:tcW w:w="429"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highlight w:val="none"/>
                    </w:rPr>
                  </w:pP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初期雨水</w:t>
                  </w:r>
                </w:p>
              </w:tc>
              <w:tc>
                <w:tcPr>
                  <w:tcW w:w="295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初期雨水池内储存的初期雨水送至塔然高勒煤矿矿井水处理站进行处理。</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41" w:hRule="atLeast"/>
                <w:jc w:val="center"/>
              </w:trPr>
              <w:tc>
                <w:tcPr>
                  <w:tcW w:w="352" w:type="pct"/>
                  <w:vMerge w:val="restar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噪声</w:t>
                  </w:r>
                </w:p>
              </w:tc>
              <w:tc>
                <w:tcPr>
                  <w:tcW w:w="42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施工</w:t>
                  </w:r>
                  <w:r>
                    <w:rPr>
                      <w:rFonts w:hint="eastAsia" w:asciiTheme="minorEastAsia" w:hAnsiTheme="minorEastAsia" w:eastAsiaTheme="minorEastAsia" w:cstheme="minorEastAsia"/>
                      <w:color w:val="auto"/>
                      <w:sz w:val="21"/>
                      <w:szCs w:val="21"/>
                      <w:highlight w:val="none"/>
                      <w:lang w:val="en-US" w:eastAsia="zh-CN"/>
                    </w:rPr>
                    <w:t>期</w:t>
                  </w: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噪声</w:t>
                  </w:r>
                </w:p>
              </w:tc>
              <w:tc>
                <w:tcPr>
                  <w:tcW w:w="295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sz w:val="21"/>
                      <w:szCs w:val="21"/>
                      <w:highlight w:val="none"/>
                    </w:rPr>
                    <w:t>采用合理安排施工作业时间，优先选用高效低噪声设备，减少高噪声设备同时作业，进出车辆合理安排，尽量减少鸣笛</w:t>
                  </w:r>
                  <w:r>
                    <w:rPr>
                      <w:rFonts w:hint="eastAsia" w:asciiTheme="minorEastAsia" w:hAnsiTheme="minorEastAsia" w:eastAsiaTheme="minorEastAsia" w:cstheme="minorEastAsia"/>
                      <w:sz w:val="21"/>
                      <w:szCs w:val="21"/>
                      <w:highlight w:val="none"/>
                      <w:lang w:eastAsia="zh-CN"/>
                    </w:rPr>
                    <w:t>，临时声屏障</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3" w:hRule="atLeast"/>
                <w:jc w:val="center"/>
              </w:trPr>
              <w:tc>
                <w:tcPr>
                  <w:tcW w:w="352"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highlight w:val="none"/>
                    </w:rPr>
                  </w:pPr>
                </w:p>
              </w:tc>
              <w:tc>
                <w:tcPr>
                  <w:tcW w:w="42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运营期</w:t>
                  </w: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设备噪声</w:t>
                  </w:r>
                </w:p>
              </w:tc>
              <w:tc>
                <w:tcPr>
                  <w:tcW w:w="295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隔声、吸声、</w:t>
                  </w:r>
                  <w:r>
                    <w:rPr>
                      <w:rFonts w:hint="eastAsia" w:asciiTheme="minorEastAsia" w:hAnsiTheme="minorEastAsia" w:eastAsiaTheme="minorEastAsia" w:cstheme="minorEastAsia"/>
                      <w:color w:val="auto"/>
                      <w:sz w:val="21"/>
                      <w:szCs w:val="21"/>
                      <w:highlight w:val="none"/>
                      <w:lang w:val="en-US" w:eastAsia="zh-CN"/>
                    </w:rPr>
                    <w:t>基础减</w:t>
                  </w:r>
                  <w:r>
                    <w:rPr>
                      <w:rFonts w:hint="eastAsia" w:asciiTheme="minorEastAsia" w:hAnsiTheme="minorEastAsia" w:eastAsiaTheme="minorEastAsia" w:cstheme="minorEastAsia"/>
                      <w:color w:val="auto"/>
                      <w:sz w:val="21"/>
                      <w:szCs w:val="21"/>
                      <w:highlight w:val="none"/>
                      <w:lang w:eastAsia="zh-CN"/>
                    </w:rPr>
                    <w:t>振、消声等设施</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4" w:hRule="atLeast"/>
                <w:jc w:val="center"/>
              </w:trPr>
              <w:tc>
                <w:tcPr>
                  <w:tcW w:w="352" w:type="pct"/>
                  <w:vMerge w:val="restar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固废</w:t>
                  </w:r>
                </w:p>
              </w:tc>
              <w:tc>
                <w:tcPr>
                  <w:tcW w:w="429" w:type="pct"/>
                  <w:vMerge w:val="restart"/>
                  <w:noWrap w:val="0"/>
                  <w:vAlign w:val="center"/>
                </w:tcPr>
                <w:p>
                  <w:pPr>
                    <w:pStyle w:val="44"/>
                    <w:keepNext w:val="0"/>
                    <w:keepLines w:val="0"/>
                    <w:suppressLineNumbers w:val="0"/>
                    <w:adjustRightInd w:val="0"/>
                    <w:snapToGrid w:val="0"/>
                    <w:spacing w:before="0" w:beforeAutospacing="0" w:after="0" w:afterAutospacing="0" w:line="240" w:lineRule="atLeast"/>
                    <w:ind w:left="0" w:leftChars="0" w:right="0" w:right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施工</w:t>
                  </w:r>
                  <w:r>
                    <w:rPr>
                      <w:rFonts w:hint="eastAsia" w:asciiTheme="minorEastAsia" w:hAnsiTheme="minorEastAsia" w:eastAsiaTheme="minorEastAsia" w:cstheme="minorEastAsia"/>
                      <w:color w:val="auto"/>
                      <w:sz w:val="21"/>
                      <w:szCs w:val="21"/>
                      <w:highlight w:val="none"/>
                      <w:lang w:val="en-US" w:eastAsia="zh-CN"/>
                    </w:rPr>
                    <w:t>期</w:t>
                  </w: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生活垃圾</w:t>
                  </w:r>
                </w:p>
              </w:tc>
              <w:tc>
                <w:tcPr>
                  <w:tcW w:w="2959" w:type="pct"/>
                  <w:noWrap w:val="0"/>
                  <w:vAlign w:val="center"/>
                </w:tcPr>
                <w:p>
                  <w:pPr>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z w:val="21"/>
                      <w:szCs w:val="21"/>
                      <w:highlight w:val="none"/>
                      <w:lang w:val="en-US" w:eastAsia="zh-CN"/>
                    </w:rPr>
                    <w:t>设置垃圾桶，生活垃圾集中收集后交当地环卫部门处置。</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4" w:hRule="atLeast"/>
                <w:jc w:val="center"/>
              </w:trPr>
              <w:tc>
                <w:tcPr>
                  <w:tcW w:w="352"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p>
              </w:tc>
              <w:tc>
                <w:tcPr>
                  <w:tcW w:w="429"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default"/>
                      <w:sz w:val="21"/>
                      <w:szCs w:val="21"/>
                      <w:highlight w:val="none"/>
                      <w:lang w:val="en-US" w:eastAsia="zh-CN"/>
                    </w:rPr>
                    <w:t>井筒掘进产生的岩石</w:t>
                  </w:r>
                </w:p>
              </w:tc>
              <w:tc>
                <w:tcPr>
                  <w:tcW w:w="295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供给</w:t>
                  </w:r>
                  <w:r>
                    <w:rPr>
                      <w:rFonts w:hint="eastAsia" w:asciiTheme="minorEastAsia" w:hAnsiTheme="minorEastAsia" w:eastAsiaTheme="minorEastAsia" w:cstheme="minorEastAsia"/>
                      <w:color w:val="auto"/>
                      <w:sz w:val="21"/>
                      <w:szCs w:val="21"/>
                      <w:highlight w:val="none"/>
                    </w:rPr>
                    <w:t>杭锦发电有限公司煤矸石电厂</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4" w:hRule="atLeast"/>
                <w:jc w:val="center"/>
              </w:trPr>
              <w:tc>
                <w:tcPr>
                  <w:tcW w:w="352"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p>
              </w:tc>
              <w:tc>
                <w:tcPr>
                  <w:tcW w:w="429"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default"/>
                      <w:sz w:val="21"/>
                      <w:szCs w:val="21"/>
                      <w:highlight w:val="none"/>
                      <w:lang w:val="en-US" w:eastAsia="zh-CN"/>
                    </w:rPr>
                    <w:t>建筑垃圾</w:t>
                  </w:r>
                </w:p>
              </w:tc>
              <w:tc>
                <w:tcPr>
                  <w:tcW w:w="2959"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sz w:val="21"/>
                      <w:szCs w:val="21"/>
                      <w:highlight w:val="none"/>
                      <w:lang w:val="en-US" w:eastAsia="zh-CN"/>
                    </w:rPr>
                    <w:t>送至当地建筑垃圾填埋场处置</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3" w:hRule="atLeast"/>
                <w:jc w:val="center"/>
              </w:trPr>
              <w:tc>
                <w:tcPr>
                  <w:tcW w:w="352" w:type="pct"/>
                  <w:vMerge w:val="continue"/>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p>
              </w:tc>
              <w:tc>
                <w:tcPr>
                  <w:tcW w:w="429" w:type="pct"/>
                  <w:noWrap w:val="0"/>
                  <w:vAlign w:val="center"/>
                </w:tcPr>
                <w:p>
                  <w:pPr>
                    <w:pStyle w:val="44"/>
                    <w:keepNext w:val="0"/>
                    <w:keepLines w:val="0"/>
                    <w:suppressLineNumbers w:val="0"/>
                    <w:adjustRightInd w:val="0"/>
                    <w:snapToGrid w:val="0"/>
                    <w:spacing w:before="0" w:beforeAutospacing="0" w:after="0" w:afterAutospacing="0" w:line="240" w:lineRule="atLeast"/>
                    <w:ind w:left="0" w:leftChars="0" w:right="0" w:right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运营期</w:t>
                  </w:r>
                </w:p>
              </w:tc>
              <w:tc>
                <w:tcPr>
                  <w:tcW w:w="836"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废蓄电池、废变压油</w:t>
                  </w:r>
                </w:p>
              </w:tc>
              <w:tc>
                <w:tcPr>
                  <w:tcW w:w="2959" w:type="pct"/>
                  <w:noWrap w:val="0"/>
                  <w:vAlign w:val="center"/>
                </w:tcPr>
                <w:p>
                  <w:pPr>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宋体" w:hAnsi="宋体" w:eastAsia="宋体" w:cs="宋体"/>
                      <w:szCs w:val="21"/>
                      <w:highlight w:val="none"/>
                      <w:lang w:val="en-US" w:eastAsia="zh-CN"/>
                    </w:rPr>
                    <w:t>废蓄电池更换时直接由厂家回收处置，不在场内暂存。主变压器事故时产生的废变压油，暂存于事故油池中，事故后交具有资质单位统一处理</w:t>
                  </w:r>
                  <w:r>
                    <w:rPr>
                      <w:rFonts w:hint="eastAsia" w:ascii="宋体" w:hAnsi="宋体" w:cs="宋体"/>
                      <w:szCs w:val="21"/>
                      <w:highlight w:val="none"/>
                      <w:lang w:val="en-US" w:eastAsia="zh-CN"/>
                    </w:rPr>
                    <w:t>。</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8" w:hRule="atLeast"/>
                <w:jc w:val="center"/>
              </w:trPr>
              <w:tc>
                <w:tcPr>
                  <w:tcW w:w="1618" w:type="pct"/>
                  <w:gridSpan w:val="3"/>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生态</w:t>
                  </w:r>
                </w:p>
              </w:tc>
              <w:tc>
                <w:tcPr>
                  <w:tcW w:w="4862" w:type="dxa"/>
                  <w:noWrap w:val="0"/>
                  <w:vAlign w:val="center"/>
                </w:tcPr>
                <w:p>
                  <w:pPr>
                    <w:pStyle w:val="44"/>
                    <w:keepNext w:val="0"/>
                    <w:keepLines w:val="0"/>
                    <w:suppressLineNumbers w:val="0"/>
                    <w:adjustRightInd w:val="0"/>
                    <w:snapToGrid w:val="0"/>
                    <w:spacing w:before="0" w:beforeAutospacing="0" w:after="0" w:afterAutospacing="0" w:line="240" w:lineRule="atLeast"/>
                    <w:ind w:left="0" w:leftChars="0" w:right="0" w:right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风井场地外围采用方格型浆砌片石骨架内撒播草籽护坡，护坡面积为6624m</w:t>
                  </w:r>
                  <w:r>
                    <w:rPr>
                      <w:rFonts w:hint="eastAsia" w:ascii="Times New Roman" w:hAnsi="Times New Roman" w:cs="Times New Roman" w:eastAsiaTheme="minorEastAsia"/>
                      <w:color w:val="auto"/>
                      <w:sz w:val="21"/>
                      <w:szCs w:val="21"/>
                      <w:highlight w:val="none"/>
                      <w:vertAlign w:val="superscript"/>
                      <w:lang w:val="en-US" w:eastAsia="zh-CN"/>
                    </w:rPr>
                    <w:t>2</w:t>
                  </w:r>
                  <w:r>
                    <w:rPr>
                      <w:rFonts w:hint="eastAsia" w:ascii="Times New Roman" w:hAnsi="Times New Roman" w:cs="Times New Roman" w:eastAsiaTheme="minorEastAsia"/>
                      <w:color w:val="auto"/>
                      <w:sz w:val="21"/>
                      <w:szCs w:val="21"/>
                      <w:highlight w:val="none"/>
                      <w:lang w:val="en-US" w:eastAsia="zh-CN"/>
                    </w:rPr>
                    <w:t>；风井场地进行植树种草绿化，绿化面积为3370m</w:t>
                  </w:r>
                  <w:r>
                    <w:rPr>
                      <w:rFonts w:hint="eastAsia" w:ascii="Times New Roman" w:hAnsi="Times New Roman" w:cs="Times New Roman" w:eastAsiaTheme="minorEastAsia"/>
                      <w:color w:val="auto"/>
                      <w:sz w:val="21"/>
                      <w:szCs w:val="21"/>
                      <w:highlight w:val="none"/>
                      <w:vertAlign w:val="superscript"/>
                      <w:lang w:val="en-US" w:eastAsia="zh-CN"/>
                    </w:rPr>
                    <w:t>2</w:t>
                  </w:r>
                  <w:r>
                    <w:rPr>
                      <w:rFonts w:hint="eastAsia" w:ascii="Times New Roman" w:hAnsi="Times New Roman" w:cs="Times New Roman" w:eastAsiaTheme="minorEastAsia"/>
                      <w:color w:val="auto"/>
                      <w:sz w:val="21"/>
                      <w:szCs w:val="21"/>
                      <w:highlight w:val="none"/>
                      <w:lang w:val="en-US" w:eastAsia="zh-CN"/>
                    </w:rPr>
                    <w:t>；进场道路两侧采用六边形水泥混凝土空心块植物护坡与种草籽护坡相结合，种草护坡5200m</w:t>
                  </w:r>
                  <w:r>
                    <w:rPr>
                      <w:rFonts w:hint="eastAsia" w:ascii="Times New Roman" w:hAnsi="Times New Roman" w:cs="Times New Roman" w:eastAsiaTheme="minorEastAsia"/>
                      <w:color w:val="auto"/>
                      <w:sz w:val="21"/>
                      <w:szCs w:val="21"/>
                      <w:highlight w:val="none"/>
                      <w:vertAlign w:val="superscript"/>
                      <w:lang w:val="en-US" w:eastAsia="zh-CN"/>
                    </w:rPr>
                    <w:t>2</w:t>
                  </w:r>
                  <w:r>
                    <w:rPr>
                      <w:rFonts w:hint="eastAsia" w:ascii="Times New Roman" w:hAnsi="Times New Roman" w:cs="Times New Roman" w:eastAsiaTheme="minorEastAsia"/>
                      <w:color w:val="auto"/>
                      <w:sz w:val="21"/>
                      <w:szCs w:val="21"/>
                      <w:highlight w:val="none"/>
                      <w:lang w:val="en-US" w:eastAsia="zh-CN"/>
                    </w:rPr>
                    <w:t>，六角空心砖内种草护坡2400m</w:t>
                  </w:r>
                  <w:r>
                    <w:rPr>
                      <w:rFonts w:hint="eastAsia" w:ascii="Times New Roman" w:hAnsi="Times New Roman" w:cs="Times New Roman" w:eastAsiaTheme="minorEastAsia"/>
                      <w:color w:val="auto"/>
                      <w:sz w:val="21"/>
                      <w:szCs w:val="21"/>
                      <w:highlight w:val="none"/>
                      <w:vertAlign w:val="superscript"/>
                      <w:lang w:val="en-US" w:eastAsia="zh-CN"/>
                    </w:rPr>
                    <w:t>2</w:t>
                  </w:r>
                  <w:r>
                    <w:rPr>
                      <w:rFonts w:hint="eastAsia" w:ascii="Times New Roman" w:hAnsi="Times New Roman" w:cs="Times New Roman" w:eastAsiaTheme="minorEastAsia"/>
                      <w:color w:val="auto"/>
                      <w:sz w:val="21"/>
                      <w:szCs w:val="21"/>
                      <w:highlight w:val="none"/>
                      <w:lang w:val="en-US" w:eastAsia="zh-CN"/>
                    </w:rPr>
                    <w:t>。</w:t>
                  </w:r>
                </w:p>
              </w:tc>
              <w:tc>
                <w:tcPr>
                  <w:tcW w:w="694" w:type="dxa"/>
                  <w:noWrap w:val="0"/>
                  <w:vAlign w:val="center"/>
                </w:tcPr>
                <w:p>
                  <w:pPr>
                    <w:pStyle w:val="44"/>
                    <w:keepNext w:val="0"/>
                    <w:keepLines w:val="0"/>
                    <w:suppressLineNumbers w:val="0"/>
                    <w:adjustRightInd w:val="0"/>
                    <w:snapToGrid w:val="0"/>
                    <w:spacing w:before="0" w:beforeAutospacing="0" w:after="0" w:afterAutospacing="0" w:line="240" w:lineRule="atLeast"/>
                    <w:ind w:left="0" w:leftChars="0" w:right="0" w:rightChars="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8" w:hRule="atLeast"/>
                <w:jc w:val="center"/>
              </w:trPr>
              <w:tc>
                <w:tcPr>
                  <w:tcW w:w="1618" w:type="pct"/>
                  <w:gridSpan w:val="3"/>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防渗</w:t>
                  </w:r>
                </w:p>
              </w:tc>
              <w:tc>
                <w:tcPr>
                  <w:tcW w:w="4862" w:type="dxa"/>
                  <w:noWrap w:val="0"/>
                  <w:vAlign w:val="center"/>
                </w:tcPr>
                <w:p>
                  <w:pPr>
                    <w:pStyle w:val="44"/>
                    <w:keepNext w:val="0"/>
                    <w:keepLines w:val="0"/>
                    <w:suppressLineNumbers w:val="0"/>
                    <w:adjustRightInd w:val="0"/>
                    <w:snapToGrid w:val="0"/>
                    <w:spacing w:before="0" w:beforeAutospacing="0" w:after="0" w:afterAutospacing="0" w:line="240" w:lineRule="atLeast"/>
                    <w:ind w:left="0" w:leftChars="0" w:right="0" w:rightChars="0"/>
                    <w:jc w:val="center"/>
                    <w:rPr>
                      <w:rFonts w:hint="eastAsia" w:asciiTheme="minorEastAsia" w:hAnsiTheme="minorEastAsia" w:eastAsiaTheme="minorEastAsia" w:cstheme="minorEastAsia"/>
                      <w:color w:val="auto"/>
                      <w:sz w:val="21"/>
                      <w:szCs w:val="21"/>
                      <w:highlight w:val="none"/>
                      <w:lang w:val="en-US" w:eastAsia="zh-CN"/>
                    </w:rPr>
                  </w:pPr>
                  <w:r>
                    <w:rPr>
                      <w:rFonts w:hint="default"/>
                      <w:sz w:val="21"/>
                      <w:szCs w:val="21"/>
                      <w:highlight w:val="none"/>
                      <w:lang w:val="en-US" w:eastAsia="zh-CN"/>
                    </w:rPr>
                    <w:t>事故油池</w:t>
                  </w:r>
                  <w:r>
                    <w:rPr>
                      <w:rFonts w:hint="eastAsia" w:ascii="Times New Roman" w:hAnsi="Times New Roman" w:cs="Times New Roman"/>
                      <w:color w:val="auto"/>
                      <w:sz w:val="21"/>
                      <w:szCs w:val="21"/>
                      <w:highlight w:val="none"/>
                      <w:lang w:val="en-US" w:eastAsia="zh-CN"/>
                    </w:rPr>
                    <w:t>按照《</w:t>
                  </w:r>
                  <w:r>
                    <w:rPr>
                      <w:rFonts w:ascii="宋体" w:hAnsi="宋体" w:eastAsia="宋体" w:cs="宋体"/>
                      <w:sz w:val="21"/>
                      <w:szCs w:val="21"/>
                      <w:highlight w:val="none"/>
                    </w:rPr>
                    <w:t>危险废物贮存污染控制标准</w:t>
                  </w:r>
                  <w:r>
                    <w:rPr>
                      <w:rFonts w:hint="eastAsia" w:ascii="Times New Roman" w:hAnsi="Times New Roman" w:cs="Times New Roman"/>
                      <w:color w:val="auto"/>
                      <w:sz w:val="21"/>
                      <w:szCs w:val="21"/>
                      <w:highlight w:val="none"/>
                      <w:lang w:val="en-US" w:eastAsia="zh-CN"/>
                    </w:rPr>
                    <w:t>》（GB18597-2023）要求进行建设，渗透系数不大于10</w:t>
                  </w:r>
                  <w:r>
                    <w:rPr>
                      <w:rFonts w:hint="eastAsia" w:ascii="Times New Roman" w:hAnsi="Times New Roman" w:cs="Times New Roman"/>
                      <w:color w:val="auto"/>
                      <w:sz w:val="21"/>
                      <w:szCs w:val="21"/>
                      <w:highlight w:val="none"/>
                      <w:vertAlign w:val="superscript"/>
                      <w:lang w:val="en-US" w:eastAsia="zh-CN"/>
                    </w:rPr>
                    <w:t>-10</w:t>
                  </w:r>
                  <w:r>
                    <w:rPr>
                      <w:rFonts w:hint="eastAsia" w:ascii="Times New Roman" w:hAnsi="Times New Roman" w:cs="Times New Roman"/>
                      <w:color w:val="auto"/>
                      <w:sz w:val="21"/>
                      <w:szCs w:val="21"/>
                      <w:highlight w:val="none"/>
                      <w:lang w:val="en-US" w:eastAsia="zh-CN"/>
                    </w:rPr>
                    <w:t>cm/s</w:t>
                  </w:r>
                </w:p>
              </w:tc>
              <w:tc>
                <w:tcPr>
                  <w:tcW w:w="694" w:type="dxa"/>
                  <w:noWrap w:val="0"/>
                  <w:vAlign w:val="center"/>
                </w:tcPr>
                <w:p>
                  <w:pPr>
                    <w:pStyle w:val="44"/>
                    <w:keepNext w:val="0"/>
                    <w:keepLines w:val="0"/>
                    <w:suppressLineNumbers w:val="0"/>
                    <w:adjustRightInd w:val="0"/>
                    <w:snapToGrid w:val="0"/>
                    <w:spacing w:before="0" w:beforeAutospacing="0" w:after="0" w:afterAutospacing="0" w:line="240" w:lineRule="atLeast"/>
                    <w:ind w:left="0" w:leftChars="0" w:right="0" w:rightChars="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2" w:hRule="atLeast"/>
                <w:jc w:val="center"/>
              </w:trPr>
              <w:tc>
                <w:tcPr>
                  <w:tcW w:w="782" w:type="pct"/>
                  <w:gridSpan w:val="2"/>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p>
              </w:tc>
              <w:tc>
                <w:tcPr>
                  <w:tcW w:w="3795" w:type="pct"/>
                  <w:gridSpan w:val="2"/>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合计</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万元）</w:t>
                  </w:r>
                </w:p>
              </w:tc>
              <w:tc>
                <w:tcPr>
                  <w:tcW w:w="422" w:type="pct"/>
                  <w:noWrap w:val="0"/>
                  <w:vAlign w:val="center"/>
                </w:tcPr>
                <w:p>
                  <w:pPr>
                    <w:pStyle w:val="44"/>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eastAsiaTheme="minorEastAsia"/>
                      <w:color w:val="auto"/>
                      <w:sz w:val="21"/>
                      <w:szCs w:val="21"/>
                      <w:highlight w:val="none"/>
                      <w:lang w:val="en-US" w:eastAsia="zh-CN" w:bidi="en-US"/>
                    </w:rPr>
                  </w:pPr>
                  <w:r>
                    <w:rPr>
                      <w:rFonts w:hint="eastAsia" w:ascii="Times New Roman" w:hAnsi="Times New Roman" w:cs="Times New Roman" w:eastAsiaTheme="minorEastAsia"/>
                      <w:color w:val="auto"/>
                      <w:sz w:val="21"/>
                      <w:szCs w:val="21"/>
                      <w:highlight w:val="none"/>
                      <w:lang w:val="en-US" w:eastAsia="zh-CN" w:bidi="en-US"/>
                    </w:rPr>
                    <w:t>89.6</w:t>
                  </w:r>
                </w:p>
              </w:tc>
            </w:tr>
          </w:tbl>
          <w:p>
            <w:pPr>
              <w:adjustRightInd w:val="0"/>
              <w:snapToGrid w:val="0"/>
              <w:rPr>
                <w:rFonts w:ascii="宋体" w:hAnsi="宋体" w:cs="宋体"/>
                <w:bCs/>
                <w:spacing w:val="10"/>
                <w:szCs w:val="21"/>
                <w:highlight w:val="none"/>
              </w:rPr>
            </w:pPr>
          </w:p>
          <w:p>
            <w:pPr>
              <w:pStyle w:val="22"/>
              <w:rPr>
                <w:rFonts w:ascii="宋体" w:hAnsi="宋体" w:cs="宋体"/>
                <w:bCs/>
                <w:spacing w:val="10"/>
                <w:szCs w:val="21"/>
                <w:highlight w:val="none"/>
              </w:rPr>
            </w:pPr>
          </w:p>
          <w:p>
            <w:pPr>
              <w:rPr>
                <w:rFonts w:ascii="宋体" w:hAnsi="宋体" w:cs="宋体"/>
                <w:bCs/>
                <w:spacing w:val="10"/>
                <w:szCs w:val="21"/>
                <w:highlight w:val="none"/>
              </w:rPr>
            </w:pPr>
          </w:p>
          <w:p>
            <w:pPr>
              <w:pStyle w:val="22"/>
              <w:rPr>
                <w:highlight w:val="none"/>
              </w:rPr>
            </w:pPr>
          </w:p>
        </w:tc>
      </w:tr>
    </w:tbl>
    <w:p>
      <w:pPr>
        <w:sectPr>
          <w:pgSz w:w="11907" w:h="16840"/>
          <w:pgMar w:top="1440" w:right="1797" w:bottom="1440" w:left="1797" w:header="851" w:footer="1077" w:gutter="0"/>
          <w:pgBorders>
            <w:top w:val="none" w:sz="0" w:space="0"/>
            <w:left w:val="none" w:sz="0" w:space="0"/>
            <w:bottom w:val="none" w:sz="0" w:space="0"/>
            <w:right w:val="none" w:sz="0" w:space="0"/>
          </w:pgBorders>
          <w:pgNumType w:fmt="decimal"/>
          <w:cols w:space="720" w:num="1"/>
          <w:docGrid w:linePitch="312" w:charSpace="0"/>
        </w:sectPr>
      </w:pPr>
    </w:p>
    <w:p>
      <w:pPr>
        <w:pStyle w:val="21"/>
        <w:jc w:val="center"/>
        <w:outlineLvl w:val="0"/>
        <w:rPr>
          <w:rFonts w:ascii="黑体" w:hAnsi="黑体" w:eastAsia="黑体"/>
          <w:snapToGrid w:val="0"/>
          <w:sz w:val="30"/>
          <w:szCs w:val="30"/>
        </w:rPr>
      </w:pPr>
      <w:r>
        <w:rPr>
          <w:rFonts w:hint="eastAsia" w:ascii="黑体" w:hAnsi="黑体" w:eastAsia="黑体"/>
          <w:snapToGrid w:val="0"/>
          <w:sz w:val="30"/>
          <w:szCs w:val="30"/>
        </w:rPr>
        <w:t>六、生态环境保护措施监督检查清单</w:t>
      </w: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00"/>
        <w:gridCol w:w="5026"/>
        <w:gridCol w:w="1992"/>
        <w:gridCol w:w="3456"/>
        <w:gridCol w:w="18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vMerge w:val="restart"/>
            <w:tcBorders>
              <w:tl2br w:val="single" w:color="auto" w:sz="4" w:space="0"/>
            </w:tcBorders>
            <w:noWrap w:val="0"/>
            <w:vAlign w:val="top"/>
          </w:tcPr>
          <w:p>
            <w:pPr>
              <w:pStyle w:val="21"/>
              <w:adjustRightInd w:val="0"/>
              <w:snapToGrid w:val="0"/>
              <w:spacing w:before="72" w:beforeLines="30" w:beforeAutospacing="0" w:after="0" w:afterAutospacing="0"/>
              <w:jc w:val="center"/>
              <w:outlineLvl w:val="0"/>
              <w:rPr>
                <w:rFonts w:hint="eastAsia" w:ascii="黑体" w:hAnsi="黑体" w:eastAsia="黑体" w:cs="宋体"/>
                <w:kern w:val="2"/>
                <w:sz w:val="21"/>
                <w:szCs w:val="21"/>
              </w:rPr>
            </w:pPr>
            <w:r>
              <w:rPr>
                <w:rFonts w:hint="eastAsia" w:ascii="黑体" w:hAnsi="黑体" w:eastAsia="黑体" w:cs="宋体"/>
                <w:kern w:val="2"/>
                <w:sz w:val="21"/>
                <w:szCs w:val="21"/>
              </w:rPr>
              <w:t xml:space="preserve">       </w:t>
            </w:r>
          </w:p>
          <w:p>
            <w:pPr>
              <w:pStyle w:val="21"/>
              <w:adjustRightInd w:val="0"/>
              <w:snapToGrid w:val="0"/>
              <w:spacing w:before="72" w:beforeLines="30" w:beforeAutospacing="0" w:after="0" w:afterAutospacing="0"/>
              <w:jc w:val="center"/>
              <w:outlineLvl w:val="0"/>
              <w:rPr>
                <w:rFonts w:ascii="黑体" w:hAnsi="黑体" w:eastAsia="黑体" w:cs="宋体"/>
                <w:kern w:val="2"/>
                <w:sz w:val="21"/>
                <w:szCs w:val="21"/>
              </w:rPr>
            </w:pPr>
            <w:r>
              <w:rPr>
                <w:rFonts w:hint="eastAsia" w:ascii="黑体" w:hAnsi="黑体" w:eastAsia="黑体" w:cs="宋体"/>
                <w:kern w:val="2"/>
                <w:sz w:val="21"/>
                <w:szCs w:val="21"/>
              </w:rPr>
              <w:t xml:space="preserve">       内容</w:t>
            </w:r>
          </w:p>
          <w:p>
            <w:pPr>
              <w:pStyle w:val="21"/>
              <w:adjustRightInd w:val="0"/>
              <w:snapToGrid w:val="0"/>
              <w:spacing w:before="0" w:beforeAutospacing="0" w:after="0" w:afterAutospacing="0" w:line="14" w:lineRule="auto"/>
              <w:outlineLvl w:val="0"/>
              <w:rPr>
                <w:rFonts w:hint="eastAsia" w:ascii="黑体" w:hAnsi="黑体" w:eastAsia="黑体" w:cs="宋体"/>
                <w:kern w:val="2"/>
                <w:sz w:val="135"/>
                <w:szCs w:val="21"/>
              </w:rPr>
            </w:pPr>
            <w:r>
              <w:rPr>
                <w:rFonts w:hint="eastAsia" w:ascii="黑体" w:hAnsi="黑体" w:eastAsia="黑体" w:cs="宋体"/>
                <w:kern w:val="2"/>
                <w:sz w:val="21"/>
                <w:szCs w:val="21"/>
              </w:rPr>
              <w:t xml:space="preserve"> </w:t>
            </w:r>
            <w:r>
              <w:rPr>
                <w:rFonts w:hint="eastAsia" w:ascii="黑体" w:hAnsi="黑体" w:eastAsia="黑体" w:cs="宋体"/>
                <w:kern w:val="2"/>
                <w:sz w:val="135"/>
                <w:szCs w:val="21"/>
              </w:rPr>
              <w:t xml:space="preserve"> </w:t>
            </w:r>
          </w:p>
          <w:p>
            <w:pPr>
              <w:pStyle w:val="21"/>
              <w:adjustRightInd w:val="0"/>
              <w:snapToGrid w:val="0"/>
              <w:spacing w:before="0" w:beforeAutospacing="0" w:after="0" w:afterAutospacing="0"/>
              <w:outlineLvl w:val="0"/>
              <w:rPr>
                <w:rFonts w:hint="eastAsia" w:ascii="黑体" w:hAnsi="黑体" w:eastAsia="黑体" w:cs="宋体"/>
                <w:kern w:val="2"/>
                <w:sz w:val="21"/>
                <w:szCs w:val="21"/>
              </w:rPr>
            </w:pPr>
            <w:r>
              <w:rPr>
                <w:rFonts w:hint="eastAsia" w:ascii="黑体" w:hAnsi="黑体" w:eastAsia="黑体" w:cs="宋体"/>
                <w:kern w:val="2"/>
                <w:sz w:val="21"/>
                <w:szCs w:val="21"/>
              </w:rPr>
              <w:t>要素</w:t>
            </w:r>
          </w:p>
        </w:tc>
        <w:tc>
          <w:tcPr>
            <w:tcW w:w="2475" w:type="pct"/>
            <w:gridSpan w:val="2"/>
            <w:noWrap w:val="0"/>
            <w:vAlign w:val="center"/>
          </w:tcPr>
          <w:p>
            <w:pPr>
              <w:pStyle w:val="21"/>
              <w:adjustRightInd w:val="0"/>
              <w:snapToGrid w:val="0"/>
              <w:spacing w:before="0" w:beforeAutospacing="0" w:after="0" w:afterAutospacing="0"/>
              <w:jc w:val="center"/>
              <w:outlineLvl w:val="0"/>
              <w:rPr>
                <w:rFonts w:ascii="黑体" w:hAnsi="黑体" w:eastAsia="黑体" w:cs="宋体"/>
                <w:kern w:val="2"/>
                <w:sz w:val="21"/>
                <w:szCs w:val="21"/>
              </w:rPr>
            </w:pPr>
            <w:r>
              <w:rPr>
                <w:rFonts w:hint="eastAsia" w:ascii="黑体" w:hAnsi="黑体" w:eastAsia="黑体" w:cs="宋体"/>
                <w:kern w:val="2"/>
                <w:sz w:val="21"/>
                <w:szCs w:val="21"/>
              </w:rPr>
              <w:t>施工期</w:t>
            </w:r>
          </w:p>
        </w:tc>
        <w:tc>
          <w:tcPr>
            <w:tcW w:w="1854" w:type="pct"/>
            <w:gridSpan w:val="2"/>
            <w:noWrap w:val="0"/>
            <w:vAlign w:val="center"/>
          </w:tcPr>
          <w:p>
            <w:pPr>
              <w:pStyle w:val="21"/>
              <w:adjustRightInd w:val="0"/>
              <w:snapToGrid w:val="0"/>
              <w:spacing w:before="0" w:beforeAutospacing="0" w:after="0" w:afterAutospacing="0"/>
              <w:jc w:val="center"/>
              <w:outlineLvl w:val="0"/>
              <w:rPr>
                <w:rFonts w:ascii="黑体" w:hAnsi="黑体" w:eastAsia="黑体" w:cs="宋体"/>
                <w:kern w:val="2"/>
                <w:sz w:val="21"/>
                <w:szCs w:val="21"/>
              </w:rPr>
            </w:pPr>
            <w:r>
              <w:rPr>
                <w:rFonts w:hint="eastAsia" w:ascii="黑体" w:hAnsi="黑体" w:eastAsia="黑体" w:cs="宋体"/>
                <w:kern w:val="2"/>
                <w:sz w:val="21"/>
                <w:szCs w:val="21"/>
              </w:rPr>
              <w:t>运营期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vMerge w:val="continue"/>
            <w:noWrap w:val="0"/>
            <w:vAlign w:val="top"/>
          </w:tcPr>
          <w:p>
            <w:pPr>
              <w:pStyle w:val="21"/>
              <w:adjustRightInd w:val="0"/>
              <w:snapToGrid w:val="0"/>
              <w:spacing w:before="0" w:beforeAutospacing="0" w:after="0" w:afterAutospacing="0"/>
              <w:ind w:firstLine="840"/>
              <w:jc w:val="center"/>
              <w:outlineLvl w:val="0"/>
              <w:rPr>
                <w:rFonts w:ascii="黑体" w:hAnsi="黑体" w:eastAsia="黑体" w:cs="宋体"/>
                <w:kern w:val="2"/>
                <w:sz w:val="21"/>
                <w:szCs w:val="21"/>
              </w:rPr>
            </w:pPr>
          </w:p>
        </w:tc>
        <w:tc>
          <w:tcPr>
            <w:tcW w:w="1772" w:type="pct"/>
            <w:noWrap w:val="0"/>
            <w:vAlign w:val="center"/>
          </w:tcPr>
          <w:p>
            <w:pPr>
              <w:pStyle w:val="21"/>
              <w:adjustRightInd w:val="0"/>
              <w:snapToGrid w:val="0"/>
              <w:spacing w:before="0" w:beforeAutospacing="0" w:after="0" w:afterAutospacing="0"/>
              <w:jc w:val="center"/>
              <w:outlineLvl w:val="0"/>
              <w:rPr>
                <w:rFonts w:ascii="黑体" w:hAnsi="黑体" w:eastAsia="黑体" w:cs="宋体"/>
                <w:kern w:val="2"/>
                <w:sz w:val="21"/>
                <w:szCs w:val="21"/>
              </w:rPr>
            </w:pPr>
            <w:r>
              <w:rPr>
                <w:rFonts w:hint="eastAsia" w:ascii="黑体" w:hAnsi="黑体" w:eastAsia="黑体" w:cs="宋体"/>
                <w:kern w:val="2"/>
                <w:sz w:val="21"/>
                <w:szCs w:val="21"/>
              </w:rPr>
              <w:t>环境保护措施</w:t>
            </w:r>
          </w:p>
        </w:tc>
        <w:tc>
          <w:tcPr>
            <w:tcW w:w="702" w:type="pct"/>
            <w:noWrap w:val="0"/>
            <w:vAlign w:val="center"/>
          </w:tcPr>
          <w:p>
            <w:pPr>
              <w:pStyle w:val="21"/>
              <w:adjustRightInd w:val="0"/>
              <w:snapToGrid w:val="0"/>
              <w:spacing w:before="0" w:beforeAutospacing="0" w:after="0" w:afterAutospacing="0"/>
              <w:jc w:val="center"/>
              <w:outlineLvl w:val="0"/>
              <w:rPr>
                <w:rFonts w:ascii="黑体" w:hAnsi="黑体" w:eastAsia="黑体" w:cs="宋体"/>
                <w:kern w:val="2"/>
                <w:sz w:val="21"/>
                <w:szCs w:val="21"/>
              </w:rPr>
            </w:pPr>
            <w:r>
              <w:rPr>
                <w:rFonts w:hint="eastAsia" w:ascii="黑体" w:hAnsi="黑体" w:eastAsia="黑体" w:cs="宋体"/>
                <w:kern w:val="2"/>
                <w:sz w:val="21"/>
                <w:szCs w:val="21"/>
              </w:rPr>
              <w:t>验收要求</w:t>
            </w:r>
          </w:p>
        </w:tc>
        <w:tc>
          <w:tcPr>
            <w:tcW w:w="1219" w:type="pct"/>
            <w:noWrap w:val="0"/>
            <w:vAlign w:val="center"/>
          </w:tcPr>
          <w:p>
            <w:pPr>
              <w:pStyle w:val="21"/>
              <w:adjustRightInd w:val="0"/>
              <w:snapToGrid w:val="0"/>
              <w:spacing w:before="0" w:beforeAutospacing="0" w:after="0" w:afterAutospacing="0"/>
              <w:jc w:val="center"/>
              <w:outlineLvl w:val="0"/>
              <w:rPr>
                <w:rFonts w:ascii="黑体" w:hAnsi="黑体" w:eastAsia="黑体" w:cs="宋体"/>
                <w:kern w:val="2"/>
                <w:sz w:val="21"/>
                <w:szCs w:val="21"/>
              </w:rPr>
            </w:pPr>
            <w:r>
              <w:rPr>
                <w:rFonts w:hint="eastAsia" w:ascii="黑体" w:hAnsi="黑体" w:eastAsia="黑体" w:cs="宋体"/>
                <w:kern w:val="2"/>
                <w:sz w:val="21"/>
                <w:szCs w:val="21"/>
              </w:rPr>
              <w:t>环境保护措施</w:t>
            </w:r>
          </w:p>
        </w:tc>
        <w:tc>
          <w:tcPr>
            <w:tcW w:w="634" w:type="pct"/>
            <w:noWrap w:val="0"/>
            <w:vAlign w:val="center"/>
          </w:tcPr>
          <w:p>
            <w:pPr>
              <w:pStyle w:val="21"/>
              <w:adjustRightInd w:val="0"/>
              <w:snapToGrid w:val="0"/>
              <w:spacing w:before="0" w:beforeAutospacing="0" w:after="0" w:afterAutospacing="0"/>
              <w:jc w:val="center"/>
              <w:outlineLvl w:val="0"/>
              <w:rPr>
                <w:rFonts w:ascii="黑体" w:hAnsi="黑体" w:eastAsia="黑体" w:cs="宋体"/>
                <w:kern w:val="2"/>
                <w:sz w:val="21"/>
                <w:szCs w:val="21"/>
              </w:rPr>
            </w:pPr>
            <w:r>
              <w:rPr>
                <w:rFonts w:hint="eastAsia" w:ascii="黑体" w:hAnsi="黑体" w:eastAsia="黑体" w:cs="宋体"/>
                <w:kern w:val="2"/>
                <w:sz w:val="21"/>
                <w:szCs w:val="21"/>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noWrap w:val="0"/>
            <w:vAlign w:val="center"/>
          </w:tcPr>
          <w:p>
            <w:pPr>
              <w:adjustRightInd w:val="0"/>
              <w:snapToGrid w:val="0"/>
              <w:jc w:val="center"/>
              <w:rPr>
                <w:rFonts w:ascii="宋体" w:hAnsi="宋体" w:cs="宋体"/>
                <w:szCs w:val="21"/>
              </w:rPr>
            </w:pPr>
            <w:r>
              <w:rPr>
                <w:rFonts w:hint="eastAsia" w:ascii="宋体" w:hAnsi="宋体" w:cs="宋体"/>
                <w:szCs w:val="21"/>
              </w:rPr>
              <w:t>陆生生态</w:t>
            </w:r>
          </w:p>
        </w:tc>
        <w:tc>
          <w:tcPr>
            <w:tcW w:w="1772" w:type="pct"/>
            <w:noWrap w:val="0"/>
            <w:vAlign w:val="center"/>
          </w:tcPr>
          <w:p>
            <w:pPr>
              <w:pStyle w:val="31"/>
              <w:keepNext w:val="0"/>
              <w:keepLines w:val="0"/>
              <w:pageBreakBefore w:val="0"/>
              <w:kinsoku/>
              <w:wordWrap/>
              <w:overflowPunct/>
              <w:topLinePunct w:val="0"/>
              <w:autoSpaceDE/>
              <w:autoSpaceDN/>
              <w:bidi w:val="0"/>
              <w:adjustRightInd/>
              <w:spacing w:line="360" w:lineRule="auto"/>
              <w:ind w:firstLine="420" w:firstLineChars="200"/>
              <w:jc w:val="both"/>
              <w:textAlignment w:val="auto"/>
            </w:pPr>
            <w:r>
              <w:rPr>
                <w:rFonts w:hint="default" w:ascii="宋体" w:hAnsi="宋体" w:eastAsia="宋体" w:cs="宋体"/>
                <w:kern w:val="2"/>
                <w:sz w:val="21"/>
                <w:szCs w:val="21"/>
                <w:lang w:val="en-US" w:eastAsia="zh-CN" w:bidi="ar-SA"/>
              </w:rPr>
              <w:t>工程施工加强管理，必须划定施工范围，各种施工活动应严格控制在施工区域内，场地平整过程中，表层熟土应剥离保存供后续绿化、复垦使用</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临时堆土采用彩钢板进行拦挡，覆盖防尘网，洒水降尘。施工结束后，对施工扰动区域进行土地整治，</w:t>
            </w:r>
            <w:r>
              <w:rPr>
                <w:rFonts w:hint="eastAsia" w:ascii="宋体" w:hAnsi="宋体" w:eastAsia="宋体" w:cs="宋体"/>
                <w:kern w:val="2"/>
                <w:sz w:val="21"/>
                <w:szCs w:val="21"/>
                <w:lang w:val="en-US" w:eastAsia="zh-CN" w:bidi="ar-SA"/>
              </w:rPr>
              <w:t>厂区植树种草绿化</w:t>
            </w:r>
            <w:r>
              <w:rPr>
                <w:rFonts w:hint="eastAsia" w:ascii="宋体" w:hAnsi="宋体" w:cs="宋体"/>
                <w:kern w:val="2"/>
                <w:sz w:val="21"/>
                <w:szCs w:val="21"/>
                <w:lang w:val="en-US" w:eastAsia="zh-CN" w:bidi="ar-SA"/>
              </w:rPr>
              <w:t>。做好水土保持措施</w:t>
            </w:r>
          </w:p>
        </w:tc>
        <w:tc>
          <w:tcPr>
            <w:tcW w:w="702" w:type="pct"/>
            <w:noWrap w:val="0"/>
            <w:vAlign w:val="center"/>
          </w:tcPr>
          <w:p>
            <w:pPr>
              <w:adjustRightInd w:val="0"/>
              <w:snapToGrid w:val="0"/>
              <w:spacing w:line="240" w:lineRule="auto"/>
              <w:jc w:val="center"/>
              <w:rPr>
                <w:rFonts w:ascii="宋体" w:hAnsi="宋体" w:cs="宋体"/>
                <w:sz w:val="21"/>
                <w:szCs w:val="21"/>
              </w:rPr>
            </w:pPr>
            <w:r>
              <w:rPr>
                <w:rFonts w:hint="eastAsia" w:ascii="Times New Roman" w:hAnsi="Times New Roman" w:eastAsia="宋体" w:cs="Times New Roman"/>
                <w:color w:val="auto"/>
                <w:sz w:val="21"/>
                <w:szCs w:val="21"/>
                <w:highlight w:val="none"/>
                <w:lang w:val="en-US" w:eastAsia="zh-CN"/>
              </w:rPr>
              <w:t>严格控制施工区域，不另外新增临时占地</w:t>
            </w:r>
          </w:p>
        </w:tc>
        <w:tc>
          <w:tcPr>
            <w:tcW w:w="1219" w:type="pct"/>
            <w:noWrap w:val="0"/>
            <w:vAlign w:val="center"/>
          </w:tcPr>
          <w:p>
            <w:pPr>
              <w:adjustRightInd w:val="0"/>
              <w:snapToGrid w:val="0"/>
              <w:jc w:val="center"/>
            </w:pPr>
            <w:r>
              <w:rPr>
                <w:rFonts w:hint="eastAsia"/>
                <w:lang w:val="en-US" w:eastAsia="zh-CN"/>
              </w:rPr>
              <w:t>/</w:t>
            </w:r>
          </w:p>
        </w:tc>
        <w:tc>
          <w:tcPr>
            <w:tcW w:w="634" w:type="pct"/>
            <w:noWrap w:val="0"/>
            <w:vAlign w:val="center"/>
          </w:tcPr>
          <w:p>
            <w:pPr>
              <w:adjustRightInd w:val="0"/>
              <w:snapToGrid w:val="0"/>
              <w:jc w:val="center"/>
              <w:rPr>
                <w:rFonts w:hint="eastAsia" w:ascii="宋体" w:hAnsi="宋体" w:eastAsia="宋体" w:cs="宋体"/>
                <w:szCs w:val="21"/>
                <w:lang w:val="en-US" w:eastAsia="zh-CN"/>
              </w:rPr>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670" w:type="pct"/>
            <w:noWrap w:val="0"/>
            <w:vAlign w:val="center"/>
          </w:tcPr>
          <w:p>
            <w:pPr>
              <w:adjustRightInd w:val="0"/>
              <w:snapToGrid w:val="0"/>
              <w:jc w:val="center"/>
              <w:rPr>
                <w:rFonts w:ascii="宋体" w:hAnsi="宋体" w:cs="宋体"/>
                <w:szCs w:val="21"/>
              </w:rPr>
            </w:pPr>
            <w:r>
              <w:rPr>
                <w:rFonts w:hint="eastAsia" w:ascii="宋体" w:hAnsi="宋体" w:cs="宋体"/>
                <w:szCs w:val="21"/>
              </w:rPr>
              <w:t>水生生态</w:t>
            </w:r>
          </w:p>
        </w:tc>
        <w:tc>
          <w:tcPr>
            <w:tcW w:w="1772" w:type="pct"/>
            <w:noWrap w:val="0"/>
            <w:vAlign w:val="center"/>
          </w:tcPr>
          <w:p>
            <w:pPr>
              <w:adjustRightInd w:val="0"/>
              <w:snapToGrid w:val="0"/>
              <w:spacing w:line="24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w:t>
            </w:r>
          </w:p>
        </w:tc>
        <w:tc>
          <w:tcPr>
            <w:tcW w:w="702" w:type="pct"/>
            <w:noWrap w:val="0"/>
            <w:vAlign w:val="center"/>
          </w:tcPr>
          <w:p>
            <w:pPr>
              <w:adjustRightInd w:val="0"/>
              <w:snapToGrid w:val="0"/>
              <w:spacing w:line="24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w:t>
            </w:r>
          </w:p>
        </w:tc>
        <w:tc>
          <w:tcPr>
            <w:tcW w:w="1219" w:type="pct"/>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w:t>
            </w:r>
          </w:p>
        </w:tc>
        <w:tc>
          <w:tcPr>
            <w:tcW w:w="634" w:type="pct"/>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noWrap w:val="0"/>
            <w:vAlign w:val="center"/>
          </w:tcPr>
          <w:p>
            <w:pPr>
              <w:adjustRightInd w:val="0"/>
              <w:snapToGrid w:val="0"/>
              <w:jc w:val="center"/>
              <w:rPr>
                <w:rFonts w:ascii="宋体" w:hAnsi="宋体" w:cs="宋体"/>
                <w:szCs w:val="21"/>
              </w:rPr>
            </w:pPr>
            <w:r>
              <w:rPr>
                <w:rFonts w:hint="eastAsia" w:ascii="宋体" w:hAnsi="宋体" w:cs="宋体"/>
                <w:szCs w:val="21"/>
              </w:rPr>
              <w:t>地表水环境</w:t>
            </w:r>
          </w:p>
        </w:tc>
        <w:tc>
          <w:tcPr>
            <w:tcW w:w="1772" w:type="pct"/>
            <w:noWrap w:val="0"/>
            <w:vAlign w:val="center"/>
          </w:tcPr>
          <w:p>
            <w:pPr>
              <w:adjustRightInd w:val="0"/>
              <w:snapToGrid w:val="0"/>
              <w:spacing w:line="240" w:lineRule="auto"/>
              <w:jc w:val="center"/>
              <w:rPr>
                <w:rFonts w:hint="eastAsia" w:ascii="宋体" w:hAnsi="宋体" w:cs="宋体"/>
                <w:sz w:val="21"/>
                <w:szCs w:val="21"/>
                <w:lang w:val="en-US" w:eastAsia="zh-CN"/>
              </w:rPr>
            </w:pPr>
            <w:r>
              <w:rPr>
                <w:rFonts w:hint="default" w:ascii="宋体" w:hAnsi="宋体" w:cs="宋体"/>
                <w:sz w:val="21"/>
                <w:szCs w:val="21"/>
                <w:lang w:val="en-US" w:eastAsia="zh-CN"/>
              </w:rPr>
              <w:t>施工废水经沉淀池沉淀后循环利用；</w:t>
            </w:r>
            <w:r>
              <w:rPr>
                <w:rFonts w:hint="eastAsia" w:ascii="宋体" w:hAnsi="宋体" w:cs="宋体"/>
                <w:sz w:val="21"/>
                <w:szCs w:val="21"/>
                <w:lang w:val="en-US" w:eastAsia="zh-CN"/>
              </w:rPr>
              <w:t>本项目施工期施工人员产生的生活污水在施工场地设置临时化粪池，定期由吸粪车输送至工业场地既有生活污水处理站统一处理后回用，不外排；井筒掘进过程中产生的废水由抽水车定期集中抽排，运送至工业场地既有矿井水处理站处理后回用；</w:t>
            </w:r>
          </w:p>
        </w:tc>
        <w:tc>
          <w:tcPr>
            <w:tcW w:w="702" w:type="pct"/>
            <w:noWrap w:val="0"/>
            <w:vAlign w:val="center"/>
          </w:tcPr>
          <w:p>
            <w:pPr>
              <w:adjustRightInd w:val="0"/>
              <w:snapToGrid w:val="0"/>
              <w:spacing w:line="240" w:lineRule="auto"/>
              <w:jc w:val="center"/>
              <w:rPr>
                <w:rFonts w:ascii="宋体" w:hAnsi="宋体" w:cs="宋体"/>
                <w:sz w:val="21"/>
                <w:szCs w:val="21"/>
              </w:rPr>
            </w:pPr>
            <w:r>
              <w:rPr>
                <w:rFonts w:hint="eastAsia" w:ascii="宋体" w:hAnsi="宋体" w:cs="宋体"/>
                <w:sz w:val="21"/>
                <w:szCs w:val="21"/>
                <w:lang w:val="en-US" w:eastAsia="zh-CN"/>
              </w:rPr>
              <w:t>废水不外排</w:t>
            </w:r>
          </w:p>
        </w:tc>
        <w:tc>
          <w:tcPr>
            <w:tcW w:w="1219" w:type="pct"/>
            <w:noWrap w:val="0"/>
            <w:vAlign w:val="center"/>
          </w:tcPr>
          <w:p>
            <w:pPr>
              <w:adjustRightInd w:val="0"/>
              <w:snapToGrid w:val="0"/>
              <w:spacing w:line="24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本项目不新增生活污水。</w:t>
            </w:r>
            <w:r>
              <w:rPr>
                <w:rFonts w:hint="default" w:ascii="宋体" w:hAnsi="宋体" w:cs="宋体"/>
                <w:sz w:val="21"/>
                <w:szCs w:val="21"/>
                <w:lang w:val="en-US" w:eastAsia="zh-CN"/>
              </w:rPr>
              <w:t>乏风取热设施废水</w:t>
            </w:r>
            <w:r>
              <w:rPr>
                <w:rFonts w:hint="eastAsia" w:ascii="宋体" w:hAnsi="宋体" w:cs="宋体"/>
                <w:sz w:val="21"/>
                <w:szCs w:val="21"/>
                <w:lang w:val="en-US" w:eastAsia="zh-CN"/>
              </w:rPr>
              <w:t>由</w:t>
            </w:r>
            <w:r>
              <w:rPr>
                <w:rFonts w:hint="default" w:ascii="宋体" w:hAnsi="宋体" w:cs="宋体"/>
                <w:sz w:val="21"/>
                <w:szCs w:val="21"/>
                <w:lang w:val="en-US" w:eastAsia="zh-CN"/>
              </w:rPr>
              <w:t>凝结水池收集后进入雨水收集池，</w:t>
            </w:r>
            <w:r>
              <w:rPr>
                <w:rFonts w:hint="eastAsia" w:ascii="宋体" w:hAnsi="宋体" w:cs="宋体"/>
                <w:sz w:val="21"/>
                <w:szCs w:val="21"/>
                <w:lang w:val="en-US" w:eastAsia="zh-CN"/>
              </w:rPr>
              <w:t>最终</w:t>
            </w:r>
            <w:r>
              <w:rPr>
                <w:rFonts w:hint="default" w:ascii="宋体" w:hAnsi="宋体" w:cs="宋体"/>
                <w:sz w:val="21"/>
                <w:szCs w:val="21"/>
                <w:lang w:val="en-US" w:eastAsia="zh-CN"/>
              </w:rPr>
              <w:t>送至塔然高勒煤矿矿井水处理站进行处理。</w:t>
            </w:r>
          </w:p>
          <w:p>
            <w:pPr>
              <w:adjustRightInd w:val="0"/>
              <w:snapToGrid w:val="0"/>
              <w:spacing w:line="240" w:lineRule="auto"/>
              <w:jc w:val="center"/>
              <w:rPr>
                <w:rFonts w:hint="eastAsia" w:ascii="宋体" w:hAnsi="宋体" w:eastAsia="宋体" w:cs="宋体"/>
                <w:szCs w:val="21"/>
                <w:lang w:val="en-US" w:eastAsia="zh-CN"/>
              </w:rPr>
            </w:pPr>
            <w:r>
              <w:rPr>
                <w:rFonts w:hint="default" w:ascii="宋体" w:hAnsi="宋体" w:cs="宋体"/>
                <w:sz w:val="21"/>
                <w:szCs w:val="21"/>
                <w:lang w:val="en-US" w:eastAsia="zh-CN"/>
              </w:rPr>
              <w:t>初期雨水池内储存的初期雨水送至塔然高勒煤矿矿井水处理站进行处理。</w:t>
            </w:r>
          </w:p>
        </w:tc>
        <w:tc>
          <w:tcPr>
            <w:tcW w:w="634" w:type="pct"/>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处理后回用，不外排</w:t>
            </w:r>
          </w:p>
          <w:p>
            <w:pPr>
              <w:adjustRightInd w:val="0"/>
              <w:snapToGrid w:val="0"/>
              <w:jc w:val="center"/>
              <w:rPr>
                <w:rFonts w:hint="eastAsia" w:ascii="宋体" w:hAnsi="宋体" w:eastAsia="宋体" w:cs="宋体"/>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70" w:type="pct"/>
            <w:noWrap w:val="0"/>
            <w:vAlign w:val="center"/>
          </w:tcPr>
          <w:p>
            <w:pPr>
              <w:adjustRightInd w:val="0"/>
              <w:snapToGrid w:val="0"/>
              <w:jc w:val="center"/>
              <w:rPr>
                <w:rFonts w:ascii="宋体" w:hAnsi="宋体" w:cs="宋体"/>
                <w:szCs w:val="21"/>
              </w:rPr>
            </w:pPr>
            <w:r>
              <w:rPr>
                <w:rFonts w:hint="eastAsia" w:ascii="宋体" w:hAnsi="宋体" w:cs="宋体"/>
                <w:szCs w:val="21"/>
              </w:rPr>
              <w:t>地下水及土壤环境</w:t>
            </w:r>
          </w:p>
        </w:tc>
        <w:tc>
          <w:tcPr>
            <w:tcW w:w="1772" w:type="pct"/>
            <w:noWrap w:val="0"/>
            <w:vAlign w:val="center"/>
          </w:tcPr>
          <w:p>
            <w:pPr>
              <w:adjustRightInd w:val="0"/>
              <w:snapToGrid w:val="0"/>
              <w:spacing w:line="240" w:lineRule="auto"/>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w:t>
            </w:r>
          </w:p>
        </w:tc>
        <w:tc>
          <w:tcPr>
            <w:tcW w:w="702" w:type="pct"/>
            <w:noWrap w:val="0"/>
            <w:vAlign w:val="center"/>
          </w:tcPr>
          <w:p>
            <w:pPr>
              <w:adjustRightInd w:val="0"/>
              <w:snapToGrid w:val="0"/>
              <w:spacing w:line="240" w:lineRule="auto"/>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w:t>
            </w:r>
          </w:p>
        </w:tc>
        <w:tc>
          <w:tcPr>
            <w:tcW w:w="1219" w:type="pct"/>
            <w:noWrap w:val="0"/>
            <w:vAlign w:val="center"/>
          </w:tcPr>
          <w:p>
            <w:pPr>
              <w:adjustRightInd w:val="0"/>
              <w:snapToGrid w:val="0"/>
              <w:jc w:val="center"/>
              <w:rPr>
                <w:rFonts w:hint="eastAsia" w:ascii="宋体" w:hAnsi="宋体" w:eastAsia="宋体" w:cs="宋体"/>
                <w:szCs w:val="21"/>
                <w:highlight w:val="none"/>
                <w:lang w:val="en-US" w:eastAsia="zh-CN"/>
              </w:rPr>
            </w:pPr>
            <w:r>
              <w:rPr>
                <w:rFonts w:hint="default"/>
                <w:sz w:val="21"/>
                <w:szCs w:val="21"/>
                <w:highlight w:val="none"/>
                <w:lang w:val="en-US" w:eastAsia="zh-CN"/>
              </w:rPr>
              <w:t>事故油池</w:t>
            </w:r>
            <w:r>
              <w:rPr>
                <w:rFonts w:hint="eastAsia" w:ascii="Times New Roman" w:hAnsi="Times New Roman" w:cs="Times New Roman"/>
                <w:color w:val="auto"/>
                <w:sz w:val="21"/>
                <w:szCs w:val="21"/>
                <w:highlight w:val="none"/>
                <w:lang w:val="en-US" w:eastAsia="zh-CN"/>
              </w:rPr>
              <w:t>按照《</w:t>
            </w:r>
            <w:r>
              <w:rPr>
                <w:rFonts w:ascii="宋体" w:hAnsi="宋体" w:eastAsia="宋体" w:cs="宋体"/>
                <w:sz w:val="21"/>
                <w:szCs w:val="21"/>
                <w:highlight w:val="none"/>
              </w:rPr>
              <w:t>危险废物贮存污染控制标准</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GB18597</w:t>
            </w:r>
            <w:r>
              <w:rPr>
                <w:rFonts w:hint="eastAsia"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2023）要求进行建设，渗透系数不大于10</w:t>
            </w:r>
            <w:r>
              <w:rPr>
                <w:rFonts w:hint="eastAsia" w:cs="Times New Roman"/>
                <w:color w:val="auto"/>
                <w:sz w:val="21"/>
                <w:szCs w:val="21"/>
                <w:highlight w:val="none"/>
                <w:vertAlign w:val="superscript"/>
                <w:lang w:val="en-US" w:eastAsia="zh-CN"/>
              </w:rPr>
              <w:t>-</w:t>
            </w:r>
            <w:r>
              <w:rPr>
                <w:rFonts w:hint="eastAsia" w:ascii="Times New Roman" w:hAnsi="Times New Roman" w:cs="Times New Roman"/>
                <w:color w:val="auto"/>
                <w:sz w:val="21"/>
                <w:szCs w:val="21"/>
                <w:highlight w:val="none"/>
                <w:vertAlign w:val="superscript"/>
                <w:lang w:val="en-US" w:eastAsia="zh-CN"/>
              </w:rPr>
              <w:t>10</w:t>
            </w:r>
            <w:r>
              <w:rPr>
                <w:rFonts w:hint="eastAsia" w:ascii="Times New Roman" w:hAnsi="Times New Roman" w:cs="Times New Roman"/>
                <w:color w:val="auto"/>
                <w:sz w:val="21"/>
                <w:szCs w:val="21"/>
                <w:highlight w:val="none"/>
                <w:lang w:val="en-US" w:eastAsia="zh-CN"/>
              </w:rPr>
              <w:t>cm/s</w:t>
            </w:r>
          </w:p>
        </w:tc>
        <w:tc>
          <w:tcPr>
            <w:tcW w:w="634" w:type="pct"/>
            <w:noWrap w:val="0"/>
            <w:vAlign w:val="center"/>
          </w:tcPr>
          <w:p>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按要求执行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noWrap w:val="0"/>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声环境</w:t>
            </w:r>
          </w:p>
        </w:tc>
        <w:tc>
          <w:tcPr>
            <w:tcW w:w="1772" w:type="pct"/>
            <w:noWrap w:val="0"/>
            <w:vAlign w:val="center"/>
          </w:tcPr>
          <w:p>
            <w:pPr>
              <w:adjustRightInd w:val="0"/>
              <w:snapToGrid w:val="0"/>
              <w:spacing w:line="240" w:lineRule="auto"/>
              <w:jc w:val="center"/>
              <w:rPr>
                <w:rFonts w:hint="eastAsia" w:cs="Times New Roman"/>
                <w:sz w:val="21"/>
                <w:szCs w:val="21"/>
                <w:highlight w:val="none"/>
                <w:lang w:eastAsia="zh-CN"/>
              </w:rPr>
            </w:pPr>
            <w:r>
              <w:rPr>
                <w:rFonts w:ascii="Times New Roman" w:hAnsi="Times New Roman" w:cs="Times New Roman"/>
                <w:sz w:val="21"/>
                <w:szCs w:val="21"/>
                <w:highlight w:val="none"/>
              </w:rPr>
              <w:t>采用合理安排施工作业时间，</w:t>
            </w:r>
            <w:r>
              <w:rPr>
                <w:rFonts w:hint="eastAsia" w:cs="Times New Roman"/>
                <w:sz w:val="21"/>
                <w:szCs w:val="21"/>
                <w:highlight w:val="none"/>
                <w:lang w:val="en-US" w:eastAsia="zh-CN"/>
              </w:rPr>
              <w:t>禁止夜间施工，</w:t>
            </w:r>
            <w:r>
              <w:rPr>
                <w:rFonts w:ascii="Times New Roman" w:hAnsi="Times New Roman" w:cs="Times New Roman"/>
                <w:sz w:val="21"/>
                <w:szCs w:val="21"/>
                <w:highlight w:val="none"/>
              </w:rPr>
              <w:t>优先选用高效低噪声设备，减少高噪声设备同时作业，</w:t>
            </w:r>
            <w:r>
              <w:rPr>
                <w:rFonts w:hint="eastAsia" w:ascii="Times New Roman" w:hAnsi="Times New Roman" w:cs="Times New Roman"/>
                <w:sz w:val="21"/>
                <w:szCs w:val="21"/>
                <w:highlight w:val="none"/>
                <w:lang w:val="en-US" w:eastAsia="zh-CN"/>
              </w:rPr>
              <w:t>对机械操作人员佩戴防护耳塞，加强施工组织管理，对位置相对固定的机械设备，如电锯等，设置在工棚内，</w:t>
            </w:r>
            <w:r>
              <w:rPr>
                <w:rFonts w:ascii="Times New Roman" w:hAnsi="Times New Roman" w:cs="Times New Roman"/>
                <w:sz w:val="21"/>
                <w:szCs w:val="21"/>
                <w:highlight w:val="none"/>
              </w:rPr>
              <w:t>进出车辆合理安排，尽量减少鸣笛</w:t>
            </w:r>
            <w:r>
              <w:rPr>
                <w:rFonts w:hint="eastAsia" w:ascii="宋体" w:hAnsi="宋体" w:eastAsia="宋体" w:cs="宋体"/>
                <w:sz w:val="21"/>
                <w:szCs w:val="21"/>
                <w:highlight w:val="none"/>
                <w:lang w:val="en-US" w:eastAsia="zh-CN"/>
              </w:rPr>
              <w:t>；</w:t>
            </w:r>
            <w:r>
              <w:rPr>
                <w:rFonts w:hint="eastAsia" w:ascii="Times New Roman" w:hAnsi="Times New Roman" w:cs="Times New Roman"/>
                <w:sz w:val="21"/>
                <w:szCs w:val="21"/>
                <w:highlight w:val="none"/>
                <w:lang w:eastAsia="zh-CN"/>
              </w:rPr>
              <w:t>距敏感点较近</w:t>
            </w:r>
            <w:r>
              <w:rPr>
                <w:rFonts w:hint="eastAsia" w:cs="Times New Roman"/>
                <w:sz w:val="21"/>
                <w:szCs w:val="21"/>
                <w:highlight w:val="none"/>
                <w:lang w:val="en-US" w:eastAsia="zh-CN"/>
              </w:rPr>
              <w:t>处施工时，</w:t>
            </w:r>
            <w:r>
              <w:rPr>
                <w:rFonts w:hint="eastAsia" w:ascii="Times New Roman" w:hAnsi="Times New Roman" w:cs="Times New Roman"/>
                <w:sz w:val="21"/>
                <w:szCs w:val="21"/>
                <w:highlight w:val="none"/>
                <w:lang w:eastAsia="zh-CN"/>
              </w:rPr>
              <w:t>可设置临时声屏障</w:t>
            </w:r>
            <w:r>
              <w:rPr>
                <w:rFonts w:hint="eastAsia" w:cs="Times New Roman"/>
                <w:sz w:val="21"/>
                <w:szCs w:val="21"/>
                <w:highlight w:val="none"/>
                <w:lang w:val="en-US" w:eastAsia="zh-CN"/>
              </w:rPr>
              <w:t>，禁止夜间施工，严禁在中午12：00-14：00和夜间22：00-次日6：00期间施工。提高操作水平，距离敏感点较近处不得使用高噪声的施工机械，施工时告知周边受影响居民，做好同居民的沟通、补偿工作。</w:t>
            </w:r>
          </w:p>
        </w:tc>
        <w:tc>
          <w:tcPr>
            <w:tcW w:w="702" w:type="pct"/>
            <w:noWrap w:val="0"/>
            <w:vAlign w:val="center"/>
          </w:tcPr>
          <w:p>
            <w:pPr>
              <w:adjustRightInd w:val="0"/>
              <w:snapToGrid w:val="0"/>
              <w:spacing w:line="240" w:lineRule="auto"/>
              <w:jc w:val="center"/>
              <w:rPr>
                <w:rFonts w:ascii="宋体" w:hAnsi="宋体" w:cs="宋体"/>
                <w:sz w:val="21"/>
                <w:szCs w:val="21"/>
                <w:highlight w:val="none"/>
              </w:rPr>
            </w:pPr>
            <w:r>
              <w:rPr>
                <w:rFonts w:hint="default" w:ascii="Times New Roman" w:hAnsi="Times New Roman" w:cs="Times New Roman"/>
                <w:sz w:val="21"/>
                <w:szCs w:val="21"/>
                <w:highlight w:val="none"/>
                <w:lang w:val="en-US" w:eastAsia="zh-CN"/>
              </w:rPr>
              <w:t>满足《建筑施工场界环境噪声排放标准》</w:t>
            </w:r>
            <w:r>
              <w:rPr>
                <w:rFonts w:hint="eastAsia" w:cs="Times New Roman"/>
                <w:sz w:val="21"/>
                <w:szCs w:val="21"/>
                <w:highlight w:val="none"/>
                <w:lang w:val="en-US" w:eastAsia="zh-CN"/>
              </w:rPr>
              <w:t>（</w:t>
            </w:r>
            <w:r>
              <w:rPr>
                <w:rFonts w:hint="default" w:ascii="Times New Roman" w:hAnsi="Times New Roman" w:cs="Times New Roman"/>
                <w:sz w:val="21"/>
                <w:szCs w:val="21"/>
                <w:highlight w:val="none"/>
                <w:lang w:val="en-US" w:eastAsia="zh-CN"/>
              </w:rPr>
              <w:t>GB12523</w:t>
            </w:r>
            <w:r>
              <w:rPr>
                <w:rFonts w:hint="eastAsia" w:cs="Times New Roman"/>
                <w:sz w:val="21"/>
                <w:szCs w:val="21"/>
                <w:highlight w:val="none"/>
                <w:lang w:val="en-US" w:eastAsia="zh-CN"/>
              </w:rPr>
              <w:t>-</w:t>
            </w:r>
            <w:r>
              <w:rPr>
                <w:rFonts w:hint="default" w:ascii="Times New Roman" w:hAnsi="Times New Roman" w:cs="Times New Roman"/>
                <w:sz w:val="21"/>
                <w:szCs w:val="21"/>
                <w:highlight w:val="none"/>
                <w:lang w:val="en-US" w:eastAsia="zh-CN"/>
              </w:rPr>
              <w:t>2011</w:t>
            </w:r>
            <w:r>
              <w:rPr>
                <w:rFonts w:hint="eastAsia" w:cs="Times New Roman"/>
                <w:sz w:val="21"/>
                <w:szCs w:val="21"/>
                <w:highlight w:val="none"/>
                <w:lang w:val="en-US" w:eastAsia="zh-CN"/>
              </w:rPr>
              <w:t>）</w:t>
            </w:r>
            <w:r>
              <w:rPr>
                <w:rFonts w:hint="default" w:ascii="Times New Roman" w:hAnsi="Times New Roman" w:cs="Times New Roman"/>
                <w:sz w:val="21"/>
                <w:szCs w:val="21"/>
                <w:highlight w:val="none"/>
                <w:lang w:val="en-US" w:eastAsia="zh-CN"/>
              </w:rPr>
              <w:t>中的标准限值</w:t>
            </w:r>
          </w:p>
        </w:tc>
        <w:tc>
          <w:tcPr>
            <w:tcW w:w="1219" w:type="pct"/>
            <w:noWrap w:val="0"/>
            <w:vAlign w:val="center"/>
          </w:tcPr>
          <w:p>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选用低噪声设备，通风机进、出气口安装消声器，设置隔声罩。通风机机座进行隔震处理。空压机进气口安装消声器；空压机机体加装隔声罩；在压风机房内设置隔声间。对于泵机选用低噪声设备，设置减振机座、隔声门窗，泵机均在出入口设置软接头，并设置减振基础。道路两旁进行绿化、加强路面管理。加强进入本项目区车辆的运输管理，经过敏感点道路段限速，禁止鸣笛。</w:t>
            </w:r>
            <w:r>
              <w:rPr>
                <w:rFonts w:hint="eastAsia"/>
                <w:spacing w:val="0"/>
                <w:w w:val="100"/>
                <w:position w:val="0"/>
                <w:sz w:val="21"/>
                <w:szCs w:val="21"/>
                <w:highlight w:val="none"/>
                <w:lang w:val="en-US" w:eastAsia="zh-CN"/>
              </w:rPr>
              <w:t>车辆经过敏感点路段限速5km/h；定期对敏感点进行噪声跟踪监测措施</w:t>
            </w:r>
          </w:p>
        </w:tc>
        <w:tc>
          <w:tcPr>
            <w:tcW w:w="634" w:type="pct"/>
            <w:noWrap w:val="0"/>
            <w:vAlign w:val="center"/>
          </w:tcPr>
          <w:p>
            <w:pPr>
              <w:adjustRightInd w:val="0"/>
              <w:snapToGrid w:val="0"/>
              <w:spacing w:line="240" w:lineRule="auto"/>
              <w:jc w:val="center"/>
              <w:rPr>
                <w:rFonts w:hint="eastAsia"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《工业企业厂界环境噪声排放标准》</w:t>
            </w:r>
            <w:r>
              <w:rPr>
                <w:rFonts w:hint="eastAsia" w:cs="Times New Roman"/>
                <w:sz w:val="21"/>
                <w:szCs w:val="21"/>
                <w:highlight w:val="none"/>
                <w:lang w:val="en-US" w:eastAsia="zh-CN"/>
              </w:rPr>
              <w:t>（</w:t>
            </w:r>
            <w:r>
              <w:rPr>
                <w:rFonts w:hint="eastAsia" w:ascii="Times New Roman" w:hAnsi="Times New Roman" w:cs="Times New Roman"/>
                <w:sz w:val="21"/>
                <w:szCs w:val="21"/>
                <w:highlight w:val="none"/>
                <w:lang w:val="en-US" w:eastAsia="zh-CN"/>
              </w:rPr>
              <w:t>GB12348</w:t>
            </w:r>
            <w:r>
              <w:rPr>
                <w:rFonts w:hint="eastAsia" w:cs="Times New Roman"/>
                <w:sz w:val="21"/>
                <w:szCs w:val="21"/>
                <w:highlight w:val="none"/>
                <w:lang w:val="en-US" w:eastAsia="zh-CN"/>
              </w:rPr>
              <w:t>-</w:t>
            </w:r>
            <w:r>
              <w:rPr>
                <w:rFonts w:hint="eastAsia" w:ascii="Times New Roman" w:hAnsi="Times New Roman" w:cs="Times New Roman"/>
                <w:sz w:val="21"/>
                <w:szCs w:val="21"/>
                <w:highlight w:val="none"/>
                <w:lang w:val="en-US" w:eastAsia="zh-CN"/>
              </w:rPr>
              <w:t>2008</w:t>
            </w:r>
            <w:r>
              <w:rPr>
                <w:rFonts w:hint="eastAsia" w:cs="Times New Roman"/>
                <w:sz w:val="21"/>
                <w:szCs w:val="21"/>
                <w:highlight w:val="none"/>
                <w:lang w:val="en-US" w:eastAsia="zh-CN"/>
              </w:rPr>
              <w:t>）</w:t>
            </w:r>
            <w:r>
              <w:rPr>
                <w:rFonts w:hint="eastAsia" w:ascii="Times New Roman" w:hAnsi="Times New Roman" w:cs="Times New Roman"/>
                <w:sz w:val="21"/>
                <w:szCs w:val="21"/>
                <w:highlight w:val="none"/>
                <w:lang w:val="en-US" w:eastAsia="zh-CN"/>
              </w:rPr>
              <w:t>的</w:t>
            </w:r>
            <w:r>
              <w:rPr>
                <w:rFonts w:hint="eastAsia" w:cs="Times New Roman"/>
                <w:sz w:val="21"/>
                <w:szCs w:val="21"/>
                <w:highlight w:val="none"/>
                <w:lang w:val="en-US" w:eastAsia="zh-CN"/>
              </w:rPr>
              <w:t>1类</w:t>
            </w:r>
            <w:r>
              <w:rPr>
                <w:rFonts w:hint="eastAsia" w:ascii="Times New Roman" w:hAnsi="Times New Roman" w:cs="Times New Roman"/>
                <w:sz w:val="21"/>
                <w:szCs w:val="21"/>
                <w:highlight w:val="none"/>
                <w:lang w:val="en-US" w:eastAsia="zh-CN"/>
              </w:rPr>
              <w:t>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70" w:type="pct"/>
            <w:noWrap w:val="0"/>
            <w:vAlign w:val="center"/>
          </w:tcPr>
          <w:p>
            <w:pPr>
              <w:adjustRightInd w:val="0"/>
              <w:snapToGrid w:val="0"/>
              <w:jc w:val="center"/>
              <w:rPr>
                <w:rFonts w:ascii="宋体" w:hAnsi="宋体" w:cs="宋体"/>
                <w:szCs w:val="21"/>
              </w:rPr>
            </w:pPr>
            <w:r>
              <w:rPr>
                <w:rFonts w:hint="eastAsia" w:ascii="宋体" w:hAnsi="宋体" w:cs="宋体"/>
                <w:szCs w:val="21"/>
              </w:rPr>
              <w:t>振动</w:t>
            </w:r>
          </w:p>
        </w:tc>
        <w:tc>
          <w:tcPr>
            <w:tcW w:w="1772" w:type="pct"/>
            <w:noWrap w:val="0"/>
            <w:vAlign w:val="center"/>
          </w:tcPr>
          <w:p>
            <w:pPr>
              <w:adjustRightInd w:val="0"/>
              <w:snapToGrid w:val="0"/>
              <w:spacing w:line="240" w:lineRule="auto"/>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w:t>
            </w:r>
          </w:p>
        </w:tc>
        <w:tc>
          <w:tcPr>
            <w:tcW w:w="702" w:type="pct"/>
            <w:noWrap w:val="0"/>
            <w:vAlign w:val="center"/>
          </w:tcPr>
          <w:p>
            <w:pPr>
              <w:adjustRightInd w:val="0"/>
              <w:snapToGrid w:val="0"/>
              <w:spacing w:line="240" w:lineRule="auto"/>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w:t>
            </w:r>
          </w:p>
        </w:tc>
        <w:tc>
          <w:tcPr>
            <w:tcW w:w="1219" w:type="pct"/>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w:t>
            </w:r>
          </w:p>
        </w:tc>
        <w:tc>
          <w:tcPr>
            <w:tcW w:w="634" w:type="pct"/>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670" w:type="pct"/>
            <w:noWrap w:val="0"/>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大气环境</w:t>
            </w:r>
          </w:p>
        </w:tc>
        <w:tc>
          <w:tcPr>
            <w:tcW w:w="1772" w:type="pct"/>
            <w:noWrap w:val="0"/>
            <w:vAlign w:val="center"/>
          </w:tcPr>
          <w:p>
            <w:pPr>
              <w:adjustRightInd w:val="0"/>
              <w:snapToGrid w:val="0"/>
              <w:spacing w:line="240" w:lineRule="auto"/>
              <w:jc w:val="center"/>
              <w:rPr>
                <w:rFonts w:hint="eastAsia" w:ascii="宋体" w:hAnsi="宋体" w:cs="宋体"/>
                <w:sz w:val="21"/>
                <w:szCs w:val="21"/>
                <w:highlight w:val="none"/>
                <w:lang w:val="en-US" w:eastAsia="zh-CN"/>
              </w:rPr>
            </w:pPr>
            <w:r>
              <w:rPr>
                <w:rFonts w:hint="eastAsia"/>
                <w:sz w:val="21"/>
                <w:szCs w:val="21"/>
                <w:highlight w:val="none"/>
                <w:lang w:val="en-US" w:eastAsia="zh-CN"/>
              </w:rPr>
              <w:t>施工区设置连续、密闭的围挡</w:t>
            </w:r>
            <w:r>
              <w:rPr>
                <w:rFonts w:hint="default"/>
                <w:sz w:val="21"/>
                <w:szCs w:val="21"/>
                <w:highlight w:val="none"/>
                <w:lang w:val="en-US" w:eastAsia="zh-CN"/>
              </w:rPr>
              <w:t>。施工现场裸露场地采用抑尘网覆盖，并随时洒水抑尘；运输车辆加盖篷布，按照批准的路线和时间进行物料等的运输；</w:t>
            </w:r>
            <w:r>
              <w:rPr>
                <w:rFonts w:hint="eastAsia"/>
                <w:sz w:val="21"/>
                <w:szCs w:val="21"/>
                <w:highlight w:val="none"/>
                <w:lang w:val="en-US" w:eastAsia="zh-CN"/>
              </w:rPr>
              <w:t>施工区定期洒水；</w:t>
            </w:r>
            <w:r>
              <w:rPr>
                <w:rFonts w:hint="default"/>
                <w:sz w:val="21"/>
                <w:szCs w:val="21"/>
                <w:highlight w:val="none"/>
                <w:lang w:val="en-US" w:eastAsia="zh-CN"/>
              </w:rPr>
              <w:t>施工工地内堆放的粉状物料堆场采取封闭措施，易产生扬尘的物料应当采取覆盖防尘网或者防尘布等措施</w:t>
            </w:r>
            <w:r>
              <w:rPr>
                <w:rFonts w:hint="eastAsia"/>
                <w:sz w:val="21"/>
                <w:szCs w:val="21"/>
                <w:highlight w:val="none"/>
                <w:lang w:val="en-US" w:eastAsia="zh-CN"/>
              </w:rPr>
              <w:t>。</w:t>
            </w:r>
            <w:r>
              <w:rPr>
                <w:rFonts w:hint="default"/>
                <w:sz w:val="21"/>
                <w:szCs w:val="21"/>
                <w:highlight w:val="none"/>
                <w:lang w:val="en-US" w:eastAsia="zh-CN"/>
              </w:rPr>
              <w:t>开挖土方集中堆存，临时堆土进行拦挡、苫盖防护，</w:t>
            </w:r>
            <w:r>
              <w:rPr>
                <w:rFonts w:hint="eastAsia"/>
                <w:sz w:val="21"/>
                <w:szCs w:val="21"/>
                <w:highlight w:val="none"/>
                <w:lang w:val="en-US" w:eastAsia="zh-CN"/>
              </w:rPr>
              <w:t>使用满足标准的施工机械和油品，做好设备的维修和养护工作，减少油耗，降低汽车尾气污染。</w:t>
            </w:r>
          </w:p>
        </w:tc>
        <w:tc>
          <w:tcPr>
            <w:tcW w:w="702" w:type="pct"/>
            <w:noWrap w:val="0"/>
            <w:vAlign w:val="center"/>
          </w:tcPr>
          <w:p>
            <w:pPr>
              <w:adjustRightInd w:val="0"/>
              <w:snapToGrid w:val="0"/>
              <w:spacing w:line="240" w:lineRule="auto"/>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施工扬尘执行</w:t>
            </w:r>
            <w:r>
              <w:rPr>
                <w:rFonts w:hint="default" w:ascii="宋体" w:hAnsi="宋体" w:cs="宋体"/>
                <w:sz w:val="21"/>
                <w:szCs w:val="21"/>
                <w:highlight w:val="none"/>
              </w:rPr>
              <w:t>《大气污染物综合排放标准》</w:t>
            </w:r>
            <w:r>
              <w:rPr>
                <w:rFonts w:hint="eastAsia" w:ascii="宋体" w:hAnsi="宋体" w:cs="宋体"/>
                <w:sz w:val="21"/>
                <w:szCs w:val="21"/>
                <w:highlight w:val="none"/>
                <w:lang w:eastAsia="zh-CN"/>
              </w:rPr>
              <w:t>（</w:t>
            </w:r>
            <w:r>
              <w:rPr>
                <w:rFonts w:hint="default" w:ascii="宋体" w:hAnsi="宋体" w:cs="宋体"/>
                <w:sz w:val="21"/>
                <w:szCs w:val="21"/>
                <w:highlight w:val="none"/>
              </w:rPr>
              <w:t>GB16297－1996）表2中颗粒物无组织排放浓度限值</w:t>
            </w:r>
          </w:p>
        </w:tc>
        <w:tc>
          <w:tcPr>
            <w:tcW w:w="1219" w:type="pct"/>
            <w:noWrap w:val="0"/>
            <w:vAlign w:val="center"/>
          </w:tcPr>
          <w:p>
            <w:pPr>
              <w:adjustRightInd w:val="0"/>
              <w:snapToGrid w:val="0"/>
              <w:spacing w:line="240" w:lineRule="auto"/>
              <w:jc w:val="center"/>
              <w:rPr>
                <w:rFonts w:hint="eastAsia" w:ascii="宋体" w:hAnsi="宋体" w:eastAsia="宋体" w:cs="宋体"/>
                <w:szCs w:val="21"/>
                <w:highlight w:val="none"/>
                <w:lang w:val="en-US" w:eastAsia="zh-CN"/>
              </w:rPr>
            </w:pPr>
            <w:r>
              <w:rPr>
                <w:rFonts w:hint="default"/>
                <w:sz w:val="21"/>
                <w:szCs w:val="21"/>
                <w:highlight w:val="none"/>
                <w:lang w:val="en-US" w:eastAsia="zh-CN"/>
              </w:rPr>
              <w:t>加强道路管理及路面养护，保持道路良好运营状态，保持路面平整和清洁，保证其路面处于完好状态，路面洒水抑尘，道路两旁进行绿化</w:t>
            </w:r>
            <w:r>
              <w:rPr>
                <w:rFonts w:hint="eastAsia"/>
                <w:sz w:val="21"/>
                <w:szCs w:val="21"/>
                <w:highlight w:val="none"/>
                <w:lang w:val="en-US" w:eastAsia="zh-CN"/>
              </w:rPr>
              <w:t>；为控制运输车辆的尾气污染，运输车辆应为新能源或国Ⅵ排放标准的车辆</w:t>
            </w:r>
            <w:r>
              <w:rPr>
                <w:rFonts w:hint="default"/>
                <w:sz w:val="21"/>
                <w:szCs w:val="21"/>
                <w:highlight w:val="none"/>
                <w:lang w:val="en-US" w:eastAsia="zh-CN"/>
              </w:rPr>
              <w:t>。</w:t>
            </w:r>
          </w:p>
        </w:tc>
        <w:tc>
          <w:tcPr>
            <w:tcW w:w="634" w:type="pct"/>
            <w:noWrap w:val="0"/>
            <w:vAlign w:val="center"/>
          </w:tcPr>
          <w:p>
            <w:pPr>
              <w:adjustRightInd w:val="0"/>
              <w:snapToGrid w:val="0"/>
              <w:jc w:val="center"/>
              <w:rPr>
                <w:rFonts w:hint="eastAsia" w:ascii="宋体" w:hAnsi="宋体" w:eastAsia="宋体" w:cs="宋体"/>
                <w:szCs w:val="21"/>
                <w:highlight w:val="none"/>
                <w:lang w:val="en-US" w:eastAsia="zh-CN"/>
              </w:rPr>
            </w:pPr>
            <w:r>
              <w:rPr>
                <w:spacing w:val="9"/>
                <w:highlight w:val="none"/>
              </w:rPr>
              <w:t>建有完善的洒水降尘工作制度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noWrap w:val="0"/>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固体废物</w:t>
            </w:r>
          </w:p>
        </w:tc>
        <w:tc>
          <w:tcPr>
            <w:tcW w:w="1772" w:type="pct"/>
            <w:noWrap w:val="0"/>
            <w:vAlign w:val="center"/>
          </w:tcPr>
          <w:p>
            <w:pPr>
              <w:adjustRightInd w:val="0"/>
              <w:snapToGrid w:val="0"/>
              <w:spacing w:line="240" w:lineRule="auto"/>
              <w:jc w:val="center"/>
              <w:rPr>
                <w:rFonts w:hint="eastAsia"/>
                <w:sz w:val="21"/>
                <w:szCs w:val="21"/>
                <w:highlight w:val="none"/>
                <w:lang w:val="en-US" w:eastAsia="zh-CN"/>
              </w:rPr>
            </w:pPr>
            <w:r>
              <w:rPr>
                <w:rFonts w:hint="eastAsia"/>
                <w:sz w:val="21"/>
                <w:szCs w:val="21"/>
                <w:highlight w:val="none"/>
                <w:lang w:val="en-US" w:eastAsia="zh-CN"/>
              </w:rPr>
              <w:t>弃土</w:t>
            </w:r>
            <w:r>
              <w:rPr>
                <w:rFonts w:hint="default"/>
                <w:sz w:val="21"/>
                <w:szCs w:val="21"/>
                <w:highlight w:val="none"/>
                <w:lang w:val="en-US" w:eastAsia="zh-CN"/>
              </w:rPr>
              <w:t>用于后续风井场地竖向设计和景观设计中，道路和场地范围线内平整绿化、加宽路基。井筒掘进产生的岩石</w:t>
            </w:r>
            <w:r>
              <w:rPr>
                <w:rFonts w:hint="eastAsia" w:asciiTheme="minorEastAsia" w:hAnsiTheme="minorEastAsia" w:eastAsiaTheme="minorEastAsia" w:cstheme="minorEastAsia"/>
                <w:color w:val="auto"/>
                <w:sz w:val="21"/>
                <w:szCs w:val="21"/>
                <w:highlight w:val="none"/>
                <w:lang w:eastAsia="zh-CN"/>
              </w:rPr>
              <w:t>供给</w:t>
            </w:r>
            <w:r>
              <w:rPr>
                <w:rFonts w:hint="eastAsia" w:asciiTheme="minorEastAsia" w:hAnsiTheme="minorEastAsia" w:eastAsiaTheme="minorEastAsia" w:cstheme="minorEastAsia"/>
                <w:color w:val="auto"/>
                <w:sz w:val="21"/>
                <w:szCs w:val="21"/>
                <w:highlight w:val="none"/>
              </w:rPr>
              <w:t>杭锦发电有限公司煤矸石电厂</w:t>
            </w:r>
            <w:r>
              <w:rPr>
                <w:rFonts w:hint="default"/>
                <w:sz w:val="21"/>
                <w:szCs w:val="21"/>
                <w:highlight w:val="none"/>
                <w:lang w:val="en-US" w:eastAsia="zh-CN"/>
              </w:rPr>
              <w:t>；施工人员生活垃圾集中收集后运往当地生活垃圾收集点，交当地环卫部门处置。建筑垃圾</w:t>
            </w:r>
            <w:r>
              <w:rPr>
                <w:rFonts w:hint="eastAsia"/>
                <w:sz w:val="21"/>
                <w:szCs w:val="21"/>
                <w:highlight w:val="none"/>
                <w:lang w:val="en-US" w:eastAsia="zh-CN"/>
              </w:rPr>
              <w:t>：送至当地建筑垃圾填埋场处置</w:t>
            </w:r>
            <w:r>
              <w:rPr>
                <w:rFonts w:hint="default"/>
                <w:sz w:val="21"/>
                <w:szCs w:val="21"/>
                <w:highlight w:val="none"/>
                <w:lang w:val="en-US" w:eastAsia="zh-CN"/>
              </w:rPr>
              <w:t>。</w:t>
            </w:r>
          </w:p>
        </w:tc>
        <w:tc>
          <w:tcPr>
            <w:tcW w:w="702" w:type="pct"/>
            <w:noWrap w:val="0"/>
            <w:vAlign w:val="center"/>
          </w:tcPr>
          <w:p>
            <w:pPr>
              <w:adjustRightInd w:val="0"/>
              <w:snapToGrid w:val="0"/>
              <w:spacing w:line="240" w:lineRule="auto"/>
              <w:jc w:val="center"/>
              <w:rPr>
                <w:rFonts w:ascii="宋体" w:hAnsi="宋体" w:cs="宋体"/>
                <w:sz w:val="21"/>
                <w:szCs w:val="21"/>
                <w:highlight w:val="none"/>
              </w:rPr>
            </w:pPr>
            <w:r>
              <w:rPr>
                <w:rFonts w:hint="eastAsia" w:ascii="宋体" w:hAnsi="宋体" w:cs="宋体"/>
                <w:sz w:val="21"/>
                <w:szCs w:val="21"/>
                <w:highlight w:val="none"/>
                <w:lang w:val="en-US" w:eastAsia="zh-CN"/>
              </w:rPr>
              <w:t>按相关要求合理处置</w:t>
            </w:r>
          </w:p>
        </w:tc>
        <w:tc>
          <w:tcPr>
            <w:tcW w:w="1219" w:type="pct"/>
            <w:noWrap w:val="0"/>
            <w:vAlign w:val="center"/>
          </w:tcPr>
          <w:p>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本项目</w:t>
            </w:r>
            <w:r>
              <w:rPr>
                <w:rFonts w:hint="eastAsia" w:ascii="宋体" w:hAnsi="宋体" w:eastAsia="宋体" w:cs="宋体"/>
                <w:szCs w:val="21"/>
                <w:highlight w:val="none"/>
                <w:lang w:val="en-US" w:eastAsia="zh-CN"/>
              </w:rPr>
              <w:t>无新增生活垃圾。</w:t>
            </w:r>
          </w:p>
          <w:p>
            <w:pPr>
              <w:adjustRightInd w:val="0"/>
              <w:snapToGrid w:val="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废蓄电池更换时直接由厂家回收处置，不在场内暂存。主变压器事故时产生的废变压油，暂存于事故油池中，事故后</w:t>
            </w:r>
            <w:r>
              <w:rPr>
                <w:rFonts w:hint="eastAsia" w:ascii="宋体" w:hAnsi="宋体" w:cs="宋体"/>
                <w:szCs w:val="21"/>
                <w:highlight w:val="none"/>
                <w:lang w:val="en-US" w:eastAsia="zh-CN"/>
              </w:rPr>
              <w:t>立即</w:t>
            </w:r>
            <w:r>
              <w:rPr>
                <w:rFonts w:hint="eastAsia" w:ascii="宋体" w:hAnsi="宋体" w:eastAsia="宋体" w:cs="宋体"/>
                <w:szCs w:val="21"/>
                <w:highlight w:val="none"/>
                <w:lang w:val="en-US" w:eastAsia="zh-CN"/>
              </w:rPr>
              <w:t>交具有资质单位统一处理</w:t>
            </w:r>
            <w:r>
              <w:rPr>
                <w:rFonts w:hint="eastAsia" w:ascii="宋体" w:hAnsi="宋体" w:cs="宋体"/>
                <w:szCs w:val="21"/>
                <w:highlight w:val="none"/>
                <w:lang w:val="en-US" w:eastAsia="zh-CN"/>
              </w:rPr>
              <w:t>。</w:t>
            </w:r>
          </w:p>
        </w:tc>
        <w:tc>
          <w:tcPr>
            <w:tcW w:w="634" w:type="pct"/>
            <w:noWrap w:val="0"/>
            <w:vAlign w:val="center"/>
          </w:tcPr>
          <w:p>
            <w:pPr>
              <w:adjustRightInd w:val="0"/>
              <w:snapToGrid w:val="0"/>
              <w:jc w:val="center"/>
              <w:rPr>
                <w:rFonts w:hint="eastAsia" w:ascii="宋体" w:hAnsi="宋体" w:eastAsia="宋体" w:cs="宋体"/>
                <w:szCs w:val="21"/>
                <w:highlight w:val="none"/>
                <w:lang w:val="en-US" w:eastAsia="zh-CN"/>
              </w:rPr>
            </w:pPr>
            <w:r>
              <w:rPr>
                <w:rFonts w:hint="eastAsia" w:ascii="宋体" w:hAnsi="宋体" w:cs="宋体"/>
                <w:sz w:val="21"/>
                <w:szCs w:val="21"/>
                <w:highlight w:val="none"/>
                <w:lang w:val="en-US" w:eastAsia="zh-CN"/>
              </w:rPr>
              <w:t>按相关要求合理处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670" w:type="pct"/>
            <w:noWrap w:val="0"/>
            <w:vAlign w:val="center"/>
          </w:tcPr>
          <w:p>
            <w:pPr>
              <w:adjustRightInd w:val="0"/>
              <w:snapToGrid w:val="0"/>
              <w:jc w:val="center"/>
              <w:rPr>
                <w:rFonts w:ascii="宋体" w:hAnsi="宋体" w:cs="宋体"/>
                <w:szCs w:val="21"/>
              </w:rPr>
            </w:pPr>
            <w:r>
              <w:rPr>
                <w:rFonts w:hint="eastAsia" w:ascii="宋体" w:hAnsi="宋体" w:cs="宋体"/>
                <w:szCs w:val="21"/>
              </w:rPr>
              <w:t>电磁环境</w:t>
            </w:r>
          </w:p>
        </w:tc>
        <w:tc>
          <w:tcPr>
            <w:tcW w:w="1772" w:type="pct"/>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w:t>
            </w:r>
          </w:p>
        </w:tc>
        <w:tc>
          <w:tcPr>
            <w:tcW w:w="702" w:type="pct"/>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w:t>
            </w:r>
          </w:p>
        </w:tc>
        <w:tc>
          <w:tcPr>
            <w:tcW w:w="1219" w:type="pct"/>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w:t>
            </w:r>
          </w:p>
        </w:tc>
        <w:tc>
          <w:tcPr>
            <w:tcW w:w="634" w:type="pct"/>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70" w:type="pct"/>
            <w:noWrap w:val="0"/>
            <w:vAlign w:val="center"/>
          </w:tcPr>
          <w:p>
            <w:pPr>
              <w:adjustRightInd w:val="0"/>
              <w:snapToGrid w:val="0"/>
              <w:jc w:val="center"/>
              <w:rPr>
                <w:rFonts w:ascii="宋体" w:hAnsi="宋体" w:cs="宋体"/>
                <w:szCs w:val="21"/>
              </w:rPr>
            </w:pPr>
            <w:r>
              <w:rPr>
                <w:rFonts w:hint="eastAsia" w:ascii="宋体" w:hAnsi="宋体" w:cs="宋体"/>
                <w:szCs w:val="21"/>
              </w:rPr>
              <w:t>环境风险</w:t>
            </w:r>
          </w:p>
        </w:tc>
        <w:tc>
          <w:tcPr>
            <w:tcW w:w="1772" w:type="pct"/>
            <w:noWrap w:val="0"/>
            <w:vAlign w:val="center"/>
          </w:tcPr>
          <w:p>
            <w:pPr>
              <w:adjustRightInd w:val="0"/>
              <w:snapToGrid w:val="0"/>
              <w:jc w:val="center"/>
              <w:rPr>
                <w:rFonts w:ascii="宋体" w:hAnsi="宋体" w:cs="宋体"/>
                <w:szCs w:val="21"/>
              </w:rPr>
            </w:pPr>
            <w:r>
              <w:rPr>
                <w:rFonts w:hint="eastAsia" w:ascii="宋体" w:hAnsi="宋体" w:cs="宋体"/>
                <w:szCs w:val="21"/>
                <w:lang w:val="en-US" w:eastAsia="zh-CN"/>
              </w:rPr>
              <w:t>/</w:t>
            </w:r>
          </w:p>
        </w:tc>
        <w:tc>
          <w:tcPr>
            <w:tcW w:w="702" w:type="pct"/>
            <w:noWrap w:val="0"/>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c>
          <w:tcPr>
            <w:tcW w:w="1219" w:type="pct"/>
            <w:noWrap w:val="0"/>
            <w:vAlign w:val="center"/>
          </w:tcPr>
          <w:p>
            <w:pPr>
              <w:adjustRightInd w:val="0"/>
              <w:snapToGrid w:val="0"/>
              <w:spacing w:line="240" w:lineRule="auto"/>
              <w:jc w:val="center"/>
              <w:rPr>
                <w:rFonts w:hint="eastAsia"/>
                <w:sz w:val="21"/>
                <w:szCs w:val="21"/>
                <w:highlight w:val="none"/>
                <w:lang w:val="en-US" w:eastAsia="zh-CN"/>
              </w:rPr>
            </w:pPr>
            <w:r>
              <w:rPr>
                <w:rFonts w:hint="eastAsia"/>
                <w:sz w:val="21"/>
                <w:szCs w:val="21"/>
                <w:highlight w:val="none"/>
                <w:lang w:val="en-US" w:eastAsia="zh-CN"/>
              </w:rPr>
              <w:t>主变压器事故时产生的废变压油，暂存于事故油池中，事故后立即交具有资质单位统一处理。事故油池《危险废物贮存污染控制标准》（GB18597-2023）的要求建设与运行。</w:t>
            </w:r>
          </w:p>
        </w:tc>
        <w:tc>
          <w:tcPr>
            <w:tcW w:w="634" w:type="pct"/>
            <w:noWrap w:val="0"/>
            <w:vAlign w:val="center"/>
          </w:tcPr>
          <w:p>
            <w:pPr>
              <w:adjustRightInd w:val="0"/>
              <w:snapToGrid w:val="0"/>
              <w:spacing w:line="240" w:lineRule="auto"/>
              <w:jc w:val="center"/>
              <w:rPr>
                <w:rFonts w:hint="eastAsia"/>
                <w:sz w:val="21"/>
                <w:szCs w:val="21"/>
                <w:highlight w:val="none"/>
                <w:lang w:val="en-US" w:eastAsia="zh-CN"/>
              </w:rPr>
            </w:pPr>
            <w:r>
              <w:rPr>
                <w:rFonts w:hint="eastAsia"/>
                <w:sz w:val="21"/>
                <w:szCs w:val="21"/>
                <w:highlight w:val="none"/>
                <w:lang w:val="en-US" w:eastAsia="zh-CN"/>
              </w:rPr>
              <w:t>不外排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70" w:type="pct"/>
            <w:noWrap w:val="0"/>
            <w:vAlign w:val="center"/>
          </w:tcPr>
          <w:p>
            <w:pPr>
              <w:adjustRightInd w:val="0"/>
              <w:snapToGrid w:val="0"/>
              <w:jc w:val="center"/>
              <w:rPr>
                <w:rFonts w:ascii="宋体" w:hAnsi="宋体" w:cs="宋体"/>
                <w:szCs w:val="21"/>
              </w:rPr>
            </w:pPr>
            <w:r>
              <w:rPr>
                <w:rFonts w:hint="eastAsia" w:ascii="宋体" w:hAnsi="宋体" w:cs="宋体"/>
                <w:szCs w:val="21"/>
              </w:rPr>
              <w:t>环境监测</w:t>
            </w:r>
          </w:p>
        </w:tc>
        <w:tc>
          <w:tcPr>
            <w:tcW w:w="1772" w:type="pct"/>
            <w:noWrap w:val="0"/>
            <w:vAlign w:val="center"/>
          </w:tcPr>
          <w:p>
            <w:pPr>
              <w:adjustRightInd w:val="0"/>
              <w:snapToGrid w:val="0"/>
              <w:jc w:val="center"/>
              <w:rPr>
                <w:rFonts w:ascii="宋体" w:hAnsi="宋体" w:cs="宋体"/>
                <w:szCs w:val="21"/>
              </w:rPr>
            </w:pPr>
            <w:r>
              <w:rPr>
                <w:rFonts w:hint="eastAsia" w:ascii="宋体" w:hAnsi="宋体" w:cs="宋体"/>
                <w:szCs w:val="21"/>
                <w:lang w:val="en-US" w:eastAsia="zh-CN"/>
              </w:rPr>
              <w:t>/</w:t>
            </w:r>
          </w:p>
        </w:tc>
        <w:tc>
          <w:tcPr>
            <w:tcW w:w="702" w:type="pct"/>
            <w:noWrap w:val="0"/>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c>
          <w:tcPr>
            <w:tcW w:w="1219" w:type="pct"/>
            <w:noWrap w:val="0"/>
            <w:vAlign w:val="center"/>
          </w:tcPr>
          <w:p>
            <w:pPr>
              <w:adjustRightInd w:val="0"/>
              <w:snapToGrid w:val="0"/>
              <w:spacing w:line="240" w:lineRule="auto"/>
              <w:jc w:val="center"/>
              <w:rPr>
                <w:rFonts w:hint="default" w:eastAsia="宋体"/>
                <w:sz w:val="21"/>
                <w:szCs w:val="21"/>
                <w:highlight w:val="none"/>
                <w:lang w:val="en-US" w:eastAsia="zh-CN"/>
              </w:rPr>
            </w:pPr>
            <w:r>
              <w:rPr>
                <w:rFonts w:hint="eastAsia"/>
                <w:sz w:val="21"/>
                <w:szCs w:val="21"/>
                <w:highlight w:val="none"/>
                <w:lang w:val="en-US" w:eastAsia="zh-CN"/>
              </w:rPr>
              <w:t>风井场地厂界噪声：厂界四周各设</w:t>
            </w:r>
            <w:r>
              <w:rPr>
                <w:rFonts w:hint="default"/>
                <w:sz w:val="21"/>
                <w:szCs w:val="21"/>
                <w:highlight w:val="none"/>
                <w:lang w:val="en-US" w:eastAsia="zh-CN"/>
              </w:rPr>
              <w:t>1</w:t>
            </w:r>
            <w:r>
              <w:rPr>
                <w:rFonts w:hint="eastAsia"/>
                <w:sz w:val="21"/>
                <w:szCs w:val="21"/>
                <w:highlight w:val="none"/>
                <w:lang w:val="en-US" w:eastAsia="zh-CN"/>
              </w:rPr>
              <w:t>个监测点位</w:t>
            </w:r>
            <w:r>
              <w:rPr>
                <w:rFonts w:hint="eastAsia"/>
                <w:highlight w:val="none"/>
                <w:lang w:eastAsia="zh-CN"/>
              </w:rPr>
              <w:t>；</w:t>
            </w:r>
            <w:r>
              <w:rPr>
                <w:rFonts w:hint="default" w:ascii="Times New Roman" w:hAnsi="Times New Roman" w:eastAsia="宋体" w:cs="Times New Roman"/>
                <w:color w:val="000000"/>
                <w:kern w:val="0"/>
                <w:sz w:val="21"/>
                <w:szCs w:val="21"/>
                <w:highlight w:val="none"/>
                <w:lang w:val="en-US" w:eastAsia="zh-CN" w:bidi="ar"/>
              </w:rPr>
              <w:t>乌定补拉格村住户</w:t>
            </w:r>
            <w:r>
              <w:rPr>
                <w:rFonts w:hint="eastAsia"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北部风井</w:t>
            </w:r>
            <w:r>
              <w:rPr>
                <w:rFonts w:hint="eastAsia" w:cs="Times New Roman"/>
                <w:color w:val="000000"/>
                <w:kern w:val="0"/>
                <w:sz w:val="21"/>
                <w:szCs w:val="21"/>
                <w:highlight w:val="none"/>
                <w:lang w:val="en-US" w:eastAsia="zh-CN" w:bidi="ar"/>
              </w:rPr>
              <w:t>场地场外</w:t>
            </w:r>
            <w:r>
              <w:rPr>
                <w:rFonts w:hint="default" w:ascii="Times New Roman" w:hAnsi="Times New Roman" w:eastAsia="宋体" w:cs="Times New Roman"/>
                <w:color w:val="000000"/>
                <w:kern w:val="0"/>
                <w:sz w:val="21"/>
                <w:szCs w:val="21"/>
                <w:highlight w:val="none"/>
                <w:lang w:val="en-US" w:eastAsia="zh-CN" w:bidi="ar"/>
              </w:rPr>
              <w:t>道路西侧49m处）</w:t>
            </w:r>
            <w:r>
              <w:rPr>
                <w:rFonts w:hint="eastAsia"/>
                <w:highlight w:val="none"/>
                <w:lang w:val="en-US" w:eastAsia="zh-CN"/>
              </w:rPr>
              <w:t>设置1个监测点。</w:t>
            </w:r>
          </w:p>
        </w:tc>
        <w:tc>
          <w:tcPr>
            <w:tcW w:w="634" w:type="pct"/>
            <w:noWrap w:val="0"/>
            <w:vAlign w:val="center"/>
          </w:tcPr>
          <w:p>
            <w:pPr>
              <w:adjustRightInd w:val="0"/>
              <w:snapToGrid w:val="0"/>
              <w:spacing w:line="240" w:lineRule="auto"/>
              <w:jc w:val="center"/>
              <w:rPr>
                <w:rFonts w:hint="eastAsia"/>
                <w:sz w:val="21"/>
                <w:szCs w:val="21"/>
                <w:highlight w:val="none"/>
                <w:lang w:val="en-US" w:eastAsia="zh-CN"/>
              </w:rPr>
            </w:pPr>
            <w:r>
              <w:rPr>
                <w:rFonts w:hint="default"/>
                <w:sz w:val="21"/>
                <w:szCs w:val="21"/>
                <w:highlight w:val="none"/>
                <w:lang w:val="en-US" w:eastAsia="zh-CN"/>
              </w:rPr>
              <w:t>《工业企业厂界环境噪声排放标准》</w:t>
            </w:r>
            <w:r>
              <w:rPr>
                <w:rFonts w:hint="eastAsia"/>
                <w:sz w:val="21"/>
                <w:szCs w:val="21"/>
                <w:highlight w:val="none"/>
                <w:lang w:val="en-US" w:eastAsia="zh-CN"/>
              </w:rPr>
              <w:t>（</w:t>
            </w:r>
            <w:r>
              <w:rPr>
                <w:rFonts w:hint="default"/>
                <w:sz w:val="21"/>
                <w:szCs w:val="21"/>
                <w:highlight w:val="none"/>
                <w:lang w:val="en-US" w:eastAsia="zh-CN"/>
              </w:rPr>
              <w:t>GB12348</w:t>
            </w:r>
            <w:r>
              <w:rPr>
                <w:rFonts w:hint="eastAsia"/>
                <w:sz w:val="21"/>
                <w:szCs w:val="21"/>
                <w:highlight w:val="none"/>
                <w:lang w:val="en-US" w:eastAsia="zh-CN"/>
              </w:rPr>
              <w:t>-</w:t>
            </w:r>
            <w:r>
              <w:rPr>
                <w:rFonts w:hint="default"/>
                <w:sz w:val="21"/>
                <w:szCs w:val="21"/>
                <w:highlight w:val="none"/>
                <w:lang w:val="en-US" w:eastAsia="zh-CN"/>
              </w:rPr>
              <w:t>2008）中</w:t>
            </w:r>
            <w:r>
              <w:rPr>
                <w:rFonts w:hint="eastAsia"/>
                <w:sz w:val="21"/>
                <w:szCs w:val="21"/>
                <w:highlight w:val="none"/>
                <w:lang w:val="en-US" w:eastAsia="zh-CN"/>
              </w:rPr>
              <w:t>1</w:t>
            </w:r>
            <w:r>
              <w:rPr>
                <w:rFonts w:hint="default"/>
                <w:sz w:val="21"/>
                <w:szCs w:val="21"/>
                <w:highlight w:val="none"/>
                <w:lang w:val="en-US" w:eastAsia="zh-CN"/>
              </w:rPr>
              <w:t>类标准</w:t>
            </w:r>
            <w:r>
              <w:rPr>
                <w:rFonts w:hint="eastAsia"/>
                <w:sz w:val="21"/>
                <w:szCs w:val="21"/>
                <w:highlight w:val="none"/>
                <w:lang w:val="en-US" w:eastAsia="zh-CN"/>
              </w:rPr>
              <w:t>、《声环境质量标准》（GB3096-2008）1类标准限值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670" w:type="pct"/>
            <w:noWrap w:val="0"/>
            <w:vAlign w:val="center"/>
          </w:tcPr>
          <w:p>
            <w:pPr>
              <w:adjustRightInd w:val="0"/>
              <w:snapToGrid w:val="0"/>
              <w:jc w:val="center"/>
              <w:rPr>
                <w:rFonts w:ascii="宋体" w:hAnsi="宋体" w:cs="宋体"/>
                <w:szCs w:val="21"/>
              </w:rPr>
            </w:pPr>
            <w:r>
              <w:rPr>
                <w:rFonts w:hint="eastAsia" w:ascii="宋体" w:hAnsi="宋体" w:cs="宋体"/>
                <w:szCs w:val="21"/>
              </w:rPr>
              <w:t>其他</w:t>
            </w:r>
          </w:p>
        </w:tc>
        <w:tc>
          <w:tcPr>
            <w:tcW w:w="1772" w:type="pct"/>
            <w:noWrap w:val="0"/>
            <w:vAlign w:val="center"/>
          </w:tcPr>
          <w:p>
            <w:pPr>
              <w:adjustRightInd w:val="0"/>
              <w:snapToGrid w:val="0"/>
              <w:jc w:val="center"/>
              <w:rPr>
                <w:rFonts w:ascii="宋体" w:hAnsi="宋体" w:cs="宋体"/>
                <w:szCs w:val="21"/>
              </w:rPr>
            </w:pPr>
            <w:r>
              <w:rPr>
                <w:rFonts w:hint="eastAsia" w:ascii="宋体" w:hAnsi="宋体" w:cs="宋体"/>
                <w:szCs w:val="21"/>
                <w:lang w:val="en-US" w:eastAsia="zh-CN"/>
              </w:rPr>
              <w:t>/</w:t>
            </w:r>
          </w:p>
        </w:tc>
        <w:tc>
          <w:tcPr>
            <w:tcW w:w="702" w:type="pct"/>
            <w:noWrap w:val="0"/>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c>
          <w:tcPr>
            <w:tcW w:w="3456" w:type="dxa"/>
            <w:noWrap w:val="0"/>
            <w:vAlign w:val="center"/>
          </w:tcPr>
          <w:p>
            <w:pPr>
              <w:adjustRightInd w:val="0"/>
              <w:snapToGrid w:val="0"/>
              <w:jc w:val="center"/>
              <w:rPr>
                <w:rFonts w:ascii="宋体" w:hAnsi="宋体" w:cs="宋体"/>
                <w:szCs w:val="21"/>
                <w:highlight w:val="none"/>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按规定程序实施竣工环境保护验收，验收合格方可投入运行。企业应当严格执行本次评价提出的监测要求，应定期进行环境监测工作。</w:t>
            </w:r>
          </w:p>
        </w:tc>
        <w:tc>
          <w:tcPr>
            <w:tcW w:w="1800" w:type="dxa"/>
            <w:noWrap w:val="0"/>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lang w:val="en-US" w:eastAsia="zh-CN"/>
              </w:rPr>
              <w:t>/</w:t>
            </w:r>
          </w:p>
        </w:tc>
      </w:tr>
    </w:tbl>
    <w:p>
      <w:pPr>
        <w:pStyle w:val="21"/>
        <w:spacing w:before="192" w:beforeLines="80" w:beforeAutospacing="0"/>
        <w:jc w:val="center"/>
        <w:outlineLvl w:val="0"/>
        <w:rPr>
          <w:rFonts w:hint="eastAsia" w:ascii="黑体" w:hAnsi="黑体" w:eastAsia="黑体"/>
          <w:snapToGrid w:val="0"/>
          <w:sz w:val="30"/>
          <w:szCs w:val="30"/>
        </w:rPr>
        <w:sectPr>
          <w:pgSz w:w="16838" w:h="11906" w:orient="landscape"/>
          <w:pgMar w:top="1800" w:right="1440" w:bottom="1800" w:left="1440" w:header="851" w:footer="1077" w:gutter="0"/>
          <w:pgBorders>
            <w:top w:val="none" w:sz="0" w:space="0"/>
            <w:left w:val="none" w:sz="0" w:space="0"/>
            <w:bottom w:val="none" w:sz="0" w:space="0"/>
            <w:right w:val="none" w:sz="0" w:space="0"/>
          </w:pgBorders>
          <w:pgNumType w:fmt="decimal"/>
          <w:cols w:space="720" w:num="1"/>
          <w:docGrid w:linePitch="312" w:charSpace="0"/>
        </w:sectPr>
      </w:pPr>
    </w:p>
    <w:p>
      <w:pPr>
        <w:pStyle w:val="21"/>
        <w:spacing w:before="192" w:beforeLines="80" w:beforeAutospacing="0"/>
        <w:jc w:val="center"/>
        <w:outlineLvl w:val="0"/>
        <w:rPr>
          <w:rFonts w:ascii="黑体" w:hAnsi="黑体" w:eastAsia="黑体"/>
          <w:snapToGrid w:val="0"/>
          <w:sz w:val="30"/>
          <w:szCs w:val="30"/>
        </w:rPr>
      </w:pPr>
      <w:r>
        <w:rPr>
          <w:rFonts w:hint="eastAsia" w:ascii="黑体" w:hAnsi="黑体" w:eastAsia="黑体"/>
          <w:snapToGrid w:val="0"/>
          <w:sz w:val="30"/>
          <w:szCs w:val="30"/>
        </w:rPr>
        <w:t>七、结论</w:t>
      </w:r>
    </w:p>
    <w:tbl>
      <w:tblPr>
        <w:tblStyle w:val="23"/>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349" w:hRule="atLeast"/>
          <w:jc w:val="center"/>
        </w:trPr>
        <w:tc>
          <w:tcPr>
            <w:tcW w:w="9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本项目建设符合国家及地方产业政策，项目施工期采取了完善的生态防护措施和污染治理措施，可将施工期环境污染程度降至最低；</w:t>
            </w:r>
            <w:r>
              <w:rPr>
                <w:rFonts w:hint="eastAsia" w:ascii="宋体" w:hAnsi="宋体" w:cs="宋体"/>
                <w:color w:val="000000"/>
                <w:kern w:val="0"/>
                <w:sz w:val="24"/>
                <w:szCs w:val="24"/>
                <w:lang w:val="en-US" w:eastAsia="zh-CN" w:bidi="ar"/>
              </w:rPr>
              <w:t>项目运营期</w:t>
            </w:r>
            <w:r>
              <w:rPr>
                <w:rFonts w:ascii="宋体" w:hAnsi="宋体" w:eastAsia="宋体" w:cs="宋体"/>
                <w:sz w:val="24"/>
                <w:szCs w:val="24"/>
              </w:rPr>
              <w:t>通过认真落实评价所提各项环保治理措施，工程排放的各类污染物对周围环境影响可以接受</w:t>
            </w:r>
            <w:r>
              <w:rPr>
                <w:rFonts w:hint="eastAsia" w:ascii="宋体" w:hAnsi="宋体" w:eastAsia="宋体" w:cs="宋体"/>
                <w:color w:val="000000"/>
                <w:kern w:val="0"/>
                <w:sz w:val="24"/>
                <w:szCs w:val="24"/>
                <w:lang w:val="en-US" w:eastAsia="zh-CN" w:bidi="ar"/>
              </w:rPr>
              <w:t>；因此，从环境保护角度考虑，本项目</w:t>
            </w:r>
            <w:r>
              <w:rPr>
                <w:rFonts w:hint="eastAsia" w:ascii="宋体" w:hAnsi="宋体" w:cs="宋体"/>
                <w:sz w:val="24"/>
                <w:szCs w:val="24"/>
              </w:rPr>
              <w:t>建设</w:t>
            </w:r>
            <w:r>
              <w:rPr>
                <w:rFonts w:hint="eastAsia" w:ascii="宋体" w:hAnsi="宋体" w:eastAsia="宋体" w:cs="宋体"/>
                <w:color w:val="000000"/>
                <w:kern w:val="0"/>
                <w:sz w:val="24"/>
                <w:szCs w:val="24"/>
                <w:lang w:val="en-US" w:eastAsia="zh-CN" w:bidi="ar"/>
              </w:rPr>
              <w:t>可行。</w:t>
            </w:r>
          </w:p>
          <w:p>
            <w:pPr>
              <w:adjustRightInd w:val="0"/>
              <w:snapToGrid w:val="0"/>
              <w:spacing w:line="360" w:lineRule="auto"/>
              <w:ind w:firstLine="480" w:firstLineChars="200"/>
              <w:rPr>
                <w:rFonts w:hint="eastAsia" w:ascii="宋体" w:hAnsi="宋体" w:cs="宋体"/>
                <w:sz w:val="24"/>
                <w:szCs w:val="24"/>
              </w:rPr>
            </w:pPr>
          </w:p>
        </w:tc>
      </w:tr>
    </w:tbl>
    <w:p>
      <w:pPr>
        <w:rPr>
          <w:rFonts w:ascii="宋体"/>
        </w:rPr>
      </w:pPr>
    </w:p>
    <w:p>
      <w:pPr>
        <w:snapToGrid w:val="0"/>
        <w:spacing w:line="355" w:lineRule="auto"/>
        <w:jc w:val="left"/>
        <w:outlineLvl w:val="0"/>
        <w:rPr>
          <w:rFonts w:hint="default" w:ascii="Times New Roman" w:hAnsi="Times New Roman" w:eastAsia="宋体" w:cs="Times New Roman"/>
          <w:sz w:val="24"/>
          <w:szCs w:val="24"/>
          <w:lang w:eastAsia="zh-CN"/>
        </w:rPr>
      </w:pPr>
    </w:p>
    <w:p>
      <w:pPr>
        <w:snapToGrid w:val="0"/>
        <w:spacing w:line="355" w:lineRule="auto"/>
        <w:jc w:val="left"/>
        <w:outlineLvl w:val="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附件</w:t>
      </w:r>
      <w:r>
        <w:rPr>
          <w:rFonts w:hint="default" w:ascii="Times New Roman" w:hAnsi="Times New Roman" w:eastAsia="宋体" w:cs="Times New Roman"/>
          <w:sz w:val="24"/>
          <w:szCs w:val="24"/>
          <w:lang w:val="en-US" w:eastAsia="zh-CN"/>
        </w:rPr>
        <w:t>1</w:t>
      </w:r>
      <w:r>
        <w:rPr>
          <w:rFonts w:hint="eastAsia" w:cs="Times New Roman"/>
          <w:sz w:val="24"/>
          <w:szCs w:val="24"/>
          <w:lang w:val="en-US" w:eastAsia="zh-CN"/>
        </w:rPr>
        <w:t>.</w:t>
      </w:r>
      <w:r>
        <w:rPr>
          <w:rFonts w:hint="default" w:ascii="Times New Roman" w:hAnsi="Times New Roman" w:eastAsia="宋体" w:cs="Times New Roman"/>
          <w:sz w:val="24"/>
          <w:szCs w:val="24"/>
          <w:lang w:val="en-US" w:eastAsia="zh-CN"/>
        </w:rPr>
        <w:t>委托书</w:t>
      </w:r>
    </w:p>
    <w:p>
      <w:pPr>
        <w:snapToGrid w:val="0"/>
        <w:spacing w:line="355" w:lineRule="auto"/>
        <w:jc w:val="left"/>
        <w:outlineLvl w:val="0"/>
        <w:rPr>
          <w:rFonts w:hint="default" w:ascii="Times New Roman" w:hAnsi="Times New Roman" w:eastAsia="宋体" w:cs="Times New Roman"/>
          <w:sz w:val="24"/>
          <w:szCs w:val="24"/>
          <w:lang w:val="en-US" w:eastAsia="zh-CN"/>
        </w:rPr>
      </w:pPr>
    </w:p>
    <w:p>
      <w:pPr>
        <w:spacing w:line="360" w:lineRule="auto"/>
        <w:jc w:val="center"/>
        <w:rPr>
          <w:rFonts w:hint="default" w:ascii="Times New Roman" w:hAnsi="Times New Roman" w:eastAsia="宋体" w:cs="Times New Roman"/>
          <w:sz w:val="44"/>
          <w:szCs w:val="44"/>
          <w:highlight w:val="none"/>
        </w:rPr>
      </w:pPr>
    </w:p>
    <w:p>
      <w:pPr>
        <w:spacing w:line="360" w:lineRule="auto"/>
        <w:jc w:val="center"/>
        <w:rPr>
          <w:rFonts w:hint="default" w:ascii="Times New Roman" w:hAnsi="Times New Roman" w:eastAsia="宋体" w:cs="Times New Roman"/>
          <w:sz w:val="44"/>
          <w:szCs w:val="44"/>
          <w:highlight w:val="none"/>
        </w:rPr>
      </w:pPr>
    </w:p>
    <w:p>
      <w:pPr>
        <w:spacing w:line="360" w:lineRule="auto"/>
        <w:jc w:val="center"/>
        <w:rPr>
          <w:rFonts w:hint="default" w:ascii="Times New Roman" w:hAnsi="Times New Roman" w:eastAsia="宋体" w:cs="Times New Roman"/>
          <w:sz w:val="44"/>
          <w:szCs w:val="44"/>
          <w:highlight w:val="none"/>
        </w:rPr>
      </w:pPr>
      <w:r>
        <w:rPr>
          <w:rFonts w:hint="default" w:ascii="Times New Roman" w:hAnsi="Times New Roman" w:eastAsia="宋体" w:cs="Times New Roman"/>
          <w:sz w:val="44"/>
          <w:szCs w:val="44"/>
          <w:highlight w:val="none"/>
        </w:rPr>
        <w:t>委托书</w:t>
      </w:r>
    </w:p>
    <w:p>
      <w:pPr>
        <w:spacing w:line="360" w:lineRule="auto"/>
        <w:rPr>
          <w:rFonts w:hint="default" w:ascii="Times New Roman" w:hAnsi="Times New Roman" w:eastAsia="宋体" w:cs="Times New Roman"/>
          <w:sz w:val="24"/>
          <w:szCs w:val="24"/>
          <w:highlight w:val="none"/>
        </w:rPr>
      </w:pPr>
    </w:p>
    <w:p>
      <w:pPr>
        <w:keepNext w:val="0"/>
        <w:keepLines w:val="0"/>
        <w:pageBreakBefore w:val="0"/>
        <w:widowControl w:val="0"/>
        <w:kinsoku/>
        <w:wordWrap/>
        <w:overflowPunct/>
        <w:topLinePunct w:val="0"/>
        <w:autoSpaceDE/>
        <w:autoSpaceDN/>
        <w:bidi w:val="0"/>
        <w:adjustRightInd/>
        <w:spacing w:line="360" w:lineRule="auto"/>
        <w:ind w:right="0" w:rightChars="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内蒙古</w:t>
      </w:r>
      <w:r>
        <w:rPr>
          <w:rFonts w:hint="default" w:ascii="Times New Roman" w:hAnsi="Times New Roman" w:eastAsia="宋体" w:cs="Times New Roman"/>
          <w:sz w:val="28"/>
          <w:szCs w:val="28"/>
          <w:highlight w:val="none"/>
          <w:lang w:eastAsia="zh-CN"/>
        </w:rPr>
        <w:t>金绿环保服务</w:t>
      </w:r>
      <w:r>
        <w:rPr>
          <w:rFonts w:hint="default" w:ascii="Times New Roman" w:hAnsi="Times New Roman" w:eastAsia="宋体" w:cs="Times New Roman"/>
          <w:sz w:val="28"/>
          <w:szCs w:val="28"/>
          <w:highlight w:val="none"/>
        </w:rPr>
        <w:t>有限公司：</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根据《中华人民共和国环境影响评价法》及国务院和中华人民共和国生态环境部的相关规定，特委托贵公司承担我单位</w:t>
      </w:r>
      <w:r>
        <w:rPr>
          <w:rFonts w:hint="eastAsia" w:cs="Times New Roman"/>
          <w:sz w:val="28"/>
          <w:szCs w:val="28"/>
          <w:highlight w:val="none"/>
          <w:u w:val="single"/>
          <w:lang w:eastAsia="zh-CN"/>
        </w:rPr>
        <w:t>塔然高勒煤矿项目北部风井场地</w:t>
      </w:r>
      <w:r>
        <w:rPr>
          <w:rFonts w:hint="default" w:ascii="Times New Roman" w:hAnsi="Times New Roman" w:eastAsia="宋体" w:cs="Times New Roman"/>
          <w:sz w:val="28"/>
          <w:szCs w:val="28"/>
          <w:highlight w:val="none"/>
        </w:rPr>
        <w:t>的环境影响评价工作，其环境影响报告文本应满足有关环评技术导则和环境保护主管部门的规定和要求。</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560" w:firstLineChars="200"/>
        <w:jc w:val="right"/>
        <w:textAlignment w:val="auto"/>
        <w:rPr>
          <w:rFonts w:hint="default" w:ascii="Times New Roman" w:hAnsi="Times New Roman" w:eastAsia="宋体" w:cs="Times New Roman"/>
          <w:sz w:val="28"/>
          <w:szCs w:val="28"/>
          <w:highlight w:val="none"/>
        </w:rPr>
      </w:pP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560" w:firstLineChars="200"/>
        <w:jc w:val="right"/>
        <w:textAlignment w:val="auto"/>
        <w:rPr>
          <w:rFonts w:hint="default" w:ascii="Times New Roman" w:hAnsi="Times New Roman" w:eastAsia="宋体" w:cs="Times New Roman"/>
          <w:sz w:val="28"/>
          <w:szCs w:val="28"/>
          <w:highlight w:val="none"/>
        </w:rPr>
      </w:pPr>
    </w:p>
    <w:p>
      <w:pPr>
        <w:pStyle w:val="10"/>
        <w:keepNext w:val="0"/>
        <w:keepLines w:val="0"/>
        <w:pageBreakBefore w:val="0"/>
        <w:widowControl w:val="0"/>
        <w:kinsoku/>
        <w:wordWrap/>
        <w:overflowPunct/>
        <w:topLinePunct w:val="0"/>
        <w:autoSpaceDE/>
        <w:autoSpaceDN/>
        <w:bidi w:val="0"/>
        <w:adjustRightInd/>
        <w:spacing w:after="0" w:line="360" w:lineRule="auto"/>
        <w:ind w:right="0" w:rightChars="0"/>
        <w:textAlignment w:val="auto"/>
        <w:rPr>
          <w:rFonts w:hint="default"/>
          <w:sz w:val="28"/>
          <w:szCs w:val="28"/>
        </w:rPr>
      </w:pP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560" w:firstLineChars="200"/>
        <w:jc w:val="right"/>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委托单位</w:t>
      </w:r>
      <w:r>
        <w:rPr>
          <w:rFonts w:hint="eastAsia" w:cs="Times New Roman"/>
          <w:sz w:val="28"/>
          <w:szCs w:val="28"/>
          <w:highlight w:val="none"/>
          <w:lang w:eastAsia="zh-CN"/>
        </w:rPr>
        <w:t>（</w:t>
      </w:r>
      <w:r>
        <w:rPr>
          <w:rFonts w:hint="default" w:ascii="Times New Roman" w:hAnsi="Times New Roman" w:eastAsia="宋体" w:cs="Times New Roman"/>
          <w:sz w:val="28"/>
          <w:szCs w:val="28"/>
          <w:highlight w:val="none"/>
        </w:rPr>
        <w:t>盖章）：</w:t>
      </w:r>
      <w:r>
        <w:rPr>
          <w:rFonts w:hint="eastAsia" w:cs="Times New Roman"/>
          <w:sz w:val="28"/>
          <w:szCs w:val="28"/>
          <w:highlight w:val="none"/>
          <w:lang w:eastAsia="zh-CN"/>
        </w:rPr>
        <w:t>国家能源集团杭锦能源有限责任公司</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560" w:firstLineChars="200"/>
        <w:jc w:val="center"/>
        <w:textAlignment w:val="auto"/>
        <w:rPr>
          <w:rFonts w:hint="default"/>
          <w:lang w:val="en-US" w:eastAsia="zh-CN"/>
        </w:rPr>
      </w:pPr>
      <w:r>
        <w:rPr>
          <w:rFonts w:hint="eastAsia" w:ascii="Times New Roman" w:hAnsi="Times New Roman" w:eastAsia="宋体" w:cs="Times New Roman"/>
          <w:sz w:val="28"/>
          <w:szCs w:val="28"/>
          <w:highlight w:val="none"/>
          <w:lang w:val="en-US" w:eastAsia="zh-CN"/>
        </w:rPr>
        <w:t xml:space="preserve">                                        </w:t>
      </w:r>
      <w:r>
        <w:rPr>
          <w:rFonts w:hint="default" w:ascii="Times New Roman" w:hAnsi="Times New Roman" w:eastAsia="宋体" w:cs="Times New Roman"/>
          <w:sz w:val="28"/>
          <w:szCs w:val="28"/>
          <w:highlight w:val="none"/>
        </w:rPr>
        <w:t>202</w:t>
      </w:r>
      <w:r>
        <w:rPr>
          <w:rFonts w:hint="eastAsia" w:ascii="Times New Roman" w:hAnsi="Times New Roman" w:cs="Times New Roman"/>
          <w:sz w:val="28"/>
          <w:szCs w:val="28"/>
          <w:highlight w:val="none"/>
          <w:lang w:val="en-US" w:eastAsia="zh-CN"/>
        </w:rPr>
        <w:t>4</w:t>
      </w:r>
      <w:r>
        <w:rPr>
          <w:rFonts w:hint="default" w:ascii="Times New Roman" w:hAnsi="Times New Roman" w:eastAsia="宋体" w:cs="Times New Roman"/>
          <w:sz w:val="28"/>
          <w:szCs w:val="28"/>
          <w:highlight w:val="none"/>
        </w:rPr>
        <w:t>年</w:t>
      </w:r>
      <w:r>
        <w:rPr>
          <w:rFonts w:hint="eastAsia" w:cs="Times New Roman"/>
          <w:sz w:val="28"/>
          <w:szCs w:val="28"/>
          <w:highlight w:val="none"/>
          <w:lang w:val="en-US" w:eastAsia="zh-CN"/>
        </w:rPr>
        <w:t>4</w:t>
      </w:r>
      <w:r>
        <w:rPr>
          <w:rFonts w:hint="default" w:ascii="Times New Roman" w:hAnsi="Times New Roman" w:eastAsia="宋体" w:cs="Times New Roman"/>
          <w:sz w:val="28"/>
          <w:szCs w:val="28"/>
          <w:highlight w:val="none"/>
        </w:rPr>
        <w:t>月</w:t>
      </w:r>
      <w:r>
        <w:rPr>
          <w:rFonts w:hint="eastAsia" w:cs="Times New Roman"/>
          <w:sz w:val="28"/>
          <w:szCs w:val="28"/>
          <w:highlight w:val="none"/>
          <w:lang w:val="en-US" w:eastAsia="zh-CN"/>
        </w:rPr>
        <w:t>26</w:t>
      </w:r>
      <w:r>
        <w:rPr>
          <w:rFonts w:hint="default" w:ascii="Times New Roman" w:hAnsi="Times New Roman" w:eastAsia="宋体" w:cs="Times New Roman"/>
          <w:sz w:val="28"/>
          <w:szCs w:val="28"/>
          <w:highlight w:val="none"/>
        </w:rPr>
        <w:t>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Century">
    <w:altName w:val="Times New Roman"/>
    <w:panose1 w:val="02040604050505020304"/>
    <w:charset w:val="00"/>
    <w:family w:val="roman"/>
    <w:pitch w:val="default"/>
    <w:sig w:usb0="00000000" w:usb1="00000000" w:usb2="00000000" w:usb3="00000000" w:csb0="2000009F" w:csb1="DFD70000"/>
  </w:font>
  <w:font w:name="Cambria Math">
    <w:panose1 w:val="02040503050406030204"/>
    <w:charset w:val="00"/>
    <w:family w:val="roman"/>
    <w:pitch w:val="default"/>
    <w:sig w:usb0="E00002FF" w:usb1="420024FF" w:usb2="0000000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汉鼎简书宋">
    <w:altName w:val="宋体"/>
    <w:panose1 w:val="02010609010101010101"/>
    <w:charset w:val="86"/>
    <w:family w:val="modern"/>
    <w:pitch w:val="default"/>
    <w:sig w:usb0="00000000" w:usb1="00000000" w:usb2="00000010"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outside" w:y="1"/>
      <w:rPr>
        <w:rStyle w:val="27"/>
      </w:rPr>
    </w:pPr>
    <w:r>
      <w:rPr>
        <w:rStyle w:val="27"/>
      </w:rPr>
      <w:fldChar w:fldCharType="begin"/>
    </w:r>
    <w:r>
      <w:rPr>
        <w:rStyle w:val="27"/>
      </w:rPr>
      <w:instrText xml:space="preserve">PAGE  </w:instrText>
    </w:r>
    <w:r>
      <w:rPr>
        <w:rStyle w:val="27"/>
      </w:rPr>
      <w:fldChar w:fldCharType="end"/>
    </w:r>
  </w:p>
  <w:p>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rPr>
                              <w:rStyle w:val="27"/>
                              <w:rFonts w:hint="eastAsia" w:ascii="宋体" w:hAnsi="宋体" w:eastAsia="宋体"/>
                              <w:sz w:val="28"/>
                              <w:szCs w:val="28"/>
                              <w:lang w:eastAsia="zh-CN"/>
                            </w:rPr>
                          </w:pPr>
                          <w:r>
                            <w:rPr>
                              <w:rStyle w:val="27"/>
                              <w:rFonts w:hint="eastAsia" w:ascii="宋体" w:hAnsi="宋体"/>
                              <w:sz w:val="28"/>
                              <w:szCs w:val="28"/>
                              <w:lang w:eastAsia="zh-CN"/>
                            </w:rPr>
                            <w:t>-</w:t>
                          </w:r>
                          <w:r>
                            <w:rPr>
                              <w:rStyle w:val="27"/>
                              <w:rFonts w:hint="eastAsia" w:ascii="宋体" w:hAnsi="宋体"/>
                              <w:sz w:val="20"/>
                              <w:szCs w:val="20"/>
                            </w:rPr>
                            <w:t xml:space="preserve">  </w:t>
                          </w:r>
                          <w:r>
                            <w:rPr>
                              <w:rStyle w:val="27"/>
                              <w:rFonts w:ascii="宋体" w:hAnsi="宋体"/>
                              <w:sz w:val="26"/>
                              <w:szCs w:val="26"/>
                            </w:rPr>
                            <w:fldChar w:fldCharType="begin"/>
                          </w:r>
                          <w:r>
                            <w:rPr>
                              <w:rStyle w:val="27"/>
                              <w:rFonts w:ascii="宋体" w:hAnsi="宋体"/>
                              <w:sz w:val="26"/>
                              <w:szCs w:val="26"/>
                            </w:rPr>
                            <w:instrText xml:space="preserve">PAGE  </w:instrText>
                          </w:r>
                          <w:r>
                            <w:rPr>
                              <w:rStyle w:val="27"/>
                              <w:rFonts w:ascii="宋体" w:hAnsi="宋体"/>
                              <w:sz w:val="26"/>
                              <w:szCs w:val="26"/>
                            </w:rPr>
                            <w:fldChar w:fldCharType="separate"/>
                          </w:r>
                          <w:r>
                            <w:rPr>
                              <w:rStyle w:val="27"/>
                              <w:rFonts w:ascii="宋体" w:hAnsi="宋体"/>
                              <w:sz w:val="26"/>
                              <w:szCs w:val="26"/>
                            </w:rPr>
                            <w:t>22</w:t>
                          </w:r>
                          <w:r>
                            <w:rPr>
                              <w:rStyle w:val="27"/>
                              <w:rFonts w:ascii="宋体" w:hAnsi="宋体"/>
                              <w:sz w:val="26"/>
                              <w:szCs w:val="26"/>
                            </w:rPr>
                            <w:fldChar w:fldCharType="end"/>
                          </w:r>
                          <w:r>
                            <w:rPr>
                              <w:rStyle w:val="27"/>
                              <w:rFonts w:hint="eastAsia" w:ascii="宋体" w:hAnsi="宋体"/>
                              <w:sz w:val="20"/>
                              <w:szCs w:val="20"/>
                            </w:rPr>
                            <w:t xml:space="preserve">  </w:t>
                          </w:r>
                          <w:r>
                            <w:rPr>
                              <w:rStyle w:val="27"/>
                              <w:rFonts w:hint="eastAsia" w:ascii="宋体" w:hAnsi="宋体"/>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8"/>
                      <w:rPr>
                        <w:rStyle w:val="27"/>
                        <w:rFonts w:hint="eastAsia" w:ascii="宋体" w:hAnsi="宋体" w:eastAsia="宋体"/>
                        <w:sz w:val="28"/>
                        <w:szCs w:val="28"/>
                        <w:lang w:eastAsia="zh-CN"/>
                      </w:rPr>
                    </w:pPr>
                    <w:r>
                      <w:rPr>
                        <w:rStyle w:val="27"/>
                        <w:rFonts w:hint="eastAsia" w:ascii="宋体" w:hAnsi="宋体"/>
                        <w:sz w:val="28"/>
                        <w:szCs w:val="28"/>
                        <w:lang w:eastAsia="zh-CN"/>
                      </w:rPr>
                      <w:t>-</w:t>
                    </w:r>
                    <w:r>
                      <w:rPr>
                        <w:rStyle w:val="27"/>
                        <w:rFonts w:hint="eastAsia" w:ascii="宋体" w:hAnsi="宋体"/>
                        <w:sz w:val="20"/>
                        <w:szCs w:val="20"/>
                      </w:rPr>
                      <w:t xml:space="preserve">  </w:t>
                    </w:r>
                    <w:r>
                      <w:rPr>
                        <w:rStyle w:val="27"/>
                        <w:rFonts w:ascii="宋体" w:hAnsi="宋体"/>
                        <w:sz w:val="26"/>
                        <w:szCs w:val="26"/>
                      </w:rPr>
                      <w:fldChar w:fldCharType="begin"/>
                    </w:r>
                    <w:r>
                      <w:rPr>
                        <w:rStyle w:val="27"/>
                        <w:rFonts w:ascii="宋体" w:hAnsi="宋体"/>
                        <w:sz w:val="26"/>
                        <w:szCs w:val="26"/>
                      </w:rPr>
                      <w:instrText xml:space="preserve">PAGE  </w:instrText>
                    </w:r>
                    <w:r>
                      <w:rPr>
                        <w:rStyle w:val="27"/>
                        <w:rFonts w:ascii="宋体" w:hAnsi="宋体"/>
                        <w:sz w:val="26"/>
                        <w:szCs w:val="26"/>
                      </w:rPr>
                      <w:fldChar w:fldCharType="separate"/>
                    </w:r>
                    <w:r>
                      <w:rPr>
                        <w:rStyle w:val="27"/>
                        <w:rFonts w:ascii="宋体" w:hAnsi="宋体"/>
                        <w:sz w:val="26"/>
                        <w:szCs w:val="26"/>
                      </w:rPr>
                      <w:t>22</w:t>
                    </w:r>
                    <w:r>
                      <w:rPr>
                        <w:rStyle w:val="27"/>
                        <w:rFonts w:ascii="宋体" w:hAnsi="宋体"/>
                        <w:sz w:val="26"/>
                        <w:szCs w:val="26"/>
                      </w:rPr>
                      <w:fldChar w:fldCharType="end"/>
                    </w:r>
                    <w:r>
                      <w:rPr>
                        <w:rStyle w:val="27"/>
                        <w:rFonts w:hint="eastAsia" w:ascii="宋体" w:hAnsi="宋体"/>
                        <w:sz w:val="20"/>
                        <w:szCs w:val="20"/>
                      </w:rPr>
                      <w:t xml:space="preserve">  </w:t>
                    </w:r>
                    <w:r>
                      <w:rPr>
                        <w:rStyle w:val="27"/>
                        <w:rFonts w:hint="eastAsia" w:ascii="宋体" w:hAnsi="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5CB95E"/>
    <w:multiLevelType w:val="singleLevel"/>
    <w:tmpl w:val="9B5CB95E"/>
    <w:lvl w:ilvl="0" w:tentative="0">
      <w:start w:val="1"/>
      <w:numFmt w:val="decimal"/>
      <w:suff w:val="nothing"/>
      <w:lvlText w:val="（%1）"/>
      <w:lvlJc w:val="left"/>
    </w:lvl>
  </w:abstractNum>
  <w:abstractNum w:abstractNumId="1">
    <w:nsid w:val="A3D8D2C1"/>
    <w:multiLevelType w:val="singleLevel"/>
    <w:tmpl w:val="A3D8D2C1"/>
    <w:lvl w:ilvl="0" w:tentative="0">
      <w:start w:val="1"/>
      <w:numFmt w:val="chineseCounting"/>
      <w:suff w:val="nothing"/>
      <w:lvlText w:val="%1、"/>
      <w:lvlJc w:val="left"/>
      <w:pPr>
        <w:ind w:left="780"/>
      </w:pPr>
      <w:rPr>
        <w:rFonts w:hint="eastAsia"/>
      </w:rPr>
    </w:lvl>
  </w:abstractNum>
  <w:abstractNum w:abstractNumId="2">
    <w:nsid w:val="A5E04C94"/>
    <w:multiLevelType w:val="singleLevel"/>
    <w:tmpl w:val="A5E04C94"/>
    <w:lvl w:ilvl="0" w:tentative="0">
      <w:start w:val="1"/>
      <w:numFmt w:val="decimal"/>
      <w:suff w:val="nothing"/>
      <w:lvlText w:val="%1"/>
      <w:lvlJc w:val="left"/>
      <w:pPr>
        <w:ind w:left="0" w:firstLine="0"/>
      </w:pPr>
      <w:rPr>
        <w:rFonts w:hint="default"/>
      </w:rPr>
    </w:lvl>
  </w:abstractNum>
  <w:abstractNum w:abstractNumId="3">
    <w:nsid w:val="BE26729A"/>
    <w:multiLevelType w:val="singleLevel"/>
    <w:tmpl w:val="BE26729A"/>
    <w:lvl w:ilvl="0" w:tentative="0">
      <w:start w:val="1"/>
      <w:numFmt w:val="decimal"/>
      <w:suff w:val="nothing"/>
      <w:lvlText w:val="%1"/>
      <w:lvlJc w:val="left"/>
      <w:pPr>
        <w:ind w:left="0" w:firstLine="0"/>
      </w:pPr>
      <w:rPr>
        <w:rFonts w:hint="default"/>
      </w:rPr>
    </w:lvl>
  </w:abstractNum>
  <w:abstractNum w:abstractNumId="4">
    <w:nsid w:val="C9A56881"/>
    <w:multiLevelType w:val="singleLevel"/>
    <w:tmpl w:val="C9A56881"/>
    <w:lvl w:ilvl="0" w:tentative="0">
      <w:start w:val="2"/>
      <w:numFmt w:val="decimal"/>
      <w:suff w:val="nothing"/>
      <w:lvlText w:val="（%1）"/>
      <w:lvlJc w:val="left"/>
    </w:lvl>
  </w:abstractNum>
  <w:abstractNum w:abstractNumId="5">
    <w:nsid w:val="CF8FCC36"/>
    <w:multiLevelType w:val="singleLevel"/>
    <w:tmpl w:val="CF8FCC36"/>
    <w:lvl w:ilvl="0" w:tentative="0">
      <w:start w:val="1"/>
      <w:numFmt w:val="decimal"/>
      <w:suff w:val="nothing"/>
      <w:lvlText w:val="%1"/>
      <w:lvlJc w:val="left"/>
      <w:pPr>
        <w:ind w:left="0" w:firstLine="0"/>
      </w:pPr>
      <w:rPr>
        <w:rFonts w:hint="default"/>
      </w:rPr>
    </w:lvl>
  </w:abstractNum>
  <w:abstractNum w:abstractNumId="6">
    <w:nsid w:val="EA93620F"/>
    <w:multiLevelType w:val="singleLevel"/>
    <w:tmpl w:val="EA93620F"/>
    <w:lvl w:ilvl="0" w:tentative="0">
      <w:start w:val="12"/>
      <w:numFmt w:val="decimal"/>
      <w:suff w:val="nothing"/>
      <w:lvlText w:val="%1"/>
      <w:lvlJc w:val="left"/>
      <w:pPr>
        <w:ind w:left="0" w:firstLine="0"/>
      </w:pPr>
      <w:rPr>
        <w:rFonts w:hint="default"/>
      </w:rPr>
    </w:lvl>
  </w:abstractNum>
  <w:abstractNum w:abstractNumId="7">
    <w:nsid w:val="EDE2AEC5"/>
    <w:multiLevelType w:val="singleLevel"/>
    <w:tmpl w:val="EDE2AEC5"/>
    <w:lvl w:ilvl="0" w:tentative="0">
      <w:start w:val="1"/>
      <w:numFmt w:val="bullet"/>
      <w:pStyle w:val="16"/>
      <w:lvlText w:val=""/>
      <w:lvlJc w:val="left"/>
      <w:pPr>
        <w:tabs>
          <w:tab w:val="left" w:pos="2040"/>
        </w:tabs>
        <w:ind w:left="2040" w:hanging="360"/>
      </w:pPr>
      <w:rPr>
        <w:rFonts w:hint="default" w:ascii="Wingdings" w:hAnsi="Wingdings"/>
      </w:rPr>
    </w:lvl>
  </w:abstractNum>
  <w:abstractNum w:abstractNumId="8">
    <w:nsid w:val="120F2D46"/>
    <w:multiLevelType w:val="singleLevel"/>
    <w:tmpl w:val="120F2D46"/>
    <w:lvl w:ilvl="0" w:tentative="0">
      <w:start w:val="23"/>
      <w:numFmt w:val="decimal"/>
      <w:suff w:val="nothing"/>
      <w:lvlText w:val="%1"/>
      <w:lvlJc w:val="left"/>
      <w:pPr>
        <w:ind w:left="0" w:firstLine="0"/>
      </w:pPr>
      <w:rPr>
        <w:rFonts w:hint="default"/>
      </w:rPr>
    </w:lvl>
  </w:abstractNum>
  <w:abstractNum w:abstractNumId="9">
    <w:nsid w:val="3A81B257"/>
    <w:multiLevelType w:val="singleLevel"/>
    <w:tmpl w:val="3A81B257"/>
    <w:lvl w:ilvl="0" w:tentative="0">
      <w:start w:val="1"/>
      <w:numFmt w:val="decimal"/>
      <w:suff w:val="nothing"/>
      <w:lvlText w:val="（%1）"/>
      <w:lvlJc w:val="left"/>
    </w:lvl>
  </w:abstractNum>
  <w:num w:numId="1">
    <w:abstractNumId w:val="7"/>
  </w:num>
  <w:num w:numId="2">
    <w:abstractNumId w:val="3"/>
  </w:num>
  <w:num w:numId="3">
    <w:abstractNumId w:val="6"/>
  </w:num>
  <w:num w:numId="4">
    <w:abstractNumId w:val="2"/>
  </w:num>
  <w:num w:numId="5">
    <w:abstractNumId w:val="8"/>
  </w:num>
  <w:num w:numId="6">
    <w:abstractNumId w:val="1"/>
  </w:num>
  <w:num w:numId="7">
    <w:abstractNumId w:val="4"/>
  </w:num>
  <w:num w:numId="8">
    <w:abstractNumId w:val="0"/>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zQ5YjJjYTY4ZmZjN2I1YmFhNzM4MjFjYTdlY2IifQ=="/>
  </w:docVars>
  <w:rsids>
    <w:rsidRoot w:val="517544A6"/>
    <w:rsid w:val="00F81A0A"/>
    <w:rsid w:val="023C2B54"/>
    <w:rsid w:val="03600692"/>
    <w:rsid w:val="039C43AB"/>
    <w:rsid w:val="03AF0951"/>
    <w:rsid w:val="047D5105"/>
    <w:rsid w:val="0563346C"/>
    <w:rsid w:val="059C7FFC"/>
    <w:rsid w:val="06527FC6"/>
    <w:rsid w:val="06817174"/>
    <w:rsid w:val="080E5335"/>
    <w:rsid w:val="09D973F0"/>
    <w:rsid w:val="0A032A1B"/>
    <w:rsid w:val="0AA16587"/>
    <w:rsid w:val="0ABE495C"/>
    <w:rsid w:val="0AC2532D"/>
    <w:rsid w:val="0AD344B5"/>
    <w:rsid w:val="0BEF690E"/>
    <w:rsid w:val="0C623983"/>
    <w:rsid w:val="0D6E4A7D"/>
    <w:rsid w:val="0DD9599C"/>
    <w:rsid w:val="0DFE5677"/>
    <w:rsid w:val="0E3F42E4"/>
    <w:rsid w:val="0F517218"/>
    <w:rsid w:val="0FAB4D82"/>
    <w:rsid w:val="1038173E"/>
    <w:rsid w:val="107C2F3D"/>
    <w:rsid w:val="108045E0"/>
    <w:rsid w:val="10AC1E68"/>
    <w:rsid w:val="122917B6"/>
    <w:rsid w:val="1281041C"/>
    <w:rsid w:val="12984A5A"/>
    <w:rsid w:val="12D841CE"/>
    <w:rsid w:val="157F0C8A"/>
    <w:rsid w:val="16D6713E"/>
    <w:rsid w:val="17097232"/>
    <w:rsid w:val="180C0990"/>
    <w:rsid w:val="18775734"/>
    <w:rsid w:val="188123C3"/>
    <w:rsid w:val="19A23135"/>
    <w:rsid w:val="1C2A1F48"/>
    <w:rsid w:val="1CDA763F"/>
    <w:rsid w:val="1CFF2C03"/>
    <w:rsid w:val="1DD43CFE"/>
    <w:rsid w:val="1EA732A6"/>
    <w:rsid w:val="1F1A4A51"/>
    <w:rsid w:val="201834D8"/>
    <w:rsid w:val="201E5705"/>
    <w:rsid w:val="20D4311C"/>
    <w:rsid w:val="210E78A5"/>
    <w:rsid w:val="217C1266"/>
    <w:rsid w:val="21B815F7"/>
    <w:rsid w:val="221F15F1"/>
    <w:rsid w:val="223517D8"/>
    <w:rsid w:val="23F73DB0"/>
    <w:rsid w:val="240312C0"/>
    <w:rsid w:val="24AA1CEC"/>
    <w:rsid w:val="25DF6207"/>
    <w:rsid w:val="262C5424"/>
    <w:rsid w:val="26C66A5A"/>
    <w:rsid w:val="279202C9"/>
    <w:rsid w:val="2901669B"/>
    <w:rsid w:val="2A5568FB"/>
    <w:rsid w:val="2A7A79DE"/>
    <w:rsid w:val="2AE449EF"/>
    <w:rsid w:val="2B2B1B0B"/>
    <w:rsid w:val="2BFFF226"/>
    <w:rsid w:val="2C7227C3"/>
    <w:rsid w:val="2D3A675D"/>
    <w:rsid w:val="2D934409"/>
    <w:rsid w:val="2F374C5A"/>
    <w:rsid w:val="2F4F212F"/>
    <w:rsid w:val="2FF722FC"/>
    <w:rsid w:val="306A65B9"/>
    <w:rsid w:val="31722E39"/>
    <w:rsid w:val="32CF2F48"/>
    <w:rsid w:val="343C2AF9"/>
    <w:rsid w:val="358110D5"/>
    <w:rsid w:val="35D80965"/>
    <w:rsid w:val="361A26D3"/>
    <w:rsid w:val="368A5943"/>
    <w:rsid w:val="3948248C"/>
    <w:rsid w:val="39961BE7"/>
    <w:rsid w:val="39AA3E12"/>
    <w:rsid w:val="39B527DE"/>
    <w:rsid w:val="3A0078FA"/>
    <w:rsid w:val="3A073E4C"/>
    <w:rsid w:val="3A475949"/>
    <w:rsid w:val="3A4B4EF0"/>
    <w:rsid w:val="3AFFBCAC"/>
    <w:rsid w:val="3B273268"/>
    <w:rsid w:val="3B820DE6"/>
    <w:rsid w:val="3B9D508F"/>
    <w:rsid w:val="3BCC04D8"/>
    <w:rsid w:val="3BFD1F22"/>
    <w:rsid w:val="3C940DD1"/>
    <w:rsid w:val="3C983125"/>
    <w:rsid w:val="3D5577B1"/>
    <w:rsid w:val="3D5928AA"/>
    <w:rsid w:val="3D5BC4B8"/>
    <w:rsid w:val="3D931088"/>
    <w:rsid w:val="3DF16870"/>
    <w:rsid w:val="3E427218"/>
    <w:rsid w:val="3F5E60C6"/>
    <w:rsid w:val="3FB734BF"/>
    <w:rsid w:val="40F70AD4"/>
    <w:rsid w:val="431D0717"/>
    <w:rsid w:val="4337270C"/>
    <w:rsid w:val="433B57B2"/>
    <w:rsid w:val="4355648A"/>
    <w:rsid w:val="449E23DD"/>
    <w:rsid w:val="44D64101"/>
    <w:rsid w:val="453A1538"/>
    <w:rsid w:val="456F43A5"/>
    <w:rsid w:val="45DE303C"/>
    <w:rsid w:val="45E702E2"/>
    <w:rsid w:val="4613358E"/>
    <w:rsid w:val="48922976"/>
    <w:rsid w:val="48B325DE"/>
    <w:rsid w:val="497E69F4"/>
    <w:rsid w:val="49B72AE5"/>
    <w:rsid w:val="4A7F81BA"/>
    <w:rsid w:val="4B5C3AD0"/>
    <w:rsid w:val="4B5C3BD5"/>
    <w:rsid w:val="4C984B4D"/>
    <w:rsid w:val="4D3116D4"/>
    <w:rsid w:val="4DBC0187"/>
    <w:rsid w:val="4E1870B9"/>
    <w:rsid w:val="4F324243"/>
    <w:rsid w:val="4F35288F"/>
    <w:rsid w:val="4F587A3C"/>
    <w:rsid w:val="4F650DE3"/>
    <w:rsid w:val="50597CA2"/>
    <w:rsid w:val="50764560"/>
    <w:rsid w:val="50D13F4A"/>
    <w:rsid w:val="517544A6"/>
    <w:rsid w:val="519E175D"/>
    <w:rsid w:val="52F95C05"/>
    <w:rsid w:val="53806847"/>
    <w:rsid w:val="53C8084A"/>
    <w:rsid w:val="54013DDF"/>
    <w:rsid w:val="542072D7"/>
    <w:rsid w:val="5440050C"/>
    <w:rsid w:val="558B2B87"/>
    <w:rsid w:val="56092D10"/>
    <w:rsid w:val="56286BBA"/>
    <w:rsid w:val="56D37483"/>
    <w:rsid w:val="57143949"/>
    <w:rsid w:val="5745349D"/>
    <w:rsid w:val="584E5E80"/>
    <w:rsid w:val="585E06F3"/>
    <w:rsid w:val="5891082B"/>
    <w:rsid w:val="59380C52"/>
    <w:rsid w:val="5A12021A"/>
    <w:rsid w:val="5AB31059"/>
    <w:rsid w:val="5C69009F"/>
    <w:rsid w:val="5C73325C"/>
    <w:rsid w:val="5D4705D7"/>
    <w:rsid w:val="5D9C4CE4"/>
    <w:rsid w:val="5DC7796E"/>
    <w:rsid w:val="5DCE1DE2"/>
    <w:rsid w:val="5E1B32D4"/>
    <w:rsid w:val="5E3650C8"/>
    <w:rsid w:val="5F304EF5"/>
    <w:rsid w:val="5F486AB7"/>
    <w:rsid w:val="5F667D08"/>
    <w:rsid w:val="5FDF31B3"/>
    <w:rsid w:val="5FF6E5F7"/>
    <w:rsid w:val="60023FC9"/>
    <w:rsid w:val="600D03CE"/>
    <w:rsid w:val="60E2555E"/>
    <w:rsid w:val="60F667AC"/>
    <w:rsid w:val="619223E3"/>
    <w:rsid w:val="62765A2F"/>
    <w:rsid w:val="629B6165"/>
    <w:rsid w:val="636B3D8A"/>
    <w:rsid w:val="63D24729"/>
    <w:rsid w:val="659713CB"/>
    <w:rsid w:val="667C5506"/>
    <w:rsid w:val="66E6F108"/>
    <w:rsid w:val="67636BC9"/>
    <w:rsid w:val="678E0DF1"/>
    <w:rsid w:val="6942733B"/>
    <w:rsid w:val="69D87E75"/>
    <w:rsid w:val="6A0670C4"/>
    <w:rsid w:val="6AB11D9A"/>
    <w:rsid w:val="6AEE063A"/>
    <w:rsid w:val="6CDC42EF"/>
    <w:rsid w:val="6CF91317"/>
    <w:rsid w:val="6D77344D"/>
    <w:rsid w:val="6D8A3AF6"/>
    <w:rsid w:val="6E5042C4"/>
    <w:rsid w:val="6EDE7E0F"/>
    <w:rsid w:val="6EF7327B"/>
    <w:rsid w:val="6F2303C2"/>
    <w:rsid w:val="6F75727E"/>
    <w:rsid w:val="6FB4197D"/>
    <w:rsid w:val="704A28B1"/>
    <w:rsid w:val="7100559D"/>
    <w:rsid w:val="711C501E"/>
    <w:rsid w:val="715D15A2"/>
    <w:rsid w:val="722332C6"/>
    <w:rsid w:val="72677E12"/>
    <w:rsid w:val="72C07DA8"/>
    <w:rsid w:val="73640D17"/>
    <w:rsid w:val="73936FCF"/>
    <w:rsid w:val="742C74EB"/>
    <w:rsid w:val="74762BCD"/>
    <w:rsid w:val="74FF3282"/>
    <w:rsid w:val="75843EDF"/>
    <w:rsid w:val="75B91E65"/>
    <w:rsid w:val="75C07A78"/>
    <w:rsid w:val="774768D0"/>
    <w:rsid w:val="77651BE7"/>
    <w:rsid w:val="77A63DBF"/>
    <w:rsid w:val="77F531EC"/>
    <w:rsid w:val="79EB224B"/>
    <w:rsid w:val="7A1E16FE"/>
    <w:rsid w:val="7A2B3E1B"/>
    <w:rsid w:val="7A3176E5"/>
    <w:rsid w:val="7DF75E7F"/>
    <w:rsid w:val="7E3808B5"/>
    <w:rsid w:val="7E5E6C64"/>
    <w:rsid w:val="7EBB2BD6"/>
    <w:rsid w:val="7EBD2391"/>
    <w:rsid w:val="7F470C50"/>
    <w:rsid w:val="7FB23D9D"/>
    <w:rsid w:val="8F594BF4"/>
    <w:rsid w:val="8FAFBB59"/>
    <w:rsid w:val="B7FB717C"/>
    <w:rsid w:val="C5B38584"/>
    <w:rsid w:val="DD7F0D8F"/>
    <w:rsid w:val="DFA72F52"/>
    <w:rsid w:val="ECE51686"/>
    <w:rsid w:val="EDDA383C"/>
    <w:rsid w:val="F2FDCF80"/>
    <w:rsid w:val="F6FD011D"/>
    <w:rsid w:val="FB55CFB7"/>
    <w:rsid w:val="FB5726C7"/>
    <w:rsid w:val="FECFDF8F"/>
    <w:rsid w:val="FFF711BD"/>
    <w:rsid w:val="FFFF8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autoRedefine/>
    <w:unhideWhenUsed/>
    <w:qFormat/>
    <w:uiPriority w:val="0"/>
    <w:pPr>
      <w:keepNext/>
      <w:keepLines/>
      <w:spacing w:before="260" w:after="260" w:line="416" w:lineRule="auto"/>
      <w:outlineLvl w:val="1"/>
    </w:pPr>
    <w:rPr>
      <w:rFonts w:ascii="等线 Light" w:hAnsi="等线 Light" w:eastAsia="等线 Light" w:cs="Times New Roman"/>
      <w:b/>
      <w:bCs/>
      <w:sz w:val="32"/>
      <w:szCs w:val="32"/>
    </w:rPr>
  </w:style>
  <w:style w:type="paragraph" w:styleId="5">
    <w:name w:val="heading 3"/>
    <w:basedOn w:val="1"/>
    <w:next w:val="6"/>
    <w:autoRedefine/>
    <w:qFormat/>
    <w:uiPriority w:val="0"/>
    <w:pPr>
      <w:keepNext/>
      <w:keepLines/>
      <w:spacing w:before="20" w:after="20" w:line="360" w:lineRule="auto"/>
      <w:outlineLvl w:val="2"/>
    </w:pPr>
    <w:rPr>
      <w:rFonts w:ascii="宋体"/>
      <w:b/>
      <w:kern w:val="0"/>
      <w:sz w:val="28"/>
      <w:szCs w:val="20"/>
    </w:rPr>
  </w:style>
  <w:style w:type="paragraph" w:styleId="7">
    <w:name w:val="heading 4"/>
    <w:basedOn w:val="1"/>
    <w:next w:val="1"/>
    <w:autoRedefine/>
    <w:unhideWhenUsed/>
    <w:qFormat/>
    <w:uiPriority w:val="9"/>
    <w:pPr>
      <w:keepNext/>
      <w:keepLines/>
      <w:spacing w:before="120" w:after="120"/>
      <w:outlineLvl w:val="3"/>
    </w:pPr>
    <w:rPr>
      <w:rFonts w:ascii="Cambria" w:hAnsi="Cambria" w:eastAsia="黑体" w:cs="Times New Roman"/>
      <w:bCs/>
      <w:szCs w:val="28"/>
    </w:rPr>
  </w:style>
  <w:style w:type="paragraph" w:styleId="8">
    <w:name w:val="heading 6"/>
    <w:basedOn w:val="1"/>
    <w:next w:val="1"/>
    <w:autoRedefine/>
    <w:qFormat/>
    <w:uiPriority w:val="0"/>
    <w:pPr>
      <w:keepNext/>
      <w:keepLines/>
      <w:adjustRightInd w:val="0"/>
      <w:spacing w:before="240" w:beforeLines="0" w:after="64" w:afterLines="0" w:line="320" w:lineRule="atLeast"/>
      <w:jc w:val="left"/>
      <w:textAlignment w:val="baseline"/>
      <w:outlineLvl w:val="5"/>
    </w:pPr>
    <w:rPr>
      <w:rFonts w:ascii="Arial" w:hAnsi="Arial" w:eastAsia="黑体"/>
      <w:b/>
      <w:sz w:val="24"/>
      <w:lang w:val="en-US" w:eastAsia="zh-CN" w:bidi="ar-SA"/>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widowControl/>
      <w:snapToGrid w:val="0"/>
      <w:spacing w:before="60" w:after="160" w:line="259" w:lineRule="auto"/>
      <w:ind w:right="113"/>
    </w:pPr>
    <w:rPr>
      <w:rFonts w:ascii="Times New Roman" w:hAnsi="Times New Roman" w:eastAsia="宋体"/>
      <w:kern w:val="0"/>
      <w:sz w:val="21"/>
      <w:szCs w:val="18"/>
    </w:rPr>
  </w:style>
  <w:style w:type="paragraph" w:customStyle="1" w:styleId="6">
    <w:name w:val="正文中文"/>
    <w:autoRedefine/>
    <w:qFormat/>
    <w:uiPriority w:val="4"/>
    <w:pPr>
      <w:spacing w:line="360" w:lineRule="auto"/>
      <w:ind w:firstLine="200" w:firstLineChars="200"/>
      <w:jc w:val="both"/>
    </w:pPr>
    <w:rPr>
      <w:rFonts w:ascii="Times New Roman" w:hAnsi="Times New Roman" w:eastAsia="宋体" w:cs="Times New Roman"/>
      <w:kern w:val="2"/>
      <w:sz w:val="24"/>
      <w:szCs w:val="28"/>
      <w:lang w:val="en-US" w:eastAsia="zh-CN" w:bidi="ar-SA"/>
    </w:rPr>
  </w:style>
  <w:style w:type="paragraph" w:styleId="9">
    <w:name w:val="Normal Indent"/>
    <w:basedOn w:val="1"/>
    <w:next w:val="10"/>
    <w:autoRedefine/>
    <w:unhideWhenUsed/>
    <w:qFormat/>
    <w:uiPriority w:val="99"/>
    <w:pPr>
      <w:ind w:firstLine="420" w:firstLineChars="200"/>
    </w:pPr>
  </w:style>
  <w:style w:type="paragraph" w:styleId="10">
    <w:name w:val="Body Text First Indent 2"/>
    <w:basedOn w:val="11"/>
    <w:next w:val="1"/>
    <w:autoRedefine/>
    <w:unhideWhenUsed/>
    <w:qFormat/>
    <w:uiPriority w:val="0"/>
    <w:pPr>
      <w:tabs>
        <w:tab w:val="left" w:pos="360"/>
        <w:tab w:val="left" w:pos="900"/>
      </w:tabs>
      <w:ind w:firstLine="420"/>
    </w:pPr>
  </w:style>
  <w:style w:type="paragraph" w:styleId="11">
    <w:name w:val="Body Text Indent"/>
    <w:basedOn w:val="1"/>
    <w:next w:val="1"/>
    <w:autoRedefine/>
    <w:semiHidden/>
    <w:qFormat/>
    <w:uiPriority w:val="0"/>
    <w:pPr>
      <w:spacing w:after="120"/>
      <w:ind w:left="420" w:leftChars="200"/>
    </w:pPr>
  </w:style>
  <w:style w:type="paragraph" w:styleId="12">
    <w:name w:val="caption"/>
    <w:basedOn w:val="1"/>
    <w:next w:val="1"/>
    <w:autoRedefine/>
    <w:qFormat/>
    <w:uiPriority w:val="0"/>
    <w:pPr>
      <w:spacing w:beforeLines="50" w:afterLines="50" w:line="360" w:lineRule="auto"/>
      <w:ind w:firstLine="200" w:firstLineChars="200"/>
      <w:jc w:val="center"/>
    </w:pPr>
    <w:rPr>
      <w:rFonts w:ascii="Cambria" w:hAnsi="Cambria" w:eastAsia="黑体" w:cstheme="majorBidi"/>
      <w:bCs/>
      <w:sz w:val="20"/>
      <w:szCs w:val="20"/>
    </w:rPr>
  </w:style>
  <w:style w:type="paragraph" w:styleId="13">
    <w:name w:val="annotation text"/>
    <w:basedOn w:val="1"/>
    <w:autoRedefine/>
    <w:semiHidden/>
    <w:qFormat/>
    <w:uiPriority w:val="0"/>
    <w:pPr>
      <w:jc w:val="left"/>
    </w:pPr>
    <w:rPr>
      <w:kern w:val="0"/>
      <w:sz w:val="20"/>
    </w:rPr>
  </w:style>
  <w:style w:type="paragraph" w:styleId="14">
    <w:name w:val="Block Text"/>
    <w:basedOn w:val="1"/>
    <w:autoRedefine/>
    <w:qFormat/>
    <w:uiPriority w:val="0"/>
    <w:pPr>
      <w:spacing w:after="120"/>
      <w:ind w:left="1440" w:leftChars="700" w:right="1440" w:rightChars="700"/>
    </w:pPr>
  </w:style>
  <w:style w:type="paragraph" w:styleId="15">
    <w:name w:val="Plain Text"/>
    <w:basedOn w:val="1"/>
    <w:link w:val="59"/>
    <w:autoRedefine/>
    <w:qFormat/>
    <w:uiPriority w:val="0"/>
    <w:rPr>
      <w:rFonts w:ascii="宋体" w:hAnsi="Courier New" w:cs="Century"/>
      <w:szCs w:val="21"/>
    </w:rPr>
  </w:style>
  <w:style w:type="paragraph" w:styleId="16">
    <w:name w:val="List Bullet 5"/>
    <w:basedOn w:val="1"/>
    <w:autoRedefine/>
    <w:qFormat/>
    <w:uiPriority w:val="0"/>
    <w:pPr>
      <w:numPr>
        <w:ilvl w:val="0"/>
        <w:numId w:val="1"/>
      </w:numPr>
    </w:pPr>
  </w:style>
  <w:style w:type="paragraph" w:styleId="17">
    <w:name w:val="Body Text Indent 2"/>
    <w:basedOn w:val="1"/>
    <w:next w:val="1"/>
    <w:autoRedefine/>
    <w:qFormat/>
    <w:uiPriority w:val="0"/>
    <w:pPr>
      <w:spacing w:line="360" w:lineRule="auto"/>
      <w:ind w:firstLine="624"/>
    </w:pPr>
    <w:rPr>
      <w:sz w:val="28"/>
    </w:rPr>
  </w:style>
  <w:style w:type="paragraph" w:styleId="18">
    <w:name w:val="footer"/>
    <w:basedOn w:val="1"/>
    <w:autoRedefine/>
    <w:qFormat/>
    <w:uiPriority w:val="0"/>
    <w:pPr>
      <w:tabs>
        <w:tab w:val="center" w:pos="4153"/>
        <w:tab w:val="right" w:pos="8306"/>
      </w:tabs>
      <w:snapToGrid w:val="0"/>
      <w:jc w:val="left"/>
    </w:pPr>
    <w:rPr>
      <w:sz w:val="18"/>
      <w:szCs w:val="18"/>
    </w:rPr>
  </w:style>
  <w:style w:type="paragraph" w:styleId="1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0">
    <w:name w:val="Body Text 2"/>
    <w:basedOn w:val="1"/>
    <w:autoRedefine/>
    <w:qFormat/>
    <w:uiPriority w:val="0"/>
    <w:pPr>
      <w:jc w:val="center"/>
    </w:pPr>
    <w:rPr>
      <w:rFonts w:ascii="宋体"/>
    </w:rPr>
  </w:style>
  <w:style w:type="paragraph" w:styleId="21">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22">
    <w:name w:val="Body Text First Indent"/>
    <w:basedOn w:val="2"/>
    <w:next w:val="1"/>
    <w:autoRedefine/>
    <w:qFormat/>
    <w:uiPriority w:val="0"/>
    <w:pPr>
      <w:ind w:firstLine="420" w:firstLineChars="100"/>
    </w:pPr>
  </w:style>
  <w:style w:type="table" w:styleId="24">
    <w:name w:val="Table Grid"/>
    <w:basedOn w:val="23"/>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page number"/>
    <w:basedOn w:val="25"/>
    <w:autoRedefine/>
    <w:qFormat/>
    <w:uiPriority w:val="0"/>
  </w:style>
  <w:style w:type="character" w:styleId="28">
    <w:name w:val="annotation reference"/>
    <w:basedOn w:val="25"/>
    <w:autoRedefine/>
    <w:semiHidden/>
    <w:qFormat/>
    <w:uiPriority w:val="0"/>
    <w:rPr>
      <w:sz w:val="21"/>
    </w:rPr>
  </w:style>
  <w:style w:type="paragraph" w:customStyle="1" w:styleId="29">
    <w:name w:val="[1]正文"/>
    <w:basedOn w:val="1"/>
    <w:autoRedefine/>
    <w:qFormat/>
    <w:uiPriority w:val="0"/>
    <w:pPr>
      <w:snapToGrid w:val="0"/>
      <w:spacing w:line="360" w:lineRule="auto"/>
      <w:ind w:firstLine="200" w:firstLineChars="200"/>
    </w:pPr>
    <w:rPr>
      <w:rFonts w:cs="Calibri"/>
      <w:kern w:val="0"/>
      <w:sz w:val="24"/>
      <w:szCs w:val="28"/>
    </w:rPr>
  </w:style>
  <w:style w:type="paragraph" w:customStyle="1" w:styleId="3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1">
    <w:name w:val="样式5"/>
    <w:basedOn w:val="1"/>
    <w:autoRedefine/>
    <w:qFormat/>
    <w:uiPriority w:val="0"/>
    <w:pPr>
      <w:snapToGrid w:val="0"/>
      <w:spacing w:line="360" w:lineRule="auto"/>
      <w:ind w:firstLine="480" w:firstLineChars="200"/>
    </w:pPr>
    <w:rPr>
      <w:rFonts w:cs="Times New Roman"/>
    </w:rPr>
  </w:style>
  <w:style w:type="paragraph" w:customStyle="1" w:styleId="32">
    <w:name w:val="样式6"/>
    <w:basedOn w:val="33"/>
    <w:autoRedefine/>
    <w:qFormat/>
    <w:uiPriority w:val="0"/>
    <w:pPr>
      <w:spacing w:line="240" w:lineRule="auto"/>
      <w:ind w:firstLine="0" w:firstLineChars="0"/>
      <w:jc w:val="center"/>
    </w:pPr>
    <w:rPr>
      <w:rFonts w:ascii="黑体" w:hAnsi="Times New Roman" w:eastAsia="黑体"/>
      <w:szCs w:val="21"/>
    </w:rPr>
  </w:style>
  <w:style w:type="paragraph" w:customStyle="1" w:styleId="33">
    <w:name w:val="样式9"/>
    <w:basedOn w:val="1"/>
    <w:autoRedefine/>
    <w:qFormat/>
    <w:uiPriority w:val="0"/>
    <w:pPr>
      <w:snapToGrid w:val="0"/>
      <w:spacing w:line="336" w:lineRule="auto"/>
      <w:ind w:firstLine="480" w:firstLineChars="200"/>
    </w:pPr>
    <w:rPr>
      <w:rFonts w:cs="Times New Roman"/>
    </w:rPr>
  </w:style>
  <w:style w:type="paragraph" w:customStyle="1" w:styleId="34">
    <w:name w:val="表头"/>
    <w:basedOn w:val="1"/>
    <w:autoRedefine/>
    <w:qFormat/>
    <w:uiPriority w:val="0"/>
    <w:pPr>
      <w:adjustRightInd w:val="0"/>
      <w:spacing w:line="360" w:lineRule="auto"/>
      <w:textAlignment w:val="baseline"/>
    </w:pPr>
    <w:rPr>
      <w:rFonts w:ascii="Times New Roman" w:hAnsi="Times New Roman" w:eastAsia="黑体" w:cs="Times New Roman"/>
      <w:color w:val="000000"/>
      <w:szCs w:val="20"/>
    </w:rPr>
  </w:style>
  <w:style w:type="paragraph" w:styleId="35">
    <w:name w:val="No Spacing"/>
    <w:basedOn w:val="1"/>
    <w:autoRedefine/>
    <w:qFormat/>
    <w:uiPriority w:val="1"/>
    <w:pPr>
      <w:jc w:val="center"/>
    </w:pPr>
    <w:rPr>
      <w:rFonts w:ascii="Calibri" w:hAnsi="Calibri" w:cs="Times New Roman"/>
      <w:b/>
      <w:szCs w:val="32"/>
    </w:rPr>
  </w:style>
  <w:style w:type="paragraph" w:customStyle="1" w:styleId="36">
    <w:name w:val="报告表样式"/>
    <w:basedOn w:val="1"/>
    <w:autoRedefine/>
    <w:qFormat/>
    <w:uiPriority w:val="0"/>
    <w:pPr>
      <w:adjustRightInd w:val="0"/>
      <w:snapToGrid w:val="0"/>
      <w:spacing w:line="360" w:lineRule="auto"/>
      <w:ind w:firstLine="200" w:firstLineChars="200"/>
    </w:pPr>
    <w:rPr>
      <w:sz w:val="28"/>
      <w:szCs w:val="28"/>
    </w:rPr>
  </w:style>
  <w:style w:type="paragraph" w:customStyle="1" w:styleId="37">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38">
    <w:name w:val="HP 表格内容"/>
    <w:autoRedefine/>
    <w:qFormat/>
    <w:uiPriority w:val="0"/>
    <w:pPr>
      <w:jc w:val="center"/>
    </w:pPr>
    <w:rPr>
      <w:rFonts w:ascii="Calibri" w:hAnsi="Calibri" w:eastAsia="宋体" w:cs="Times New Roman"/>
      <w:sz w:val="21"/>
      <w:szCs w:val="21"/>
      <w:lang w:val="en-US" w:eastAsia="zh-CN" w:bidi="ar-SA"/>
    </w:rPr>
  </w:style>
  <w:style w:type="paragraph" w:customStyle="1" w:styleId="39">
    <w:name w:val="文章正文"/>
    <w:basedOn w:val="1"/>
    <w:autoRedefine/>
    <w:qFormat/>
    <w:uiPriority w:val="0"/>
    <w:pPr>
      <w:spacing w:line="440" w:lineRule="exact"/>
      <w:ind w:firstLine="600" w:firstLineChars="200"/>
    </w:pPr>
    <w:rPr>
      <w:kern w:val="0"/>
      <w:sz w:val="24"/>
      <w:szCs w:val="20"/>
    </w:rPr>
  </w:style>
  <w:style w:type="paragraph" w:customStyle="1" w:styleId="40">
    <w:name w:val="样式1"/>
    <w:basedOn w:val="1"/>
    <w:autoRedefine/>
    <w:qFormat/>
    <w:uiPriority w:val="0"/>
    <w:pPr>
      <w:spacing w:line="360" w:lineRule="auto"/>
      <w:ind w:firstLine="200" w:firstLineChars="200"/>
    </w:pPr>
    <w:rPr>
      <w:b/>
      <w:sz w:val="24"/>
    </w:rPr>
  </w:style>
  <w:style w:type="table" w:customStyle="1" w:styleId="41">
    <w:name w:val="Table Normal"/>
    <w:autoRedefine/>
    <w:semiHidden/>
    <w:unhideWhenUsed/>
    <w:qFormat/>
    <w:uiPriority w:val="0"/>
    <w:tblPr>
      <w:tblCellMar>
        <w:top w:w="0" w:type="dxa"/>
        <w:left w:w="0" w:type="dxa"/>
        <w:bottom w:w="0" w:type="dxa"/>
        <w:right w:w="0" w:type="dxa"/>
      </w:tblCellMar>
    </w:tblPr>
  </w:style>
  <w:style w:type="paragraph" w:customStyle="1" w:styleId="42">
    <w:name w:val="Table Text"/>
    <w:basedOn w:val="1"/>
    <w:autoRedefine/>
    <w:semiHidden/>
    <w:qFormat/>
    <w:uiPriority w:val="0"/>
    <w:rPr>
      <w:rFonts w:ascii="宋体" w:hAnsi="宋体" w:eastAsia="宋体" w:cs="宋体"/>
      <w:sz w:val="20"/>
      <w:szCs w:val="20"/>
      <w:lang w:val="en-US" w:eastAsia="en-US" w:bidi="ar-SA"/>
    </w:rPr>
  </w:style>
  <w:style w:type="paragraph" w:customStyle="1" w:styleId="43">
    <w:name w:val="M表头"/>
    <w:basedOn w:val="1"/>
    <w:next w:val="1"/>
    <w:autoRedefine/>
    <w:qFormat/>
    <w:uiPriority w:val="0"/>
    <w:pPr>
      <w:ind w:firstLine="200" w:firstLineChars="200"/>
      <w:jc w:val="center"/>
    </w:pPr>
    <w:rPr>
      <w:rFonts w:eastAsia="黑体" w:cs="Times New Roman"/>
      <w:bCs/>
      <w:szCs w:val="21"/>
    </w:rPr>
  </w:style>
  <w:style w:type="paragraph" w:customStyle="1" w:styleId="44">
    <w:name w:val="Other|1"/>
    <w:basedOn w:val="1"/>
    <w:autoRedefine/>
    <w:qFormat/>
    <w:uiPriority w:val="0"/>
    <w:pPr>
      <w:widowControl w:val="0"/>
      <w:shd w:val="clear" w:color="auto" w:fill="auto"/>
    </w:pPr>
    <w:rPr>
      <w:rFonts w:ascii="Cambria Math" w:hAnsi="Cambria Math" w:eastAsia="Cambria Math" w:cs="Cambria Math"/>
      <w:sz w:val="30"/>
      <w:szCs w:val="30"/>
      <w:u w:val="none"/>
      <w:shd w:val="clear" w:color="auto" w:fill="auto"/>
      <w:lang w:val="zh-TW" w:eastAsia="zh-TW" w:bidi="zh-TW"/>
    </w:rPr>
  </w:style>
  <w:style w:type="paragraph" w:customStyle="1" w:styleId="45">
    <w:name w:val="样式4"/>
    <w:basedOn w:val="15"/>
    <w:autoRedefine/>
    <w:qFormat/>
    <w:uiPriority w:val="0"/>
    <w:pPr>
      <w:snapToGrid w:val="0"/>
      <w:spacing w:line="360" w:lineRule="auto"/>
    </w:pPr>
    <w:rPr>
      <w:rFonts w:ascii="黑体" w:hAnsi="宋体" w:eastAsia="黑体" w:cs="Times New Roman"/>
      <w:kern w:val="2"/>
      <w:sz w:val="24"/>
      <w:szCs w:val="24"/>
    </w:rPr>
  </w:style>
  <w:style w:type="paragraph" w:customStyle="1" w:styleId="46">
    <w:name w:val="表头-格式"/>
    <w:basedOn w:val="1"/>
    <w:autoRedefine/>
    <w:qFormat/>
    <w:uiPriority w:val="0"/>
    <w:pPr>
      <w:widowControl/>
      <w:adjustRightInd w:val="0"/>
      <w:snapToGrid w:val="0"/>
      <w:spacing w:line="288" w:lineRule="auto"/>
      <w:ind w:firstLine="0" w:firstLineChars="0"/>
      <w:jc w:val="center"/>
    </w:pPr>
    <w:rPr>
      <w:rFonts w:eastAsia="黑体"/>
      <w:kern w:val="0"/>
      <w:szCs w:val="21"/>
      <w:lang w:val="zh-CN" w:bidi="en-US"/>
    </w:rPr>
  </w:style>
  <w:style w:type="paragraph" w:customStyle="1" w:styleId="47">
    <w:name w:val="表内容"/>
    <w:basedOn w:val="1"/>
    <w:next w:val="1"/>
    <w:autoRedefine/>
    <w:qFormat/>
    <w:uiPriority w:val="0"/>
    <w:pPr>
      <w:spacing w:line="320" w:lineRule="exact"/>
      <w:jc w:val="center"/>
    </w:pPr>
    <w:rPr>
      <w:szCs w:val="21"/>
    </w:rPr>
  </w:style>
  <w:style w:type="paragraph" w:customStyle="1" w:styleId="48">
    <w:name w:val="p0"/>
    <w:basedOn w:val="1"/>
    <w:autoRedefine/>
    <w:qFormat/>
    <w:uiPriority w:val="0"/>
    <w:pPr>
      <w:widowControl/>
      <w:spacing w:line="480" w:lineRule="atLeast"/>
    </w:pPr>
    <w:rPr>
      <w:rFonts w:ascii="Arial" w:hAnsi="Arial" w:cs="Arial"/>
      <w:kern w:val="0"/>
      <w:sz w:val="28"/>
      <w:szCs w:val="28"/>
    </w:rPr>
  </w:style>
  <w:style w:type="paragraph" w:customStyle="1" w:styleId="49">
    <w:name w:val="正文（BYN）"/>
    <w:basedOn w:val="15"/>
    <w:autoRedefine/>
    <w:qFormat/>
    <w:uiPriority w:val="0"/>
    <w:pPr>
      <w:spacing w:line="500" w:lineRule="exact"/>
      <w:ind w:firstLine="200" w:firstLineChars="200"/>
    </w:pPr>
    <w:rPr>
      <w:rFonts w:ascii="Arial Narrow" w:hAnsi="Arial Narrow" w:eastAsia="汉鼎简书宋"/>
      <w:bCs/>
      <w:sz w:val="24"/>
    </w:rPr>
  </w:style>
  <w:style w:type="paragraph" w:customStyle="1" w:styleId="50">
    <w:name w:val="正文（HY）"/>
    <w:basedOn w:val="15"/>
    <w:link w:val="58"/>
    <w:autoRedefine/>
    <w:qFormat/>
    <w:uiPriority w:val="0"/>
    <w:pPr>
      <w:adjustRightInd w:val="0"/>
      <w:spacing w:line="500" w:lineRule="exact"/>
      <w:ind w:firstLine="554" w:firstLineChars="200"/>
    </w:pPr>
    <w:rPr>
      <w:rFonts w:ascii="Arial Narrow" w:hAnsi="Arial Narrow" w:eastAsia="汉鼎简书宋"/>
      <w:bCs/>
      <w:sz w:val="24"/>
    </w:rPr>
  </w:style>
  <w:style w:type="paragraph" w:customStyle="1" w:styleId="51">
    <w:name w:val="表格正文"/>
    <w:basedOn w:val="1"/>
    <w:autoRedefine/>
    <w:qFormat/>
    <w:uiPriority w:val="0"/>
    <w:pPr>
      <w:spacing w:line="300" w:lineRule="exact"/>
      <w:jc w:val="center"/>
    </w:pPr>
    <w:rPr>
      <w:rFonts w:ascii="Arial Narrow" w:hAnsi="Arial Narrow" w:eastAsia="汉鼎简书宋"/>
      <w:szCs w:val="18"/>
    </w:rPr>
  </w:style>
  <w:style w:type="paragraph" w:customStyle="1" w:styleId="52">
    <w:name w:val="表格文字"/>
    <w:autoRedefine/>
    <w:qFormat/>
    <w:uiPriority w:val="0"/>
    <w:pPr>
      <w:snapToGrid w:val="0"/>
      <w:jc w:val="center"/>
    </w:pPr>
    <w:rPr>
      <w:rFonts w:ascii="Arial Narrow" w:hAnsi="Arial Narrow" w:eastAsia="汉鼎简书宋" w:cs="Times New Roman"/>
      <w:sz w:val="21"/>
      <w:lang w:val="en-US" w:eastAsia="zh-CN" w:bidi="ar-SA"/>
    </w:rPr>
  </w:style>
  <w:style w:type="paragraph" w:customStyle="1" w:styleId="53">
    <w:name w:val="四级（HY）"/>
    <w:basedOn w:val="1"/>
    <w:autoRedefine/>
    <w:qFormat/>
    <w:uiPriority w:val="0"/>
    <w:pPr>
      <w:spacing w:line="500" w:lineRule="exact"/>
      <w:outlineLvl w:val="3"/>
    </w:pPr>
    <w:rPr>
      <w:rFonts w:ascii="Arial Narrow" w:hAnsi="Arial Narrow" w:eastAsia="汉鼎简书宋" w:cstheme="minorBidi"/>
      <w:b/>
      <w:sz w:val="24"/>
      <w:szCs w:val="22"/>
    </w:rPr>
  </w:style>
  <w:style w:type="paragraph" w:customStyle="1" w:styleId="54">
    <w:name w:val="样式 标题 2节标题 1.11.1标题2Majorb2标题 2 Char Char Char标题 2 Char3号..."/>
    <w:basedOn w:val="4"/>
    <w:autoRedefine/>
    <w:qFormat/>
    <w:uiPriority w:val="0"/>
    <w:pPr>
      <w:tabs>
        <w:tab w:val="left" w:pos="567"/>
      </w:tabs>
    </w:pPr>
    <w:rPr>
      <w:rFonts w:cs="宋体"/>
      <w:color w:val="008000"/>
    </w:rPr>
  </w:style>
  <w:style w:type="character" w:customStyle="1" w:styleId="55">
    <w:name w:val="特点标题 Char"/>
    <w:autoRedefine/>
    <w:qFormat/>
    <w:uiPriority w:val="0"/>
    <w:rPr>
      <w:rFonts w:ascii="宋体" w:hAnsi="宋体" w:eastAsia="宋体"/>
      <w:kern w:val="2"/>
      <w:sz w:val="24"/>
      <w:szCs w:val="24"/>
      <w:lang w:val="en-US" w:eastAsia="zh-CN" w:bidi="ar-SA"/>
    </w:rPr>
  </w:style>
  <w:style w:type="paragraph" w:styleId="56">
    <w:name w:val="List Paragraph"/>
    <w:basedOn w:val="1"/>
    <w:autoRedefine/>
    <w:qFormat/>
    <w:uiPriority w:val="1"/>
    <w:pPr>
      <w:ind w:left="1271" w:hanging="615"/>
    </w:pPr>
    <w:rPr>
      <w:rFonts w:ascii="宋体" w:hAnsi="宋体" w:eastAsia="宋体" w:cs="宋体"/>
      <w:lang w:val="zh-CN" w:eastAsia="zh-CN" w:bidi="zh-CN"/>
    </w:rPr>
  </w:style>
  <w:style w:type="paragraph" w:customStyle="1" w:styleId="57">
    <w:name w:val="Table Paragraph"/>
    <w:basedOn w:val="1"/>
    <w:autoRedefine/>
    <w:qFormat/>
    <w:uiPriority w:val="1"/>
    <w:pPr>
      <w:jc w:val="center"/>
    </w:pPr>
    <w:rPr>
      <w:rFonts w:ascii="宋体" w:hAnsi="宋体" w:eastAsia="宋体" w:cs="宋体"/>
      <w:lang w:val="zh-CN" w:eastAsia="zh-CN" w:bidi="zh-CN"/>
    </w:rPr>
  </w:style>
  <w:style w:type="character" w:customStyle="1" w:styleId="58">
    <w:name w:val="正文（HY） 字符"/>
    <w:basedOn w:val="59"/>
    <w:link w:val="50"/>
    <w:autoRedefine/>
    <w:qFormat/>
    <w:uiPriority w:val="0"/>
    <w:rPr>
      <w:rFonts w:ascii="Arial Narrow" w:hAnsi="Arial Narrow" w:eastAsia="汉鼎简书宋"/>
      <w:bCs/>
      <w:sz w:val="24"/>
    </w:rPr>
  </w:style>
  <w:style w:type="character" w:customStyle="1" w:styleId="59">
    <w:name w:val="纯文本 字符"/>
    <w:link w:val="15"/>
    <w:autoRedefine/>
    <w:qFormat/>
    <w:uiPriority w:val="0"/>
    <w:rPr>
      <w:rFonts w:ascii="宋体" w:hAnsi="Courier New" w:cs="Century"/>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wmf"/><Relationship Id="rId14" Type="http://schemas.openxmlformats.org/officeDocument/2006/relationships/image" Target="media/image7.wmf"/><Relationship Id="rId13" Type="http://schemas.openxmlformats.org/officeDocument/2006/relationships/oleObject" Target="embeddings/oleObject1.bin"/><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41512</Words>
  <Characters>49999</Characters>
  <Lines>0</Lines>
  <Paragraphs>0</Paragraphs>
  <TotalTime>71</TotalTime>
  <ScaleCrop>false</ScaleCrop>
  <LinksUpToDate>false</LinksUpToDate>
  <CharactersWithSpaces>50366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2022-05-17T08:14:00Z</dcterms:created>
  <dc:creator>平生我自知</dc:creator>
  <cp:lastModifiedBy>火龙果</cp:lastModifiedBy>
  <cp:lastPrinted>2022-06-23T01:41:00Z</cp:lastPrinted>
  <dcterms:modified xsi:type="dcterms:W3CDTF">2024-05-15T08:41:27Z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7D74EA5CE6F64DF481D4DC182E828800_13</vt:lpwstr>
  </property>
</Properties>
</file>