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2003-2010___1.vsd" ContentType="application/vnd.visio"/>
  <Override PartName="/word/embeddings/Microsoft_Visio_2003-2010___2.vsd" ContentType="application/vnd.visio"/>
  <Override PartName="/word/embeddings/Microsoft_Visio_2003-2010___3.vsd" ContentType="application/vnd.visio"/>
  <Override PartName="/word/embeddings/Microsoft_Visio_2003-2010___4.vsd" ContentType="application/vnd.visio"/>
  <Override PartName="/word/embeddings/Microsoft_Visio_2003-2010___5.vsd" ContentType="application/vnd.visio"/>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outlineLvl w:val="0"/>
        <w:rPr>
          <w:rFonts w:ascii="方正小标宋_GBK" w:eastAsia="方正小标宋_GBK"/>
          <w:bCs/>
          <w:sz w:val="72"/>
          <w:szCs w:val="72"/>
        </w:rPr>
      </w:pPr>
    </w:p>
    <w:p>
      <w:pPr>
        <w:ind w:firstLine="0" w:firstLineChars="0"/>
        <w:jc w:val="center"/>
        <w:outlineLvl w:val="0"/>
        <w:rPr>
          <w:rFonts w:ascii="宋体" w:hAnsi="宋体" w:cs="宋体"/>
          <w:bCs/>
          <w:sz w:val="72"/>
          <w:szCs w:val="72"/>
        </w:rPr>
      </w:pPr>
      <w:bookmarkStart w:id="0" w:name="_Toc144507124"/>
      <w:r>
        <w:rPr>
          <w:rFonts w:hint="eastAsia" w:ascii="宋体" w:hAnsi="宋体" w:cs="宋体"/>
          <w:bCs/>
          <w:sz w:val="72"/>
          <w:szCs w:val="72"/>
        </w:rPr>
        <w:t>建设项目环境影响报告表</w:t>
      </w:r>
      <w:bookmarkEnd w:id="0"/>
    </w:p>
    <w:p>
      <w:pPr>
        <w:spacing w:before="260" w:beforeLines="80"/>
        <w:ind w:firstLine="0" w:firstLineChars="0"/>
        <w:jc w:val="center"/>
        <w:rPr>
          <w:rFonts w:ascii="宋体" w:hAnsi="宋体" w:cs="宋体"/>
          <w:bCs/>
          <w:sz w:val="48"/>
          <w:szCs w:val="48"/>
        </w:rPr>
      </w:pPr>
      <w:r>
        <w:rPr>
          <w:rFonts w:hint="eastAsia" w:ascii="宋体" w:hAnsi="宋体" w:cs="宋体"/>
          <w:bCs/>
          <w:sz w:val="48"/>
          <w:szCs w:val="48"/>
        </w:rPr>
        <w:t>（污染影响类）</w:t>
      </w:r>
    </w:p>
    <w:p>
      <w:pPr>
        <w:spacing w:line="288" w:lineRule="auto"/>
        <w:ind w:firstLine="0" w:firstLineChars="0"/>
        <w:jc w:val="center"/>
        <w:outlineLvl w:val="0"/>
        <w:rPr>
          <w:rFonts w:ascii="华文仿宋" w:hAnsi="华文仿宋" w:eastAsia="华文仿宋" w:cs="华文仿宋"/>
          <w:kern w:val="44"/>
          <w:sz w:val="40"/>
          <w:szCs w:val="40"/>
        </w:rPr>
      </w:pPr>
    </w:p>
    <w:p>
      <w:pPr>
        <w:ind w:firstLine="0" w:firstLineChars="0"/>
        <w:rPr>
          <w:rFonts w:eastAsia="仿宋"/>
          <w:sz w:val="44"/>
          <w:szCs w:val="44"/>
        </w:rPr>
      </w:pPr>
    </w:p>
    <w:p>
      <w:pPr>
        <w:ind w:firstLine="0" w:firstLineChars="0"/>
        <w:rPr>
          <w:rFonts w:eastAsia="仿宋"/>
          <w:sz w:val="44"/>
          <w:szCs w:val="44"/>
        </w:rPr>
      </w:pPr>
    </w:p>
    <w:p>
      <w:pPr>
        <w:ind w:firstLine="0" w:firstLineChars="0"/>
        <w:rPr>
          <w:rFonts w:eastAsia="仿宋"/>
          <w:sz w:val="44"/>
          <w:szCs w:val="44"/>
        </w:rPr>
      </w:pPr>
    </w:p>
    <w:p>
      <w:pPr>
        <w:ind w:firstLine="0" w:firstLineChars="0"/>
        <w:rPr>
          <w:rFonts w:eastAsia="仿宋"/>
          <w:sz w:val="44"/>
          <w:szCs w:val="44"/>
        </w:rPr>
      </w:pPr>
    </w:p>
    <w:p>
      <w:pPr>
        <w:ind w:firstLine="0" w:firstLineChars="0"/>
        <w:rPr>
          <w:rFonts w:eastAsia="仿宋"/>
          <w:sz w:val="44"/>
          <w:szCs w:val="44"/>
        </w:rPr>
      </w:pPr>
    </w:p>
    <w:p>
      <w:pPr>
        <w:ind w:firstLine="0" w:firstLineChars="0"/>
        <w:rPr>
          <w:rFonts w:eastAsia="仿宋"/>
          <w:sz w:val="44"/>
          <w:szCs w:val="44"/>
        </w:rPr>
      </w:pPr>
    </w:p>
    <w:p>
      <w:pPr>
        <w:spacing w:line="288" w:lineRule="auto"/>
        <w:ind w:left="360" w:leftChars="150" w:firstLine="0" w:firstLineChars="0"/>
        <w:rPr>
          <w:rFonts w:ascii="宋体" w:hAnsi="宋体" w:cs="宋体"/>
          <w:sz w:val="32"/>
          <w:szCs w:val="32"/>
          <w:u w:val="single"/>
        </w:rPr>
      </w:pPr>
      <w:r>
        <w:rPr>
          <w:rFonts w:hint="eastAsia" w:ascii="宋体" w:hAnsi="宋体" w:cs="宋体"/>
          <w:sz w:val="32"/>
          <w:szCs w:val="32"/>
        </w:rPr>
        <w:t>项目名称：</w:t>
      </w:r>
      <w:r>
        <w:rPr>
          <w:rFonts w:hint="eastAsia" w:ascii="宋体" w:hAnsi="宋体" w:cs="宋体"/>
          <w:sz w:val="32"/>
          <w:szCs w:val="32"/>
          <w:u w:val="single"/>
        </w:rPr>
        <w:t>鄂尔多斯市大禾商贸有限公司年产2万立方商砼项目</w:t>
      </w:r>
    </w:p>
    <w:p>
      <w:pPr>
        <w:spacing w:line="288" w:lineRule="auto"/>
        <w:ind w:left="360" w:leftChars="150" w:firstLine="0" w:firstLineChars="0"/>
        <w:rPr>
          <w:rFonts w:ascii="宋体" w:hAnsi="宋体" w:cs="宋体"/>
          <w:sz w:val="32"/>
          <w:szCs w:val="32"/>
          <w:u w:val="single"/>
        </w:rPr>
      </w:pPr>
      <w:r>
        <w:rPr>
          <w:rFonts w:hint="eastAsia" w:ascii="宋体" w:hAnsi="宋体" w:cs="宋体"/>
          <w:sz w:val="32"/>
          <w:szCs w:val="32"/>
        </w:rPr>
        <w:t>建设单位（盖章）：</w:t>
      </w:r>
      <w:r>
        <w:rPr>
          <w:rFonts w:hint="eastAsia" w:ascii="宋体" w:hAnsi="宋体" w:cs="宋体"/>
          <w:sz w:val="32"/>
          <w:szCs w:val="32"/>
          <w:u w:val="single"/>
        </w:rPr>
        <w:t xml:space="preserve">鄂尔多斯市大禾商贸有限公司     </w:t>
      </w:r>
    </w:p>
    <w:p>
      <w:pPr>
        <w:spacing w:line="288" w:lineRule="auto"/>
        <w:ind w:firstLine="320" w:firstLineChars="100"/>
        <w:rPr>
          <w:rFonts w:ascii="宋体" w:hAnsi="宋体" w:cs="宋体"/>
          <w:sz w:val="32"/>
          <w:szCs w:val="32"/>
          <w:u w:val="single"/>
        </w:rPr>
      </w:pPr>
      <w:r>
        <w:rPr>
          <w:rFonts w:hint="eastAsia" w:ascii="宋体" w:hAnsi="宋体" w:cs="宋体"/>
          <w:sz w:val="32"/>
          <w:szCs w:val="32"/>
        </w:rPr>
        <w:t>编制日期：</w:t>
      </w:r>
      <w:r>
        <w:rPr>
          <w:rFonts w:hint="eastAsia" w:ascii="宋体" w:hAnsi="宋体" w:cs="宋体"/>
          <w:sz w:val="32"/>
          <w:szCs w:val="32"/>
          <w:u w:val="single"/>
        </w:rPr>
        <w:t xml:space="preserve">2024年5月                             </w:t>
      </w:r>
    </w:p>
    <w:p>
      <w:pPr>
        <w:spacing w:line="288" w:lineRule="auto"/>
        <w:ind w:firstLine="0" w:firstLineChars="0"/>
        <w:rPr>
          <w:rFonts w:ascii="仿宋_GB2312" w:eastAsia="仿宋_GB2312"/>
          <w:sz w:val="32"/>
          <w:szCs w:val="32"/>
          <w:u w:val="single"/>
        </w:rPr>
      </w:pPr>
      <w:bookmarkStart w:id="1" w:name="_Hlk57884087"/>
    </w:p>
    <w:p>
      <w:pPr>
        <w:spacing w:line="288" w:lineRule="auto"/>
        <w:ind w:firstLine="640"/>
        <w:rPr>
          <w:rFonts w:ascii="仿宋_GB2312" w:eastAsia="仿宋_GB2312"/>
          <w:sz w:val="32"/>
          <w:szCs w:val="32"/>
        </w:rPr>
      </w:pPr>
    </w:p>
    <w:p>
      <w:pPr>
        <w:spacing w:line="288" w:lineRule="auto"/>
        <w:ind w:firstLine="720"/>
        <w:rPr>
          <w:rFonts w:ascii="仿宋_GB2312" w:eastAsia="仿宋_GB2312"/>
          <w:sz w:val="36"/>
          <w:szCs w:val="36"/>
        </w:rPr>
      </w:pPr>
    </w:p>
    <w:bookmarkEnd w:id="1"/>
    <w:p>
      <w:pPr>
        <w:ind w:firstLine="0" w:firstLineChars="0"/>
        <w:jc w:val="center"/>
        <w:rPr>
          <w:rFonts w:ascii="宋体" w:hAnsi="宋体" w:cs="宋体"/>
          <w:sz w:val="40"/>
          <w:szCs w:val="40"/>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26" w:charSpace="0"/>
        </w:sectPr>
      </w:pPr>
      <w:r>
        <w:rPr>
          <w:rFonts w:hint="eastAsia" w:ascii="宋体" w:hAnsi="宋体" w:cs="宋体"/>
          <w:sz w:val="40"/>
          <w:szCs w:val="40"/>
        </w:rPr>
        <w:t>中华人民共和国生态环境部制</w:t>
      </w:r>
    </w:p>
    <w:p>
      <w:pPr>
        <w:pStyle w:val="2"/>
        <w:ind w:firstLine="161" w:firstLineChars="50"/>
        <w:jc w:val="center"/>
      </w:pPr>
      <w:bookmarkStart w:id="2" w:name="_Toc144507125"/>
      <w:r>
        <w:rPr>
          <w:rFonts w:hint="eastAsia"/>
        </w:rPr>
        <w:t>一、建设项目基本情况</w:t>
      </w:r>
      <w:bookmarkEnd w:id="2"/>
    </w:p>
    <w:tbl>
      <w:tblPr>
        <w:tblStyle w:val="17"/>
        <w:tblW w:w="850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363"/>
        <w:gridCol w:w="2123"/>
        <w:gridCol w:w="2209"/>
        <w:gridCol w:w="281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63" w:type="dxa"/>
            <w:tcMar>
              <w:top w:w="16" w:type="dxa"/>
              <w:left w:w="16" w:type="dxa"/>
              <w:right w:w="16" w:type="dxa"/>
            </w:tcMar>
            <w:vAlign w:val="center"/>
          </w:tcPr>
          <w:p>
            <w:pPr>
              <w:spacing w:line="240" w:lineRule="auto"/>
              <w:ind w:firstLine="0" w:firstLineChars="0"/>
              <w:jc w:val="center"/>
              <w:rPr>
                <w:b/>
                <w:bCs/>
              </w:rPr>
            </w:pPr>
            <w:r>
              <w:rPr>
                <w:rFonts w:hint="eastAsia"/>
              </w:rPr>
              <w:t>建设项目名称</w:t>
            </w:r>
          </w:p>
        </w:tc>
        <w:tc>
          <w:tcPr>
            <w:tcW w:w="7142" w:type="dxa"/>
            <w:gridSpan w:val="3"/>
            <w:vAlign w:val="center"/>
          </w:tcPr>
          <w:p>
            <w:pPr>
              <w:ind w:firstLine="480"/>
              <w:jc w:val="center"/>
              <w:outlineLvl w:val="0"/>
            </w:pPr>
            <w:r>
              <w:rPr>
                <w:rFonts w:hint="eastAsia" w:cs="Times New Roman"/>
                <w:szCs w:val="24"/>
              </w:rPr>
              <w:t>鄂尔多斯市大禾商贸有限公司年产2万立方商砼项目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63" w:type="dxa"/>
            <w:tcMar>
              <w:top w:w="16" w:type="dxa"/>
              <w:left w:w="16" w:type="dxa"/>
              <w:right w:w="16" w:type="dxa"/>
            </w:tcMar>
            <w:vAlign w:val="center"/>
          </w:tcPr>
          <w:p>
            <w:pPr>
              <w:spacing w:line="240" w:lineRule="auto"/>
              <w:ind w:firstLine="0" w:firstLineChars="0"/>
              <w:jc w:val="center"/>
            </w:pPr>
            <w:r>
              <w:rPr>
                <w:rFonts w:hint="eastAsia"/>
              </w:rPr>
              <w:t>项目代码</w:t>
            </w:r>
          </w:p>
        </w:tc>
        <w:tc>
          <w:tcPr>
            <w:tcW w:w="7142" w:type="dxa"/>
            <w:gridSpan w:val="3"/>
            <w:vAlign w:val="center"/>
          </w:tcPr>
          <w:p>
            <w:pPr>
              <w:spacing w:line="240" w:lineRule="auto"/>
              <w:ind w:firstLine="0" w:firstLineChars="0"/>
              <w:jc w:val="center"/>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63" w:type="dxa"/>
            <w:tcMar>
              <w:top w:w="16" w:type="dxa"/>
              <w:left w:w="16" w:type="dxa"/>
              <w:right w:w="16" w:type="dxa"/>
            </w:tcMar>
            <w:vAlign w:val="center"/>
          </w:tcPr>
          <w:p>
            <w:pPr>
              <w:spacing w:line="240" w:lineRule="auto"/>
              <w:ind w:firstLine="0" w:firstLineChars="0"/>
              <w:jc w:val="center"/>
            </w:pPr>
            <w:r>
              <w:rPr>
                <w:rFonts w:hint="eastAsia"/>
              </w:rPr>
              <w:t>建设单位联系人</w:t>
            </w:r>
          </w:p>
        </w:tc>
        <w:tc>
          <w:tcPr>
            <w:tcW w:w="2123" w:type="dxa"/>
            <w:vAlign w:val="center"/>
          </w:tcPr>
          <w:p>
            <w:pPr>
              <w:spacing w:line="240" w:lineRule="auto"/>
              <w:ind w:firstLine="0" w:firstLineChars="0"/>
              <w:jc w:val="center"/>
            </w:pPr>
            <w:r>
              <w:rPr>
                <w:rFonts w:hint="eastAsia"/>
              </w:rPr>
              <w:t>王强</w:t>
            </w:r>
          </w:p>
        </w:tc>
        <w:tc>
          <w:tcPr>
            <w:tcW w:w="2209" w:type="dxa"/>
            <w:vAlign w:val="center"/>
          </w:tcPr>
          <w:p>
            <w:pPr>
              <w:spacing w:line="240" w:lineRule="auto"/>
              <w:ind w:firstLine="0" w:firstLineChars="0"/>
              <w:jc w:val="center"/>
            </w:pPr>
            <w:r>
              <w:rPr>
                <w:rFonts w:hint="eastAsia"/>
              </w:rPr>
              <w:t>联系方式</w:t>
            </w:r>
          </w:p>
        </w:tc>
        <w:tc>
          <w:tcPr>
            <w:tcW w:w="2810" w:type="dxa"/>
            <w:vAlign w:val="center"/>
          </w:tcPr>
          <w:p>
            <w:pPr>
              <w:spacing w:line="240" w:lineRule="auto"/>
              <w:ind w:firstLine="0" w:firstLineChars="0"/>
              <w:jc w:val="center"/>
            </w:pPr>
            <w:r>
              <w:rPr>
                <w:rFonts w:hint="eastAsia"/>
              </w:rPr>
              <w:t>15047761697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63" w:type="dxa"/>
            <w:tcMar>
              <w:top w:w="16" w:type="dxa"/>
              <w:left w:w="16" w:type="dxa"/>
              <w:right w:w="16" w:type="dxa"/>
            </w:tcMar>
            <w:vAlign w:val="center"/>
          </w:tcPr>
          <w:p>
            <w:pPr>
              <w:spacing w:line="240" w:lineRule="auto"/>
              <w:ind w:firstLine="0" w:firstLineChars="0"/>
              <w:jc w:val="center"/>
            </w:pPr>
            <w:r>
              <w:rPr>
                <w:rFonts w:hint="eastAsia"/>
              </w:rPr>
              <w:t>建设地点</w:t>
            </w:r>
          </w:p>
        </w:tc>
        <w:tc>
          <w:tcPr>
            <w:tcW w:w="7142" w:type="dxa"/>
            <w:gridSpan w:val="3"/>
            <w:vAlign w:val="center"/>
          </w:tcPr>
          <w:p>
            <w:pPr>
              <w:spacing w:line="240" w:lineRule="auto"/>
              <w:ind w:firstLine="0" w:firstLineChars="0"/>
              <w:jc w:val="center"/>
            </w:pPr>
            <w:r>
              <w:rPr>
                <w:rFonts w:hint="eastAsia" w:cs="Times New Roman"/>
                <w:szCs w:val="24"/>
                <w:u w:val="single"/>
              </w:rPr>
              <w:t>内蒙古</w:t>
            </w:r>
            <w:r>
              <w:rPr>
                <w:rFonts w:hint="eastAsia" w:cs="Times New Roman"/>
                <w:szCs w:val="24"/>
              </w:rPr>
              <w:t>自治区</w:t>
            </w:r>
            <w:r>
              <w:rPr>
                <w:rFonts w:hint="eastAsia" w:cs="Times New Roman"/>
                <w:szCs w:val="24"/>
                <w:u w:val="single"/>
              </w:rPr>
              <w:t>鄂尔多斯</w:t>
            </w:r>
            <w:r>
              <w:rPr>
                <w:rFonts w:hint="eastAsia" w:cs="Times New Roman"/>
                <w:szCs w:val="24"/>
              </w:rPr>
              <w:t>市</w:t>
            </w:r>
            <w:r>
              <w:rPr>
                <w:rFonts w:hint="eastAsia" w:cs="Times New Roman"/>
                <w:szCs w:val="24"/>
                <w:u w:val="single"/>
              </w:rPr>
              <w:t>杭锦</w:t>
            </w:r>
            <w:r>
              <w:rPr>
                <w:rFonts w:hint="eastAsia" w:cs="Times New Roman"/>
                <w:szCs w:val="24"/>
              </w:rPr>
              <w:t>旗</w:t>
            </w:r>
            <w:r>
              <w:rPr>
                <w:rFonts w:hint="eastAsia" w:cs="Times New Roman"/>
                <w:szCs w:val="24"/>
                <w:u w:val="single"/>
              </w:rPr>
              <w:t>呼和木独</w:t>
            </w:r>
            <w:r>
              <w:rPr>
                <w:rFonts w:hint="eastAsia" w:cs="Times New Roman"/>
                <w:szCs w:val="24"/>
              </w:rPr>
              <w:t>镇</w:t>
            </w:r>
            <w:r>
              <w:rPr>
                <w:rFonts w:hint="eastAsia"/>
              </w:rPr>
              <w:t>东红柳村九社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63" w:type="dxa"/>
            <w:tcMar>
              <w:top w:w="16" w:type="dxa"/>
              <w:left w:w="16" w:type="dxa"/>
              <w:right w:w="16" w:type="dxa"/>
            </w:tcMar>
            <w:vAlign w:val="center"/>
          </w:tcPr>
          <w:p>
            <w:pPr>
              <w:spacing w:line="240" w:lineRule="auto"/>
              <w:ind w:firstLine="0" w:firstLineChars="0"/>
              <w:jc w:val="center"/>
            </w:pPr>
            <w:r>
              <w:rPr>
                <w:rFonts w:hint="eastAsia"/>
              </w:rPr>
              <w:t>地理坐标</w:t>
            </w:r>
          </w:p>
        </w:tc>
        <w:tc>
          <w:tcPr>
            <w:tcW w:w="7142" w:type="dxa"/>
            <w:gridSpan w:val="3"/>
            <w:vAlign w:val="center"/>
          </w:tcPr>
          <w:p>
            <w:pPr>
              <w:spacing w:line="240" w:lineRule="auto"/>
              <w:ind w:firstLine="0" w:firstLineChars="0"/>
              <w:jc w:val="center"/>
            </w:pPr>
            <w:r>
              <w:rPr>
                <w:rFonts w:hint="eastAsia"/>
              </w:rPr>
              <w:t>N：40度33分2.981秒，E：107度15分34.541秒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76" w:hRule="atLeast"/>
          <w:jc w:val="center"/>
        </w:trPr>
        <w:tc>
          <w:tcPr>
            <w:tcW w:w="1363" w:type="dxa"/>
            <w:tcMar>
              <w:top w:w="16" w:type="dxa"/>
              <w:left w:w="16" w:type="dxa"/>
              <w:right w:w="16" w:type="dxa"/>
            </w:tcMar>
            <w:vAlign w:val="center"/>
          </w:tcPr>
          <w:p>
            <w:pPr>
              <w:spacing w:line="240" w:lineRule="auto"/>
              <w:ind w:firstLine="0" w:firstLineChars="0"/>
              <w:jc w:val="center"/>
            </w:pPr>
            <w:r>
              <w:rPr>
                <w:rFonts w:hint="eastAsia"/>
              </w:rPr>
              <w:t>国民经济</w:t>
            </w:r>
          </w:p>
          <w:p>
            <w:pPr>
              <w:spacing w:line="240" w:lineRule="auto"/>
              <w:ind w:firstLine="0" w:firstLineChars="0"/>
              <w:jc w:val="center"/>
            </w:pPr>
            <w:r>
              <w:rPr>
                <w:rFonts w:hint="eastAsia"/>
              </w:rPr>
              <w:t>行业类别</w:t>
            </w:r>
          </w:p>
        </w:tc>
        <w:tc>
          <w:tcPr>
            <w:tcW w:w="2123" w:type="dxa"/>
            <w:vAlign w:val="center"/>
          </w:tcPr>
          <w:p>
            <w:pPr>
              <w:spacing w:line="240" w:lineRule="auto"/>
              <w:ind w:firstLine="0" w:firstLineChars="0"/>
              <w:jc w:val="center"/>
            </w:pPr>
            <w:r>
              <w:rPr>
                <w:rFonts w:cs="Times New Roman"/>
                <w:szCs w:val="24"/>
              </w:rPr>
              <w:t>C</w:t>
            </w:r>
            <w:r>
              <w:rPr>
                <w:rFonts w:hint="eastAsia" w:cs="Times New Roman"/>
                <w:szCs w:val="24"/>
              </w:rPr>
              <w:t>3021水泥制品制造</w:t>
            </w:r>
          </w:p>
        </w:tc>
        <w:tc>
          <w:tcPr>
            <w:tcW w:w="2209" w:type="dxa"/>
            <w:vAlign w:val="center"/>
          </w:tcPr>
          <w:p>
            <w:pPr>
              <w:spacing w:line="240" w:lineRule="auto"/>
              <w:ind w:firstLine="0" w:firstLineChars="0"/>
              <w:jc w:val="center"/>
            </w:pPr>
            <w:bookmarkStart w:id="3" w:name="_Hlk49843745"/>
            <w:r>
              <w:rPr>
                <w:rFonts w:hint="eastAsia"/>
              </w:rPr>
              <w:t>建设项目</w:t>
            </w:r>
          </w:p>
          <w:p>
            <w:pPr>
              <w:spacing w:line="240" w:lineRule="auto"/>
              <w:ind w:firstLine="0" w:firstLineChars="0"/>
              <w:jc w:val="center"/>
            </w:pPr>
            <w:r>
              <w:rPr>
                <w:rFonts w:hint="eastAsia"/>
              </w:rPr>
              <w:t>行业类别</w:t>
            </w:r>
            <w:bookmarkEnd w:id="3"/>
          </w:p>
        </w:tc>
        <w:tc>
          <w:tcPr>
            <w:tcW w:w="2810" w:type="dxa"/>
            <w:vAlign w:val="center"/>
          </w:tcPr>
          <w:p>
            <w:pPr>
              <w:spacing w:line="240" w:lineRule="auto"/>
              <w:ind w:firstLine="0" w:firstLineChars="0"/>
              <w:jc w:val="center"/>
            </w:pPr>
            <w:r>
              <w:rPr>
                <w:rFonts w:hint="eastAsia" w:cs="Times New Roman"/>
                <w:szCs w:val="24"/>
                <w:lang w:val="en-US" w:eastAsia="zh-CN"/>
              </w:rPr>
              <w:t>“</w:t>
            </w:r>
            <w:r>
              <w:rPr>
                <w:rFonts w:hint="eastAsia" w:cs="Times New Roman"/>
                <w:szCs w:val="24"/>
              </w:rPr>
              <w:t>二十七、非金属矿物制品业30</w:t>
            </w:r>
            <w:r>
              <w:rPr>
                <w:rFonts w:hint="eastAsia" w:cs="Times New Roman"/>
                <w:szCs w:val="24"/>
                <w:lang w:val="en-US" w:eastAsia="zh-CN"/>
              </w:rPr>
              <w:t>，</w:t>
            </w:r>
            <w:r>
              <w:rPr>
                <w:rFonts w:hint="eastAsia" w:cs="Times New Roman"/>
                <w:szCs w:val="24"/>
              </w:rPr>
              <w:t>55石膏、水泥制品及类似制品制造302</w:t>
            </w:r>
            <w:r>
              <w:rPr>
                <w:rFonts w:hint="eastAsia" w:cs="Times New Roman"/>
                <w:szCs w:val="24"/>
                <w:lang w:eastAsia="zh-CN"/>
              </w:rPr>
              <w:t>”中的“</w:t>
            </w:r>
            <w:r>
              <w:rPr>
                <w:rFonts w:hint="eastAsia" w:cs="Times New Roman"/>
                <w:szCs w:val="24"/>
              </w:rPr>
              <w:t>商品混凝土；砼结构构件制造；水泥制品制造</w:t>
            </w:r>
            <w:r>
              <w:rPr>
                <w:rFonts w:hint="eastAsia" w:cs="Times New Roman"/>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363" w:type="dxa"/>
            <w:tcMar>
              <w:top w:w="16" w:type="dxa"/>
              <w:left w:w="16" w:type="dxa"/>
              <w:right w:w="16" w:type="dxa"/>
            </w:tcMar>
            <w:vAlign w:val="center"/>
          </w:tcPr>
          <w:p>
            <w:pPr>
              <w:spacing w:line="240" w:lineRule="auto"/>
              <w:ind w:firstLine="0" w:firstLineChars="0"/>
              <w:jc w:val="center"/>
            </w:pPr>
            <w:r>
              <w:rPr>
                <w:rFonts w:hint="eastAsia"/>
              </w:rPr>
              <w:t>建设性质</w:t>
            </w:r>
          </w:p>
        </w:tc>
        <w:tc>
          <w:tcPr>
            <w:tcW w:w="2123" w:type="dxa"/>
            <w:vAlign w:val="center"/>
          </w:tcPr>
          <w:p>
            <w:pPr>
              <w:spacing w:line="240" w:lineRule="auto"/>
              <w:ind w:firstLine="110" w:firstLineChars="50"/>
            </w:pPr>
            <w:r>
              <w:rPr>
                <w:spacing w:val="-10"/>
              </w:rPr>
              <w:sym w:font="Wingdings 2" w:char="0052"/>
            </w:r>
            <w:r>
              <w:rPr>
                <w:rFonts w:hint="eastAsia"/>
              </w:rPr>
              <w:t>新建（迁建）</w:t>
            </w:r>
          </w:p>
          <w:p>
            <w:pPr>
              <w:spacing w:line="240" w:lineRule="auto"/>
              <w:ind w:firstLine="120" w:firstLineChars="50"/>
            </w:pPr>
            <w:r>
              <w:rPr>
                <w:rFonts w:hint="eastAsia"/>
              </w:rPr>
              <w:t>□改建</w:t>
            </w:r>
          </w:p>
          <w:p>
            <w:pPr>
              <w:spacing w:line="240" w:lineRule="auto"/>
              <w:ind w:firstLine="120" w:firstLineChars="50"/>
            </w:pPr>
            <w:r>
              <w:rPr>
                <w:rFonts w:hint="eastAsia"/>
              </w:rPr>
              <w:t>□扩建</w:t>
            </w:r>
          </w:p>
          <w:p>
            <w:pPr>
              <w:spacing w:line="240" w:lineRule="auto"/>
              <w:ind w:firstLine="120" w:firstLineChars="50"/>
            </w:pPr>
            <w:r>
              <w:rPr>
                <w:rFonts w:hint="eastAsia"/>
              </w:rPr>
              <w:t>□技术改造</w:t>
            </w:r>
          </w:p>
        </w:tc>
        <w:tc>
          <w:tcPr>
            <w:tcW w:w="2209" w:type="dxa"/>
            <w:vAlign w:val="center"/>
          </w:tcPr>
          <w:p>
            <w:pPr>
              <w:spacing w:line="240" w:lineRule="auto"/>
              <w:ind w:firstLine="0" w:firstLineChars="0"/>
              <w:jc w:val="center"/>
            </w:pPr>
            <w:r>
              <w:rPr>
                <w:rFonts w:hint="eastAsia"/>
              </w:rPr>
              <w:t>建设项目</w:t>
            </w:r>
          </w:p>
          <w:p>
            <w:pPr>
              <w:spacing w:line="240" w:lineRule="auto"/>
              <w:ind w:firstLine="0" w:firstLineChars="0"/>
              <w:jc w:val="center"/>
            </w:pPr>
            <w:r>
              <w:rPr>
                <w:rFonts w:hint="eastAsia"/>
              </w:rPr>
              <w:t>申报情形</w:t>
            </w:r>
          </w:p>
        </w:tc>
        <w:tc>
          <w:tcPr>
            <w:tcW w:w="2810" w:type="dxa"/>
            <w:vAlign w:val="center"/>
          </w:tcPr>
          <w:p>
            <w:pPr>
              <w:spacing w:line="240" w:lineRule="auto"/>
              <w:ind w:firstLine="0" w:firstLineChars="0"/>
            </w:pPr>
            <w:r>
              <w:rPr>
                <w:spacing w:val="-10"/>
              </w:rPr>
              <w:sym w:font="Wingdings 2" w:char="0052"/>
            </w:r>
            <w:r>
              <w:rPr>
                <w:rFonts w:hint="eastAsia"/>
              </w:rPr>
              <w:t>首次申报项目</w:t>
            </w:r>
          </w:p>
          <w:p>
            <w:pPr>
              <w:spacing w:line="240" w:lineRule="auto"/>
              <w:ind w:firstLine="0" w:firstLineChars="0"/>
            </w:pPr>
            <w:r>
              <w:rPr>
                <w:rFonts w:hint="eastAsia"/>
              </w:rPr>
              <w:t>□不予批准后再次申报项目</w:t>
            </w:r>
          </w:p>
          <w:p>
            <w:pPr>
              <w:spacing w:line="240" w:lineRule="auto"/>
              <w:ind w:firstLine="0" w:firstLineChars="0"/>
            </w:pPr>
            <w:r>
              <w:rPr>
                <w:rFonts w:hint="eastAsia"/>
              </w:rPr>
              <w:sym w:font="Wingdings 2" w:char="00A3"/>
            </w:r>
            <w:r>
              <w:rPr>
                <w:rFonts w:hint="eastAsia"/>
              </w:rPr>
              <w:t>超五年重新审核项目</w:t>
            </w:r>
          </w:p>
          <w:p>
            <w:pPr>
              <w:spacing w:line="240" w:lineRule="auto"/>
              <w:ind w:firstLine="0" w:firstLineChars="0"/>
            </w:pPr>
            <w:r>
              <w:rPr>
                <w:rFonts w:hint="eastAsia"/>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363" w:type="dxa"/>
            <w:tcMar>
              <w:top w:w="16" w:type="dxa"/>
              <w:left w:w="16" w:type="dxa"/>
              <w:right w:w="16" w:type="dxa"/>
            </w:tcMar>
            <w:vAlign w:val="center"/>
          </w:tcPr>
          <w:p>
            <w:pPr>
              <w:spacing w:line="240" w:lineRule="auto"/>
              <w:ind w:firstLine="0" w:firstLineChars="0"/>
              <w:jc w:val="center"/>
            </w:pPr>
            <w:r>
              <w:rPr>
                <w:rFonts w:hint="eastAsia"/>
              </w:rPr>
              <w:t>项目审批（核准</w:t>
            </w:r>
            <w:r>
              <w:t>/</w:t>
            </w:r>
          </w:p>
          <w:p>
            <w:pPr>
              <w:spacing w:line="240" w:lineRule="auto"/>
              <w:ind w:firstLine="0" w:firstLineChars="0"/>
              <w:jc w:val="center"/>
            </w:pPr>
            <w:r>
              <w:rPr>
                <w:rFonts w:hint="eastAsia"/>
              </w:rPr>
              <w:t>备案）部门（选填）</w:t>
            </w:r>
          </w:p>
        </w:tc>
        <w:tc>
          <w:tcPr>
            <w:tcW w:w="2123" w:type="dxa"/>
            <w:vAlign w:val="center"/>
          </w:tcPr>
          <w:p>
            <w:pPr>
              <w:spacing w:line="240" w:lineRule="auto"/>
              <w:ind w:firstLine="0" w:firstLineChars="0"/>
              <w:jc w:val="center"/>
            </w:pPr>
            <w:r>
              <w:rPr>
                <w:rFonts w:hint="eastAsia"/>
              </w:rPr>
              <w:t>/</w:t>
            </w:r>
          </w:p>
        </w:tc>
        <w:tc>
          <w:tcPr>
            <w:tcW w:w="2209" w:type="dxa"/>
            <w:vAlign w:val="center"/>
          </w:tcPr>
          <w:p>
            <w:pPr>
              <w:spacing w:line="240" w:lineRule="auto"/>
              <w:ind w:firstLine="0" w:firstLineChars="0"/>
              <w:jc w:val="center"/>
            </w:pPr>
            <w:r>
              <w:rPr>
                <w:rFonts w:hint="eastAsia"/>
              </w:rPr>
              <w:t>项目审批</w:t>
            </w:r>
            <w:r>
              <w:rPr>
                <w:rFonts w:hint="eastAsia"/>
                <w:lang w:eastAsia="zh-CN"/>
              </w:rPr>
              <w:t>（</w:t>
            </w:r>
            <w:r>
              <w:rPr>
                <w:rFonts w:hint="eastAsia"/>
              </w:rPr>
              <w:t>核准</w:t>
            </w:r>
            <w:r>
              <w:t>/</w:t>
            </w:r>
          </w:p>
          <w:p>
            <w:pPr>
              <w:spacing w:line="240" w:lineRule="auto"/>
              <w:ind w:firstLine="0" w:firstLineChars="0"/>
              <w:jc w:val="center"/>
            </w:pPr>
            <w:r>
              <w:rPr>
                <w:rFonts w:hint="eastAsia"/>
              </w:rPr>
              <w:t>备案</w:t>
            </w:r>
            <w:r>
              <w:rPr>
                <w:rFonts w:hint="eastAsia"/>
                <w:lang w:eastAsia="zh-CN"/>
              </w:rPr>
              <w:t>）</w:t>
            </w:r>
            <w:r>
              <w:rPr>
                <w:rFonts w:hint="eastAsia"/>
              </w:rPr>
              <w:t>文号（选填）</w:t>
            </w:r>
          </w:p>
        </w:tc>
        <w:tc>
          <w:tcPr>
            <w:tcW w:w="2810" w:type="dxa"/>
            <w:vAlign w:val="center"/>
          </w:tcPr>
          <w:p>
            <w:pPr>
              <w:spacing w:line="240" w:lineRule="auto"/>
              <w:ind w:firstLine="0" w:firstLineChars="0"/>
              <w:jc w:val="center"/>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63" w:type="dxa"/>
            <w:tcMar>
              <w:top w:w="16" w:type="dxa"/>
              <w:left w:w="16" w:type="dxa"/>
              <w:right w:w="16" w:type="dxa"/>
            </w:tcMar>
            <w:vAlign w:val="center"/>
          </w:tcPr>
          <w:p>
            <w:pPr>
              <w:spacing w:line="240" w:lineRule="auto"/>
              <w:ind w:firstLine="0" w:firstLineChars="0"/>
              <w:jc w:val="center"/>
            </w:pPr>
            <w:r>
              <w:rPr>
                <w:rFonts w:hint="eastAsia"/>
              </w:rPr>
              <w:t>总投资（万元）</w:t>
            </w:r>
          </w:p>
        </w:tc>
        <w:tc>
          <w:tcPr>
            <w:tcW w:w="2123" w:type="dxa"/>
            <w:vAlign w:val="center"/>
          </w:tcPr>
          <w:p>
            <w:pPr>
              <w:spacing w:line="240" w:lineRule="auto"/>
              <w:ind w:firstLine="0" w:firstLineChars="0"/>
              <w:jc w:val="center"/>
            </w:pPr>
            <w:r>
              <w:rPr>
                <w:rFonts w:hint="eastAsia"/>
              </w:rPr>
              <w:t>200</w:t>
            </w:r>
          </w:p>
        </w:tc>
        <w:tc>
          <w:tcPr>
            <w:tcW w:w="2209" w:type="dxa"/>
            <w:tcMar>
              <w:top w:w="16" w:type="dxa"/>
              <w:left w:w="16" w:type="dxa"/>
              <w:right w:w="16" w:type="dxa"/>
            </w:tcMar>
            <w:vAlign w:val="center"/>
          </w:tcPr>
          <w:p>
            <w:pPr>
              <w:spacing w:line="240" w:lineRule="auto"/>
              <w:ind w:firstLine="0" w:firstLineChars="0"/>
              <w:jc w:val="center"/>
            </w:pPr>
            <w:r>
              <w:rPr>
                <w:rFonts w:hint="eastAsia"/>
              </w:rPr>
              <w:t>环保投资（万元）</w:t>
            </w:r>
          </w:p>
        </w:tc>
        <w:tc>
          <w:tcPr>
            <w:tcW w:w="2810" w:type="dxa"/>
            <w:vAlign w:val="center"/>
          </w:tcPr>
          <w:p>
            <w:pPr>
              <w:spacing w:line="240" w:lineRule="auto"/>
              <w:ind w:firstLine="0" w:firstLineChars="0"/>
              <w:jc w:val="center"/>
            </w:pPr>
            <w:r>
              <w:rPr>
                <w:rFonts w:hint="eastAsia"/>
              </w:rPr>
              <w:t>51.5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63" w:type="dxa"/>
            <w:tcMar>
              <w:top w:w="16" w:type="dxa"/>
              <w:left w:w="16" w:type="dxa"/>
              <w:right w:w="16" w:type="dxa"/>
            </w:tcMar>
            <w:vAlign w:val="center"/>
          </w:tcPr>
          <w:p>
            <w:pPr>
              <w:spacing w:line="240" w:lineRule="auto"/>
              <w:ind w:firstLine="0" w:firstLineChars="0"/>
              <w:jc w:val="center"/>
            </w:pPr>
            <w:r>
              <w:rPr>
                <w:rFonts w:hint="eastAsia"/>
              </w:rPr>
              <w:t>环保投资占比（</w:t>
            </w:r>
            <w:r>
              <w:t>%</w:t>
            </w:r>
            <w:r>
              <w:rPr>
                <w:rFonts w:hint="eastAsia"/>
              </w:rPr>
              <w:t>）</w:t>
            </w:r>
          </w:p>
        </w:tc>
        <w:tc>
          <w:tcPr>
            <w:tcW w:w="2123" w:type="dxa"/>
            <w:vAlign w:val="center"/>
          </w:tcPr>
          <w:p>
            <w:pPr>
              <w:spacing w:line="240" w:lineRule="auto"/>
              <w:ind w:firstLine="0" w:firstLineChars="0"/>
              <w:jc w:val="center"/>
            </w:pPr>
            <w:r>
              <w:rPr>
                <w:rFonts w:hint="eastAsia"/>
              </w:rPr>
              <w:t>25.75</w:t>
            </w:r>
          </w:p>
        </w:tc>
        <w:tc>
          <w:tcPr>
            <w:tcW w:w="2209" w:type="dxa"/>
            <w:tcMar>
              <w:top w:w="16" w:type="dxa"/>
              <w:left w:w="16" w:type="dxa"/>
              <w:right w:w="16" w:type="dxa"/>
            </w:tcMar>
            <w:vAlign w:val="center"/>
          </w:tcPr>
          <w:p>
            <w:pPr>
              <w:spacing w:line="240" w:lineRule="auto"/>
              <w:ind w:firstLine="0" w:firstLineChars="0"/>
              <w:jc w:val="center"/>
            </w:pPr>
            <w:r>
              <w:rPr>
                <w:rFonts w:hint="eastAsia"/>
              </w:rPr>
              <w:t>施工工期</w:t>
            </w:r>
          </w:p>
        </w:tc>
        <w:tc>
          <w:tcPr>
            <w:tcW w:w="2810" w:type="dxa"/>
            <w:vAlign w:val="center"/>
          </w:tcPr>
          <w:p>
            <w:pPr>
              <w:spacing w:line="240" w:lineRule="auto"/>
              <w:ind w:firstLine="0" w:firstLineChars="0"/>
              <w:jc w:val="center"/>
            </w:pPr>
            <w:r>
              <w:rPr>
                <w:rFonts w:hint="eastAsia"/>
              </w:rPr>
              <w:t>6</w:t>
            </w:r>
            <w:r>
              <w:t>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63" w:type="dxa"/>
            <w:tcMar>
              <w:top w:w="16" w:type="dxa"/>
              <w:left w:w="16" w:type="dxa"/>
              <w:right w:w="16" w:type="dxa"/>
            </w:tcMar>
            <w:vAlign w:val="center"/>
          </w:tcPr>
          <w:p>
            <w:pPr>
              <w:spacing w:line="240" w:lineRule="auto"/>
              <w:ind w:firstLine="0" w:firstLineChars="0"/>
              <w:jc w:val="center"/>
            </w:pPr>
            <w:r>
              <w:rPr>
                <w:rFonts w:hint="eastAsia"/>
              </w:rPr>
              <w:t>是否开工建设</w:t>
            </w:r>
          </w:p>
        </w:tc>
        <w:tc>
          <w:tcPr>
            <w:tcW w:w="2123" w:type="dxa"/>
            <w:vAlign w:val="center"/>
          </w:tcPr>
          <w:p>
            <w:pPr>
              <w:spacing w:line="240" w:lineRule="auto"/>
              <w:ind w:firstLine="120" w:firstLineChars="50"/>
              <w:rPr>
                <w:color w:val="auto"/>
              </w:rPr>
            </w:pPr>
            <w:r>
              <w:rPr>
                <w:rFonts w:hint="eastAsia"/>
                <w:color w:val="auto"/>
              </w:rPr>
              <w:sym w:font="Wingdings 2" w:char="00A3"/>
            </w:r>
            <w:r>
              <w:rPr>
                <w:rFonts w:hint="eastAsia"/>
                <w:color w:val="auto"/>
              </w:rPr>
              <w:t>否</w:t>
            </w:r>
          </w:p>
          <w:p>
            <w:pPr>
              <w:spacing w:line="240" w:lineRule="auto"/>
              <w:ind w:firstLine="110" w:firstLineChars="50"/>
              <w:rPr>
                <w:rFonts w:hint="eastAsia"/>
              </w:rPr>
            </w:pPr>
            <w:r>
              <w:rPr>
                <w:color w:val="auto"/>
                <w:spacing w:val="-10"/>
              </w:rPr>
              <w:sym w:font="Wingdings 2" w:char="0052"/>
            </w:r>
            <w:r>
              <w:rPr>
                <w:rFonts w:hint="eastAsia"/>
                <w:color w:val="auto"/>
              </w:rPr>
              <w:t>是：</w:t>
            </w:r>
            <w:r>
              <w:rPr>
                <w:rFonts w:hint="eastAsia"/>
                <w:color w:val="auto"/>
                <w:lang w:val="en-US" w:eastAsia="zh-CN"/>
              </w:rPr>
              <w:t>2024年5月7日</w:t>
            </w:r>
            <w:r>
              <w:rPr>
                <w:rFonts w:hint="eastAsia"/>
                <w:color w:val="auto"/>
              </w:rPr>
              <w:t>鄂尔多斯市生态环境局</w:t>
            </w:r>
            <w:r>
              <w:rPr>
                <w:rFonts w:hint="eastAsia"/>
                <w:color w:val="auto"/>
                <w:lang w:eastAsia="zh-CN"/>
              </w:rPr>
              <w:t>下达了</w:t>
            </w:r>
            <w:r>
              <w:rPr>
                <w:rFonts w:hint="eastAsia"/>
                <w:color w:val="auto"/>
              </w:rPr>
              <w:t>处罚决定书</w:t>
            </w:r>
          </w:p>
        </w:tc>
        <w:tc>
          <w:tcPr>
            <w:tcW w:w="2209" w:type="dxa"/>
            <w:tcMar>
              <w:top w:w="16" w:type="dxa"/>
              <w:left w:w="16" w:type="dxa"/>
              <w:right w:w="16" w:type="dxa"/>
            </w:tcMar>
            <w:vAlign w:val="center"/>
          </w:tcPr>
          <w:p>
            <w:pPr>
              <w:spacing w:line="240" w:lineRule="auto"/>
              <w:ind w:firstLine="0" w:firstLineChars="0"/>
              <w:jc w:val="center"/>
            </w:pPr>
            <w:r>
              <w:rPr>
                <w:rFonts w:hint="eastAsia"/>
              </w:rPr>
              <w:t>用地面积（</w:t>
            </w:r>
            <w:r>
              <w:t>m</w:t>
            </w:r>
            <w:r>
              <w:rPr>
                <w:vertAlign w:val="superscript"/>
              </w:rPr>
              <w:t>2</w:t>
            </w:r>
            <w:r>
              <w:rPr>
                <w:rFonts w:hint="eastAsia"/>
              </w:rPr>
              <w:t>）</w:t>
            </w:r>
          </w:p>
        </w:tc>
        <w:tc>
          <w:tcPr>
            <w:tcW w:w="2810" w:type="dxa"/>
            <w:vAlign w:val="center"/>
          </w:tcPr>
          <w:p>
            <w:pPr>
              <w:spacing w:line="240" w:lineRule="auto"/>
              <w:ind w:firstLine="0" w:firstLineChars="0"/>
              <w:jc w:val="center"/>
            </w:pPr>
            <w:r>
              <w:rPr>
                <w:rFonts w:hint="eastAsia"/>
              </w:rPr>
              <w:t>6362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363" w:type="dxa"/>
            <w:vAlign w:val="center"/>
          </w:tcPr>
          <w:p>
            <w:pPr>
              <w:spacing w:line="240" w:lineRule="auto"/>
              <w:ind w:firstLine="0" w:firstLineChars="0"/>
              <w:jc w:val="center"/>
            </w:pPr>
            <w:r>
              <w:rPr>
                <w:rFonts w:hint="eastAsia"/>
              </w:rPr>
              <w:t>专项评价设置情况</w:t>
            </w:r>
          </w:p>
        </w:tc>
        <w:tc>
          <w:tcPr>
            <w:tcW w:w="7142" w:type="dxa"/>
            <w:gridSpan w:val="3"/>
            <w:vAlign w:val="center"/>
          </w:tcPr>
          <w:p>
            <w:pPr>
              <w:ind w:firstLine="480"/>
            </w:pPr>
            <w:r>
              <w:rPr>
                <w:rFonts w:hint="eastAsia"/>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363" w:type="dxa"/>
            <w:vAlign w:val="center"/>
          </w:tcPr>
          <w:p>
            <w:pPr>
              <w:spacing w:line="240" w:lineRule="auto"/>
              <w:ind w:firstLine="0" w:firstLineChars="0"/>
              <w:jc w:val="center"/>
            </w:pPr>
            <w:r>
              <w:rPr>
                <w:rFonts w:hint="eastAsia"/>
              </w:rPr>
              <w:t>规划情况</w:t>
            </w:r>
          </w:p>
        </w:tc>
        <w:tc>
          <w:tcPr>
            <w:tcW w:w="7142" w:type="dxa"/>
            <w:gridSpan w:val="3"/>
            <w:vAlign w:val="center"/>
          </w:tcPr>
          <w:p>
            <w:pPr>
              <w:ind w:firstLine="480"/>
            </w:pPr>
            <w:r>
              <w:rPr>
                <w:rFonts w:hint="eastAsia"/>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363" w:type="dxa"/>
            <w:vAlign w:val="center"/>
          </w:tcPr>
          <w:p>
            <w:pPr>
              <w:spacing w:line="240" w:lineRule="auto"/>
              <w:ind w:firstLine="0" w:firstLineChars="0"/>
              <w:jc w:val="center"/>
            </w:pPr>
            <w:r>
              <w:rPr>
                <w:rFonts w:hint="eastAsia"/>
              </w:rPr>
              <w:t>规划环境影响评价情况</w:t>
            </w:r>
          </w:p>
        </w:tc>
        <w:tc>
          <w:tcPr>
            <w:tcW w:w="7142" w:type="dxa"/>
            <w:gridSpan w:val="3"/>
            <w:vAlign w:val="center"/>
          </w:tcPr>
          <w:p>
            <w:pPr>
              <w:ind w:firstLine="480"/>
            </w:pPr>
            <w:r>
              <w:rPr>
                <w:rFonts w:hint="eastAsia"/>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363" w:type="dxa"/>
            <w:vAlign w:val="center"/>
          </w:tcPr>
          <w:p>
            <w:pPr>
              <w:spacing w:line="240" w:lineRule="auto"/>
              <w:ind w:firstLine="0" w:firstLineChars="0"/>
              <w:jc w:val="center"/>
            </w:pPr>
            <w:r>
              <w:rPr>
                <w:rFonts w:hint="eastAsia"/>
              </w:rPr>
              <w:t>规划及规划环境</w:t>
            </w:r>
          </w:p>
          <w:p>
            <w:pPr>
              <w:spacing w:line="240" w:lineRule="auto"/>
              <w:ind w:firstLine="0" w:firstLineChars="0"/>
              <w:jc w:val="center"/>
            </w:pPr>
            <w:r>
              <w:rPr>
                <w:rFonts w:hint="eastAsia"/>
              </w:rPr>
              <w:t>影响评价符合性分析</w:t>
            </w:r>
          </w:p>
        </w:tc>
        <w:tc>
          <w:tcPr>
            <w:tcW w:w="7142" w:type="dxa"/>
            <w:gridSpan w:val="3"/>
            <w:vAlign w:val="center"/>
          </w:tcPr>
          <w:p>
            <w:pPr>
              <w:ind w:firstLine="480"/>
            </w:pPr>
            <w:r>
              <w:rPr>
                <w:rFonts w:hint="eastAsia"/>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21" w:hRule="atLeast"/>
          <w:jc w:val="center"/>
        </w:trPr>
        <w:tc>
          <w:tcPr>
            <w:tcW w:w="1363" w:type="dxa"/>
            <w:vAlign w:val="center"/>
          </w:tcPr>
          <w:p>
            <w:pPr>
              <w:spacing w:line="240" w:lineRule="auto"/>
              <w:ind w:firstLine="0" w:firstLineChars="0"/>
              <w:jc w:val="center"/>
            </w:pPr>
            <w:r>
              <w:rPr>
                <w:rFonts w:hint="eastAsia"/>
              </w:rPr>
              <w:t>其他符合性分析</w:t>
            </w:r>
          </w:p>
        </w:tc>
        <w:tc>
          <w:tcPr>
            <w:tcW w:w="7142" w:type="dxa"/>
            <w:gridSpan w:val="3"/>
          </w:tcPr>
          <w:p>
            <w:pPr>
              <w:ind w:firstLine="482"/>
              <w:rPr>
                <w:b/>
                <w:bCs/>
              </w:rPr>
            </w:pPr>
            <w:r>
              <w:rPr>
                <w:b/>
                <w:bCs/>
              </w:rPr>
              <w:t>1</w:t>
            </w:r>
            <w:r>
              <w:rPr>
                <w:rFonts w:hint="eastAsia"/>
                <w:b/>
                <w:bCs/>
              </w:rPr>
              <w:t>.</w:t>
            </w:r>
            <w:r>
              <w:rPr>
                <w:b/>
                <w:bCs/>
              </w:rPr>
              <w:t>产业政策符合性</w:t>
            </w:r>
          </w:p>
          <w:p>
            <w:pPr>
              <w:ind w:firstLine="480"/>
            </w:pPr>
            <w:r>
              <w:rPr>
                <w:rFonts w:hint="eastAsia"/>
              </w:rPr>
              <w:t>根据</w:t>
            </w:r>
            <w:r>
              <w:t>《产业结构调整指导目录（2024年本）》</w:t>
            </w:r>
            <w:r>
              <w:rPr>
                <w:rFonts w:hint="eastAsia"/>
              </w:rPr>
              <w:t>可知，本项目既不属于鼓励类项目，也不属于限制类和淘汰类项目，视为国家政策允许建设的项目</w:t>
            </w:r>
            <w:r>
              <w:t>。</w:t>
            </w:r>
          </w:p>
          <w:p>
            <w:pPr>
              <w:ind w:firstLine="480"/>
              <w:rPr>
                <w:b/>
                <w:bCs/>
              </w:rPr>
            </w:pPr>
            <w:r>
              <w:t>综上，本项目符合国家产业政策。</w:t>
            </w:r>
          </w:p>
          <w:p>
            <w:pPr>
              <w:ind w:firstLine="482"/>
              <w:rPr>
                <w:b/>
                <w:bCs/>
              </w:rPr>
            </w:pPr>
            <w:r>
              <w:rPr>
                <w:b/>
                <w:bCs/>
              </w:rPr>
              <w:t>2</w:t>
            </w:r>
            <w:r>
              <w:rPr>
                <w:rFonts w:hint="eastAsia"/>
                <w:b/>
                <w:bCs/>
              </w:rPr>
              <w:t>.</w:t>
            </w:r>
            <w:r>
              <w:rPr>
                <w:b/>
                <w:bCs/>
              </w:rPr>
              <w:t>建设项目选址合理性</w:t>
            </w:r>
          </w:p>
          <w:p>
            <w:pPr>
              <w:ind w:firstLine="480"/>
            </w:pPr>
            <w:r>
              <w:rPr>
                <w:rFonts w:hint="eastAsia"/>
              </w:rPr>
              <w:t>本项目位于</w:t>
            </w:r>
            <w:r>
              <w:rPr>
                <w:rFonts w:hint="eastAsia" w:cs="Times New Roman"/>
                <w:szCs w:val="24"/>
              </w:rPr>
              <w:t>内蒙古自治区鄂尔多斯市杭锦旗呼和木独镇东红柳村九社</w:t>
            </w:r>
            <w:r>
              <w:rPr>
                <w:rFonts w:hint="eastAsia"/>
              </w:rPr>
              <w:t>，根据鄂尔多斯市大禾商贸有限公司拟建商砼站</w:t>
            </w:r>
            <w:r>
              <w:rPr>
                <w:rFonts w:hint="eastAsia"/>
                <w:lang w:eastAsia="zh-CN"/>
              </w:rPr>
              <w:t>的</w:t>
            </w:r>
            <w:r>
              <w:rPr>
                <w:rFonts w:hint="eastAsia"/>
              </w:rPr>
              <w:t>宗地图，该项目的用地类型为工业用地，符合用地规划；</w:t>
            </w:r>
            <w:r>
              <w:rPr>
                <w:rFonts w:hint="eastAsia"/>
                <w:lang w:eastAsia="zh-CN"/>
              </w:rPr>
              <w:t>该</w:t>
            </w:r>
            <w:r>
              <w:rPr>
                <w:rFonts w:hint="eastAsia"/>
              </w:rPr>
              <w:t>项目区位于《鄂尔多斯市市“三线一单”生态环境分区管控方案》中的重点管控单元，不在生态红线范围内；项目区500m范围内无自然保护区、水源地保护区、风景名胜区、文物遗迹等特殊环境敏感点，无重大环境制约因素；项目运营期产生的废气、废水、固废、噪声等污染物在采取本次评价提出的各项环保措施后，均可达标排放，对区域环境影响较小。从环境保护角度分析，项目选址合理。</w:t>
            </w:r>
          </w:p>
          <w:p>
            <w:pPr>
              <w:ind w:firstLine="482"/>
              <w:rPr>
                <w:b/>
                <w:bCs/>
              </w:rPr>
            </w:pPr>
            <w:r>
              <w:rPr>
                <w:b/>
                <w:bCs/>
              </w:rPr>
              <w:t>3</w:t>
            </w:r>
            <w:r>
              <w:rPr>
                <w:rFonts w:hint="eastAsia"/>
                <w:b/>
                <w:bCs/>
              </w:rPr>
              <w:t>.</w:t>
            </w:r>
            <w:r>
              <w:rPr>
                <w:b/>
                <w:bCs/>
              </w:rPr>
              <w:t>与“三线一单”符合性分析</w:t>
            </w:r>
          </w:p>
          <w:p>
            <w:pPr>
              <w:ind w:firstLine="480"/>
            </w:pPr>
            <w:r>
              <w:t>（1）生态保护红线</w:t>
            </w:r>
          </w:p>
          <w:p>
            <w:pPr>
              <w:ind w:firstLine="480"/>
            </w:pPr>
            <w:r>
              <w:rPr>
                <w:rFonts w:hint="eastAsia"/>
              </w:rPr>
              <w:t>根据《鄂尔多斯市人民政府关于“三线一单”生态环境分区管控的实施意见》（鄂府发〔2021〕218号），鄂尔多斯市全市共划定环境管控单元163个，包括优先保护单元、重点管控单元、一般管控单元三类，实施分类管控。</w:t>
            </w:r>
          </w:p>
          <w:p>
            <w:pPr>
              <w:ind w:firstLine="480"/>
              <w:rPr>
                <w:color w:val="auto"/>
              </w:rPr>
            </w:pPr>
            <w:r>
              <w:rPr>
                <w:rFonts w:hint="eastAsia"/>
                <w:color w:val="auto"/>
              </w:rPr>
              <w:t>本项目位于内蒙古自治区鄂尔多斯市杭锦旗呼和木独镇东红柳村九社，属于生态环境准入清单内的杭锦旗城镇边界，编号为ZH15062520003，为重点管控单元，不属于生态保护红线、自然保护地、集中式饮用水水源保护区等生态功能重要区和生态环境敏感区，符合生态保护红线要求。</w:t>
            </w:r>
          </w:p>
          <w:p>
            <w:pPr>
              <w:ind w:firstLine="0" w:firstLineChars="0"/>
              <w:jc w:val="center"/>
            </w:pPr>
            <w:r>
              <w:rPr>
                <w:color w:val="000000"/>
              </w:rPr>
              <mc:AlternateContent>
                <mc:Choice Requires="wps">
                  <w:drawing>
                    <wp:anchor distT="0" distB="0" distL="114300" distR="114300" simplePos="0" relativeHeight="251659264" behindDoc="0" locked="1" layoutInCell="1" allowOverlap="1">
                      <wp:simplePos x="0" y="0"/>
                      <wp:positionH relativeFrom="column">
                        <wp:posOffset>1202690</wp:posOffset>
                      </wp:positionH>
                      <wp:positionV relativeFrom="paragraph">
                        <wp:posOffset>396240</wp:posOffset>
                      </wp:positionV>
                      <wp:extent cx="1009015" cy="365760"/>
                      <wp:effectExtent l="381635" t="4445" r="19050" b="239395"/>
                      <wp:wrapNone/>
                      <wp:docPr id="4" name="矩形标注 4"/>
                      <wp:cNvGraphicFramePr/>
                      <a:graphic xmlns:a="http://schemas.openxmlformats.org/drawingml/2006/main">
                        <a:graphicData uri="http://schemas.microsoft.com/office/word/2010/wordprocessingShape">
                          <wps:wsp>
                            <wps:cNvSpPr/>
                            <wps:spPr>
                              <a:xfrm>
                                <a:off x="0" y="0"/>
                                <a:ext cx="1009015" cy="365760"/>
                              </a:xfrm>
                              <a:prstGeom prst="wedgeRectCallout">
                                <a:avLst>
                                  <a:gd name="adj1" fmla="val -84172"/>
                                  <a:gd name="adj2" fmla="val 107291"/>
                                </a:avLst>
                              </a:prstGeom>
                              <a:solidFill>
                                <a:srgbClr val="4F81BD"/>
                              </a:solidFill>
                              <a:ln w="9525" cap="flat" cmpd="sng">
                                <a:solidFill>
                                  <a:srgbClr val="000000"/>
                                </a:solidFill>
                                <a:prstDash val="solid"/>
                                <a:miter/>
                                <a:headEnd type="none" w="med" len="med"/>
                                <a:tailEnd type="none" w="med" len="med"/>
                              </a:ln>
                            </wps:spPr>
                            <wps:txbx>
                              <w:txbxContent>
                                <w:p>
                                  <w:pPr>
                                    <w:ind w:firstLine="0" w:firstLineChars="0"/>
                                  </w:pPr>
                                  <w:r>
                                    <w:rPr>
                                      <w:rFonts w:hint="eastAsia"/>
                                      <w:b/>
                                      <w:bCs/>
                                    </w:rPr>
                                    <w:t>本项目位置</w:t>
                                  </w:r>
                                </w:p>
                              </w:txbxContent>
                            </wps:txbx>
                            <wps:bodyPr upright="1"/>
                          </wps:wsp>
                        </a:graphicData>
                      </a:graphic>
                    </wp:anchor>
                  </w:drawing>
                </mc:Choice>
                <mc:Fallback>
                  <w:pict>
                    <v:shape id="_x0000_s1026" o:spid="_x0000_s1026" o:spt="61" type="#_x0000_t61" style="position:absolute;left:0pt;margin-left:94.7pt;margin-top:31.2pt;height:28.8pt;width:79.45pt;z-index:251659264;mso-width-relative:page;mso-height-relative:page;" fillcolor="#4F81BD" filled="t" stroked="t" coordsize="21600,21600" o:gfxdata="UEsDBAoAAAAAAIdO4kAAAAAAAAAAAAAAAAAEAAAAZHJzL1BLAwQUAAAACACHTuJAzlHj6dQAAAAK&#10;AQAADwAAAGRycy9kb3ducmV2LnhtbE1Py07DMBC8I/EP1iJxo04fqkKI00NRhDghAqLXbbwkEfY6&#10;it2m/D3LCU6r0czOo9xdvFNnmuIQ2MBykYEiboMduDPw/lbf5aBiQrboApOBb4qwq66vSixsmPmV&#10;zk3qlJhwLNBAn9JYaB3bnjzGRRiJhfsMk8ckcOq0nXAWc+/0Ksu22uPAktDjSPue2q/m5KVGPNcv&#10;+/a5fjxw4z7scJjRPRlze7PMHkAluqQ/MfzWlx+opNMxnNhG5QTn9xuRGtiu5IpgvcnXoI7CSDDo&#10;qtT/J1Q/UEsDBBQAAAAIAIdO4kAgZIT3PAIAAI4EAAAOAAAAZHJzL2Uyb0RvYy54bWytVEuS0zAQ&#10;3VPFHVTaT/whySSpOFPFhLChYIqBAyiWbIvSryQldk7AMaBYwZo1x2G4Bi3ZZDIDiyzIwmlZrdf9&#10;3lN7edVJgfbMOq5VgbNRihFTpaZc1QV+/25zMcPIeaIoEVqxAh+Yw1erp0+WrVmwXDdaUGYRgCi3&#10;aE2BG+/NIklc2TBJ3EgbpmCz0lYSD0tbJ9SSFtClSPI0nSatttRYXTLn4O2638QDoj0HUFcVL9la&#10;lzvJlO9RLRPEAyXXcOPwKnZbVaz0b6rKMY9EgYGpj08oAvE2PJPVkixqS0zDy6EFck4LjzhJwhUU&#10;PUKtiSdoZ/lfUJKXVjtd+VGpZdITiYoAiyx9pM1tQwyLXEBqZ46iu/8HW77e31jEaYHHGCkiwfBf&#10;n779/PHl7vPHu+9f0Tgo1Bq3gMRbc2OHlYMw0O0qK8M/EEFdVPVwVJV1HpXwMkvTeZpNMCph79l0&#10;cjmNsif3p411/iXTEoWgwC2jNXsL1l0TIfTOR2HJ/pXzUWE69EnohwyjSgowbE8EupiNs8t8cPQk&#10;KT9NytLLfJ6FJKg/YEL0p4NQwGnB6YYLERe23l4Li6AASLSZZc/Xw+EHaUKhtsDzSR5oEpiKCm4j&#10;hNKAsk7VkcKDE+4UOI2/fwGHxtbENX0DEaFnKLlnNt7ehhH6QlHkDwbcUzC0ODQjGcVIMJjxEMVM&#10;T7g4JxMEEQoUCr73TofId9tusH+r6QGuzc5YXjfgWC9oSIJrGqUdRirMwek6gt5/Rl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M5R4+nUAAAACgEAAA8AAAAAAAAAAQAgAAAAIgAAAGRycy9kb3du&#10;cmV2LnhtbFBLAQIUABQAAAAIAIdO4kAgZIT3PAIAAI4EAAAOAAAAAAAAAAEAIAAAACMBAABkcnMv&#10;ZTJvRG9jLnhtbFBLBQYAAAAABgAGAFkBAADRBQAAAAA=&#10;" adj="-7381,33975">
                      <v:fill on="t" focussize="0,0"/>
                      <v:stroke color="#000000" joinstyle="miter"/>
                      <v:imagedata o:title=""/>
                      <o:lock v:ext="edit" aspectratio="f"/>
                      <v:textbox>
                        <w:txbxContent>
                          <w:p>
                            <w:pPr>
                              <w:ind w:firstLine="0" w:firstLineChars="0"/>
                            </w:pPr>
                            <w:r>
                              <w:rPr>
                                <w:rFonts w:hint="eastAsia"/>
                                <w:b/>
                                <w:bCs/>
                              </w:rPr>
                              <w:t>本项目位置</w:t>
                            </w:r>
                          </w:p>
                        </w:txbxContent>
                      </v:textbox>
                      <w10:anchorlock/>
                    </v:shape>
                  </w:pict>
                </mc:Fallback>
              </mc:AlternateContent>
            </w:r>
            <w:r>
              <w:drawing>
                <wp:inline distT="0" distB="0" distL="114300" distR="114300">
                  <wp:extent cx="4367530" cy="3091180"/>
                  <wp:effectExtent l="0" t="0" r="13970" b="13970"/>
                  <wp:docPr id="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
                          <pic:cNvPicPr>
                            <a:picLocks noChangeAspect="1"/>
                          </pic:cNvPicPr>
                        </pic:nvPicPr>
                        <pic:blipFill>
                          <a:blip r:embed="rId12"/>
                          <a:stretch>
                            <a:fillRect/>
                          </a:stretch>
                        </pic:blipFill>
                        <pic:spPr>
                          <a:xfrm>
                            <a:off x="0" y="0"/>
                            <a:ext cx="4367530" cy="3091180"/>
                          </a:xfrm>
                          <a:prstGeom prst="rect">
                            <a:avLst/>
                          </a:prstGeom>
                          <a:noFill/>
                          <a:ln>
                            <a:noFill/>
                          </a:ln>
                        </pic:spPr>
                      </pic:pic>
                    </a:graphicData>
                  </a:graphic>
                </wp:inline>
              </w:drawing>
            </w:r>
          </w:p>
          <w:p>
            <w:pPr>
              <w:pStyle w:val="25"/>
              <w:rPr>
                <w:color w:val="auto"/>
              </w:rPr>
            </w:pPr>
            <w:r>
              <w:rPr>
                <w:rFonts w:hint="eastAsia"/>
              </w:rPr>
              <w:t xml:space="preserve">图1-1 </w:t>
            </w:r>
            <w:r>
              <w:rPr>
                <w:rFonts w:hint="eastAsia"/>
                <w:color w:val="auto"/>
              </w:rPr>
              <w:t xml:space="preserve"> 鄂尔多斯市生态保护红线分布图</w:t>
            </w:r>
          </w:p>
          <w:p>
            <w:pPr>
              <w:ind w:firstLine="480"/>
            </w:pPr>
            <w:r>
              <w:t>（2）环境质量底线</w:t>
            </w:r>
          </w:p>
          <w:p>
            <w:pPr>
              <w:ind w:firstLine="480"/>
            </w:pPr>
            <w:r>
              <w:t>根据《</w:t>
            </w:r>
            <w:r>
              <w:rPr>
                <w:rFonts w:hint="eastAsia"/>
              </w:rPr>
              <w:t>内蒙古自治区生态</w:t>
            </w:r>
            <w:r>
              <w:t>环境状况公报（2022年）》，本项目所在地</w:t>
            </w:r>
            <w:r>
              <w:rPr>
                <w:rFonts w:hint="eastAsia"/>
              </w:rPr>
              <w:t>鄂尔多斯市杭锦</w:t>
            </w:r>
            <w:r>
              <w:t>旗2022年大气环境中6项污染物中SO</w:t>
            </w:r>
            <w:r>
              <w:rPr>
                <w:vertAlign w:val="subscript"/>
              </w:rPr>
              <w:t>2</w:t>
            </w:r>
            <w:r>
              <w:t>、NO</w:t>
            </w:r>
            <w:r>
              <w:rPr>
                <w:vertAlign w:val="subscript"/>
              </w:rPr>
              <w:t>2</w:t>
            </w:r>
            <w:r>
              <w:t>、PM</w:t>
            </w:r>
            <w:r>
              <w:rPr>
                <w:vertAlign w:val="subscript"/>
              </w:rPr>
              <w:t>10</w:t>
            </w:r>
            <w:r>
              <w:t>、PM</w:t>
            </w:r>
            <w:r>
              <w:rPr>
                <w:vertAlign w:val="subscript"/>
              </w:rPr>
              <w:t>2.5</w:t>
            </w:r>
            <w:r>
              <w:t>、CO和O</w:t>
            </w:r>
            <w:r>
              <w:rPr>
                <w:vertAlign w:val="subscript"/>
              </w:rPr>
              <w:t>3</w:t>
            </w:r>
            <w:r>
              <w:t>质量浓度均满足《环境空气质量标准》（GB3095-2012）二级标准限值，由此可判断</w:t>
            </w:r>
            <w:r>
              <w:rPr>
                <w:rFonts w:hint="eastAsia"/>
              </w:rPr>
              <w:t>杭锦旗</w:t>
            </w:r>
            <w:r>
              <w:t>为达标区；根据</w:t>
            </w:r>
            <w:r>
              <w:rPr>
                <w:rFonts w:hint="eastAsia"/>
              </w:rPr>
              <w:t>现状监测</w:t>
            </w:r>
            <w:r>
              <w:t>的</w:t>
            </w:r>
            <w:r>
              <w:rPr>
                <w:rFonts w:hint="eastAsia"/>
              </w:rPr>
              <w:t>其他污染物T</w:t>
            </w:r>
            <w:r>
              <w:t>SP数据可知，TSP质量浓度满足《环境空气质量标准》（GB3095-2012）二级标准限值。</w:t>
            </w:r>
          </w:p>
          <w:p>
            <w:pPr>
              <w:ind w:firstLine="480"/>
            </w:pPr>
            <w:r>
              <w:rPr>
                <w:rFonts w:hint="eastAsia"/>
              </w:rPr>
              <w:t>本项目运营期废气经处理后，均达标排放；生活污水排入厂区自建的防渗化粪池，定期拉运至内蒙古皓淇环境卫生管理有限公司污水处理厂处理；生产废水经沉淀池沉淀后，循环使用不外排。厂界噪声预测值满足相关标准，对周围声环境影响较小；固废全部</w:t>
            </w:r>
            <w:r>
              <w:rPr>
                <w:rFonts w:hint="eastAsia"/>
                <w:lang w:eastAsia="zh-CN"/>
              </w:rPr>
              <w:t>得到</w:t>
            </w:r>
            <w:r>
              <w:rPr>
                <w:rFonts w:hint="eastAsia"/>
              </w:rPr>
              <w:t>妥善处置，对周围环境影响较小。综上，从环保角度，项目选址合理。</w:t>
            </w:r>
          </w:p>
          <w:p>
            <w:pPr>
              <w:ind w:firstLine="480"/>
            </w:pPr>
            <w:r>
              <w:rPr>
                <w:rFonts w:hint="eastAsia"/>
              </w:rPr>
              <w:t>因此，项目实施后不会对项目所在地的环境质量造成不利影响；项目所在地环境质量可维持现有水平，新建项目符合环境质量底线要求。</w:t>
            </w:r>
          </w:p>
          <w:p>
            <w:pPr>
              <w:ind w:firstLine="480"/>
            </w:pPr>
            <w:r>
              <w:t>（3）资源利用上线</w:t>
            </w:r>
          </w:p>
          <w:p>
            <w:pPr>
              <w:ind w:firstLine="480"/>
            </w:pPr>
            <w:r>
              <w:t>本项目建成运行后通过内部管理、设备选择、原辅材料的选用和管理、废物综合利用、污染治理等多方面采取可行的防治措施，以“节能、降耗、减污”为目标，有效地控制污染，项目的水、电等资源不会突破区域的资源利用上线。</w:t>
            </w:r>
          </w:p>
          <w:p>
            <w:pPr>
              <w:ind w:firstLine="480"/>
            </w:pPr>
            <w:r>
              <w:t>（4）生态环境准入清单</w:t>
            </w:r>
          </w:p>
          <w:p>
            <w:pPr>
              <w:ind w:firstLine="480"/>
            </w:pPr>
            <w:r>
              <w:t>根据</w:t>
            </w:r>
            <w:r>
              <w:rPr>
                <w:rFonts w:hint="eastAsia"/>
              </w:rPr>
              <w:t>《鄂尔多斯市人民政府关于“三线一单”生态环境分区管控的实施意见》（鄂府发〔2021〕218号），鄂尔多斯市全市共划定环境管控单元163个，包括优先保护单元、重点管控单元、一般管控单元三类，实施分类管控。</w:t>
            </w:r>
          </w:p>
          <w:p>
            <w:pPr>
              <w:ind w:firstLine="480"/>
            </w:pPr>
            <w:r>
              <w:rPr>
                <w:rFonts w:hint="eastAsia"/>
              </w:rPr>
              <w:t>本项目位于内蒙古自治区鄂尔多斯市杭锦旗呼和木独镇东红柳村九社，属于生态环境准入清单内的杭锦旗城镇边界，编号为ZH15062520003，为重点管控单元。</w:t>
            </w:r>
            <w:r>
              <w:t>本项目</w:t>
            </w:r>
            <w:r>
              <w:rPr>
                <w:rFonts w:hint="eastAsia"/>
              </w:rPr>
              <w:t>的</w:t>
            </w:r>
            <w:r>
              <w:t>生态环境准入清单符合性见下表。</w:t>
            </w:r>
          </w:p>
          <w:p>
            <w:pPr>
              <w:pStyle w:val="25"/>
            </w:pPr>
            <w:r>
              <w:t>表1-</w:t>
            </w:r>
            <w:r>
              <w:rPr>
                <w:rFonts w:hint="eastAsia"/>
              </w:rPr>
              <w:t>1鄂尔多斯市</w:t>
            </w:r>
            <w:r>
              <w:t>生态环境准入清单符合性分析表</w:t>
            </w:r>
          </w:p>
          <w:tbl>
            <w:tblPr>
              <w:tblStyle w:val="17"/>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63"/>
              <w:gridCol w:w="659"/>
              <w:gridCol w:w="544"/>
              <w:gridCol w:w="3125"/>
              <w:gridCol w:w="1535"/>
              <w:gridCol w:w="396"/>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478" w:type="pct"/>
                  <w:vAlign w:val="center"/>
                </w:tcPr>
                <w:p>
                  <w:pPr>
                    <w:pStyle w:val="39"/>
                    <w:jc w:val="center"/>
                    <w:rPr>
                      <w:b/>
                      <w:bCs/>
                    </w:rPr>
                  </w:pPr>
                  <w:r>
                    <w:rPr>
                      <w:rFonts w:hint="eastAsia"/>
                      <w:b/>
                      <w:bCs/>
                    </w:rPr>
                    <w:t>环境管控单元编码</w:t>
                  </w:r>
                </w:p>
              </w:tc>
              <w:tc>
                <w:tcPr>
                  <w:tcW w:w="476" w:type="pct"/>
                  <w:vAlign w:val="center"/>
                </w:tcPr>
                <w:p>
                  <w:pPr>
                    <w:pStyle w:val="39"/>
                    <w:jc w:val="center"/>
                    <w:rPr>
                      <w:b/>
                      <w:bCs/>
                    </w:rPr>
                  </w:pPr>
                  <w:r>
                    <w:rPr>
                      <w:b/>
                      <w:bCs/>
                    </w:rPr>
                    <w:t>环境管控单元名称</w:t>
                  </w:r>
                </w:p>
              </w:tc>
              <w:tc>
                <w:tcPr>
                  <w:tcW w:w="2649" w:type="pct"/>
                  <w:gridSpan w:val="2"/>
                  <w:vAlign w:val="center"/>
                </w:tcPr>
                <w:p>
                  <w:pPr>
                    <w:pStyle w:val="39"/>
                    <w:jc w:val="center"/>
                    <w:rPr>
                      <w:b/>
                      <w:bCs/>
                    </w:rPr>
                  </w:pPr>
                  <w:r>
                    <w:rPr>
                      <w:b/>
                      <w:bCs/>
                    </w:rPr>
                    <w:t>管控要求</w:t>
                  </w:r>
                </w:p>
              </w:tc>
              <w:tc>
                <w:tcPr>
                  <w:tcW w:w="1109" w:type="pct"/>
                  <w:vAlign w:val="center"/>
                </w:tcPr>
                <w:p>
                  <w:pPr>
                    <w:pStyle w:val="39"/>
                    <w:jc w:val="center"/>
                    <w:rPr>
                      <w:b/>
                      <w:bCs/>
                    </w:rPr>
                  </w:pPr>
                  <w:r>
                    <w:rPr>
                      <w:b/>
                      <w:bCs/>
                    </w:rPr>
                    <w:t>项目落实情况</w:t>
                  </w:r>
                </w:p>
              </w:tc>
              <w:tc>
                <w:tcPr>
                  <w:tcW w:w="286" w:type="pct"/>
                  <w:vAlign w:val="center"/>
                </w:tcPr>
                <w:p>
                  <w:pPr>
                    <w:pStyle w:val="39"/>
                    <w:jc w:val="center"/>
                    <w:rPr>
                      <w:b/>
                      <w:bCs/>
                    </w:rPr>
                  </w:pPr>
                  <w:r>
                    <w:rPr>
                      <w:b/>
                      <w:bCs/>
                    </w:rPr>
                    <w:t>符合性</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78" w:type="pct"/>
                  <w:vMerge w:val="restart"/>
                  <w:vAlign w:val="center"/>
                </w:tcPr>
                <w:p>
                  <w:pPr>
                    <w:pStyle w:val="39"/>
                    <w:jc w:val="center"/>
                  </w:pPr>
                  <w:r>
                    <w:t>ZH</w:t>
                  </w:r>
                  <w:r>
                    <w:rPr>
                      <w:rFonts w:hint="eastAsia"/>
                    </w:rPr>
                    <w:t>15062520003</w:t>
                  </w:r>
                </w:p>
              </w:tc>
              <w:tc>
                <w:tcPr>
                  <w:tcW w:w="476" w:type="pct"/>
                  <w:vMerge w:val="restart"/>
                  <w:vAlign w:val="center"/>
                </w:tcPr>
                <w:p>
                  <w:pPr>
                    <w:pStyle w:val="39"/>
                    <w:jc w:val="center"/>
                  </w:pPr>
                  <w:r>
                    <w:rPr>
                      <w:rFonts w:hint="eastAsia"/>
                    </w:rPr>
                    <w:t>杭锦旗城镇边界</w:t>
                  </w:r>
                </w:p>
              </w:tc>
              <w:tc>
                <w:tcPr>
                  <w:tcW w:w="393" w:type="pct"/>
                  <w:vAlign w:val="center"/>
                </w:tcPr>
                <w:p>
                  <w:pPr>
                    <w:pStyle w:val="39"/>
                    <w:jc w:val="center"/>
                  </w:pPr>
                  <w:r>
                    <w:rPr>
                      <w:rFonts w:hint="eastAsia"/>
                    </w:rPr>
                    <w:t>空间布局约束</w:t>
                  </w:r>
                </w:p>
              </w:tc>
              <w:tc>
                <w:tcPr>
                  <w:tcW w:w="2256" w:type="pct"/>
                  <w:vAlign w:val="center"/>
                </w:tcPr>
                <w:p>
                  <w:pPr>
                    <w:pStyle w:val="39"/>
                    <w:jc w:val="center"/>
                  </w:pPr>
                  <w:r>
                    <w:rPr>
                      <w:rFonts w:hint="eastAsia"/>
                    </w:rPr>
                    <w:t>1.禁止新建、扩建高污染、高耗水、高耗能项目。现有高污染、高耗水、高耗能企业，鼓励逐步搬迁入园。</w:t>
                  </w:r>
                </w:p>
                <w:p>
                  <w:pPr>
                    <w:pStyle w:val="39"/>
                    <w:jc w:val="center"/>
                  </w:pPr>
                  <w:r>
                    <w:rPr>
                      <w:rFonts w:hint="eastAsia"/>
                    </w:rPr>
                    <w:t>2.淘汰10蒸吨/小时以下燃煤锅炉、茶浴炉，禁止新建35蒸吨/小时以下燃煤锅炉；有序淘汰关停不达标的30万千瓦以下燃煤机组。</w:t>
                  </w:r>
                </w:p>
                <w:p>
                  <w:pPr>
                    <w:pStyle w:val="39"/>
                    <w:jc w:val="center"/>
                  </w:pPr>
                  <w:r>
                    <w:rPr>
                      <w:rFonts w:hint="eastAsia"/>
                    </w:rPr>
                    <w:t>3.禁止在居民区和学校、医院、疗养院、养老院等单位周边新建、改建、扩建可能造成土壤污染的建设项目。禁止在人口聚居区域内新（改、扩）建涉重金属及恶臭气体排放企业。</w:t>
                  </w:r>
                </w:p>
              </w:tc>
              <w:tc>
                <w:tcPr>
                  <w:tcW w:w="1109" w:type="pct"/>
                  <w:vAlign w:val="center"/>
                </w:tcPr>
                <w:p>
                  <w:pPr>
                    <w:pStyle w:val="39"/>
                    <w:jc w:val="center"/>
                  </w:pPr>
                  <w:r>
                    <w:rPr>
                      <w:rFonts w:hint="eastAsia"/>
                    </w:rPr>
                    <w:t>1.本项目为混凝土制造项目，不属于高污染、高耗水、高耗能项目。</w:t>
                  </w:r>
                </w:p>
                <w:p>
                  <w:pPr>
                    <w:pStyle w:val="39"/>
                    <w:jc w:val="center"/>
                  </w:pPr>
                  <w:r>
                    <w:rPr>
                      <w:rFonts w:hint="eastAsia"/>
                    </w:rPr>
                    <w:t>2.本项目不涉及燃煤锅炉。</w:t>
                  </w:r>
                </w:p>
                <w:p>
                  <w:pPr>
                    <w:pStyle w:val="39"/>
                    <w:jc w:val="center"/>
                  </w:pPr>
                  <w:r>
                    <w:rPr>
                      <w:rFonts w:hint="eastAsia"/>
                    </w:rPr>
                    <w:t>3.本项目不对土壤造成污染，且不涉及重金属和恶臭气体。</w:t>
                  </w:r>
                </w:p>
              </w:tc>
              <w:tc>
                <w:tcPr>
                  <w:tcW w:w="286" w:type="pct"/>
                  <w:vAlign w:val="center"/>
                </w:tcPr>
                <w:p>
                  <w:pPr>
                    <w:pStyle w:val="39"/>
                    <w:jc w:val="center"/>
                  </w:pPr>
                  <w:r>
                    <w:rPr>
                      <w:rFonts w:hint="eastAsia"/>
                    </w:rPr>
                    <w:t>符合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78" w:type="pct"/>
                  <w:vMerge w:val="continue"/>
                  <w:vAlign w:val="center"/>
                </w:tcPr>
                <w:p>
                  <w:pPr>
                    <w:pStyle w:val="39"/>
                    <w:jc w:val="center"/>
                  </w:pPr>
                </w:p>
              </w:tc>
              <w:tc>
                <w:tcPr>
                  <w:tcW w:w="476" w:type="pct"/>
                  <w:vMerge w:val="continue"/>
                  <w:vAlign w:val="center"/>
                </w:tcPr>
                <w:p>
                  <w:pPr>
                    <w:pStyle w:val="39"/>
                    <w:jc w:val="center"/>
                  </w:pPr>
                </w:p>
              </w:tc>
              <w:tc>
                <w:tcPr>
                  <w:tcW w:w="393" w:type="pct"/>
                  <w:vAlign w:val="center"/>
                </w:tcPr>
                <w:p>
                  <w:pPr>
                    <w:pStyle w:val="39"/>
                    <w:jc w:val="center"/>
                  </w:pPr>
                  <w:r>
                    <w:rPr>
                      <w:rFonts w:hint="eastAsia"/>
                    </w:rPr>
                    <w:t>污染物排放管控</w:t>
                  </w:r>
                </w:p>
              </w:tc>
              <w:tc>
                <w:tcPr>
                  <w:tcW w:w="2256" w:type="pct"/>
                  <w:vAlign w:val="center"/>
                </w:tcPr>
                <w:p>
                  <w:pPr>
                    <w:pStyle w:val="39"/>
                    <w:jc w:val="center"/>
                  </w:pPr>
                  <w:r>
                    <w:rPr>
                      <w:rFonts w:hint="eastAsia"/>
                    </w:rPr>
                    <w:t>1.提升城镇生活污水收集管网覆盖率，逐步实施雨污管网分流改造、管网更新、破损修复改、中水回用等工程。城镇生活污水实现“应收尽收、应处尽处”。</w:t>
                  </w:r>
                </w:p>
                <w:p>
                  <w:pPr>
                    <w:pStyle w:val="39"/>
                    <w:jc w:val="center"/>
                  </w:pPr>
                  <w:r>
                    <w:rPr>
                      <w:rFonts w:hint="eastAsia"/>
                    </w:rPr>
                    <w:t>2.禁止在人口集中地区融化或者焚烧沥青、油毡、橡胶、塑料、皮革以及其他产生的有毒有害烟尘和恶臭气体的物质。</w:t>
                  </w:r>
                </w:p>
              </w:tc>
              <w:tc>
                <w:tcPr>
                  <w:tcW w:w="1109" w:type="pct"/>
                  <w:vAlign w:val="center"/>
                </w:tcPr>
                <w:p>
                  <w:pPr>
                    <w:pStyle w:val="39"/>
                    <w:jc w:val="center"/>
                  </w:pPr>
                  <w:r>
                    <w:rPr>
                      <w:rFonts w:hint="eastAsia"/>
                    </w:rPr>
                    <w:t>1.本项目不属于城镇污水处理项目。</w:t>
                  </w:r>
                </w:p>
                <w:p>
                  <w:pPr>
                    <w:pStyle w:val="39"/>
                    <w:jc w:val="center"/>
                  </w:pPr>
                  <w:r>
                    <w:rPr>
                      <w:rFonts w:hint="eastAsia"/>
                    </w:rPr>
                    <w:t>2.本项目为混凝土制造项目，不进行熔化或者焚烧沥青、油毡、橡胶、塑料、皮革以及其他产生有毒有害烟尘和恶臭气体的物质，且厂址不在人口集中地区。</w:t>
                  </w:r>
                </w:p>
              </w:tc>
              <w:tc>
                <w:tcPr>
                  <w:tcW w:w="286" w:type="pct"/>
                  <w:vAlign w:val="center"/>
                </w:tcPr>
                <w:p>
                  <w:pPr>
                    <w:pStyle w:val="39"/>
                    <w:jc w:val="center"/>
                  </w:pPr>
                  <w:r>
                    <w:rPr>
                      <w:rFonts w:hint="eastAsia"/>
                    </w:rPr>
                    <w:t>符合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78" w:type="pct"/>
                  <w:vMerge w:val="continue"/>
                  <w:vAlign w:val="center"/>
                </w:tcPr>
                <w:p>
                  <w:pPr>
                    <w:pStyle w:val="39"/>
                    <w:jc w:val="center"/>
                  </w:pPr>
                </w:p>
              </w:tc>
              <w:tc>
                <w:tcPr>
                  <w:tcW w:w="476" w:type="pct"/>
                  <w:vMerge w:val="continue"/>
                  <w:vAlign w:val="center"/>
                </w:tcPr>
                <w:p>
                  <w:pPr>
                    <w:pStyle w:val="39"/>
                    <w:jc w:val="center"/>
                  </w:pPr>
                </w:p>
              </w:tc>
              <w:tc>
                <w:tcPr>
                  <w:tcW w:w="393" w:type="pct"/>
                  <w:vAlign w:val="center"/>
                </w:tcPr>
                <w:p>
                  <w:pPr>
                    <w:pStyle w:val="39"/>
                    <w:jc w:val="center"/>
                  </w:pPr>
                  <w:r>
                    <w:rPr>
                      <w:rFonts w:hint="eastAsia"/>
                    </w:rPr>
                    <w:t>资源利用效率要求</w:t>
                  </w:r>
                </w:p>
              </w:tc>
              <w:tc>
                <w:tcPr>
                  <w:tcW w:w="2256" w:type="pct"/>
                  <w:vAlign w:val="center"/>
                </w:tcPr>
                <w:p>
                  <w:pPr>
                    <w:pStyle w:val="39"/>
                    <w:jc w:val="center"/>
                  </w:pPr>
                  <w:r>
                    <w:rPr>
                      <w:rFonts w:hint="eastAsia"/>
                    </w:rPr>
                    <w:t>1.电力、钢铁、纺织、造纸、石油化工、食品发酵等高耗水行业达到先进定额标准。水资源节约和循环利用达到国内先进水平。</w:t>
                  </w:r>
                </w:p>
                <w:p>
                  <w:pPr>
                    <w:pStyle w:val="39"/>
                    <w:jc w:val="center"/>
                  </w:pPr>
                  <w:r>
                    <w:rPr>
                      <w:rFonts w:hint="eastAsia"/>
                    </w:rPr>
                    <w:t>2.强化水资源论证管理，优化水源配置，鼓励优先配置利用非常规水源。</w:t>
                  </w:r>
                </w:p>
              </w:tc>
              <w:tc>
                <w:tcPr>
                  <w:tcW w:w="1109" w:type="pct"/>
                  <w:vAlign w:val="center"/>
                </w:tcPr>
                <w:p>
                  <w:pPr>
                    <w:pStyle w:val="39"/>
                    <w:jc w:val="center"/>
                  </w:pPr>
                  <w:r>
                    <w:rPr>
                      <w:rFonts w:hint="eastAsia"/>
                    </w:rPr>
                    <w:t>1.本项目为混凝土制造项目，不属于高耗水行业。</w:t>
                  </w:r>
                </w:p>
                <w:p>
                  <w:pPr>
                    <w:pStyle w:val="39"/>
                    <w:jc w:val="center"/>
                  </w:pPr>
                  <w:r>
                    <w:rPr>
                      <w:rFonts w:hint="eastAsia"/>
                    </w:rPr>
                    <w:t>2.本项目生产废水全部回用于生产。</w:t>
                  </w:r>
                </w:p>
              </w:tc>
              <w:tc>
                <w:tcPr>
                  <w:tcW w:w="286" w:type="pct"/>
                  <w:vAlign w:val="center"/>
                </w:tcPr>
                <w:p>
                  <w:pPr>
                    <w:pStyle w:val="39"/>
                    <w:jc w:val="center"/>
                  </w:pPr>
                  <w:r>
                    <w:rPr>
                      <w:rFonts w:hint="eastAsia"/>
                    </w:rPr>
                    <w:t>符合</w:t>
                  </w:r>
                </w:p>
              </w:tc>
            </w:tr>
          </w:tbl>
          <w:p>
            <w:pPr>
              <w:ind w:firstLine="480"/>
            </w:pPr>
            <w:r>
              <w:rPr>
                <w:rFonts w:hint="eastAsia"/>
              </w:rPr>
              <w:t>综上所述</w:t>
            </w:r>
            <w:r>
              <w:t>，本项目符合“三线一单”管控要求。</w:t>
            </w:r>
          </w:p>
        </w:tc>
      </w:tr>
    </w:tbl>
    <w:p>
      <w:pPr>
        <w:pStyle w:val="2"/>
        <w:ind w:firstLine="640"/>
        <w:rPr>
          <w:snapToGrid w:val="0"/>
        </w:rPr>
        <w:sectPr>
          <w:pgSz w:w="11906" w:h="16838"/>
          <w:pgMar w:top="1440" w:right="1800" w:bottom="1440" w:left="1800" w:header="992" w:footer="992" w:gutter="0"/>
          <w:pgNumType w:start="1"/>
          <w:cols w:space="425" w:num="1"/>
          <w:docGrid w:type="lines" w:linePitch="312" w:charSpace="0"/>
        </w:sectPr>
      </w:pPr>
    </w:p>
    <w:p>
      <w:pPr>
        <w:pStyle w:val="2"/>
        <w:ind w:firstLine="321" w:firstLineChars="100"/>
        <w:jc w:val="center"/>
        <w:rPr>
          <w:snapToGrid w:val="0"/>
        </w:rPr>
      </w:pPr>
      <w:bookmarkStart w:id="4" w:name="_Toc144507126"/>
      <w:r>
        <w:rPr>
          <w:rFonts w:hint="eastAsia"/>
          <w:snapToGrid w:val="0"/>
        </w:rPr>
        <w:t>二、建设项目工程分析</w:t>
      </w:r>
      <w:bookmarkEnd w:id="4"/>
    </w:p>
    <w:tbl>
      <w:tblPr>
        <w:tblStyle w:val="17"/>
        <w:tblW w:w="86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777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40" w:hRule="atLeast"/>
          <w:jc w:val="center"/>
        </w:trPr>
        <w:tc>
          <w:tcPr>
            <w:tcW w:w="842" w:type="dxa"/>
            <w:vAlign w:val="center"/>
          </w:tcPr>
          <w:p>
            <w:pPr>
              <w:ind w:firstLine="0" w:firstLineChars="0"/>
              <w:jc w:val="center"/>
            </w:pPr>
            <w:r>
              <w:rPr>
                <w:rFonts w:hint="eastAsia"/>
              </w:rPr>
              <w:t>建设内容</w:t>
            </w:r>
          </w:p>
        </w:tc>
        <w:tc>
          <w:tcPr>
            <w:tcW w:w="7771" w:type="dxa"/>
          </w:tcPr>
          <w:p>
            <w:pPr>
              <w:ind w:firstLine="482"/>
              <w:rPr>
                <w:b/>
                <w:bCs/>
              </w:rPr>
            </w:pPr>
            <w:r>
              <w:rPr>
                <w:rFonts w:hint="eastAsia"/>
                <w:b/>
                <w:bCs/>
              </w:rPr>
              <w:t>1.</w:t>
            </w:r>
            <w:r>
              <w:rPr>
                <w:b/>
                <w:bCs/>
              </w:rPr>
              <w:t>项目</w:t>
            </w:r>
            <w:r>
              <w:rPr>
                <w:rFonts w:hint="eastAsia"/>
                <w:b/>
                <w:bCs/>
              </w:rPr>
              <w:t>建设内容及规模</w:t>
            </w:r>
          </w:p>
          <w:p>
            <w:pPr>
              <w:ind w:firstLine="482"/>
              <w:rPr>
                <w:b/>
                <w:bCs/>
              </w:rPr>
            </w:pPr>
            <w:r>
              <w:rPr>
                <w:rFonts w:hint="eastAsia"/>
                <w:b/>
                <w:bCs/>
              </w:rPr>
              <w:t>1.1项目基本情况</w:t>
            </w:r>
          </w:p>
          <w:p>
            <w:pPr>
              <w:ind w:firstLine="480"/>
            </w:pPr>
            <w:r>
              <w:t>（1）项目名称：</w:t>
            </w:r>
            <w:r>
              <w:rPr>
                <w:rFonts w:hint="eastAsia"/>
              </w:rPr>
              <w:t xml:space="preserve">鄂尔多斯市大禾商贸有限公司年产2万立方商砼项目 </w:t>
            </w:r>
          </w:p>
          <w:p>
            <w:pPr>
              <w:ind w:firstLine="480"/>
            </w:pPr>
            <w:r>
              <w:t>（2）建设性质：新建</w:t>
            </w:r>
            <w:r>
              <w:rPr>
                <w:rFonts w:hint="eastAsia"/>
              </w:rPr>
              <w:t xml:space="preserve"> </w:t>
            </w:r>
          </w:p>
          <w:p>
            <w:pPr>
              <w:ind w:firstLine="480"/>
            </w:pPr>
            <w:r>
              <w:t>（3）建设单位：</w:t>
            </w:r>
            <w:r>
              <w:rPr>
                <w:rFonts w:hint="eastAsia"/>
              </w:rPr>
              <w:t xml:space="preserve">鄂尔多斯市大禾商贸有限公司 </w:t>
            </w:r>
          </w:p>
          <w:p>
            <w:pPr>
              <w:ind w:firstLine="480"/>
            </w:pPr>
            <w:r>
              <w:t>（4）建设地点：</w:t>
            </w:r>
            <w:r>
              <w:rPr>
                <w:rFonts w:hint="eastAsia"/>
              </w:rPr>
              <w:t>项目位于内蒙古鄂尔多斯市杭锦旗呼和木独</w:t>
            </w:r>
            <w:r>
              <w:rPr>
                <w:rFonts w:hint="eastAsia"/>
                <w:color w:val="auto"/>
              </w:rPr>
              <w:t>镇东红柳村九社，项目区中心坐标为东经：107°15′34.541″，北纬：4</w:t>
            </w:r>
            <w:r>
              <w:rPr>
                <w:rFonts w:hint="eastAsia"/>
              </w:rPr>
              <w:t>0°33′2.981″，地理位置图见附图1。</w:t>
            </w:r>
          </w:p>
          <w:p>
            <w:pPr>
              <w:ind w:firstLine="480"/>
            </w:pPr>
            <w:r>
              <w:t>（</w:t>
            </w:r>
            <w:r>
              <w:rPr>
                <w:rFonts w:hint="eastAsia"/>
              </w:rPr>
              <w:t>5</w:t>
            </w:r>
            <w:r>
              <w:t>）项目投资：总投资</w:t>
            </w:r>
            <w:r>
              <w:rPr>
                <w:rFonts w:hint="eastAsia"/>
              </w:rPr>
              <w:t>200万</w:t>
            </w:r>
            <w:r>
              <w:t>元，环保投资为</w:t>
            </w:r>
            <w:r>
              <w:rPr>
                <w:rFonts w:hint="eastAsia"/>
              </w:rPr>
              <w:t>51.5</w:t>
            </w:r>
            <w:r>
              <w:t>万元，占总投资的</w:t>
            </w:r>
            <w:r>
              <w:rPr>
                <w:rFonts w:hint="eastAsia"/>
              </w:rPr>
              <w:t>25.75</w:t>
            </w:r>
            <w:r>
              <w:t>%。</w:t>
            </w:r>
          </w:p>
          <w:p>
            <w:pPr>
              <w:ind w:firstLine="482"/>
              <w:rPr>
                <w:b/>
                <w:bCs/>
              </w:rPr>
            </w:pPr>
            <w:r>
              <w:rPr>
                <w:rFonts w:hint="eastAsia"/>
                <w:b/>
                <w:bCs/>
              </w:rPr>
              <w:t>1.2项目建设规模</w:t>
            </w:r>
          </w:p>
          <w:p>
            <w:pPr>
              <w:ind w:firstLine="480"/>
            </w:pPr>
            <w:r>
              <w:rPr>
                <w:rFonts w:hint="eastAsia"/>
              </w:rPr>
              <w:t>本项目建设规模为年产2万立方</w:t>
            </w:r>
            <w:r>
              <w:rPr>
                <w:rFonts w:hint="eastAsia"/>
                <w:lang w:eastAsia="zh-CN"/>
              </w:rPr>
              <w:t>米</w:t>
            </w:r>
            <w:r>
              <w:rPr>
                <w:rFonts w:hint="eastAsia"/>
              </w:rPr>
              <w:t>商砼，产品标号</w:t>
            </w:r>
            <w:r>
              <w:rPr>
                <w:rFonts w:hint="eastAsia"/>
                <w:lang w:eastAsia="zh-CN"/>
              </w:rPr>
              <w:t>为</w:t>
            </w:r>
            <w:r>
              <w:rPr>
                <w:rFonts w:hint="eastAsia"/>
              </w:rPr>
              <w:t>C15-C80。详见下表。</w:t>
            </w:r>
          </w:p>
          <w:p>
            <w:pPr>
              <w:pStyle w:val="25"/>
            </w:pPr>
            <w:r>
              <w:rPr>
                <w:rFonts w:hint="eastAsia"/>
              </w:rPr>
              <w:t>表2-1  项目产品方案</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09"/>
              <w:gridCol w:w="2567"/>
              <w:gridCol w:w="1887"/>
              <w:gridCol w:w="188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800" w:type="pct"/>
                  <w:vAlign w:val="center"/>
                </w:tcPr>
                <w:p>
                  <w:pPr>
                    <w:pStyle w:val="39"/>
                    <w:jc w:val="center"/>
                    <w:rPr>
                      <w:b/>
                      <w:bCs/>
                    </w:rPr>
                  </w:pPr>
                  <w:r>
                    <w:rPr>
                      <w:b/>
                      <w:bCs/>
                    </w:rPr>
                    <w:t>序号</w:t>
                  </w:r>
                </w:p>
              </w:tc>
              <w:tc>
                <w:tcPr>
                  <w:tcW w:w="1699" w:type="pct"/>
                  <w:vAlign w:val="center"/>
                </w:tcPr>
                <w:p>
                  <w:pPr>
                    <w:pStyle w:val="39"/>
                    <w:jc w:val="center"/>
                    <w:rPr>
                      <w:b/>
                      <w:bCs/>
                    </w:rPr>
                  </w:pPr>
                  <w:r>
                    <w:rPr>
                      <w:b/>
                      <w:bCs/>
                    </w:rPr>
                    <w:t>产品</w:t>
                  </w:r>
                </w:p>
              </w:tc>
              <w:tc>
                <w:tcPr>
                  <w:tcW w:w="1249" w:type="pct"/>
                  <w:vAlign w:val="center"/>
                </w:tcPr>
                <w:p>
                  <w:pPr>
                    <w:pStyle w:val="39"/>
                    <w:jc w:val="center"/>
                    <w:rPr>
                      <w:b/>
                      <w:bCs/>
                    </w:rPr>
                  </w:pPr>
                  <w:r>
                    <w:rPr>
                      <w:b/>
                      <w:bCs/>
                    </w:rPr>
                    <w:t>建设规模</w:t>
                  </w:r>
                </w:p>
              </w:tc>
              <w:tc>
                <w:tcPr>
                  <w:tcW w:w="1250" w:type="pct"/>
                  <w:vAlign w:val="center"/>
                </w:tcPr>
                <w:p>
                  <w:pPr>
                    <w:pStyle w:val="39"/>
                    <w:jc w:val="center"/>
                    <w:rPr>
                      <w:b/>
                      <w:bCs/>
                    </w:rPr>
                  </w:pPr>
                  <w:r>
                    <w:rPr>
                      <w:b/>
                      <w:bCs/>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00" w:type="pct"/>
                  <w:vAlign w:val="center"/>
                </w:tcPr>
                <w:p>
                  <w:pPr>
                    <w:pStyle w:val="39"/>
                    <w:jc w:val="center"/>
                  </w:pPr>
                  <w:r>
                    <w:t>1</w:t>
                  </w:r>
                </w:p>
              </w:tc>
              <w:tc>
                <w:tcPr>
                  <w:tcW w:w="1699" w:type="pct"/>
                  <w:vAlign w:val="center"/>
                </w:tcPr>
                <w:p>
                  <w:pPr>
                    <w:pStyle w:val="39"/>
                    <w:jc w:val="center"/>
                  </w:pPr>
                  <w:r>
                    <w:rPr>
                      <w:rFonts w:hint="eastAsia"/>
                    </w:rPr>
                    <w:t>C15-C80</w:t>
                  </w:r>
                </w:p>
              </w:tc>
              <w:tc>
                <w:tcPr>
                  <w:tcW w:w="1249" w:type="pct"/>
                  <w:vAlign w:val="center"/>
                </w:tcPr>
                <w:p>
                  <w:pPr>
                    <w:pStyle w:val="39"/>
                    <w:jc w:val="center"/>
                    <w:rPr>
                      <w:rFonts w:hint="eastAsia" w:eastAsia="宋体"/>
                      <w:lang w:eastAsia="zh-CN"/>
                    </w:rPr>
                  </w:pPr>
                  <w:r>
                    <w:rPr>
                      <w:rFonts w:hint="eastAsia"/>
                    </w:rPr>
                    <w:t>2</w:t>
                  </w:r>
                  <w:r>
                    <w:t>万</w:t>
                  </w:r>
                  <w:r>
                    <w:rPr>
                      <w:rFonts w:hint="eastAsia"/>
                    </w:rPr>
                    <w:t>立方</w:t>
                  </w:r>
                  <w:r>
                    <w:rPr>
                      <w:rFonts w:hint="eastAsia"/>
                      <w:lang w:eastAsia="zh-CN"/>
                    </w:rPr>
                    <w:t>米</w:t>
                  </w:r>
                </w:p>
              </w:tc>
              <w:tc>
                <w:tcPr>
                  <w:tcW w:w="1250" w:type="pct"/>
                  <w:vAlign w:val="center"/>
                </w:tcPr>
                <w:p>
                  <w:pPr>
                    <w:pStyle w:val="39"/>
                    <w:jc w:val="center"/>
                  </w:pPr>
                  <w:r>
                    <w:t>全部外售</w:t>
                  </w:r>
                </w:p>
              </w:tc>
            </w:tr>
          </w:tbl>
          <w:p>
            <w:pPr>
              <w:ind w:firstLine="482"/>
              <w:rPr>
                <w:b/>
                <w:bCs/>
              </w:rPr>
            </w:pPr>
            <w:r>
              <w:rPr>
                <w:rFonts w:hint="eastAsia"/>
                <w:b/>
                <w:bCs/>
              </w:rPr>
              <w:t>1.3</w:t>
            </w:r>
            <w:r>
              <w:rPr>
                <w:b/>
                <w:bCs/>
              </w:rPr>
              <w:t>项目</w:t>
            </w:r>
            <w:r>
              <w:rPr>
                <w:rFonts w:hint="eastAsia"/>
                <w:b/>
                <w:bCs/>
              </w:rPr>
              <w:t>建设内容</w:t>
            </w:r>
          </w:p>
          <w:p>
            <w:pPr>
              <w:ind w:firstLine="480"/>
            </w:pPr>
            <w:r>
              <w:rPr>
                <w:rFonts w:hint="eastAsia"/>
              </w:rPr>
              <w:t>本项目占地面积约6362m</w:t>
            </w:r>
            <w:r>
              <w:rPr>
                <w:rFonts w:hint="eastAsia"/>
                <w:vertAlign w:val="superscript"/>
              </w:rPr>
              <w:t>2</w:t>
            </w:r>
            <w:r>
              <w:rPr>
                <w:rFonts w:hint="eastAsia"/>
              </w:rPr>
              <w:t>，总建筑面积约1156m</w:t>
            </w:r>
            <w:r>
              <w:rPr>
                <w:rFonts w:hint="eastAsia"/>
                <w:vertAlign w:val="superscript"/>
              </w:rPr>
              <w:t>2</w:t>
            </w:r>
            <w:r>
              <w:rPr>
                <w:rFonts w:hint="eastAsia"/>
              </w:rPr>
              <w:t>，</w:t>
            </w:r>
            <w:r>
              <w:t>主体工程包括搅拌主机楼；储运工程包括运输系统、储料系统</w:t>
            </w:r>
            <w:r>
              <w:rPr>
                <w:rFonts w:hint="eastAsia"/>
              </w:rPr>
              <w:t>和</w:t>
            </w:r>
            <w:r>
              <w:t>原料堆场；辅助工程包括办公室、化验室等；环保工程包括沉淀池、脉冲袋式除尘器等。</w:t>
            </w:r>
          </w:p>
          <w:p>
            <w:pPr>
              <w:ind w:firstLine="480"/>
            </w:pPr>
            <w:r>
              <w:rPr>
                <w:rFonts w:hint="eastAsia"/>
              </w:rPr>
              <w:t>项目组成见下表2-2。</w:t>
            </w:r>
          </w:p>
          <w:p>
            <w:pPr>
              <w:pStyle w:val="25"/>
            </w:pPr>
            <w:r>
              <w:t>表2-</w:t>
            </w:r>
            <w:r>
              <w:rPr>
                <w:rFonts w:hint="eastAsia"/>
              </w:rPr>
              <w:t>2  项目组成一览表</w:t>
            </w:r>
          </w:p>
          <w:tbl>
            <w:tblPr>
              <w:tblStyle w:val="17"/>
              <w:tblW w:w="497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426"/>
              <w:gridCol w:w="1152"/>
              <w:gridCol w:w="4623"/>
              <w:gridCol w:w="69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0" w:hRule="exact"/>
                <w:jc w:val="center"/>
              </w:trPr>
              <w:tc>
                <w:tcPr>
                  <w:tcW w:w="422" w:type="pct"/>
                  <w:vAlign w:val="center"/>
                </w:tcPr>
                <w:p>
                  <w:pPr>
                    <w:pStyle w:val="39"/>
                    <w:jc w:val="center"/>
                    <w:rPr>
                      <w:b/>
                      <w:bCs/>
                    </w:rPr>
                  </w:pPr>
                  <w:bookmarkStart w:id="5" w:name="_Hlk161504630"/>
                  <w:r>
                    <w:rPr>
                      <w:b/>
                      <w:bCs/>
                    </w:rPr>
                    <w:t>工程</w:t>
                  </w:r>
                </w:p>
                <w:p>
                  <w:pPr>
                    <w:pStyle w:val="39"/>
                    <w:jc w:val="center"/>
                    <w:rPr>
                      <w:b/>
                      <w:bCs/>
                    </w:rPr>
                  </w:pPr>
                  <w:r>
                    <w:rPr>
                      <w:b/>
                      <w:bCs/>
                    </w:rPr>
                    <w:t>名称</w:t>
                  </w:r>
                </w:p>
              </w:tc>
              <w:tc>
                <w:tcPr>
                  <w:tcW w:w="1033" w:type="pct"/>
                  <w:gridSpan w:val="2"/>
                  <w:vAlign w:val="center"/>
                </w:tcPr>
                <w:p>
                  <w:pPr>
                    <w:pStyle w:val="39"/>
                    <w:jc w:val="center"/>
                    <w:rPr>
                      <w:b/>
                      <w:bCs/>
                    </w:rPr>
                  </w:pPr>
                  <w:r>
                    <w:rPr>
                      <w:b/>
                      <w:bCs/>
                    </w:rPr>
                    <w:t>项目组</w:t>
                  </w:r>
                </w:p>
              </w:tc>
              <w:tc>
                <w:tcPr>
                  <w:tcW w:w="3078" w:type="pct"/>
                  <w:vAlign w:val="center"/>
                </w:tcPr>
                <w:p>
                  <w:pPr>
                    <w:pStyle w:val="39"/>
                    <w:jc w:val="center"/>
                    <w:rPr>
                      <w:b/>
                      <w:bCs/>
                    </w:rPr>
                  </w:pPr>
                  <w:r>
                    <w:rPr>
                      <w:b/>
                      <w:bCs/>
                    </w:rPr>
                    <w:t>建设内容</w:t>
                  </w:r>
                </w:p>
              </w:tc>
              <w:tc>
                <w:tcPr>
                  <w:tcW w:w="465" w:type="pct"/>
                  <w:vAlign w:val="center"/>
                </w:tcPr>
                <w:p>
                  <w:pPr>
                    <w:pStyle w:val="39"/>
                    <w:jc w:val="center"/>
                    <w:rPr>
                      <w:b/>
                      <w:bCs/>
                    </w:rPr>
                  </w:pPr>
                  <w:r>
                    <w:rPr>
                      <w:b/>
                      <w:bCs/>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422" w:type="pct"/>
                  <w:vAlign w:val="center"/>
                </w:tcPr>
                <w:p>
                  <w:pPr>
                    <w:pStyle w:val="39"/>
                    <w:jc w:val="center"/>
                  </w:pPr>
                  <w:r>
                    <w:t>主体</w:t>
                  </w:r>
                </w:p>
                <w:p>
                  <w:pPr>
                    <w:pStyle w:val="39"/>
                    <w:jc w:val="center"/>
                  </w:pPr>
                  <w:r>
                    <w:t>工程</w:t>
                  </w:r>
                </w:p>
              </w:tc>
              <w:tc>
                <w:tcPr>
                  <w:tcW w:w="1033" w:type="pct"/>
                  <w:gridSpan w:val="2"/>
                  <w:vAlign w:val="center"/>
                </w:tcPr>
                <w:p>
                  <w:pPr>
                    <w:pStyle w:val="39"/>
                    <w:jc w:val="center"/>
                  </w:pPr>
                  <w:r>
                    <w:t>搅拌主机楼</w:t>
                  </w:r>
                </w:p>
              </w:tc>
              <w:tc>
                <w:tcPr>
                  <w:tcW w:w="3078" w:type="pct"/>
                  <w:vAlign w:val="center"/>
                </w:tcPr>
                <w:p>
                  <w:pPr>
                    <w:pStyle w:val="39"/>
                    <w:jc w:val="center"/>
                  </w:pPr>
                  <w:r>
                    <w:t>1座，占地面积</w:t>
                  </w:r>
                  <w:r>
                    <w:rPr>
                      <w:rFonts w:hint="eastAsia"/>
                    </w:rPr>
                    <w:t>100</w:t>
                  </w:r>
                  <w:r>
                    <w:t>m</w:t>
                  </w:r>
                  <w:r>
                    <w:rPr>
                      <w:vertAlign w:val="superscript"/>
                    </w:rPr>
                    <w:t>2</w:t>
                  </w:r>
                  <w:r>
                    <w:t>，设</w:t>
                  </w:r>
                  <w:r>
                    <w:rPr>
                      <w:rFonts w:hint="eastAsia"/>
                    </w:rPr>
                    <w:t>1</w:t>
                  </w:r>
                  <w:r>
                    <w:t>条混凝土生产线，搅拌主机楼为全封闭式，内设搅拌机</w:t>
                  </w:r>
                  <w:r>
                    <w:rPr>
                      <w:rFonts w:hint="eastAsia"/>
                    </w:rPr>
                    <w:t>1</w:t>
                  </w:r>
                  <w:r>
                    <w:t>台，</w:t>
                  </w:r>
                  <w:r>
                    <w:rPr>
                      <w:rFonts w:hint="eastAsia"/>
                    </w:rPr>
                    <w:t>除尘器2台，</w:t>
                  </w:r>
                  <w:r>
                    <w:t>装置包括：搅拌主机、配料机、输送机、称量系统、控制系统、混凝土接料斗等组成。</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22" w:type="pct"/>
                  <w:vMerge w:val="restart"/>
                  <w:vAlign w:val="center"/>
                </w:tcPr>
                <w:p>
                  <w:pPr>
                    <w:pStyle w:val="39"/>
                    <w:jc w:val="center"/>
                  </w:pPr>
                  <w:r>
                    <w:t>储运工程</w:t>
                  </w:r>
                </w:p>
              </w:tc>
              <w:tc>
                <w:tcPr>
                  <w:tcW w:w="1033" w:type="pct"/>
                  <w:gridSpan w:val="2"/>
                  <w:vAlign w:val="center"/>
                </w:tcPr>
                <w:p>
                  <w:pPr>
                    <w:pStyle w:val="39"/>
                    <w:jc w:val="center"/>
                  </w:pPr>
                  <w:r>
                    <w:t>运输系统</w:t>
                  </w:r>
                </w:p>
                <w:p>
                  <w:pPr>
                    <w:pStyle w:val="39"/>
                    <w:jc w:val="center"/>
                  </w:pPr>
                  <w:r>
                    <w:t>（车辆</w:t>
                  </w:r>
                  <w:r>
                    <w:rPr>
                      <w:rFonts w:hint="eastAsia"/>
                    </w:rPr>
                    <w:t>）</w:t>
                  </w:r>
                </w:p>
              </w:tc>
              <w:tc>
                <w:tcPr>
                  <w:tcW w:w="3078" w:type="pct"/>
                  <w:vAlign w:val="center"/>
                </w:tcPr>
                <w:p>
                  <w:pPr>
                    <w:pStyle w:val="39"/>
                    <w:jc w:val="center"/>
                  </w:pPr>
                  <w:r>
                    <w:t>厂区围绕搅拌楼和原料堆场设置运输通道，运输道路厂内约</w:t>
                  </w:r>
                  <w:r>
                    <w:rPr>
                      <w:rFonts w:hint="eastAsia"/>
                    </w:rPr>
                    <w:t>2</w:t>
                  </w:r>
                  <w:r>
                    <w:t>00m，均进行</w:t>
                  </w:r>
                  <w:r>
                    <w:rPr>
                      <w:rFonts w:hint="eastAsia"/>
                      <w:lang w:eastAsia="zh-CN"/>
                    </w:rPr>
                    <w:t>了</w:t>
                  </w:r>
                  <w:r>
                    <w:t>硬化，硬化面积约</w:t>
                  </w:r>
                  <w:r>
                    <w:rPr>
                      <w:rFonts w:hint="eastAsia"/>
                    </w:rPr>
                    <w:t>1990</w:t>
                  </w:r>
                  <w:r>
                    <w:t>m</w:t>
                  </w:r>
                  <w:r>
                    <w:rPr>
                      <w:vertAlign w:val="superscript"/>
                    </w:rPr>
                    <w:t>2</w:t>
                  </w:r>
                  <w:r>
                    <w:t>；原料进厂、产品出厂均由汽车运输。</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22" w:type="pct"/>
                  <w:vMerge w:val="continue"/>
                  <w:vAlign w:val="center"/>
                </w:tcPr>
                <w:p>
                  <w:pPr>
                    <w:pStyle w:val="39"/>
                    <w:jc w:val="center"/>
                  </w:pPr>
                </w:p>
              </w:tc>
              <w:tc>
                <w:tcPr>
                  <w:tcW w:w="1033" w:type="pct"/>
                  <w:gridSpan w:val="2"/>
                  <w:vAlign w:val="center"/>
                </w:tcPr>
                <w:p>
                  <w:pPr>
                    <w:pStyle w:val="39"/>
                    <w:jc w:val="center"/>
                  </w:pPr>
                  <w:r>
                    <w:t>皮带运输</w:t>
                  </w:r>
                </w:p>
              </w:tc>
              <w:tc>
                <w:tcPr>
                  <w:tcW w:w="3078" w:type="pct"/>
                  <w:vAlign w:val="center"/>
                </w:tcPr>
                <w:p>
                  <w:pPr>
                    <w:pStyle w:val="39"/>
                    <w:jc w:val="center"/>
                  </w:pPr>
                  <w:r>
                    <w:t>砂、碎石密闭皮带输送系统，由皮带输送至搅拌机</w:t>
                  </w:r>
                  <w:r>
                    <w:rPr>
                      <w:rFonts w:hint="eastAsia"/>
                    </w:rPr>
                    <w:t>，竖皮带长16m，设置在上料仓下面，斜皮带长49m。</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22" w:type="pct"/>
                  <w:vMerge w:val="continue"/>
                  <w:vAlign w:val="center"/>
                </w:tcPr>
                <w:p>
                  <w:pPr>
                    <w:pStyle w:val="39"/>
                    <w:jc w:val="center"/>
                  </w:pPr>
                </w:p>
              </w:tc>
              <w:tc>
                <w:tcPr>
                  <w:tcW w:w="1033" w:type="pct"/>
                  <w:gridSpan w:val="2"/>
                  <w:vMerge w:val="restart"/>
                  <w:vAlign w:val="center"/>
                </w:tcPr>
                <w:p>
                  <w:pPr>
                    <w:pStyle w:val="39"/>
                    <w:jc w:val="center"/>
                  </w:pPr>
                  <w:r>
                    <w:t>储料系统</w:t>
                  </w:r>
                </w:p>
              </w:tc>
              <w:tc>
                <w:tcPr>
                  <w:tcW w:w="3078" w:type="pct"/>
                  <w:vAlign w:val="center"/>
                </w:tcPr>
                <w:p>
                  <w:pPr>
                    <w:pStyle w:val="39"/>
                    <w:jc w:val="center"/>
                  </w:pPr>
                  <w:r>
                    <w:rPr>
                      <w:color w:val="auto"/>
                    </w:rPr>
                    <w:t>水泥筒仓</w:t>
                  </w:r>
                  <w:r>
                    <w:rPr>
                      <w:rFonts w:hint="eastAsia"/>
                      <w:color w:val="auto"/>
                    </w:rPr>
                    <w:t>2</w:t>
                  </w:r>
                  <w:r>
                    <w:rPr>
                      <w:color w:val="auto"/>
                    </w:rPr>
                    <w:t>个，单个200t；粉煤灰筒仓</w:t>
                  </w:r>
                  <w:r>
                    <w:rPr>
                      <w:rFonts w:hint="eastAsia"/>
                      <w:color w:val="auto"/>
                    </w:rPr>
                    <w:t>2</w:t>
                  </w:r>
                  <w:r>
                    <w:rPr>
                      <w:color w:val="auto"/>
                    </w:rPr>
                    <w:t>个，单个200t</w:t>
                  </w:r>
                  <w:r>
                    <w:rPr>
                      <w:rFonts w:hint="eastAsia"/>
                      <w:color w:val="auto"/>
                    </w:rPr>
                    <w:t>。规格均为直径5m，罐高14m，总高度21m。</w:t>
                  </w:r>
                </w:p>
              </w:tc>
              <w:tc>
                <w:tcPr>
                  <w:tcW w:w="465" w:type="pct"/>
                  <w:vAlign w:val="center"/>
                </w:tcPr>
                <w:p>
                  <w:pPr>
                    <w:pStyle w:val="39"/>
                    <w:jc w:val="center"/>
                  </w:pPr>
                  <w:r>
                    <w:rPr>
                      <w:rFonts w:hint="eastAsia"/>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22" w:type="pct"/>
                  <w:vMerge w:val="continue"/>
                  <w:vAlign w:val="center"/>
                </w:tcPr>
                <w:p>
                  <w:pPr>
                    <w:pStyle w:val="39"/>
                    <w:jc w:val="center"/>
                  </w:pPr>
                </w:p>
              </w:tc>
              <w:tc>
                <w:tcPr>
                  <w:tcW w:w="1033" w:type="pct"/>
                  <w:gridSpan w:val="2"/>
                  <w:vMerge w:val="continue"/>
                  <w:vAlign w:val="center"/>
                </w:tcPr>
                <w:p>
                  <w:pPr>
                    <w:pStyle w:val="39"/>
                    <w:jc w:val="center"/>
                  </w:pPr>
                </w:p>
              </w:tc>
              <w:tc>
                <w:tcPr>
                  <w:tcW w:w="3078" w:type="pct"/>
                  <w:vAlign w:val="center"/>
                </w:tcPr>
                <w:p>
                  <w:pPr>
                    <w:pStyle w:val="39"/>
                    <w:jc w:val="center"/>
                  </w:pPr>
                  <w:r>
                    <w:t>外加剂储罐2个，每个10t，</w:t>
                  </w:r>
                  <w:r>
                    <w:rPr>
                      <w:rFonts w:hint="eastAsia"/>
                    </w:rPr>
                    <w:t>直径</w:t>
                  </w:r>
                  <w:r>
                    <w:rPr>
                      <w:rFonts w:hint="eastAsia"/>
                      <w:lang w:eastAsia="zh-CN"/>
                    </w:rPr>
                    <w:t>为</w:t>
                  </w:r>
                  <w:r>
                    <w:rPr>
                      <w:rFonts w:hint="eastAsia"/>
                    </w:rPr>
                    <w:t>2.3m，罐高2.35m，总高度</w:t>
                  </w:r>
                  <w:r>
                    <w:rPr>
                      <w:rFonts w:hint="eastAsia"/>
                      <w:lang w:eastAsia="zh-CN"/>
                    </w:rPr>
                    <w:t>为</w:t>
                  </w:r>
                  <w:r>
                    <w:rPr>
                      <w:rFonts w:hint="eastAsia"/>
                    </w:rPr>
                    <w:t>2.6m；</w:t>
                  </w:r>
                  <w:r>
                    <w:t>防渗采取水泥结晶型防渗材料防渗，渗透系数小于10</w:t>
                  </w:r>
                  <w:r>
                    <w:rPr>
                      <w:vertAlign w:val="superscript"/>
                    </w:rPr>
                    <w:t>-7</w:t>
                  </w:r>
                  <w:r>
                    <w:t>cm/s</w:t>
                  </w:r>
                </w:p>
              </w:tc>
              <w:tc>
                <w:tcPr>
                  <w:tcW w:w="465" w:type="pct"/>
                  <w:vAlign w:val="center"/>
                </w:tcPr>
                <w:p>
                  <w:pPr>
                    <w:pStyle w:val="39"/>
                    <w:jc w:val="center"/>
                  </w:pPr>
                  <w:r>
                    <w:rPr>
                      <w:rFonts w:hint="eastAsia"/>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22" w:type="pct"/>
                  <w:vMerge w:val="continue"/>
                  <w:vAlign w:val="center"/>
                </w:tcPr>
                <w:p>
                  <w:pPr>
                    <w:pStyle w:val="39"/>
                    <w:jc w:val="center"/>
                  </w:pPr>
                </w:p>
              </w:tc>
              <w:tc>
                <w:tcPr>
                  <w:tcW w:w="1033" w:type="pct"/>
                  <w:gridSpan w:val="2"/>
                  <w:vMerge w:val="continue"/>
                  <w:vAlign w:val="center"/>
                </w:tcPr>
                <w:p>
                  <w:pPr>
                    <w:pStyle w:val="39"/>
                    <w:jc w:val="center"/>
                  </w:pPr>
                </w:p>
              </w:tc>
              <w:tc>
                <w:tcPr>
                  <w:tcW w:w="3078" w:type="pct"/>
                  <w:vAlign w:val="center"/>
                </w:tcPr>
                <w:p>
                  <w:pPr>
                    <w:pStyle w:val="39"/>
                    <w:jc w:val="center"/>
                  </w:pPr>
                  <w:r>
                    <w:rPr>
                      <w:rFonts w:hint="eastAsia"/>
                    </w:rPr>
                    <w:t>28t储水罐1个，长6m，宽2.3m，高2.1m。</w:t>
                  </w:r>
                </w:p>
              </w:tc>
              <w:tc>
                <w:tcPr>
                  <w:tcW w:w="465" w:type="pct"/>
                  <w:vAlign w:val="center"/>
                </w:tcPr>
                <w:p>
                  <w:pPr>
                    <w:pStyle w:val="39"/>
                    <w:jc w:val="center"/>
                  </w:pPr>
                  <w:r>
                    <w:rPr>
                      <w:rFonts w:hint="eastAsia"/>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22" w:type="pct"/>
                  <w:vMerge w:val="continue"/>
                  <w:vAlign w:val="center"/>
                </w:tcPr>
                <w:p>
                  <w:pPr>
                    <w:pStyle w:val="39"/>
                    <w:jc w:val="center"/>
                  </w:pPr>
                </w:p>
              </w:tc>
              <w:tc>
                <w:tcPr>
                  <w:tcW w:w="1033" w:type="pct"/>
                  <w:gridSpan w:val="2"/>
                  <w:vAlign w:val="center"/>
                </w:tcPr>
                <w:p>
                  <w:pPr>
                    <w:pStyle w:val="39"/>
                    <w:jc w:val="center"/>
                  </w:pPr>
                  <w:r>
                    <w:rPr>
                      <w:rFonts w:hint="eastAsia"/>
                    </w:rPr>
                    <w:t>砂石料库</w:t>
                  </w:r>
                </w:p>
              </w:tc>
              <w:tc>
                <w:tcPr>
                  <w:tcW w:w="3078" w:type="pct"/>
                  <w:vAlign w:val="center"/>
                </w:tcPr>
                <w:p>
                  <w:pPr>
                    <w:pStyle w:val="39"/>
                    <w:jc w:val="center"/>
                  </w:pPr>
                  <w:r>
                    <w:t>原料砂、</w:t>
                  </w:r>
                  <w:r>
                    <w:rPr>
                      <w:rFonts w:hint="eastAsia"/>
                    </w:rPr>
                    <w:t>碎石库依托现有</w:t>
                  </w:r>
                  <w:r>
                    <w:t>全封闭彩钢结构</w:t>
                  </w:r>
                  <w:r>
                    <w:rPr>
                      <w:rFonts w:hint="eastAsia"/>
                    </w:rPr>
                    <w:t>闲置厂房</w:t>
                  </w:r>
                  <w:r>
                    <w:t>，</w:t>
                  </w:r>
                  <w:r>
                    <w:rPr>
                      <w:rFonts w:hint="eastAsia"/>
                    </w:rPr>
                    <w:t>占地面积共600</w:t>
                  </w:r>
                  <w:r>
                    <w:t>m</w:t>
                  </w:r>
                  <w:r>
                    <w:rPr>
                      <w:vertAlign w:val="superscript"/>
                    </w:rPr>
                    <w:t>2</w:t>
                  </w:r>
                  <w:r>
                    <w:rPr>
                      <w:rFonts w:hint="eastAsia"/>
                    </w:rPr>
                    <w:t>，砂料库占地200</w:t>
                  </w:r>
                  <w:r>
                    <w:t>m</w:t>
                  </w:r>
                  <w:r>
                    <w:rPr>
                      <w:vertAlign w:val="superscript"/>
                    </w:rPr>
                    <w:t>2</w:t>
                  </w:r>
                  <w:r>
                    <w:rPr>
                      <w:rFonts w:hint="eastAsia"/>
                    </w:rPr>
                    <w:t>，粗石</w:t>
                  </w:r>
                  <w:r>
                    <w:rPr>
                      <w:rFonts w:hint="eastAsia"/>
                      <w:lang w:eastAsia="zh-CN"/>
                    </w:rPr>
                    <w:t>库</w:t>
                  </w:r>
                  <w:r>
                    <w:rPr>
                      <w:rFonts w:hint="eastAsia"/>
                    </w:rPr>
                    <w:t>、细石库各占地200</w:t>
                  </w:r>
                  <w:r>
                    <w:t>m</w:t>
                  </w:r>
                  <w:r>
                    <w:rPr>
                      <w:vertAlign w:val="superscript"/>
                    </w:rPr>
                    <w:t>2</w:t>
                  </w:r>
                  <w:r>
                    <w:rPr>
                      <w:rFonts w:hint="eastAsia"/>
                    </w:rPr>
                    <w:t>。</w:t>
                  </w:r>
                </w:p>
              </w:tc>
              <w:tc>
                <w:tcPr>
                  <w:tcW w:w="465" w:type="pct"/>
                  <w:vAlign w:val="center"/>
                </w:tcPr>
                <w:p>
                  <w:pPr>
                    <w:pStyle w:val="39"/>
                    <w:jc w:val="center"/>
                  </w:pPr>
                  <w:r>
                    <w:rPr>
                      <w:rFonts w:hint="eastAsia"/>
                    </w:rPr>
                    <w:t>依托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22" w:type="pct"/>
                  <w:vMerge w:val="continue"/>
                  <w:vAlign w:val="center"/>
                </w:tcPr>
                <w:p>
                  <w:pPr>
                    <w:pStyle w:val="39"/>
                    <w:jc w:val="center"/>
                  </w:pPr>
                </w:p>
              </w:tc>
              <w:tc>
                <w:tcPr>
                  <w:tcW w:w="1033" w:type="pct"/>
                  <w:gridSpan w:val="2"/>
                  <w:vAlign w:val="center"/>
                </w:tcPr>
                <w:p>
                  <w:pPr>
                    <w:pStyle w:val="39"/>
                    <w:jc w:val="center"/>
                  </w:pPr>
                  <w:r>
                    <w:rPr>
                      <w:rFonts w:hint="eastAsia"/>
                    </w:rPr>
                    <w:t>上料仓</w:t>
                  </w:r>
                </w:p>
              </w:tc>
              <w:tc>
                <w:tcPr>
                  <w:tcW w:w="3078" w:type="pct"/>
                  <w:vAlign w:val="center"/>
                </w:tcPr>
                <w:p>
                  <w:pPr>
                    <w:pStyle w:val="39"/>
                    <w:jc w:val="center"/>
                  </w:pPr>
                  <w:r>
                    <w:rPr>
                      <w:rFonts w:hint="eastAsia"/>
                    </w:rPr>
                    <w:t>采用全封闭彩钢结构，</w:t>
                  </w:r>
                  <w:r>
                    <w:rPr>
                      <w:rFonts w:hint="eastAsia"/>
                      <w:lang w:eastAsia="zh-CN"/>
                    </w:rPr>
                    <w:t>设有</w:t>
                  </w:r>
                  <w:r>
                    <w:rPr>
                      <w:rFonts w:hint="eastAsia"/>
                    </w:rPr>
                    <w:t>砂、石上料仓各2座，单座容积</w:t>
                  </w:r>
                  <w:r>
                    <w:rPr>
                      <w:rFonts w:hint="eastAsia"/>
                      <w:lang w:eastAsia="zh-CN"/>
                    </w:rPr>
                    <w:t>为</w:t>
                  </w:r>
                  <w:r>
                    <w:rPr>
                      <w:rFonts w:hint="eastAsia"/>
                    </w:rPr>
                    <w:t>8m</w:t>
                  </w:r>
                  <w:r>
                    <w:rPr>
                      <w:rFonts w:hint="eastAsia"/>
                      <w:vertAlign w:val="superscript"/>
                    </w:rPr>
                    <w:t>3</w:t>
                  </w:r>
                  <w:r>
                    <w:rPr>
                      <w:rFonts w:hint="eastAsia"/>
                    </w:rPr>
                    <w:t>。</w:t>
                  </w:r>
                </w:p>
              </w:tc>
              <w:tc>
                <w:tcPr>
                  <w:tcW w:w="465" w:type="pct"/>
                  <w:vAlign w:val="center"/>
                </w:tcPr>
                <w:p>
                  <w:pPr>
                    <w:pStyle w:val="39"/>
                    <w:jc w:val="center"/>
                  </w:pPr>
                  <w:r>
                    <w:rPr>
                      <w:rFonts w:hint="eastAsia"/>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422" w:type="pct"/>
                  <w:vMerge w:val="restart"/>
                  <w:vAlign w:val="center"/>
                </w:tcPr>
                <w:p>
                  <w:pPr>
                    <w:pStyle w:val="39"/>
                    <w:jc w:val="center"/>
                  </w:pPr>
                  <w:r>
                    <w:rPr>
                      <w:rFonts w:hint="eastAsia"/>
                    </w:rPr>
                    <w:t>辅助工程</w:t>
                  </w:r>
                </w:p>
              </w:tc>
              <w:tc>
                <w:tcPr>
                  <w:tcW w:w="1033" w:type="pct"/>
                  <w:gridSpan w:val="2"/>
                  <w:vAlign w:val="center"/>
                </w:tcPr>
                <w:p>
                  <w:pPr>
                    <w:pStyle w:val="39"/>
                    <w:jc w:val="center"/>
                  </w:pPr>
                  <w:r>
                    <w:rPr>
                      <w:rFonts w:hint="eastAsia"/>
                    </w:rPr>
                    <w:t>办公区</w:t>
                  </w:r>
                </w:p>
              </w:tc>
              <w:tc>
                <w:tcPr>
                  <w:tcW w:w="3078" w:type="pct"/>
                  <w:vAlign w:val="center"/>
                </w:tcPr>
                <w:p>
                  <w:pPr>
                    <w:pStyle w:val="39"/>
                    <w:jc w:val="center"/>
                  </w:pPr>
                  <w:r>
                    <w:rPr>
                      <w:rFonts w:hint="eastAsia"/>
                    </w:rPr>
                    <w:t>彩钢</w:t>
                  </w:r>
                  <w:r>
                    <w:t>结构，占地</w:t>
                  </w:r>
                  <w:r>
                    <w:rPr>
                      <w:rFonts w:hint="eastAsia"/>
                    </w:rPr>
                    <w:t>156</w:t>
                  </w:r>
                  <w:r>
                    <w:t>m</w:t>
                  </w:r>
                  <w:r>
                    <w:rPr>
                      <w:vertAlign w:val="superscript"/>
                    </w:rPr>
                    <w:t>2</w:t>
                  </w:r>
                  <w:r>
                    <w:t>，1栋1层</w:t>
                  </w:r>
                </w:p>
              </w:tc>
              <w:tc>
                <w:tcPr>
                  <w:tcW w:w="465" w:type="pct"/>
                  <w:vAlign w:val="center"/>
                </w:tcPr>
                <w:p>
                  <w:pPr>
                    <w:pStyle w:val="39"/>
                    <w:jc w:val="center"/>
                  </w:pPr>
                  <w:r>
                    <w:rPr>
                      <w:rFonts w:hint="eastAsia"/>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422" w:type="pct"/>
                  <w:vMerge w:val="continue"/>
                  <w:vAlign w:val="center"/>
                </w:tcPr>
                <w:p>
                  <w:pPr>
                    <w:pStyle w:val="39"/>
                    <w:jc w:val="center"/>
                  </w:pPr>
                </w:p>
              </w:tc>
              <w:tc>
                <w:tcPr>
                  <w:tcW w:w="1033" w:type="pct"/>
                  <w:gridSpan w:val="2"/>
                  <w:vAlign w:val="center"/>
                </w:tcPr>
                <w:p>
                  <w:pPr>
                    <w:pStyle w:val="39"/>
                    <w:jc w:val="center"/>
                  </w:pPr>
                  <w:r>
                    <w:rPr>
                      <w:rFonts w:hint="eastAsia"/>
                    </w:rPr>
                    <w:t>化验室</w:t>
                  </w:r>
                </w:p>
              </w:tc>
              <w:tc>
                <w:tcPr>
                  <w:tcW w:w="3078" w:type="pct"/>
                  <w:vAlign w:val="center"/>
                </w:tcPr>
                <w:p>
                  <w:pPr>
                    <w:pStyle w:val="39"/>
                    <w:jc w:val="center"/>
                  </w:pPr>
                  <w:r>
                    <w:rPr>
                      <w:rFonts w:hint="eastAsia"/>
                    </w:rPr>
                    <w:t>彩钢</w:t>
                  </w:r>
                  <w:r>
                    <w:t>结构</w:t>
                  </w:r>
                  <w:r>
                    <w:rPr>
                      <w:rFonts w:hint="eastAsia"/>
                    </w:rPr>
                    <w:t>，占地15m</w:t>
                  </w:r>
                  <w:r>
                    <w:rPr>
                      <w:rFonts w:hint="eastAsia"/>
                      <w:vertAlign w:val="superscript"/>
                    </w:rPr>
                    <w:t>2</w:t>
                  </w:r>
                  <w:r>
                    <w:rPr>
                      <w:rFonts w:hint="eastAsia"/>
                    </w:rPr>
                    <w:t>，1栋一层，位于主机南侧。</w:t>
                  </w:r>
                </w:p>
              </w:tc>
              <w:tc>
                <w:tcPr>
                  <w:tcW w:w="465" w:type="pct"/>
                  <w:vAlign w:val="center"/>
                </w:tcPr>
                <w:p>
                  <w:pPr>
                    <w:pStyle w:val="39"/>
                    <w:jc w:val="center"/>
                  </w:pPr>
                  <w:r>
                    <w:rPr>
                      <w:rFonts w:hint="eastAsia"/>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422" w:type="pct"/>
                  <w:vMerge w:val="restart"/>
                  <w:vAlign w:val="center"/>
                </w:tcPr>
                <w:p>
                  <w:pPr>
                    <w:pStyle w:val="39"/>
                    <w:jc w:val="center"/>
                  </w:pPr>
                  <w:r>
                    <w:t>公用</w:t>
                  </w:r>
                </w:p>
                <w:p>
                  <w:pPr>
                    <w:pStyle w:val="39"/>
                    <w:jc w:val="center"/>
                  </w:pPr>
                  <w:r>
                    <w:t>工程</w:t>
                  </w:r>
                </w:p>
              </w:tc>
              <w:tc>
                <w:tcPr>
                  <w:tcW w:w="1033" w:type="pct"/>
                  <w:gridSpan w:val="2"/>
                  <w:vAlign w:val="center"/>
                </w:tcPr>
                <w:p>
                  <w:pPr>
                    <w:pStyle w:val="39"/>
                    <w:jc w:val="center"/>
                  </w:pPr>
                  <w:r>
                    <w:t>供水</w:t>
                  </w:r>
                </w:p>
              </w:tc>
              <w:tc>
                <w:tcPr>
                  <w:tcW w:w="3078" w:type="pct"/>
                  <w:vAlign w:val="center"/>
                </w:tcPr>
                <w:p>
                  <w:pPr>
                    <w:pStyle w:val="39"/>
                    <w:jc w:val="center"/>
                  </w:pPr>
                  <w:r>
                    <w:rPr>
                      <w:rFonts w:hint="eastAsia"/>
                    </w:rPr>
                    <w:t>生产用水采用内蒙古皓淇环境卫生管理有限公司处理过的中水，由罐车拉运。</w:t>
                  </w:r>
                </w:p>
                <w:p>
                  <w:pPr>
                    <w:pStyle w:val="39"/>
                    <w:jc w:val="center"/>
                  </w:pPr>
                  <w:r>
                    <w:rPr>
                      <w:rFonts w:hint="eastAsia"/>
                    </w:rPr>
                    <w:t>生活用水采用桶装水。</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2" w:type="pct"/>
                  <w:vMerge w:val="continue"/>
                  <w:vAlign w:val="center"/>
                </w:tcPr>
                <w:p>
                  <w:pPr>
                    <w:pStyle w:val="39"/>
                    <w:jc w:val="center"/>
                  </w:pPr>
                </w:p>
              </w:tc>
              <w:tc>
                <w:tcPr>
                  <w:tcW w:w="1033" w:type="pct"/>
                  <w:gridSpan w:val="2"/>
                  <w:vMerge w:val="restart"/>
                  <w:vAlign w:val="center"/>
                </w:tcPr>
                <w:p>
                  <w:pPr>
                    <w:pStyle w:val="39"/>
                    <w:jc w:val="center"/>
                  </w:pPr>
                  <w:r>
                    <w:t>排水</w:t>
                  </w:r>
                </w:p>
              </w:tc>
              <w:tc>
                <w:tcPr>
                  <w:tcW w:w="3078" w:type="pct"/>
                  <w:vAlign w:val="center"/>
                </w:tcPr>
                <w:p>
                  <w:pPr>
                    <w:pStyle w:val="39"/>
                    <w:jc w:val="center"/>
                    <w:rPr>
                      <w:rFonts w:hint="eastAsia" w:eastAsia="宋体"/>
                      <w:lang w:eastAsia="zh-CN"/>
                    </w:rPr>
                  </w:pPr>
                  <w:r>
                    <w:rPr>
                      <w:rFonts w:hint="eastAsia"/>
                    </w:rPr>
                    <w:t>生活污水经化粪池（5m</w:t>
                  </w:r>
                  <w:r>
                    <w:rPr>
                      <w:rFonts w:hint="eastAsia"/>
                      <w:vertAlign w:val="superscript"/>
                    </w:rPr>
                    <w:t>3</w:t>
                  </w:r>
                  <w:r>
                    <w:rPr>
                      <w:rFonts w:hint="eastAsia"/>
                    </w:rPr>
                    <w:t>）处理后，拉运至内蒙古皓淇环境卫生管理有限公司污水处理厂</w:t>
                  </w:r>
                  <w:r>
                    <w:rPr>
                      <w:rFonts w:hint="eastAsia"/>
                      <w:lang w:eastAsia="zh-CN"/>
                    </w:rPr>
                    <w:t>。</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2" w:type="pct"/>
                  <w:vMerge w:val="continue"/>
                  <w:vAlign w:val="center"/>
                </w:tcPr>
                <w:p>
                  <w:pPr>
                    <w:pStyle w:val="39"/>
                    <w:jc w:val="center"/>
                  </w:pPr>
                </w:p>
              </w:tc>
              <w:tc>
                <w:tcPr>
                  <w:tcW w:w="1033" w:type="pct"/>
                  <w:gridSpan w:val="2"/>
                  <w:vMerge w:val="continue"/>
                  <w:vAlign w:val="center"/>
                </w:tcPr>
                <w:p>
                  <w:pPr>
                    <w:pStyle w:val="39"/>
                    <w:jc w:val="center"/>
                  </w:pPr>
                </w:p>
              </w:tc>
              <w:tc>
                <w:tcPr>
                  <w:tcW w:w="3078" w:type="pct"/>
                  <w:vAlign w:val="center"/>
                </w:tcPr>
                <w:p>
                  <w:pPr>
                    <w:pStyle w:val="39"/>
                    <w:jc w:val="center"/>
                  </w:pPr>
                  <w:r>
                    <w:rPr>
                      <w:rFonts w:hint="eastAsia"/>
                    </w:rPr>
                    <w:t>设备清洗废水及地面冲洗废水经沉淀池（10m</w:t>
                  </w:r>
                  <w:r>
                    <w:rPr>
                      <w:rFonts w:hint="eastAsia"/>
                      <w:vertAlign w:val="superscript"/>
                    </w:rPr>
                    <w:t>3</w:t>
                  </w:r>
                  <w:r>
                    <w:rPr>
                      <w:rFonts w:hint="eastAsia"/>
                    </w:rPr>
                    <w:t>）沉淀后循环利用</w:t>
                  </w:r>
                  <w:r>
                    <w:rPr>
                      <w:rFonts w:hint="eastAsia"/>
                      <w:lang w:eastAsia="zh-CN"/>
                    </w:rPr>
                    <w:t>，</w:t>
                  </w:r>
                  <w:r>
                    <w:rPr>
                      <w:rFonts w:hint="eastAsia"/>
                    </w:rPr>
                    <w:t>不外排。</w:t>
                  </w:r>
                </w:p>
              </w:tc>
              <w:tc>
                <w:tcPr>
                  <w:tcW w:w="465" w:type="pct"/>
                  <w:vAlign w:val="center"/>
                </w:tcPr>
                <w:p>
                  <w:pPr>
                    <w:pStyle w:val="39"/>
                    <w:jc w:val="center"/>
                    <w:rPr>
                      <w:rFonts w:hint="eastAsia" w:eastAsia="宋体"/>
                      <w:lang w:eastAsia="zh-CN"/>
                    </w:rPr>
                  </w:pPr>
                  <w:r>
                    <w:rPr>
                      <w:rFonts w:hint="eastAsia"/>
                      <w:lang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0" w:hRule="exact"/>
                <w:jc w:val="center"/>
              </w:trPr>
              <w:tc>
                <w:tcPr>
                  <w:tcW w:w="422" w:type="pct"/>
                  <w:vMerge w:val="continue"/>
                  <w:vAlign w:val="center"/>
                </w:tcPr>
                <w:p>
                  <w:pPr>
                    <w:pStyle w:val="39"/>
                    <w:jc w:val="center"/>
                  </w:pPr>
                </w:p>
              </w:tc>
              <w:tc>
                <w:tcPr>
                  <w:tcW w:w="1033" w:type="pct"/>
                  <w:gridSpan w:val="2"/>
                  <w:vAlign w:val="center"/>
                </w:tcPr>
                <w:p>
                  <w:pPr>
                    <w:pStyle w:val="39"/>
                    <w:ind w:firstLine="420" w:firstLineChars="200"/>
                    <w:jc w:val="both"/>
                  </w:pPr>
                  <w:r>
                    <w:t>供电</w:t>
                  </w:r>
                </w:p>
              </w:tc>
              <w:tc>
                <w:tcPr>
                  <w:tcW w:w="3078" w:type="pct"/>
                  <w:vAlign w:val="center"/>
                </w:tcPr>
                <w:p>
                  <w:pPr>
                    <w:pStyle w:val="39"/>
                    <w:jc w:val="center"/>
                    <w:rPr>
                      <w:rFonts w:hint="eastAsia" w:eastAsia="宋体"/>
                      <w:lang w:eastAsia="zh-CN"/>
                    </w:rPr>
                  </w:pPr>
                  <w:r>
                    <w:t>项目用电由</w:t>
                  </w:r>
                  <w:r>
                    <w:rPr>
                      <w:rFonts w:hint="eastAsia"/>
                    </w:rPr>
                    <w:t>专用变压器</w:t>
                  </w:r>
                  <w:r>
                    <w:t>供给</w:t>
                  </w:r>
                  <w:r>
                    <w:rPr>
                      <w:rFonts w:hint="eastAsia"/>
                      <w:lang w:eastAsia="zh-CN"/>
                    </w:rPr>
                    <w:t>。</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exact"/>
                <w:jc w:val="center"/>
              </w:trPr>
              <w:tc>
                <w:tcPr>
                  <w:tcW w:w="422" w:type="pct"/>
                  <w:vMerge w:val="continue"/>
                  <w:vAlign w:val="center"/>
                </w:tcPr>
                <w:p>
                  <w:pPr>
                    <w:pStyle w:val="39"/>
                    <w:jc w:val="center"/>
                  </w:pPr>
                </w:p>
              </w:tc>
              <w:tc>
                <w:tcPr>
                  <w:tcW w:w="1033" w:type="pct"/>
                  <w:gridSpan w:val="2"/>
                  <w:vAlign w:val="center"/>
                </w:tcPr>
                <w:p>
                  <w:pPr>
                    <w:pStyle w:val="39"/>
                    <w:ind w:firstLine="420" w:firstLineChars="200"/>
                    <w:jc w:val="both"/>
                  </w:pPr>
                  <w:r>
                    <w:t>供暖</w:t>
                  </w:r>
                </w:p>
              </w:tc>
              <w:tc>
                <w:tcPr>
                  <w:tcW w:w="3078" w:type="pct"/>
                  <w:vAlign w:val="center"/>
                </w:tcPr>
                <w:p>
                  <w:pPr>
                    <w:pStyle w:val="39"/>
                    <w:jc w:val="center"/>
                  </w:pPr>
                  <w:r>
                    <w:rPr>
                      <w:rFonts w:hint="eastAsia"/>
                    </w:rPr>
                    <w:t>本项目冬季采暖方式为电采暖。</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422" w:type="pct"/>
                  <w:vMerge w:val="restart"/>
                  <w:vAlign w:val="center"/>
                </w:tcPr>
                <w:p>
                  <w:pPr>
                    <w:pStyle w:val="39"/>
                    <w:jc w:val="center"/>
                  </w:pPr>
                  <w:r>
                    <w:t>环保</w:t>
                  </w:r>
                </w:p>
                <w:p>
                  <w:pPr>
                    <w:pStyle w:val="39"/>
                    <w:jc w:val="center"/>
                  </w:pPr>
                  <w:r>
                    <w:t>工程</w:t>
                  </w:r>
                </w:p>
              </w:tc>
              <w:tc>
                <w:tcPr>
                  <w:tcW w:w="262" w:type="pct"/>
                  <w:vMerge w:val="restart"/>
                  <w:vAlign w:val="center"/>
                </w:tcPr>
                <w:p>
                  <w:pPr>
                    <w:pStyle w:val="39"/>
                    <w:jc w:val="center"/>
                  </w:pPr>
                  <w:r>
                    <w:t>废气</w:t>
                  </w:r>
                </w:p>
              </w:tc>
              <w:tc>
                <w:tcPr>
                  <w:tcW w:w="771" w:type="pct"/>
                  <w:vAlign w:val="center"/>
                </w:tcPr>
                <w:p>
                  <w:pPr>
                    <w:pStyle w:val="39"/>
                    <w:jc w:val="center"/>
                  </w:pPr>
                  <w:r>
                    <w:t>筒仓顶除尘器</w:t>
                  </w:r>
                </w:p>
              </w:tc>
              <w:tc>
                <w:tcPr>
                  <w:tcW w:w="3078" w:type="pct"/>
                  <w:vAlign w:val="center"/>
                </w:tcPr>
                <w:p>
                  <w:pPr>
                    <w:pStyle w:val="39"/>
                    <w:jc w:val="center"/>
                  </w:pPr>
                  <w:r>
                    <w:t>每个水泥、粉煤灰筒仓顶部配置1台脉冲袋式除尘器（共</w:t>
                  </w:r>
                  <w:r>
                    <w:rPr>
                      <w:rFonts w:hint="eastAsia"/>
                    </w:rPr>
                    <w:t>4</w:t>
                  </w:r>
                  <w:r>
                    <w:t>台），处理仓内粉尘，除尘效率99.5%</w:t>
                  </w:r>
                  <w:r>
                    <w:rPr>
                      <w:rFonts w:hint="eastAsia"/>
                    </w:rPr>
                    <w:t>。</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22" w:type="pct"/>
                  <w:vMerge w:val="continue"/>
                  <w:vAlign w:val="center"/>
                </w:tcPr>
                <w:p>
                  <w:pPr>
                    <w:pStyle w:val="39"/>
                    <w:jc w:val="center"/>
                  </w:pPr>
                </w:p>
              </w:tc>
              <w:tc>
                <w:tcPr>
                  <w:tcW w:w="262" w:type="pct"/>
                  <w:vMerge w:val="continue"/>
                  <w:vAlign w:val="center"/>
                </w:tcPr>
                <w:p>
                  <w:pPr>
                    <w:pStyle w:val="39"/>
                    <w:jc w:val="center"/>
                  </w:pPr>
                </w:p>
              </w:tc>
              <w:tc>
                <w:tcPr>
                  <w:tcW w:w="771" w:type="pct"/>
                  <w:vAlign w:val="center"/>
                </w:tcPr>
                <w:p>
                  <w:pPr>
                    <w:pStyle w:val="39"/>
                    <w:jc w:val="center"/>
                  </w:pPr>
                  <w:r>
                    <w:rPr>
                      <w:rFonts w:hint="eastAsia"/>
                    </w:rPr>
                    <w:t>搅拌机楼</w:t>
                  </w:r>
                </w:p>
              </w:tc>
              <w:tc>
                <w:tcPr>
                  <w:tcW w:w="3078" w:type="pct"/>
                  <w:vAlign w:val="center"/>
                </w:tcPr>
                <w:p>
                  <w:pPr>
                    <w:pStyle w:val="39"/>
                    <w:jc w:val="center"/>
                  </w:pPr>
                  <w:r>
                    <w:t>全封闭结构，内设</w:t>
                  </w:r>
                  <w:r>
                    <w:rPr>
                      <w:rFonts w:hint="eastAsia"/>
                    </w:rPr>
                    <w:t>1</w:t>
                  </w:r>
                  <w:r>
                    <w:t>台搅拌机，</w:t>
                  </w:r>
                  <w:r>
                    <w:rPr>
                      <w:rFonts w:hint="eastAsia"/>
                    </w:rPr>
                    <w:t>2</w:t>
                  </w:r>
                  <w:r>
                    <w:t>台脉冲袋式除尘器，除尘效率99.5%</w:t>
                  </w:r>
                  <w:r>
                    <w:rPr>
                      <w:rFonts w:hint="eastAsia"/>
                    </w:rPr>
                    <w:t>。</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22" w:type="pct"/>
                  <w:vMerge w:val="continue"/>
                  <w:vAlign w:val="center"/>
                </w:tcPr>
                <w:p>
                  <w:pPr>
                    <w:pStyle w:val="39"/>
                    <w:jc w:val="center"/>
                  </w:pPr>
                </w:p>
              </w:tc>
              <w:tc>
                <w:tcPr>
                  <w:tcW w:w="262" w:type="pct"/>
                  <w:vMerge w:val="continue"/>
                  <w:vAlign w:val="center"/>
                </w:tcPr>
                <w:p>
                  <w:pPr>
                    <w:pStyle w:val="39"/>
                    <w:jc w:val="center"/>
                  </w:pPr>
                </w:p>
              </w:tc>
              <w:tc>
                <w:tcPr>
                  <w:tcW w:w="771" w:type="pct"/>
                  <w:vAlign w:val="center"/>
                </w:tcPr>
                <w:p>
                  <w:pPr>
                    <w:pStyle w:val="39"/>
                    <w:jc w:val="center"/>
                  </w:pPr>
                  <w:r>
                    <w:rPr>
                      <w:rFonts w:hint="eastAsia"/>
                    </w:rPr>
                    <w:t>配料</w:t>
                  </w:r>
                </w:p>
              </w:tc>
              <w:tc>
                <w:tcPr>
                  <w:tcW w:w="3078" w:type="pct"/>
                  <w:vAlign w:val="center"/>
                </w:tcPr>
                <w:p>
                  <w:pPr>
                    <w:pStyle w:val="39"/>
                    <w:jc w:val="center"/>
                  </w:pPr>
                  <w:r>
                    <w:t>砂石材料配料斗、投料斗均为</w:t>
                  </w:r>
                  <w:r>
                    <w:rPr>
                      <w:rFonts w:hint="eastAsia"/>
                    </w:rPr>
                    <w:t>全</w:t>
                  </w:r>
                  <w:r>
                    <w:t>密闭</w:t>
                  </w:r>
                  <w:r>
                    <w:rPr>
                      <w:rFonts w:hint="eastAsia"/>
                    </w:rPr>
                    <w:t>，并设有1台雾炮，用于洒水抑尘，</w:t>
                  </w:r>
                  <w:r>
                    <w:t>在配料仓的料斗上方设置彩钢板遮挡，</w:t>
                  </w:r>
                  <w:r>
                    <w:rPr>
                      <w:rFonts w:hint="eastAsia"/>
                    </w:rPr>
                    <w:t>抑尘效率可达到80%</w:t>
                  </w:r>
                  <w:r>
                    <w:t>，最后经</w:t>
                  </w:r>
                  <w:r>
                    <w:rPr>
                      <w:rFonts w:hint="eastAsia"/>
                    </w:rPr>
                    <w:t>密闭</w:t>
                  </w:r>
                  <w:r>
                    <w:t>皮带输送至搅拌站主机仓内。</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22" w:type="pct"/>
                  <w:vMerge w:val="continue"/>
                  <w:vAlign w:val="center"/>
                </w:tcPr>
                <w:p>
                  <w:pPr>
                    <w:pStyle w:val="39"/>
                    <w:jc w:val="center"/>
                  </w:pPr>
                </w:p>
              </w:tc>
              <w:tc>
                <w:tcPr>
                  <w:tcW w:w="262" w:type="pct"/>
                  <w:vMerge w:val="continue"/>
                  <w:vAlign w:val="center"/>
                </w:tcPr>
                <w:p>
                  <w:pPr>
                    <w:pStyle w:val="39"/>
                    <w:jc w:val="center"/>
                  </w:pPr>
                </w:p>
              </w:tc>
              <w:tc>
                <w:tcPr>
                  <w:tcW w:w="771" w:type="pct"/>
                  <w:vAlign w:val="center"/>
                </w:tcPr>
                <w:p>
                  <w:pPr>
                    <w:pStyle w:val="39"/>
                    <w:jc w:val="center"/>
                  </w:pPr>
                  <w:r>
                    <w:rPr>
                      <w:rFonts w:hint="eastAsia"/>
                    </w:rPr>
                    <w:t>砂石料库</w:t>
                  </w:r>
                </w:p>
              </w:tc>
              <w:tc>
                <w:tcPr>
                  <w:tcW w:w="3078" w:type="pct"/>
                  <w:vAlign w:val="center"/>
                </w:tcPr>
                <w:p>
                  <w:pPr>
                    <w:pStyle w:val="39"/>
                    <w:jc w:val="center"/>
                    <w:rPr>
                      <w:color w:val="auto"/>
                    </w:rPr>
                  </w:pPr>
                  <w:r>
                    <w:rPr>
                      <w:color w:val="auto"/>
                    </w:rPr>
                    <w:t>采取全封闭、地面硬化+</w:t>
                  </w:r>
                  <w:r>
                    <w:rPr>
                      <w:rFonts w:hint="eastAsia"/>
                      <w:color w:val="auto"/>
                    </w:rPr>
                    <w:t>洒水车（1辆）</w:t>
                  </w:r>
                  <w:r>
                    <w:rPr>
                      <w:color w:val="auto"/>
                    </w:rPr>
                    <w:t>定期洒水，以减少堆存粉尘</w:t>
                  </w:r>
                  <w:r>
                    <w:rPr>
                      <w:rFonts w:hint="eastAsia"/>
                      <w:color w:val="auto"/>
                    </w:rPr>
                    <w:t>。</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22" w:type="pct"/>
                  <w:vMerge w:val="continue"/>
                  <w:vAlign w:val="center"/>
                </w:tcPr>
                <w:p>
                  <w:pPr>
                    <w:pStyle w:val="39"/>
                    <w:jc w:val="center"/>
                  </w:pPr>
                </w:p>
              </w:tc>
              <w:tc>
                <w:tcPr>
                  <w:tcW w:w="262" w:type="pct"/>
                  <w:vMerge w:val="continue"/>
                  <w:vAlign w:val="center"/>
                </w:tcPr>
                <w:p>
                  <w:pPr>
                    <w:pStyle w:val="39"/>
                    <w:jc w:val="center"/>
                  </w:pPr>
                </w:p>
              </w:tc>
              <w:tc>
                <w:tcPr>
                  <w:tcW w:w="771" w:type="pct"/>
                  <w:vAlign w:val="center"/>
                </w:tcPr>
                <w:p>
                  <w:pPr>
                    <w:pStyle w:val="39"/>
                    <w:jc w:val="center"/>
                  </w:pPr>
                  <w:r>
                    <w:rPr>
                      <w:rFonts w:hint="eastAsia"/>
                    </w:rPr>
                    <w:t>运输车辆</w:t>
                  </w:r>
                </w:p>
              </w:tc>
              <w:tc>
                <w:tcPr>
                  <w:tcW w:w="3078" w:type="pct"/>
                  <w:vAlign w:val="center"/>
                </w:tcPr>
                <w:p>
                  <w:pPr>
                    <w:pStyle w:val="39"/>
                    <w:jc w:val="center"/>
                    <w:rPr>
                      <w:color w:val="auto"/>
                    </w:rPr>
                  </w:pPr>
                  <w:r>
                    <w:rPr>
                      <w:color w:val="auto"/>
                    </w:rPr>
                    <w:t>运输道路使用道路洒水车辆</w:t>
                  </w:r>
                  <w:r>
                    <w:rPr>
                      <w:rFonts w:hint="eastAsia"/>
                      <w:color w:val="auto"/>
                    </w:rPr>
                    <w:t>（1辆）</w:t>
                  </w:r>
                  <w:r>
                    <w:rPr>
                      <w:rFonts w:hint="eastAsia"/>
                      <w:color w:val="auto"/>
                      <w:lang w:eastAsia="zh-CN"/>
                    </w:rPr>
                    <w:t>进行</w:t>
                  </w:r>
                  <w:r>
                    <w:rPr>
                      <w:color w:val="auto"/>
                    </w:rPr>
                    <w:t>不定时洒水</w:t>
                  </w:r>
                  <w:r>
                    <w:rPr>
                      <w:rFonts w:hint="eastAsia"/>
                      <w:color w:val="auto"/>
                    </w:rPr>
                    <w:t>，</w:t>
                  </w:r>
                  <w:r>
                    <w:rPr>
                      <w:color w:val="auto"/>
                    </w:rPr>
                    <w:t>以减少道路扬尘</w:t>
                  </w:r>
                  <w:r>
                    <w:rPr>
                      <w:rFonts w:hint="eastAsia"/>
                      <w:color w:val="auto"/>
                    </w:rPr>
                    <w:t>。</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422" w:type="pct"/>
                  <w:vMerge w:val="continue"/>
                  <w:vAlign w:val="center"/>
                </w:tcPr>
                <w:p>
                  <w:pPr>
                    <w:pStyle w:val="39"/>
                    <w:jc w:val="center"/>
                  </w:pPr>
                </w:p>
              </w:tc>
              <w:tc>
                <w:tcPr>
                  <w:tcW w:w="1033" w:type="pct"/>
                  <w:gridSpan w:val="2"/>
                  <w:vAlign w:val="center"/>
                </w:tcPr>
                <w:p>
                  <w:pPr>
                    <w:pStyle w:val="39"/>
                    <w:jc w:val="center"/>
                  </w:pPr>
                  <w:r>
                    <w:t>废水</w:t>
                  </w:r>
                </w:p>
              </w:tc>
              <w:tc>
                <w:tcPr>
                  <w:tcW w:w="3078" w:type="pct"/>
                  <w:vAlign w:val="center"/>
                </w:tcPr>
                <w:p>
                  <w:pPr>
                    <w:pStyle w:val="39"/>
                    <w:jc w:val="center"/>
                    <w:rPr>
                      <w:color w:val="auto"/>
                    </w:rPr>
                  </w:pPr>
                  <w:r>
                    <w:rPr>
                      <w:color w:val="auto"/>
                    </w:rPr>
                    <w:t>新建化粪池（5m</w:t>
                  </w:r>
                  <w:r>
                    <w:rPr>
                      <w:color w:val="auto"/>
                      <w:vertAlign w:val="superscript"/>
                    </w:rPr>
                    <w:t>3</w:t>
                  </w:r>
                  <w:r>
                    <w:rPr>
                      <w:color w:val="auto"/>
                    </w:rPr>
                    <w:t>）1座，生活污水经化粪池处理后</w:t>
                  </w:r>
                  <w:r>
                    <w:rPr>
                      <w:rFonts w:hint="eastAsia"/>
                      <w:color w:val="auto"/>
                    </w:rPr>
                    <w:t>，</w:t>
                  </w:r>
                  <w:r>
                    <w:rPr>
                      <w:color w:val="auto"/>
                    </w:rPr>
                    <w:t>拉运至</w:t>
                  </w:r>
                  <w:r>
                    <w:rPr>
                      <w:rFonts w:hint="eastAsia"/>
                      <w:color w:val="auto"/>
                    </w:rPr>
                    <w:t>内蒙古皓淇环境卫生管理有限公司</w:t>
                  </w:r>
                  <w:r>
                    <w:rPr>
                      <w:color w:val="auto"/>
                    </w:rPr>
                    <w:t>污水处理厂</w:t>
                  </w:r>
                  <w:r>
                    <w:rPr>
                      <w:rFonts w:hint="eastAsia"/>
                      <w:color w:val="auto"/>
                      <w:lang w:eastAsia="zh-CN"/>
                    </w:rPr>
                    <w:t>进行处理</w:t>
                  </w:r>
                  <w:r>
                    <w:rPr>
                      <w:color w:val="auto"/>
                    </w:rPr>
                    <w:t>；</w:t>
                  </w:r>
                </w:p>
                <w:p>
                  <w:pPr>
                    <w:pStyle w:val="39"/>
                    <w:rPr>
                      <w:color w:val="auto"/>
                    </w:rPr>
                  </w:pPr>
                  <w:r>
                    <w:rPr>
                      <w:color w:val="auto"/>
                    </w:rPr>
                    <w:t>新建沉淀池（10m</w:t>
                  </w:r>
                  <w:r>
                    <w:rPr>
                      <w:rFonts w:hint="eastAsia"/>
                      <w:color w:val="auto"/>
                      <w:vertAlign w:val="superscript"/>
                    </w:rPr>
                    <w:t>3</w:t>
                  </w:r>
                  <w:r>
                    <w:rPr>
                      <w:color w:val="auto"/>
                    </w:rPr>
                    <w:t>）1座，清洗及冲洗废水经沉淀池沉淀后循环利用</w:t>
                  </w:r>
                  <w:r>
                    <w:rPr>
                      <w:rFonts w:hint="eastAsia"/>
                      <w:color w:val="auto"/>
                      <w:lang w:eastAsia="zh-CN"/>
                    </w:rPr>
                    <w:t>，</w:t>
                  </w:r>
                  <w:r>
                    <w:rPr>
                      <w:color w:val="auto"/>
                    </w:rPr>
                    <w:t>不外排</w:t>
                  </w:r>
                  <w:r>
                    <w:rPr>
                      <w:rFonts w:hint="eastAsia"/>
                      <w:color w:val="auto"/>
                    </w:rPr>
                    <w:t>；</w:t>
                  </w:r>
                </w:p>
                <w:p>
                  <w:pPr>
                    <w:pStyle w:val="39"/>
                    <w:rPr>
                      <w:color w:val="auto"/>
                    </w:rPr>
                  </w:pPr>
                  <w:r>
                    <w:rPr>
                      <w:rFonts w:hint="eastAsia"/>
                      <w:color w:val="auto"/>
                    </w:rPr>
                    <w:t>化粪池、沉淀池</w:t>
                  </w:r>
                  <w:r>
                    <w:rPr>
                      <w:color w:val="auto"/>
                    </w:rPr>
                    <w:t>防渗采取水泥结晶型防渗材料防渗，渗透系数小于10</w:t>
                  </w:r>
                  <w:r>
                    <w:rPr>
                      <w:color w:val="auto"/>
                      <w:vertAlign w:val="superscript"/>
                    </w:rPr>
                    <w:t>-7</w:t>
                  </w:r>
                  <w:r>
                    <w:rPr>
                      <w:color w:val="auto"/>
                    </w:rPr>
                    <w:t>cm/s</w:t>
                  </w:r>
                  <w:r>
                    <w:rPr>
                      <w:rFonts w:hint="eastAsia"/>
                      <w:color w:val="auto"/>
                    </w:rPr>
                    <w:t>；</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422" w:type="pct"/>
                  <w:vMerge w:val="continue"/>
                  <w:vAlign w:val="center"/>
                </w:tcPr>
                <w:p>
                  <w:pPr>
                    <w:pStyle w:val="39"/>
                    <w:jc w:val="center"/>
                  </w:pPr>
                </w:p>
              </w:tc>
              <w:tc>
                <w:tcPr>
                  <w:tcW w:w="1033" w:type="pct"/>
                  <w:gridSpan w:val="2"/>
                  <w:vAlign w:val="center"/>
                </w:tcPr>
                <w:p>
                  <w:pPr>
                    <w:pStyle w:val="39"/>
                    <w:jc w:val="center"/>
                  </w:pPr>
                  <w:r>
                    <w:t>噪声</w:t>
                  </w:r>
                </w:p>
              </w:tc>
              <w:tc>
                <w:tcPr>
                  <w:tcW w:w="3078" w:type="pct"/>
                  <w:vAlign w:val="center"/>
                </w:tcPr>
                <w:p>
                  <w:pPr>
                    <w:pStyle w:val="39"/>
                    <w:jc w:val="center"/>
                  </w:pPr>
                  <w:r>
                    <w:t>采用低噪声设备，采取有效的隔声、减震等防噪措施</w:t>
                  </w:r>
                  <w:r>
                    <w:rPr>
                      <w:rFonts w:hint="eastAsia"/>
                    </w:rPr>
                    <w:t>。</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422" w:type="pct"/>
                  <w:vMerge w:val="continue"/>
                  <w:vAlign w:val="center"/>
                </w:tcPr>
                <w:p>
                  <w:pPr>
                    <w:pStyle w:val="39"/>
                    <w:jc w:val="center"/>
                  </w:pPr>
                </w:p>
              </w:tc>
              <w:tc>
                <w:tcPr>
                  <w:tcW w:w="262" w:type="pct"/>
                  <w:vMerge w:val="restart"/>
                  <w:vAlign w:val="center"/>
                </w:tcPr>
                <w:p>
                  <w:pPr>
                    <w:pStyle w:val="39"/>
                    <w:jc w:val="center"/>
                  </w:pPr>
                  <w:r>
                    <w:t>固废</w:t>
                  </w:r>
                </w:p>
              </w:tc>
              <w:tc>
                <w:tcPr>
                  <w:tcW w:w="771" w:type="pct"/>
                  <w:vAlign w:val="center"/>
                </w:tcPr>
                <w:p>
                  <w:pPr>
                    <w:pStyle w:val="39"/>
                    <w:jc w:val="center"/>
                  </w:pPr>
                  <w:r>
                    <w:rPr>
                      <w:rFonts w:hint="eastAsia"/>
                    </w:rPr>
                    <w:t>生活垃圾</w:t>
                  </w:r>
                </w:p>
              </w:tc>
              <w:tc>
                <w:tcPr>
                  <w:tcW w:w="3078" w:type="pct"/>
                  <w:vAlign w:val="center"/>
                </w:tcPr>
                <w:p>
                  <w:pPr>
                    <w:pStyle w:val="39"/>
                    <w:jc w:val="center"/>
                  </w:pPr>
                  <w:r>
                    <w:t>厂区建有生活垃圾收集设施</w:t>
                  </w:r>
                  <w:r>
                    <w:rPr>
                      <w:rFonts w:hint="eastAsia"/>
                    </w:rPr>
                    <w:t>。</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22" w:type="pct"/>
                  <w:vMerge w:val="continue"/>
                  <w:vAlign w:val="center"/>
                </w:tcPr>
                <w:p>
                  <w:pPr>
                    <w:pStyle w:val="39"/>
                    <w:jc w:val="center"/>
                  </w:pPr>
                </w:p>
              </w:tc>
              <w:tc>
                <w:tcPr>
                  <w:tcW w:w="262" w:type="pct"/>
                  <w:vMerge w:val="continue"/>
                  <w:vAlign w:val="center"/>
                </w:tcPr>
                <w:p>
                  <w:pPr>
                    <w:pStyle w:val="39"/>
                    <w:jc w:val="center"/>
                  </w:pPr>
                </w:p>
              </w:tc>
              <w:tc>
                <w:tcPr>
                  <w:tcW w:w="771" w:type="pct"/>
                  <w:vMerge w:val="restart"/>
                  <w:vAlign w:val="center"/>
                </w:tcPr>
                <w:p>
                  <w:pPr>
                    <w:pStyle w:val="39"/>
                    <w:jc w:val="center"/>
                  </w:pPr>
                  <w:r>
                    <w:t>生产固废</w:t>
                  </w:r>
                </w:p>
              </w:tc>
              <w:tc>
                <w:tcPr>
                  <w:tcW w:w="3078" w:type="pct"/>
                  <w:vAlign w:val="center"/>
                </w:tcPr>
                <w:p>
                  <w:pPr>
                    <w:pStyle w:val="39"/>
                    <w:jc w:val="center"/>
                  </w:pPr>
                  <w:r>
                    <w:t>除尘器收集的粉尘</w:t>
                  </w:r>
                  <w:r>
                    <w:rPr>
                      <w:rFonts w:hint="eastAsia"/>
                      <w:lang w:eastAsia="zh-CN"/>
                    </w:rPr>
                    <w:t>收集</w:t>
                  </w:r>
                  <w:r>
                    <w:t>后</w:t>
                  </w:r>
                  <w:r>
                    <w:rPr>
                      <w:rFonts w:hint="eastAsia"/>
                      <w:lang w:eastAsia="zh-CN"/>
                    </w:rPr>
                    <w:t>回</w:t>
                  </w:r>
                  <w:r>
                    <w:t>用于生产</w:t>
                  </w:r>
                  <w:r>
                    <w:rPr>
                      <w:rFonts w:hint="eastAsia"/>
                    </w:rPr>
                    <w:t>。</w:t>
                  </w:r>
                </w:p>
              </w:tc>
              <w:tc>
                <w:tcPr>
                  <w:tcW w:w="465" w:type="pct"/>
                  <w:vAlign w:val="center"/>
                </w:tcPr>
                <w:p>
                  <w:pPr>
                    <w:pStyle w:val="39"/>
                    <w:jc w:val="center"/>
                  </w:pPr>
                  <w: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22" w:type="pct"/>
                  <w:vMerge w:val="continue"/>
                  <w:vAlign w:val="center"/>
                </w:tcPr>
                <w:p>
                  <w:pPr>
                    <w:pStyle w:val="39"/>
                    <w:jc w:val="center"/>
                  </w:pPr>
                </w:p>
              </w:tc>
              <w:tc>
                <w:tcPr>
                  <w:tcW w:w="262" w:type="pct"/>
                  <w:vMerge w:val="continue"/>
                  <w:vAlign w:val="center"/>
                </w:tcPr>
                <w:p>
                  <w:pPr>
                    <w:pStyle w:val="39"/>
                    <w:jc w:val="center"/>
                  </w:pPr>
                </w:p>
              </w:tc>
              <w:tc>
                <w:tcPr>
                  <w:tcW w:w="771" w:type="pct"/>
                  <w:vMerge w:val="continue"/>
                  <w:vAlign w:val="center"/>
                </w:tcPr>
                <w:p>
                  <w:pPr>
                    <w:pStyle w:val="39"/>
                    <w:jc w:val="center"/>
                  </w:pPr>
                </w:p>
              </w:tc>
              <w:tc>
                <w:tcPr>
                  <w:tcW w:w="3078" w:type="pct"/>
                  <w:vAlign w:val="center"/>
                </w:tcPr>
                <w:p>
                  <w:pPr>
                    <w:pStyle w:val="39"/>
                    <w:jc w:val="center"/>
                  </w:pPr>
                  <w:r>
                    <w:t>沉淀池沉渣用于道路建设的路面铺垫料或地面平整的填料。</w:t>
                  </w:r>
                </w:p>
              </w:tc>
              <w:tc>
                <w:tcPr>
                  <w:tcW w:w="465" w:type="pct"/>
                  <w:vAlign w:val="center"/>
                </w:tcPr>
                <w:p>
                  <w:pPr>
                    <w:pStyle w:val="39"/>
                    <w:jc w:val="center"/>
                  </w:pPr>
                  <w:r>
                    <w:t>新建</w:t>
                  </w:r>
                </w:p>
              </w:tc>
            </w:tr>
            <w:bookmarkEnd w:id="5"/>
          </w:tbl>
          <w:p>
            <w:pPr>
              <w:ind w:firstLine="482"/>
              <w:rPr>
                <w:b/>
                <w:bCs/>
              </w:rPr>
            </w:pPr>
            <w:r>
              <w:rPr>
                <w:rFonts w:hint="eastAsia"/>
                <w:b/>
                <w:bCs/>
              </w:rPr>
              <w:t>2.主要生产设备</w:t>
            </w:r>
          </w:p>
          <w:p>
            <w:pPr>
              <w:ind w:firstLine="480"/>
              <w:rPr>
                <w:b/>
                <w:bCs/>
              </w:rPr>
            </w:pPr>
            <w:r>
              <w:t>本项目主要生产设备见表2-</w:t>
            </w:r>
            <w:r>
              <w:rPr>
                <w:rFonts w:hint="eastAsia"/>
              </w:rPr>
              <w:t>3</w:t>
            </w:r>
            <w:r>
              <w:t>。</w:t>
            </w:r>
          </w:p>
          <w:p>
            <w:pPr>
              <w:pStyle w:val="25"/>
            </w:pPr>
            <w:r>
              <w:rPr>
                <w:rFonts w:hint="eastAsia"/>
              </w:rPr>
              <w:t>表</w:t>
            </w:r>
            <w:r>
              <w:t>2-</w:t>
            </w:r>
            <w:r>
              <w:rPr>
                <w:rFonts w:hint="eastAsia"/>
              </w:rPr>
              <w:t>3</w:t>
            </w:r>
            <w:r>
              <w:t xml:space="preserve">  </w:t>
            </w:r>
            <w:r>
              <w:rPr>
                <w:rFonts w:hint="eastAsia"/>
              </w:rPr>
              <w:t>主要设备一览表</w:t>
            </w:r>
          </w:p>
          <w:tbl>
            <w:tblPr>
              <w:tblStyle w:val="17"/>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566"/>
              <w:gridCol w:w="1973"/>
              <w:gridCol w:w="1814"/>
              <w:gridCol w:w="1048"/>
              <w:gridCol w:w="1071"/>
              <w:gridCol w:w="1080"/>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375" w:type="pct"/>
                  <w:vAlign w:val="center"/>
                </w:tcPr>
                <w:p>
                  <w:pPr>
                    <w:pStyle w:val="39"/>
                    <w:jc w:val="center"/>
                    <w:rPr>
                      <w:b/>
                      <w:bCs/>
                    </w:rPr>
                  </w:pPr>
                  <w:r>
                    <w:rPr>
                      <w:b/>
                      <w:bCs/>
                    </w:rPr>
                    <w:t>序号</w:t>
                  </w:r>
                </w:p>
              </w:tc>
              <w:tc>
                <w:tcPr>
                  <w:tcW w:w="1306" w:type="pct"/>
                  <w:vAlign w:val="center"/>
                </w:tcPr>
                <w:p>
                  <w:pPr>
                    <w:pStyle w:val="39"/>
                    <w:jc w:val="center"/>
                    <w:rPr>
                      <w:b/>
                      <w:bCs/>
                    </w:rPr>
                  </w:pPr>
                  <w:r>
                    <w:rPr>
                      <w:b/>
                      <w:bCs/>
                    </w:rPr>
                    <w:t>设备名称</w:t>
                  </w:r>
                </w:p>
              </w:tc>
              <w:tc>
                <w:tcPr>
                  <w:tcW w:w="1201" w:type="pct"/>
                  <w:vAlign w:val="center"/>
                </w:tcPr>
                <w:p>
                  <w:pPr>
                    <w:pStyle w:val="39"/>
                    <w:jc w:val="center"/>
                    <w:rPr>
                      <w:b/>
                      <w:bCs/>
                    </w:rPr>
                  </w:pPr>
                  <w:r>
                    <w:rPr>
                      <w:b/>
                      <w:bCs/>
                    </w:rPr>
                    <w:t>规格型号</w:t>
                  </w:r>
                </w:p>
              </w:tc>
              <w:tc>
                <w:tcPr>
                  <w:tcW w:w="694" w:type="pct"/>
                  <w:vAlign w:val="center"/>
                </w:tcPr>
                <w:p>
                  <w:pPr>
                    <w:pStyle w:val="39"/>
                    <w:jc w:val="center"/>
                    <w:rPr>
                      <w:b/>
                      <w:bCs/>
                    </w:rPr>
                  </w:pPr>
                  <w:r>
                    <w:rPr>
                      <w:rFonts w:hint="eastAsia"/>
                      <w:b/>
                      <w:bCs/>
                    </w:rPr>
                    <w:t>单位</w:t>
                  </w:r>
                </w:p>
              </w:tc>
              <w:tc>
                <w:tcPr>
                  <w:tcW w:w="709" w:type="pct"/>
                  <w:vAlign w:val="center"/>
                </w:tcPr>
                <w:p>
                  <w:pPr>
                    <w:pStyle w:val="39"/>
                    <w:jc w:val="center"/>
                    <w:rPr>
                      <w:b/>
                      <w:bCs/>
                    </w:rPr>
                  </w:pPr>
                  <w:r>
                    <w:rPr>
                      <w:b/>
                      <w:bCs/>
                    </w:rPr>
                    <w:t>数量</w:t>
                  </w:r>
                </w:p>
              </w:tc>
              <w:tc>
                <w:tcPr>
                  <w:tcW w:w="713" w:type="pct"/>
                  <w:vAlign w:val="center"/>
                </w:tcPr>
                <w:p>
                  <w:pPr>
                    <w:pStyle w:val="39"/>
                    <w:jc w:val="center"/>
                    <w:rPr>
                      <w:b/>
                      <w:bCs/>
                    </w:rPr>
                  </w:pPr>
                  <w:r>
                    <w:rPr>
                      <w:rFonts w:hint="eastAsia"/>
                      <w:b/>
                      <w:bCs/>
                    </w:rPr>
                    <w:t>备注</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5000" w:type="pct"/>
                  <w:gridSpan w:val="6"/>
                  <w:vAlign w:val="center"/>
                </w:tcPr>
                <w:p>
                  <w:pPr>
                    <w:pStyle w:val="39"/>
                    <w:jc w:val="center"/>
                  </w:pPr>
                  <w:r>
                    <w:rPr>
                      <w:rFonts w:hint="eastAsia"/>
                      <w:b/>
                      <w:bCs/>
                    </w:rPr>
                    <w:t>混凝土生产线</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375" w:type="pct"/>
                  <w:vAlign w:val="center"/>
                </w:tcPr>
                <w:p>
                  <w:pPr>
                    <w:pStyle w:val="39"/>
                    <w:jc w:val="center"/>
                  </w:pPr>
                  <w:r>
                    <w:rPr>
                      <w:rFonts w:hint="eastAsia"/>
                    </w:rPr>
                    <w:t>1</w:t>
                  </w:r>
                </w:p>
              </w:tc>
              <w:tc>
                <w:tcPr>
                  <w:tcW w:w="1306" w:type="pct"/>
                  <w:vAlign w:val="center"/>
                </w:tcPr>
                <w:p>
                  <w:pPr>
                    <w:pStyle w:val="39"/>
                    <w:jc w:val="center"/>
                  </w:pPr>
                  <w:r>
                    <w:rPr>
                      <w:rFonts w:hint="eastAsia"/>
                    </w:rPr>
                    <w:t>混凝土搅拌系统</w:t>
                  </w:r>
                </w:p>
              </w:tc>
              <w:tc>
                <w:tcPr>
                  <w:tcW w:w="1201" w:type="pct"/>
                  <w:vAlign w:val="center"/>
                </w:tcPr>
                <w:p>
                  <w:pPr>
                    <w:pStyle w:val="39"/>
                    <w:jc w:val="center"/>
                  </w:pPr>
                  <w:r>
                    <w:t>HZS180</w:t>
                  </w:r>
                </w:p>
              </w:tc>
              <w:tc>
                <w:tcPr>
                  <w:tcW w:w="694" w:type="pct"/>
                  <w:vAlign w:val="center"/>
                </w:tcPr>
                <w:p>
                  <w:pPr>
                    <w:pStyle w:val="39"/>
                    <w:jc w:val="center"/>
                  </w:pPr>
                  <w:r>
                    <w:t>套</w:t>
                  </w:r>
                </w:p>
              </w:tc>
              <w:tc>
                <w:tcPr>
                  <w:tcW w:w="709" w:type="pct"/>
                  <w:vAlign w:val="center"/>
                </w:tcPr>
                <w:p>
                  <w:pPr>
                    <w:pStyle w:val="39"/>
                    <w:jc w:val="center"/>
                  </w:pPr>
                  <w:r>
                    <w:t>1</w:t>
                  </w:r>
                </w:p>
              </w:tc>
              <w:tc>
                <w:tcPr>
                  <w:tcW w:w="713" w:type="pct"/>
                  <w:vAlign w:val="center"/>
                </w:tcPr>
                <w:p>
                  <w:pPr>
                    <w:pStyle w:val="39"/>
                    <w:jc w:val="center"/>
                  </w:pPr>
                  <w: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375" w:type="pct"/>
                  <w:vAlign w:val="center"/>
                </w:tcPr>
                <w:p>
                  <w:pPr>
                    <w:pStyle w:val="39"/>
                    <w:jc w:val="center"/>
                  </w:pPr>
                  <w:r>
                    <w:rPr>
                      <w:rFonts w:hint="eastAsia"/>
                    </w:rPr>
                    <w:t>2</w:t>
                  </w:r>
                </w:p>
              </w:tc>
              <w:tc>
                <w:tcPr>
                  <w:tcW w:w="1306" w:type="pct"/>
                  <w:vAlign w:val="center"/>
                </w:tcPr>
                <w:p>
                  <w:pPr>
                    <w:pStyle w:val="39"/>
                    <w:jc w:val="center"/>
                  </w:pPr>
                  <w:r>
                    <w:rPr>
                      <w:rFonts w:hint="eastAsia"/>
                    </w:rPr>
                    <w:t>输送带</w:t>
                  </w:r>
                </w:p>
              </w:tc>
              <w:tc>
                <w:tcPr>
                  <w:tcW w:w="1201" w:type="pct"/>
                  <w:vAlign w:val="center"/>
                </w:tcPr>
                <w:p>
                  <w:pPr>
                    <w:pStyle w:val="39"/>
                    <w:jc w:val="center"/>
                  </w:pPr>
                  <w:r>
                    <w:rPr>
                      <w:rFonts w:hint="eastAsia"/>
                    </w:rPr>
                    <w:t>49m</w:t>
                  </w:r>
                </w:p>
              </w:tc>
              <w:tc>
                <w:tcPr>
                  <w:tcW w:w="694" w:type="pct"/>
                  <w:vAlign w:val="center"/>
                </w:tcPr>
                <w:p>
                  <w:pPr>
                    <w:pStyle w:val="39"/>
                    <w:jc w:val="center"/>
                  </w:pPr>
                  <w:r>
                    <w:rPr>
                      <w:rFonts w:hint="eastAsia"/>
                    </w:rPr>
                    <w:t>条</w:t>
                  </w:r>
                </w:p>
              </w:tc>
              <w:tc>
                <w:tcPr>
                  <w:tcW w:w="709" w:type="pct"/>
                  <w:vAlign w:val="center"/>
                </w:tcPr>
                <w:p>
                  <w:pPr>
                    <w:pStyle w:val="39"/>
                    <w:jc w:val="center"/>
                  </w:pPr>
                  <w:r>
                    <w:rPr>
                      <w:rFonts w:hint="eastAsia"/>
                    </w:rPr>
                    <w:t>1</w:t>
                  </w:r>
                </w:p>
              </w:tc>
              <w:tc>
                <w:tcPr>
                  <w:tcW w:w="713" w:type="pct"/>
                  <w:vAlign w:val="center"/>
                </w:tcPr>
                <w:p>
                  <w:pPr>
                    <w:pStyle w:val="39"/>
                    <w:jc w:val="center"/>
                  </w:pPr>
                  <w: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pPr>
                  <w:r>
                    <w:rPr>
                      <w:rFonts w:hint="eastAsia"/>
                    </w:rPr>
                    <w:t>3</w:t>
                  </w:r>
                </w:p>
              </w:tc>
              <w:tc>
                <w:tcPr>
                  <w:tcW w:w="1306" w:type="pct"/>
                  <w:vAlign w:val="center"/>
                </w:tcPr>
                <w:p>
                  <w:pPr>
                    <w:pStyle w:val="39"/>
                    <w:jc w:val="center"/>
                  </w:pPr>
                  <w:r>
                    <w:t>水泥筒仓</w:t>
                  </w:r>
                </w:p>
              </w:tc>
              <w:tc>
                <w:tcPr>
                  <w:tcW w:w="1201" w:type="pct"/>
                  <w:vAlign w:val="center"/>
                </w:tcPr>
                <w:p>
                  <w:pPr>
                    <w:pStyle w:val="39"/>
                    <w:jc w:val="center"/>
                  </w:pPr>
                  <w:r>
                    <w:t>容积300m</w:t>
                  </w:r>
                  <w:r>
                    <w:rPr>
                      <w:vertAlign w:val="superscript"/>
                    </w:rPr>
                    <w:t>3</w:t>
                  </w:r>
                  <w:r>
                    <w:t>、200t</w:t>
                  </w:r>
                </w:p>
              </w:tc>
              <w:tc>
                <w:tcPr>
                  <w:tcW w:w="694" w:type="pct"/>
                  <w:vAlign w:val="center"/>
                </w:tcPr>
                <w:p>
                  <w:pPr>
                    <w:pStyle w:val="39"/>
                    <w:jc w:val="center"/>
                  </w:pPr>
                  <w:r>
                    <w:t>个</w:t>
                  </w:r>
                </w:p>
              </w:tc>
              <w:tc>
                <w:tcPr>
                  <w:tcW w:w="709" w:type="pct"/>
                  <w:vAlign w:val="center"/>
                </w:tcPr>
                <w:p>
                  <w:pPr>
                    <w:pStyle w:val="39"/>
                    <w:jc w:val="center"/>
                    <w:rPr>
                      <w:color w:val="auto"/>
                    </w:rPr>
                  </w:pPr>
                  <w:r>
                    <w:rPr>
                      <w:rFonts w:hint="eastAsia"/>
                      <w:color w:val="auto"/>
                    </w:rPr>
                    <w:t>2</w:t>
                  </w:r>
                </w:p>
              </w:tc>
              <w:tc>
                <w:tcPr>
                  <w:tcW w:w="713" w:type="pct"/>
                  <w:vAlign w:val="center"/>
                </w:tcPr>
                <w:p>
                  <w:pPr>
                    <w:pStyle w:val="39"/>
                    <w:jc w:val="center"/>
                  </w:pPr>
                  <w: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rPr>
                      <w:rFonts w:hint="eastAsia" w:eastAsia="宋体"/>
                      <w:lang w:val="en-US" w:eastAsia="zh-CN"/>
                    </w:rPr>
                  </w:pPr>
                  <w:r>
                    <w:rPr>
                      <w:rFonts w:hint="eastAsia"/>
                      <w:lang w:val="en-US" w:eastAsia="zh-CN"/>
                    </w:rPr>
                    <w:t>4</w:t>
                  </w:r>
                </w:p>
              </w:tc>
              <w:tc>
                <w:tcPr>
                  <w:tcW w:w="1306" w:type="pct"/>
                  <w:vAlign w:val="center"/>
                </w:tcPr>
                <w:p>
                  <w:pPr>
                    <w:pStyle w:val="39"/>
                    <w:jc w:val="center"/>
                  </w:pPr>
                  <w:r>
                    <w:t>粉煤灰筒仓</w:t>
                  </w:r>
                </w:p>
              </w:tc>
              <w:tc>
                <w:tcPr>
                  <w:tcW w:w="1201" w:type="pct"/>
                  <w:vAlign w:val="center"/>
                </w:tcPr>
                <w:p>
                  <w:pPr>
                    <w:pStyle w:val="39"/>
                    <w:jc w:val="center"/>
                  </w:pPr>
                  <w:r>
                    <w:t>容积300m</w:t>
                  </w:r>
                  <w:r>
                    <w:rPr>
                      <w:vertAlign w:val="superscript"/>
                    </w:rPr>
                    <w:t>3</w:t>
                  </w:r>
                  <w:r>
                    <w:t>、200t</w:t>
                  </w:r>
                </w:p>
              </w:tc>
              <w:tc>
                <w:tcPr>
                  <w:tcW w:w="694" w:type="pct"/>
                  <w:vAlign w:val="center"/>
                </w:tcPr>
                <w:p>
                  <w:pPr>
                    <w:pStyle w:val="39"/>
                    <w:jc w:val="center"/>
                  </w:pPr>
                  <w:r>
                    <w:t>个</w:t>
                  </w:r>
                </w:p>
              </w:tc>
              <w:tc>
                <w:tcPr>
                  <w:tcW w:w="709" w:type="pct"/>
                  <w:vAlign w:val="center"/>
                </w:tcPr>
                <w:p>
                  <w:pPr>
                    <w:pStyle w:val="39"/>
                    <w:jc w:val="center"/>
                    <w:rPr>
                      <w:color w:val="auto"/>
                    </w:rPr>
                  </w:pPr>
                  <w:r>
                    <w:rPr>
                      <w:rFonts w:hint="eastAsia"/>
                      <w:color w:val="auto"/>
                    </w:rPr>
                    <w:t>2</w:t>
                  </w:r>
                </w:p>
              </w:tc>
              <w:tc>
                <w:tcPr>
                  <w:tcW w:w="713" w:type="pct"/>
                  <w:vAlign w:val="center"/>
                </w:tcPr>
                <w:p>
                  <w:pPr>
                    <w:pStyle w:val="39"/>
                    <w:jc w:val="center"/>
                  </w:pPr>
                  <w: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rPr>
                      <w:rFonts w:hint="eastAsia" w:eastAsia="宋体"/>
                      <w:lang w:eastAsia="zh-CN"/>
                    </w:rPr>
                  </w:pPr>
                  <w:r>
                    <w:rPr>
                      <w:rFonts w:hint="eastAsia"/>
                      <w:lang w:val="en-US" w:eastAsia="zh-CN"/>
                    </w:rPr>
                    <w:t>5</w:t>
                  </w:r>
                </w:p>
              </w:tc>
              <w:tc>
                <w:tcPr>
                  <w:tcW w:w="1306" w:type="pct"/>
                  <w:vAlign w:val="center"/>
                </w:tcPr>
                <w:p>
                  <w:pPr>
                    <w:pStyle w:val="39"/>
                    <w:jc w:val="center"/>
                  </w:pPr>
                  <w:r>
                    <w:rPr>
                      <w:rFonts w:hint="eastAsia"/>
                    </w:rPr>
                    <w:t>外加剂储罐</w:t>
                  </w:r>
                </w:p>
              </w:tc>
              <w:tc>
                <w:tcPr>
                  <w:tcW w:w="1201" w:type="pct"/>
                  <w:vAlign w:val="center"/>
                </w:tcPr>
                <w:p>
                  <w:pPr>
                    <w:pStyle w:val="39"/>
                    <w:jc w:val="center"/>
                  </w:pPr>
                  <w:r>
                    <w:rPr>
                      <w:rFonts w:hint="eastAsia"/>
                    </w:rPr>
                    <w:t>1</w:t>
                  </w:r>
                  <w:r>
                    <w:t>0t</w:t>
                  </w:r>
                </w:p>
              </w:tc>
              <w:tc>
                <w:tcPr>
                  <w:tcW w:w="694" w:type="pct"/>
                  <w:vAlign w:val="center"/>
                </w:tcPr>
                <w:p>
                  <w:pPr>
                    <w:pStyle w:val="39"/>
                    <w:jc w:val="center"/>
                  </w:pPr>
                  <w:r>
                    <w:rPr>
                      <w:rFonts w:hint="eastAsia"/>
                    </w:rPr>
                    <w:t>个</w:t>
                  </w:r>
                </w:p>
              </w:tc>
              <w:tc>
                <w:tcPr>
                  <w:tcW w:w="709" w:type="pct"/>
                  <w:vAlign w:val="center"/>
                </w:tcPr>
                <w:p>
                  <w:pPr>
                    <w:pStyle w:val="39"/>
                    <w:jc w:val="center"/>
                  </w:pPr>
                  <w:r>
                    <w:t>2</w:t>
                  </w:r>
                </w:p>
              </w:tc>
              <w:tc>
                <w:tcPr>
                  <w:tcW w:w="713" w:type="pct"/>
                  <w:vAlign w:val="center"/>
                </w:tcPr>
                <w:p>
                  <w:pPr>
                    <w:pStyle w:val="39"/>
                    <w:jc w:val="center"/>
                  </w:pPr>
                  <w:r>
                    <w:rPr>
                      <w:rFonts w:hint="eastAsia"/>
                    </w:rP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rPr>
                      <w:rFonts w:hint="eastAsia" w:eastAsia="宋体"/>
                      <w:lang w:val="en-US" w:eastAsia="zh-CN"/>
                    </w:rPr>
                  </w:pPr>
                  <w:r>
                    <w:rPr>
                      <w:rFonts w:hint="eastAsia"/>
                      <w:lang w:val="en-US" w:eastAsia="zh-CN"/>
                    </w:rPr>
                    <w:t>6</w:t>
                  </w:r>
                </w:p>
              </w:tc>
              <w:tc>
                <w:tcPr>
                  <w:tcW w:w="1306" w:type="pct"/>
                  <w:vAlign w:val="center"/>
                </w:tcPr>
                <w:p>
                  <w:pPr>
                    <w:pStyle w:val="39"/>
                    <w:jc w:val="center"/>
                  </w:pPr>
                  <w:r>
                    <w:rPr>
                      <w:rFonts w:hint="eastAsia"/>
                    </w:rPr>
                    <w:t>储水罐</w:t>
                  </w:r>
                </w:p>
              </w:tc>
              <w:tc>
                <w:tcPr>
                  <w:tcW w:w="1201" w:type="pct"/>
                  <w:vAlign w:val="center"/>
                </w:tcPr>
                <w:p>
                  <w:pPr>
                    <w:pStyle w:val="39"/>
                    <w:jc w:val="center"/>
                  </w:pPr>
                  <w:r>
                    <w:rPr>
                      <w:rFonts w:hint="eastAsia"/>
                    </w:rPr>
                    <w:t>28t</w:t>
                  </w:r>
                </w:p>
              </w:tc>
              <w:tc>
                <w:tcPr>
                  <w:tcW w:w="694" w:type="pct"/>
                  <w:vAlign w:val="center"/>
                </w:tcPr>
                <w:p>
                  <w:pPr>
                    <w:pStyle w:val="39"/>
                    <w:jc w:val="center"/>
                  </w:pPr>
                  <w:r>
                    <w:rPr>
                      <w:rFonts w:hint="eastAsia"/>
                    </w:rPr>
                    <w:t>个</w:t>
                  </w:r>
                </w:p>
              </w:tc>
              <w:tc>
                <w:tcPr>
                  <w:tcW w:w="709" w:type="pct"/>
                  <w:vAlign w:val="center"/>
                </w:tcPr>
                <w:p>
                  <w:pPr>
                    <w:pStyle w:val="39"/>
                    <w:jc w:val="center"/>
                  </w:pPr>
                  <w:r>
                    <w:rPr>
                      <w:rFonts w:hint="eastAsia"/>
                    </w:rPr>
                    <w:t>1</w:t>
                  </w:r>
                </w:p>
              </w:tc>
              <w:tc>
                <w:tcPr>
                  <w:tcW w:w="713" w:type="pct"/>
                  <w:vAlign w:val="center"/>
                </w:tcPr>
                <w:p>
                  <w:pPr>
                    <w:pStyle w:val="39"/>
                    <w:jc w:val="center"/>
                  </w:pPr>
                  <w:r>
                    <w:rPr>
                      <w:rFonts w:hint="eastAsia"/>
                    </w:rP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rPr>
                      <w:rFonts w:hint="eastAsia" w:eastAsia="宋体"/>
                      <w:lang w:eastAsia="zh-CN"/>
                    </w:rPr>
                  </w:pPr>
                  <w:r>
                    <w:rPr>
                      <w:rFonts w:hint="eastAsia"/>
                      <w:lang w:val="en-US" w:eastAsia="zh-CN"/>
                    </w:rPr>
                    <w:t>7</w:t>
                  </w:r>
                </w:p>
              </w:tc>
              <w:tc>
                <w:tcPr>
                  <w:tcW w:w="1306" w:type="pct"/>
                  <w:vAlign w:val="center"/>
                </w:tcPr>
                <w:p>
                  <w:pPr>
                    <w:pStyle w:val="39"/>
                    <w:jc w:val="center"/>
                  </w:pPr>
                  <w:r>
                    <w:rPr>
                      <w:rFonts w:hint="eastAsia"/>
                    </w:rPr>
                    <w:t>称量装置</w:t>
                  </w:r>
                </w:p>
              </w:tc>
              <w:tc>
                <w:tcPr>
                  <w:tcW w:w="1201" w:type="pct"/>
                  <w:vAlign w:val="center"/>
                </w:tcPr>
                <w:p>
                  <w:pPr>
                    <w:pStyle w:val="39"/>
                    <w:jc w:val="center"/>
                  </w:pPr>
                  <w:r>
                    <w:rPr>
                      <w:rFonts w:hint="eastAsia"/>
                    </w:rPr>
                    <w:t>/</w:t>
                  </w:r>
                </w:p>
              </w:tc>
              <w:tc>
                <w:tcPr>
                  <w:tcW w:w="694" w:type="pct"/>
                  <w:vAlign w:val="center"/>
                </w:tcPr>
                <w:p>
                  <w:pPr>
                    <w:pStyle w:val="39"/>
                    <w:jc w:val="center"/>
                  </w:pPr>
                  <w:r>
                    <w:rPr>
                      <w:rFonts w:hint="eastAsia"/>
                    </w:rPr>
                    <w:t>套</w:t>
                  </w:r>
                </w:p>
              </w:tc>
              <w:tc>
                <w:tcPr>
                  <w:tcW w:w="709" w:type="pct"/>
                  <w:vAlign w:val="center"/>
                </w:tcPr>
                <w:p>
                  <w:pPr>
                    <w:pStyle w:val="39"/>
                    <w:jc w:val="center"/>
                  </w:pPr>
                  <w:r>
                    <w:rPr>
                      <w:rFonts w:hint="eastAsia"/>
                    </w:rPr>
                    <w:t>5</w:t>
                  </w:r>
                </w:p>
              </w:tc>
              <w:tc>
                <w:tcPr>
                  <w:tcW w:w="713" w:type="pct"/>
                  <w:vAlign w:val="center"/>
                </w:tcPr>
                <w:p>
                  <w:pPr>
                    <w:pStyle w:val="39"/>
                    <w:jc w:val="center"/>
                  </w:pPr>
                  <w: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rPr>
                      <w:rFonts w:hint="eastAsia" w:eastAsia="宋体"/>
                      <w:lang w:eastAsia="zh-CN"/>
                    </w:rPr>
                  </w:pPr>
                  <w:r>
                    <w:rPr>
                      <w:rFonts w:hint="eastAsia"/>
                      <w:lang w:val="en-US" w:eastAsia="zh-CN"/>
                    </w:rPr>
                    <w:t>8</w:t>
                  </w:r>
                </w:p>
              </w:tc>
              <w:tc>
                <w:tcPr>
                  <w:tcW w:w="1306" w:type="pct"/>
                  <w:vAlign w:val="center"/>
                </w:tcPr>
                <w:p>
                  <w:pPr>
                    <w:pStyle w:val="39"/>
                    <w:jc w:val="center"/>
                  </w:pPr>
                  <w:r>
                    <w:rPr>
                      <w:rFonts w:hint="eastAsia"/>
                    </w:rPr>
                    <w:t>混凝土运输车辆</w:t>
                  </w:r>
                </w:p>
              </w:tc>
              <w:tc>
                <w:tcPr>
                  <w:tcW w:w="1201" w:type="pct"/>
                  <w:vAlign w:val="center"/>
                </w:tcPr>
                <w:p>
                  <w:pPr>
                    <w:pStyle w:val="39"/>
                    <w:jc w:val="center"/>
                  </w:pPr>
                  <w:r>
                    <w:t>/</w:t>
                  </w:r>
                </w:p>
              </w:tc>
              <w:tc>
                <w:tcPr>
                  <w:tcW w:w="694" w:type="pct"/>
                  <w:vAlign w:val="center"/>
                </w:tcPr>
                <w:p>
                  <w:pPr>
                    <w:pStyle w:val="39"/>
                    <w:jc w:val="center"/>
                  </w:pPr>
                  <w:r>
                    <w:rPr>
                      <w:rFonts w:hint="eastAsia"/>
                    </w:rPr>
                    <w:t>辆</w:t>
                  </w:r>
                </w:p>
              </w:tc>
              <w:tc>
                <w:tcPr>
                  <w:tcW w:w="709" w:type="pct"/>
                  <w:vAlign w:val="center"/>
                </w:tcPr>
                <w:p>
                  <w:pPr>
                    <w:pStyle w:val="39"/>
                    <w:jc w:val="center"/>
                  </w:pPr>
                  <w:r>
                    <w:rPr>
                      <w:rFonts w:hint="eastAsia"/>
                    </w:rPr>
                    <w:t>4</w:t>
                  </w:r>
                </w:p>
              </w:tc>
              <w:tc>
                <w:tcPr>
                  <w:tcW w:w="713" w:type="pct"/>
                  <w:vAlign w:val="center"/>
                </w:tcPr>
                <w:p>
                  <w:pPr>
                    <w:pStyle w:val="39"/>
                    <w:jc w:val="center"/>
                  </w:pPr>
                  <w: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rPr>
                      <w:rFonts w:hint="eastAsia" w:eastAsia="宋体"/>
                      <w:lang w:eastAsia="zh-CN"/>
                    </w:rPr>
                  </w:pPr>
                  <w:r>
                    <w:rPr>
                      <w:rFonts w:hint="eastAsia"/>
                      <w:lang w:val="en-US" w:eastAsia="zh-CN"/>
                    </w:rPr>
                    <w:t>9</w:t>
                  </w:r>
                </w:p>
              </w:tc>
              <w:tc>
                <w:tcPr>
                  <w:tcW w:w="1306" w:type="pct"/>
                  <w:vAlign w:val="center"/>
                </w:tcPr>
                <w:p>
                  <w:pPr>
                    <w:pStyle w:val="39"/>
                    <w:jc w:val="center"/>
                  </w:pPr>
                  <w:r>
                    <w:rPr>
                      <w:rFonts w:hint="eastAsia"/>
                    </w:rPr>
                    <w:t>泵车</w:t>
                  </w:r>
                </w:p>
              </w:tc>
              <w:tc>
                <w:tcPr>
                  <w:tcW w:w="1201" w:type="pct"/>
                  <w:vAlign w:val="center"/>
                </w:tcPr>
                <w:p>
                  <w:pPr>
                    <w:pStyle w:val="39"/>
                    <w:jc w:val="center"/>
                  </w:pPr>
                  <w:r>
                    <w:t>/</w:t>
                  </w:r>
                </w:p>
              </w:tc>
              <w:tc>
                <w:tcPr>
                  <w:tcW w:w="694" w:type="pct"/>
                  <w:vAlign w:val="center"/>
                </w:tcPr>
                <w:p>
                  <w:pPr>
                    <w:pStyle w:val="39"/>
                    <w:jc w:val="center"/>
                  </w:pPr>
                  <w:r>
                    <w:rPr>
                      <w:rFonts w:hint="eastAsia"/>
                    </w:rPr>
                    <w:t>台</w:t>
                  </w:r>
                </w:p>
              </w:tc>
              <w:tc>
                <w:tcPr>
                  <w:tcW w:w="709" w:type="pct"/>
                  <w:vAlign w:val="center"/>
                </w:tcPr>
                <w:p>
                  <w:pPr>
                    <w:pStyle w:val="39"/>
                    <w:jc w:val="center"/>
                  </w:pPr>
                  <w:r>
                    <w:t>1</w:t>
                  </w:r>
                </w:p>
              </w:tc>
              <w:tc>
                <w:tcPr>
                  <w:tcW w:w="713" w:type="pct"/>
                  <w:vAlign w:val="center"/>
                </w:tcPr>
                <w:p>
                  <w:pPr>
                    <w:pStyle w:val="39"/>
                    <w:jc w:val="center"/>
                  </w:pPr>
                  <w:r>
                    <w:rPr>
                      <w:rFonts w:hint="eastAsia"/>
                    </w:rP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rPr>
                      <w:rFonts w:hint="default" w:eastAsia="宋体"/>
                      <w:lang w:val="en-US" w:eastAsia="zh-CN"/>
                    </w:rPr>
                  </w:pPr>
                  <w:r>
                    <w:rPr>
                      <w:rFonts w:hint="eastAsia"/>
                      <w:lang w:val="en-US" w:eastAsia="zh-CN"/>
                    </w:rPr>
                    <w:t>10</w:t>
                  </w:r>
                </w:p>
              </w:tc>
              <w:tc>
                <w:tcPr>
                  <w:tcW w:w="1306" w:type="pct"/>
                  <w:vAlign w:val="center"/>
                </w:tcPr>
                <w:p>
                  <w:pPr>
                    <w:pStyle w:val="39"/>
                    <w:jc w:val="center"/>
                  </w:pPr>
                  <w:r>
                    <w:rPr>
                      <w:rFonts w:hint="eastAsia"/>
                    </w:rPr>
                    <w:t>铲车</w:t>
                  </w:r>
                </w:p>
              </w:tc>
              <w:tc>
                <w:tcPr>
                  <w:tcW w:w="1201" w:type="pct"/>
                  <w:vAlign w:val="center"/>
                </w:tcPr>
                <w:p>
                  <w:pPr>
                    <w:pStyle w:val="39"/>
                    <w:jc w:val="center"/>
                  </w:pPr>
                  <w:r>
                    <w:rPr>
                      <w:rFonts w:hint="eastAsia"/>
                    </w:rPr>
                    <w:t>50型</w:t>
                  </w:r>
                </w:p>
              </w:tc>
              <w:tc>
                <w:tcPr>
                  <w:tcW w:w="694" w:type="pct"/>
                  <w:vAlign w:val="center"/>
                </w:tcPr>
                <w:p>
                  <w:pPr>
                    <w:pStyle w:val="39"/>
                    <w:jc w:val="center"/>
                  </w:pPr>
                  <w:r>
                    <w:rPr>
                      <w:rFonts w:hint="eastAsia"/>
                    </w:rPr>
                    <w:t>辆</w:t>
                  </w:r>
                </w:p>
              </w:tc>
              <w:tc>
                <w:tcPr>
                  <w:tcW w:w="709" w:type="pct"/>
                  <w:vAlign w:val="center"/>
                </w:tcPr>
                <w:p>
                  <w:pPr>
                    <w:pStyle w:val="39"/>
                    <w:jc w:val="center"/>
                  </w:pPr>
                  <w:r>
                    <w:t>1</w:t>
                  </w:r>
                </w:p>
              </w:tc>
              <w:tc>
                <w:tcPr>
                  <w:tcW w:w="713" w:type="pct"/>
                  <w:vAlign w:val="center"/>
                </w:tcPr>
                <w:p>
                  <w:pPr>
                    <w:pStyle w:val="39"/>
                    <w:jc w:val="center"/>
                  </w:pPr>
                  <w:r>
                    <w:rPr>
                      <w:rFonts w:hint="eastAsia"/>
                    </w:rP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5000" w:type="pct"/>
                  <w:gridSpan w:val="6"/>
                  <w:vAlign w:val="center"/>
                </w:tcPr>
                <w:p>
                  <w:pPr>
                    <w:pStyle w:val="39"/>
                    <w:jc w:val="center"/>
                  </w:pPr>
                  <w:r>
                    <w:rPr>
                      <w:rFonts w:hint="eastAsia"/>
                      <w:b/>
                      <w:bCs/>
                    </w:rPr>
                    <w:t>化验室</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375" w:type="pct"/>
                  <w:vAlign w:val="center"/>
                </w:tcPr>
                <w:p>
                  <w:pPr>
                    <w:pStyle w:val="39"/>
                    <w:jc w:val="center"/>
                  </w:pPr>
                  <w:r>
                    <w:t>1</w:t>
                  </w:r>
                </w:p>
              </w:tc>
              <w:tc>
                <w:tcPr>
                  <w:tcW w:w="1306" w:type="pct"/>
                  <w:vAlign w:val="center"/>
                </w:tcPr>
                <w:p>
                  <w:pPr>
                    <w:pStyle w:val="39"/>
                    <w:jc w:val="center"/>
                  </w:pPr>
                  <w:r>
                    <w:t>压力机</w:t>
                  </w:r>
                </w:p>
              </w:tc>
              <w:tc>
                <w:tcPr>
                  <w:tcW w:w="1201" w:type="pct"/>
                  <w:vAlign w:val="center"/>
                </w:tcPr>
                <w:p>
                  <w:pPr>
                    <w:pStyle w:val="39"/>
                    <w:jc w:val="center"/>
                  </w:pPr>
                  <w:r>
                    <w:t>DYE-2000型</w:t>
                  </w:r>
                </w:p>
              </w:tc>
              <w:tc>
                <w:tcPr>
                  <w:tcW w:w="694" w:type="pct"/>
                  <w:vAlign w:val="center"/>
                </w:tcPr>
                <w:p>
                  <w:pPr>
                    <w:pStyle w:val="39"/>
                    <w:jc w:val="center"/>
                  </w:pPr>
                  <w:r>
                    <w:t>台</w:t>
                  </w:r>
                </w:p>
              </w:tc>
              <w:tc>
                <w:tcPr>
                  <w:tcW w:w="709" w:type="pct"/>
                  <w:vAlign w:val="center"/>
                </w:tcPr>
                <w:p>
                  <w:pPr>
                    <w:pStyle w:val="39"/>
                    <w:jc w:val="center"/>
                  </w:pPr>
                  <w:r>
                    <w:t>1</w:t>
                  </w:r>
                </w:p>
              </w:tc>
              <w:tc>
                <w:tcPr>
                  <w:tcW w:w="713" w:type="pct"/>
                  <w:vAlign w:val="center"/>
                </w:tcPr>
                <w:p>
                  <w:pPr>
                    <w:pStyle w:val="39"/>
                    <w:jc w:val="center"/>
                  </w:pPr>
                  <w: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375" w:type="pct"/>
                  <w:vAlign w:val="center"/>
                </w:tcPr>
                <w:p>
                  <w:pPr>
                    <w:pStyle w:val="39"/>
                    <w:jc w:val="center"/>
                  </w:pPr>
                  <w:r>
                    <w:t>2</w:t>
                  </w:r>
                </w:p>
              </w:tc>
              <w:tc>
                <w:tcPr>
                  <w:tcW w:w="1306" w:type="pct"/>
                  <w:vAlign w:val="center"/>
                </w:tcPr>
                <w:p>
                  <w:pPr>
                    <w:pStyle w:val="39"/>
                    <w:jc w:val="center"/>
                  </w:pPr>
                  <w:r>
                    <w:t>压力机</w:t>
                  </w:r>
                </w:p>
              </w:tc>
              <w:tc>
                <w:tcPr>
                  <w:tcW w:w="1201" w:type="pct"/>
                  <w:vAlign w:val="center"/>
                </w:tcPr>
                <w:p>
                  <w:pPr>
                    <w:pStyle w:val="39"/>
                    <w:jc w:val="center"/>
                  </w:pPr>
                  <w:r>
                    <w:t>DYE-300型</w:t>
                  </w:r>
                </w:p>
              </w:tc>
              <w:tc>
                <w:tcPr>
                  <w:tcW w:w="694" w:type="pct"/>
                  <w:vAlign w:val="center"/>
                </w:tcPr>
                <w:p>
                  <w:pPr>
                    <w:pStyle w:val="39"/>
                    <w:jc w:val="center"/>
                  </w:pPr>
                  <w:r>
                    <w:t>台</w:t>
                  </w:r>
                </w:p>
              </w:tc>
              <w:tc>
                <w:tcPr>
                  <w:tcW w:w="709" w:type="pct"/>
                  <w:vAlign w:val="center"/>
                </w:tcPr>
                <w:p>
                  <w:pPr>
                    <w:pStyle w:val="39"/>
                    <w:jc w:val="center"/>
                  </w:pPr>
                  <w:r>
                    <w:t>1</w:t>
                  </w:r>
                </w:p>
              </w:tc>
              <w:tc>
                <w:tcPr>
                  <w:tcW w:w="713" w:type="pct"/>
                  <w:vAlign w:val="center"/>
                </w:tcPr>
                <w:p>
                  <w:pPr>
                    <w:pStyle w:val="39"/>
                    <w:jc w:val="center"/>
                  </w:pPr>
                  <w: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pPr>
                  <w:r>
                    <w:t>3</w:t>
                  </w:r>
                </w:p>
              </w:tc>
              <w:tc>
                <w:tcPr>
                  <w:tcW w:w="1306" w:type="pct"/>
                  <w:vAlign w:val="center"/>
                </w:tcPr>
                <w:p>
                  <w:pPr>
                    <w:pStyle w:val="39"/>
                    <w:jc w:val="center"/>
                  </w:pPr>
                  <w:r>
                    <w:t>水泥净浆搅拌机</w:t>
                  </w:r>
                </w:p>
              </w:tc>
              <w:tc>
                <w:tcPr>
                  <w:tcW w:w="1201" w:type="pct"/>
                  <w:vAlign w:val="center"/>
                </w:tcPr>
                <w:p>
                  <w:pPr>
                    <w:pStyle w:val="39"/>
                    <w:jc w:val="center"/>
                  </w:pPr>
                  <w:r>
                    <w:t>NJ-160</w:t>
                  </w:r>
                </w:p>
              </w:tc>
              <w:tc>
                <w:tcPr>
                  <w:tcW w:w="694" w:type="pct"/>
                  <w:vAlign w:val="center"/>
                </w:tcPr>
                <w:p>
                  <w:pPr>
                    <w:pStyle w:val="39"/>
                    <w:jc w:val="center"/>
                  </w:pPr>
                  <w:r>
                    <w:t>台</w:t>
                  </w:r>
                </w:p>
              </w:tc>
              <w:tc>
                <w:tcPr>
                  <w:tcW w:w="709" w:type="pct"/>
                  <w:vAlign w:val="center"/>
                </w:tcPr>
                <w:p>
                  <w:pPr>
                    <w:pStyle w:val="39"/>
                    <w:jc w:val="center"/>
                  </w:pPr>
                  <w:r>
                    <w:t>1</w:t>
                  </w:r>
                </w:p>
              </w:tc>
              <w:tc>
                <w:tcPr>
                  <w:tcW w:w="713" w:type="pct"/>
                  <w:vAlign w:val="center"/>
                </w:tcPr>
                <w:p>
                  <w:pPr>
                    <w:pStyle w:val="39"/>
                    <w:jc w:val="center"/>
                  </w:pPr>
                  <w: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pPr>
                  <w:r>
                    <w:t>4</w:t>
                  </w:r>
                </w:p>
              </w:tc>
              <w:tc>
                <w:tcPr>
                  <w:tcW w:w="1306" w:type="pct"/>
                  <w:vAlign w:val="center"/>
                </w:tcPr>
                <w:p>
                  <w:pPr>
                    <w:pStyle w:val="39"/>
                    <w:jc w:val="center"/>
                  </w:pPr>
                  <w:r>
                    <w:t>胶砂试体成型振实机</w:t>
                  </w:r>
                </w:p>
              </w:tc>
              <w:tc>
                <w:tcPr>
                  <w:tcW w:w="1201" w:type="pct"/>
                  <w:vAlign w:val="center"/>
                </w:tcPr>
                <w:p>
                  <w:pPr>
                    <w:pStyle w:val="39"/>
                    <w:jc w:val="center"/>
                  </w:pPr>
                  <w:r>
                    <w:t>JJ-5</w:t>
                  </w:r>
                </w:p>
              </w:tc>
              <w:tc>
                <w:tcPr>
                  <w:tcW w:w="694" w:type="pct"/>
                  <w:vAlign w:val="center"/>
                </w:tcPr>
                <w:p>
                  <w:pPr>
                    <w:pStyle w:val="39"/>
                    <w:jc w:val="center"/>
                  </w:pPr>
                  <w:r>
                    <w:t>台</w:t>
                  </w:r>
                </w:p>
              </w:tc>
              <w:tc>
                <w:tcPr>
                  <w:tcW w:w="709" w:type="pct"/>
                  <w:vAlign w:val="center"/>
                </w:tcPr>
                <w:p>
                  <w:pPr>
                    <w:pStyle w:val="39"/>
                    <w:jc w:val="center"/>
                  </w:pPr>
                  <w:r>
                    <w:t>1</w:t>
                  </w:r>
                </w:p>
              </w:tc>
              <w:tc>
                <w:tcPr>
                  <w:tcW w:w="713" w:type="pct"/>
                  <w:vAlign w:val="center"/>
                </w:tcPr>
                <w:p>
                  <w:pPr>
                    <w:pStyle w:val="39"/>
                    <w:jc w:val="center"/>
                  </w:pPr>
                  <w: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pPr>
                  <w:r>
                    <w:t>5</w:t>
                  </w:r>
                </w:p>
              </w:tc>
              <w:tc>
                <w:tcPr>
                  <w:tcW w:w="1306" w:type="pct"/>
                  <w:vAlign w:val="center"/>
                </w:tcPr>
                <w:p>
                  <w:pPr>
                    <w:pStyle w:val="39"/>
                    <w:jc w:val="center"/>
                  </w:pPr>
                  <w:r>
                    <w:t>水泥细度负压筛析仪</w:t>
                  </w:r>
                </w:p>
              </w:tc>
              <w:tc>
                <w:tcPr>
                  <w:tcW w:w="1201" w:type="pct"/>
                  <w:vAlign w:val="center"/>
                </w:tcPr>
                <w:p>
                  <w:pPr>
                    <w:pStyle w:val="39"/>
                    <w:jc w:val="center"/>
                  </w:pPr>
                  <w:r>
                    <w:t>FSY-15</w:t>
                  </w:r>
                </w:p>
              </w:tc>
              <w:tc>
                <w:tcPr>
                  <w:tcW w:w="694" w:type="pct"/>
                  <w:vAlign w:val="center"/>
                </w:tcPr>
                <w:p>
                  <w:pPr>
                    <w:pStyle w:val="39"/>
                    <w:jc w:val="center"/>
                  </w:pPr>
                  <w:r>
                    <w:t>台</w:t>
                  </w:r>
                </w:p>
              </w:tc>
              <w:tc>
                <w:tcPr>
                  <w:tcW w:w="709" w:type="pct"/>
                  <w:vAlign w:val="center"/>
                </w:tcPr>
                <w:p>
                  <w:pPr>
                    <w:pStyle w:val="39"/>
                    <w:jc w:val="center"/>
                  </w:pPr>
                  <w:r>
                    <w:t>1</w:t>
                  </w:r>
                </w:p>
              </w:tc>
              <w:tc>
                <w:tcPr>
                  <w:tcW w:w="713" w:type="pct"/>
                  <w:vAlign w:val="center"/>
                </w:tcPr>
                <w:p>
                  <w:pPr>
                    <w:pStyle w:val="39"/>
                    <w:jc w:val="center"/>
                  </w:pPr>
                  <w: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pPr>
                  <w:r>
                    <w:t>6</w:t>
                  </w:r>
                </w:p>
              </w:tc>
              <w:tc>
                <w:tcPr>
                  <w:tcW w:w="1306" w:type="pct"/>
                  <w:vAlign w:val="center"/>
                </w:tcPr>
                <w:p>
                  <w:pPr>
                    <w:pStyle w:val="39"/>
                    <w:jc w:val="center"/>
                  </w:pPr>
                  <w:r>
                    <w:t>雷氏煮沸箱</w:t>
                  </w:r>
                </w:p>
              </w:tc>
              <w:tc>
                <w:tcPr>
                  <w:tcW w:w="1201" w:type="pct"/>
                  <w:vAlign w:val="center"/>
                </w:tcPr>
                <w:p>
                  <w:pPr>
                    <w:pStyle w:val="39"/>
                    <w:jc w:val="center"/>
                  </w:pPr>
                  <w:r>
                    <w:t>FZ-31A</w:t>
                  </w:r>
                </w:p>
              </w:tc>
              <w:tc>
                <w:tcPr>
                  <w:tcW w:w="694" w:type="pct"/>
                  <w:vAlign w:val="center"/>
                </w:tcPr>
                <w:p>
                  <w:pPr>
                    <w:pStyle w:val="39"/>
                    <w:jc w:val="center"/>
                  </w:pPr>
                  <w:r>
                    <w:t>台</w:t>
                  </w:r>
                </w:p>
              </w:tc>
              <w:tc>
                <w:tcPr>
                  <w:tcW w:w="709" w:type="pct"/>
                  <w:vAlign w:val="center"/>
                </w:tcPr>
                <w:p>
                  <w:pPr>
                    <w:pStyle w:val="39"/>
                    <w:jc w:val="center"/>
                  </w:pPr>
                  <w:r>
                    <w:t>1</w:t>
                  </w:r>
                </w:p>
              </w:tc>
              <w:tc>
                <w:tcPr>
                  <w:tcW w:w="713" w:type="pct"/>
                  <w:vAlign w:val="center"/>
                </w:tcPr>
                <w:p>
                  <w:pPr>
                    <w:pStyle w:val="39"/>
                    <w:jc w:val="center"/>
                  </w:pPr>
                  <w: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pPr>
                  <w:r>
                    <w:t>7</w:t>
                  </w:r>
                </w:p>
              </w:tc>
              <w:tc>
                <w:tcPr>
                  <w:tcW w:w="1306" w:type="pct"/>
                  <w:vAlign w:val="center"/>
                </w:tcPr>
                <w:p>
                  <w:pPr>
                    <w:pStyle w:val="39"/>
                    <w:jc w:val="center"/>
                  </w:pPr>
                  <w:r>
                    <w:t>全自动准养护箱</w:t>
                  </w:r>
                </w:p>
              </w:tc>
              <w:tc>
                <w:tcPr>
                  <w:tcW w:w="1201" w:type="pct"/>
                  <w:vAlign w:val="center"/>
                </w:tcPr>
                <w:p>
                  <w:pPr>
                    <w:pStyle w:val="39"/>
                    <w:jc w:val="center"/>
                  </w:pPr>
                  <w:r>
                    <w:t>HY-40B</w:t>
                  </w:r>
                </w:p>
              </w:tc>
              <w:tc>
                <w:tcPr>
                  <w:tcW w:w="694" w:type="pct"/>
                  <w:vAlign w:val="center"/>
                </w:tcPr>
                <w:p>
                  <w:pPr>
                    <w:pStyle w:val="39"/>
                    <w:jc w:val="center"/>
                  </w:pPr>
                  <w:r>
                    <w:t>台</w:t>
                  </w:r>
                </w:p>
              </w:tc>
              <w:tc>
                <w:tcPr>
                  <w:tcW w:w="709" w:type="pct"/>
                  <w:vAlign w:val="center"/>
                </w:tcPr>
                <w:p>
                  <w:pPr>
                    <w:pStyle w:val="39"/>
                    <w:jc w:val="center"/>
                  </w:pPr>
                  <w:r>
                    <w:t>1</w:t>
                  </w:r>
                </w:p>
              </w:tc>
              <w:tc>
                <w:tcPr>
                  <w:tcW w:w="713" w:type="pct"/>
                  <w:vAlign w:val="center"/>
                </w:tcPr>
                <w:p>
                  <w:pPr>
                    <w:pStyle w:val="39"/>
                    <w:jc w:val="center"/>
                  </w:pPr>
                  <w: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pPr>
                  <w:r>
                    <w:t>8</w:t>
                  </w:r>
                </w:p>
              </w:tc>
              <w:tc>
                <w:tcPr>
                  <w:tcW w:w="1306" w:type="pct"/>
                  <w:vAlign w:val="center"/>
                </w:tcPr>
                <w:p>
                  <w:pPr>
                    <w:pStyle w:val="39"/>
                    <w:jc w:val="center"/>
                  </w:pPr>
                  <w:r>
                    <w:t>电热鼓风干燥箱</w:t>
                  </w:r>
                </w:p>
              </w:tc>
              <w:tc>
                <w:tcPr>
                  <w:tcW w:w="1201" w:type="pct"/>
                  <w:vAlign w:val="center"/>
                </w:tcPr>
                <w:p>
                  <w:pPr>
                    <w:pStyle w:val="39"/>
                    <w:jc w:val="center"/>
                  </w:pPr>
                  <w:r>
                    <w:t>101-1</w:t>
                  </w:r>
                </w:p>
              </w:tc>
              <w:tc>
                <w:tcPr>
                  <w:tcW w:w="694" w:type="pct"/>
                  <w:vAlign w:val="center"/>
                </w:tcPr>
                <w:p>
                  <w:pPr>
                    <w:pStyle w:val="39"/>
                    <w:jc w:val="center"/>
                  </w:pPr>
                  <w:r>
                    <w:t>台</w:t>
                  </w:r>
                </w:p>
              </w:tc>
              <w:tc>
                <w:tcPr>
                  <w:tcW w:w="709" w:type="pct"/>
                  <w:vAlign w:val="center"/>
                </w:tcPr>
                <w:p>
                  <w:pPr>
                    <w:pStyle w:val="39"/>
                    <w:jc w:val="center"/>
                  </w:pPr>
                  <w:r>
                    <w:t>1</w:t>
                  </w:r>
                </w:p>
              </w:tc>
              <w:tc>
                <w:tcPr>
                  <w:tcW w:w="713" w:type="pct"/>
                  <w:vAlign w:val="center"/>
                </w:tcPr>
                <w:p>
                  <w:pPr>
                    <w:pStyle w:val="39"/>
                    <w:jc w:val="center"/>
                  </w:pPr>
                  <w: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pPr>
                  <w:r>
                    <w:t>9</w:t>
                  </w:r>
                </w:p>
              </w:tc>
              <w:tc>
                <w:tcPr>
                  <w:tcW w:w="1306" w:type="pct"/>
                  <w:vAlign w:val="center"/>
                </w:tcPr>
                <w:p>
                  <w:pPr>
                    <w:pStyle w:val="39"/>
                    <w:jc w:val="center"/>
                  </w:pPr>
                  <w:r>
                    <w:t>电子天平</w:t>
                  </w:r>
                </w:p>
              </w:tc>
              <w:tc>
                <w:tcPr>
                  <w:tcW w:w="1201" w:type="pct"/>
                  <w:vAlign w:val="center"/>
                </w:tcPr>
                <w:p>
                  <w:pPr>
                    <w:pStyle w:val="39"/>
                    <w:jc w:val="center"/>
                  </w:pPr>
                  <w:r>
                    <w:t>5kg/0.1g</w:t>
                  </w:r>
                </w:p>
              </w:tc>
              <w:tc>
                <w:tcPr>
                  <w:tcW w:w="694" w:type="pct"/>
                  <w:vAlign w:val="center"/>
                </w:tcPr>
                <w:p>
                  <w:pPr>
                    <w:pStyle w:val="39"/>
                    <w:jc w:val="center"/>
                  </w:pPr>
                  <w:r>
                    <w:t>台</w:t>
                  </w:r>
                </w:p>
              </w:tc>
              <w:tc>
                <w:tcPr>
                  <w:tcW w:w="709" w:type="pct"/>
                  <w:vAlign w:val="center"/>
                </w:tcPr>
                <w:p>
                  <w:pPr>
                    <w:pStyle w:val="39"/>
                    <w:jc w:val="center"/>
                  </w:pPr>
                  <w:r>
                    <w:t>1</w:t>
                  </w:r>
                </w:p>
              </w:tc>
              <w:tc>
                <w:tcPr>
                  <w:tcW w:w="713" w:type="pct"/>
                  <w:vAlign w:val="center"/>
                </w:tcPr>
                <w:p>
                  <w:pPr>
                    <w:pStyle w:val="39"/>
                    <w:jc w:val="center"/>
                  </w:pPr>
                  <w:r>
                    <w:t>外购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375" w:type="pct"/>
                  <w:vAlign w:val="center"/>
                </w:tcPr>
                <w:p>
                  <w:pPr>
                    <w:pStyle w:val="39"/>
                    <w:jc w:val="center"/>
                  </w:pPr>
                  <w:r>
                    <w:t>10</w:t>
                  </w:r>
                </w:p>
              </w:tc>
              <w:tc>
                <w:tcPr>
                  <w:tcW w:w="1306" w:type="pct"/>
                  <w:vAlign w:val="center"/>
                </w:tcPr>
                <w:p>
                  <w:pPr>
                    <w:pStyle w:val="39"/>
                    <w:jc w:val="center"/>
                  </w:pPr>
                  <w:r>
                    <w:t>全自动养护室控温控湿设备</w:t>
                  </w:r>
                </w:p>
              </w:tc>
              <w:tc>
                <w:tcPr>
                  <w:tcW w:w="1201" w:type="pct"/>
                  <w:vAlign w:val="center"/>
                </w:tcPr>
                <w:p>
                  <w:pPr>
                    <w:pStyle w:val="39"/>
                    <w:jc w:val="center"/>
                  </w:pPr>
                  <w:r>
                    <w:t>60型压缩机式</w:t>
                  </w:r>
                </w:p>
              </w:tc>
              <w:tc>
                <w:tcPr>
                  <w:tcW w:w="694" w:type="pct"/>
                  <w:vAlign w:val="center"/>
                </w:tcPr>
                <w:p>
                  <w:pPr>
                    <w:pStyle w:val="39"/>
                    <w:jc w:val="center"/>
                  </w:pPr>
                  <w:r>
                    <w:t>台</w:t>
                  </w:r>
                </w:p>
              </w:tc>
              <w:tc>
                <w:tcPr>
                  <w:tcW w:w="709" w:type="pct"/>
                  <w:vAlign w:val="center"/>
                </w:tcPr>
                <w:p>
                  <w:pPr>
                    <w:pStyle w:val="39"/>
                    <w:jc w:val="center"/>
                  </w:pPr>
                  <w:r>
                    <w:t>1</w:t>
                  </w:r>
                </w:p>
              </w:tc>
              <w:tc>
                <w:tcPr>
                  <w:tcW w:w="713" w:type="pct"/>
                  <w:vAlign w:val="center"/>
                </w:tcPr>
                <w:p>
                  <w:pPr>
                    <w:pStyle w:val="39"/>
                    <w:jc w:val="center"/>
                  </w:pPr>
                  <w:r>
                    <w:t>外购</w:t>
                  </w:r>
                </w:p>
              </w:tc>
            </w:tr>
          </w:tbl>
          <w:p>
            <w:pPr>
              <w:ind w:firstLine="482"/>
            </w:pPr>
            <w:r>
              <w:rPr>
                <w:rFonts w:hint="eastAsia"/>
                <w:b/>
              </w:rPr>
              <w:t>3.原辅材料及能源消耗</w:t>
            </w:r>
          </w:p>
          <w:p>
            <w:pPr>
              <w:ind w:firstLine="480"/>
              <w:rPr>
                <w:bCs/>
              </w:rPr>
            </w:pPr>
            <w:r>
              <w:rPr>
                <w:rFonts w:hint="eastAsia"/>
                <w:bCs/>
              </w:rPr>
              <w:t>原辅材料及能源消耗情况见下表2-4</w:t>
            </w:r>
            <w:r>
              <w:rPr>
                <w:bCs/>
              </w:rPr>
              <w:t>。</w:t>
            </w:r>
          </w:p>
          <w:p>
            <w:pPr>
              <w:pStyle w:val="25"/>
            </w:pPr>
            <w:r>
              <w:t>表2</w:t>
            </w:r>
            <w:r>
              <w:rPr>
                <w:rFonts w:hint="eastAsia"/>
              </w:rPr>
              <w:t>-4</w:t>
            </w:r>
            <w:r>
              <w:t>原辅材料及能源消耗一览表</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12"/>
              <w:gridCol w:w="682"/>
              <w:gridCol w:w="1440"/>
              <w:gridCol w:w="745"/>
              <w:gridCol w:w="1022"/>
              <w:gridCol w:w="2754"/>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4" w:hRule="atLeast"/>
                <w:tblHeader/>
                <w:jc w:val="center"/>
              </w:trPr>
              <w:tc>
                <w:tcPr>
                  <w:tcW w:w="1055" w:type="pct"/>
                  <w:gridSpan w:val="2"/>
                  <w:vAlign w:val="center"/>
                </w:tcPr>
                <w:p>
                  <w:pPr>
                    <w:pStyle w:val="39"/>
                    <w:jc w:val="center"/>
                  </w:pPr>
                  <w:r>
                    <w:t>序号</w:t>
                  </w:r>
                </w:p>
              </w:tc>
              <w:tc>
                <w:tcPr>
                  <w:tcW w:w="953" w:type="pct"/>
                  <w:vAlign w:val="center"/>
                </w:tcPr>
                <w:p>
                  <w:pPr>
                    <w:pStyle w:val="39"/>
                    <w:jc w:val="center"/>
                  </w:pPr>
                  <w:r>
                    <w:t>原辅材料名称</w:t>
                  </w:r>
                </w:p>
              </w:tc>
              <w:tc>
                <w:tcPr>
                  <w:tcW w:w="493" w:type="pct"/>
                  <w:vAlign w:val="center"/>
                </w:tcPr>
                <w:p>
                  <w:pPr>
                    <w:pStyle w:val="39"/>
                    <w:jc w:val="center"/>
                  </w:pPr>
                  <w:r>
                    <w:t>单位</w:t>
                  </w:r>
                </w:p>
              </w:tc>
              <w:tc>
                <w:tcPr>
                  <w:tcW w:w="676" w:type="pct"/>
                  <w:vAlign w:val="center"/>
                </w:tcPr>
                <w:p>
                  <w:pPr>
                    <w:pStyle w:val="39"/>
                    <w:jc w:val="center"/>
                  </w:pPr>
                  <w:r>
                    <w:t>年耗量</w:t>
                  </w:r>
                </w:p>
              </w:tc>
              <w:tc>
                <w:tcPr>
                  <w:tcW w:w="1822" w:type="pct"/>
                  <w:vAlign w:val="center"/>
                </w:tcPr>
                <w:p>
                  <w:pPr>
                    <w:pStyle w:val="39"/>
                    <w:jc w:val="center"/>
                  </w:pPr>
                  <w:r>
                    <w:t>备注</w:t>
                  </w:r>
                </w:p>
              </w:tc>
            </w:tr>
            <w:tr>
              <w:tblPrEx>
                <w:tblCellMar>
                  <w:top w:w="0" w:type="dxa"/>
                  <w:left w:w="108" w:type="dxa"/>
                  <w:bottom w:w="0" w:type="dxa"/>
                  <w:right w:w="108" w:type="dxa"/>
                </w:tblCellMar>
              </w:tblPrEx>
              <w:trPr>
                <w:trHeight w:val="279" w:hRule="atLeast"/>
                <w:jc w:val="center"/>
              </w:trPr>
              <w:tc>
                <w:tcPr>
                  <w:tcW w:w="604" w:type="pct"/>
                  <w:vMerge w:val="restart"/>
                  <w:vAlign w:val="center"/>
                </w:tcPr>
                <w:p>
                  <w:pPr>
                    <w:pStyle w:val="39"/>
                    <w:jc w:val="center"/>
                  </w:pPr>
                  <w:r>
                    <w:t>原辅料</w:t>
                  </w:r>
                </w:p>
              </w:tc>
              <w:tc>
                <w:tcPr>
                  <w:tcW w:w="450" w:type="pct"/>
                  <w:vAlign w:val="center"/>
                </w:tcPr>
                <w:p>
                  <w:pPr>
                    <w:pStyle w:val="39"/>
                    <w:jc w:val="center"/>
                  </w:pPr>
                  <w:r>
                    <w:t>1</w:t>
                  </w:r>
                </w:p>
              </w:tc>
              <w:tc>
                <w:tcPr>
                  <w:tcW w:w="953" w:type="pct"/>
                  <w:vAlign w:val="center"/>
                </w:tcPr>
                <w:p>
                  <w:pPr>
                    <w:pStyle w:val="39"/>
                    <w:jc w:val="center"/>
                  </w:pPr>
                  <w:r>
                    <w:t>水泥</w:t>
                  </w:r>
                </w:p>
              </w:tc>
              <w:tc>
                <w:tcPr>
                  <w:tcW w:w="493" w:type="pct"/>
                  <w:vAlign w:val="center"/>
                </w:tcPr>
                <w:p>
                  <w:pPr>
                    <w:pStyle w:val="39"/>
                    <w:jc w:val="center"/>
                  </w:pPr>
                  <w:r>
                    <w:t>t/a</w:t>
                  </w:r>
                </w:p>
              </w:tc>
              <w:tc>
                <w:tcPr>
                  <w:tcW w:w="676" w:type="pct"/>
                  <w:vAlign w:val="center"/>
                </w:tcPr>
                <w:p>
                  <w:pPr>
                    <w:pStyle w:val="39"/>
                    <w:jc w:val="center"/>
                  </w:pPr>
                  <w:r>
                    <w:rPr>
                      <w:rFonts w:hint="eastAsia"/>
                    </w:rPr>
                    <w:t>4500</w:t>
                  </w:r>
                </w:p>
              </w:tc>
              <w:tc>
                <w:tcPr>
                  <w:tcW w:w="1822" w:type="pct"/>
                  <w:vAlign w:val="center"/>
                </w:tcPr>
                <w:p>
                  <w:pPr>
                    <w:pStyle w:val="39"/>
                    <w:jc w:val="center"/>
                  </w:pPr>
                  <w:r>
                    <w:t>粉状、</w:t>
                  </w:r>
                  <w:r>
                    <w:rPr>
                      <w:rFonts w:hint="eastAsia"/>
                    </w:rPr>
                    <w:t>筒仓</w:t>
                  </w:r>
                  <w:r>
                    <w:t>储存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279" w:hRule="atLeast"/>
                <w:jc w:val="center"/>
              </w:trPr>
              <w:tc>
                <w:tcPr>
                  <w:tcW w:w="604" w:type="pct"/>
                  <w:vMerge w:val="continue"/>
                  <w:vAlign w:val="center"/>
                </w:tcPr>
                <w:p>
                  <w:pPr>
                    <w:pStyle w:val="39"/>
                    <w:jc w:val="center"/>
                  </w:pPr>
                </w:p>
              </w:tc>
              <w:tc>
                <w:tcPr>
                  <w:tcW w:w="450" w:type="pct"/>
                  <w:vAlign w:val="center"/>
                </w:tcPr>
                <w:p>
                  <w:pPr>
                    <w:pStyle w:val="39"/>
                    <w:jc w:val="center"/>
                  </w:pPr>
                  <w:r>
                    <w:t>2</w:t>
                  </w:r>
                </w:p>
              </w:tc>
              <w:tc>
                <w:tcPr>
                  <w:tcW w:w="953" w:type="pct"/>
                  <w:vAlign w:val="center"/>
                </w:tcPr>
                <w:p>
                  <w:pPr>
                    <w:pStyle w:val="39"/>
                    <w:jc w:val="center"/>
                  </w:pPr>
                  <w:r>
                    <w:t>粉煤灰</w:t>
                  </w:r>
                </w:p>
              </w:tc>
              <w:tc>
                <w:tcPr>
                  <w:tcW w:w="493" w:type="pct"/>
                  <w:vAlign w:val="center"/>
                </w:tcPr>
                <w:p>
                  <w:pPr>
                    <w:pStyle w:val="39"/>
                    <w:jc w:val="center"/>
                  </w:pPr>
                  <w:r>
                    <w:t>t/a</w:t>
                  </w:r>
                </w:p>
              </w:tc>
              <w:tc>
                <w:tcPr>
                  <w:tcW w:w="676" w:type="pct"/>
                  <w:vAlign w:val="center"/>
                </w:tcPr>
                <w:p>
                  <w:pPr>
                    <w:pStyle w:val="39"/>
                    <w:jc w:val="center"/>
                  </w:pPr>
                  <w:r>
                    <w:rPr>
                      <w:rFonts w:hint="eastAsia"/>
                    </w:rPr>
                    <w:t>2200</w:t>
                  </w:r>
                </w:p>
              </w:tc>
              <w:tc>
                <w:tcPr>
                  <w:tcW w:w="1822" w:type="pct"/>
                  <w:vAlign w:val="center"/>
                </w:tcPr>
                <w:p>
                  <w:pPr>
                    <w:pStyle w:val="39"/>
                    <w:jc w:val="center"/>
                  </w:pPr>
                  <w:r>
                    <w:t>粉状、</w:t>
                  </w:r>
                  <w:r>
                    <w:rPr>
                      <w:rFonts w:hint="eastAsia"/>
                    </w:rPr>
                    <w:t>筒仓</w:t>
                  </w:r>
                  <w:r>
                    <w:t>储存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279" w:hRule="atLeast"/>
                <w:jc w:val="center"/>
              </w:trPr>
              <w:tc>
                <w:tcPr>
                  <w:tcW w:w="604" w:type="pct"/>
                  <w:vMerge w:val="continue"/>
                  <w:vAlign w:val="center"/>
                </w:tcPr>
                <w:p>
                  <w:pPr>
                    <w:pStyle w:val="39"/>
                    <w:jc w:val="center"/>
                  </w:pPr>
                </w:p>
              </w:tc>
              <w:tc>
                <w:tcPr>
                  <w:tcW w:w="450" w:type="pct"/>
                  <w:vAlign w:val="center"/>
                </w:tcPr>
                <w:p>
                  <w:pPr>
                    <w:pStyle w:val="39"/>
                    <w:jc w:val="center"/>
                  </w:pPr>
                  <w:r>
                    <w:t>3</w:t>
                  </w:r>
                </w:p>
              </w:tc>
              <w:tc>
                <w:tcPr>
                  <w:tcW w:w="953" w:type="pct"/>
                  <w:vAlign w:val="center"/>
                </w:tcPr>
                <w:p>
                  <w:pPr>
                    <w:pStyle w:val="39"/>
                    <w:jc w:val="center"/>
                  </w:pPr>
                  <w:r>
                    <w:t>砂</w:t>
                  </w:r>
                </w:p>
              </w:tc>
              <w:tc>
                <w:tcPr>
                  <w:tcW w:w="493" w:type="pct"/>
                  <w:vAlign w:val="center"/>
                </w:tcPr>
                <w:p>
                  <w:pPr>
                    <w:pStyle w:val="39"/>
                    <w:jc w:val="center"/>
                  </w:pPr>
                  <w:r>
                    <w:t>t/a</w:t>
                  </w:r>
                </w:p>
              </w:tc>
              <w:tc>
                <w:tcPr>
                  <w:tcW w:w="676" w:type="pct"/>
                  <w:vAlign w:val="center"/>
                </w:tcPr>
                <w:p>
                  <w:pPr>
                    <w:pStyle w:val="39"/>
                    <w:jc w:val="center"/>
                  </w:pPr>
                  <w:r>
                    <w:rPr>
                      <w:rFonts w:hint="eastAsia"/>
                    </w:rPr>
                    <w:t>17000</w:t>
                  </w:r>
                </w:p>
              </w:tc>
              <w:tc>
                <w:tcPr>
                  <w:tcW w:w="1822" w:type="pct"/>
                  <w:vAlign w:val="center"/>
                </w:tcPr>
                <w:p>
                  <w:pPr>
                    <w:pStyle w:val="39"/>
                    <w:jc w:val="center"/>
                  </w:pPr>
                  <w:r>
                    <w:t>颗粒状、</w:t>
                  </w:r>
                  <w:r>
                    <w:rPr>
                      <w:rFonts w:hint="eastAsia"/>
                    </w:rPr>
                    <w:t>砂石料库</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279" w:hRule="atLeast"/>
                <w:jc w:val="center"/>
              </w:trPr>
              <w:tc>
                <w:tcPr>
                  <w:tcW w:w="604" w:type="pct"/>
                  <w:vMerge w:val="continue"/>
                  <w:vAlign w:val="center"/>
                </w:tcPr>
                <w:p>
                  <w:pPr>
                    <w:pStyle w:val="39"/>
                    <w:jc w:val="center"/>
                  </w:pPr>
                </w:p>
              </w:tc>
              <w:tc>
                <w:tcPr>
                  <w:tcW w:w="450" w:type="pct"/>
                  <w:vAlign w:val="center"/>
                </w:tcPr>
                <w:p>
                  <w:pPr>
                    <w:pStyle w:val="39"/>
                    <w:jc w:val="center"/>
                  </w:pPr>
                  <w:r>
                    <w:t>4</w:t>
                  </w:r>
                </w:p>
              </w:tc>
              <w:tc>
                <w:tcPr>
                  <w:tcW w:w="953" w:type="pct"/>
                  <w:vAlign w:val="center"/>
                </w:tcPr>
                <w:p>
                  <w:pPr>
                    <w:pStyle w:val="39"/>
                    <w:jc w:val="center"/>
                  </w:pPr>
                  <w:r>
                    <w:t>碎石</w:t>
                  </w:r>
                </w:p>
              </w:tc>
              <w:tc>
                <w:tcPr>
                  <w:tcW w:w="493" w:type="pct"/>
                  <w:vAlign w:val="center"/>
                </w:tcPr>
                <w:p>
                  <w:pPr>
                    <w:pStyle w:val="39"/>
                    <w:jc w:val="center"/>
                  </w:pPr>
                  <w:r>
                    <w:t>t/a</w:t>
                  </w:r>
                </w:p>
              </w:tc>
              <w:tc>
                <w:tcPr>
                  <w:tcW w:w="676" w:type="pct"/>
                  <w:vAlign w:val="center"/>
                </w:tcPr>
                <w:p>
                  <w:pPr>
                    <w:pStyle w:val="39"/>
                    <w:jc w:val="center"/>
                  </w:pPr>
                  <w:r>
                    <w:rPr>
                      <w:rFonts w:hint="eastAsia"/>
                    </w:rPr>
                    <w:t>19000</w:t>
                  </w:r>
                </w:p>
              </w:tc>
              <w:tc>
                <w:tcPr>
                  <w:tcW w:w="1822" w:type="pct"/>
                  <w:vAlign w:val="center"/>
                </w:tcPr>
                <w:p>
                  <w:pPr>
                    <w:pStyle w:val="39"/>
                    <w:jc w:val="center"/>
                  </w:pPr>
                  <w:r>
                    <w:t>块状、</w:t>
                  </w:r>
                  <w:r>
                    <w:rPr>
                      <w:rFonts w:hint="eastAsia"/>
                    </w:rPr>
                    <w:t>砂石料库</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279" w:hRule="atLeast"/>
                <w:jc w:val="center"/>
              </w:trPr>
              <w:tc>
                <w:tcPr>
                  <w:tcW w:w="604" w:type="pct"/>
                  <w:vMerge w:val="continue"/>
                  <w:vAlign w:val="center"/>
                </w:tcPr>
                <w:p>
                  <w:pPr>
                    <w:pStyle w:val="39"/>
                    <w:jc w:val="center"/>
                  </w:pPr>
                </w:p>
              </w:tc>
              <w:tc>
                <w:tcPr>
                  <w:tcW w:w="450" w:type="pct"/>
                  <w:vAlign w:val="center"/>
                </w:tcPr>
                <w:p>
                  <w:pPr>
                    <w:pStyle w:val="39"/>
                    <w:jc w:val="center"/>
                  </w:pPr>
                  <w:r>
                    <w:t>5</w:t>
                  </w:r>
                </w:p>
              </w:tc>
              <w:tc>
                <w:tcPr>
                  <w:tcW w:w="953" w:type="pct"/>
                  <w:vAlign w:val="center"/>
                </w:tcPr>
                <w:p>
                  <w:pPr>
                    <w:pStyle w:val="39"/>
                    <w:jc w:val="center"/>
                  </w:pPr>
                  <w:r>
                    <w:t>外加剂</w:t>
                  </w:r>
                </w:p>
              </w:tc>
              <w:tc>
                <w:tcPr>
                  <w:tcW w:w="493" w:type="pct"/>
                  <w:vAlign w:val="center"/>
                </w:tcPr>
                <w:p>
                  <w:pPr>
                    <w:pStyle w:val="39"/>
                    <w:jc w:val="center"/>
                  </w:pPr>
                  <w:r>
                    <w:t>t/a</w:t>
                  </w:r>
                </w:p>
              </w:tc>
              <w:tc>
                <w:tcPr>
                  <w:tcW w:w="676" w:type="pct"/>
                  <w:vAlign w:val="center"/>
                </w:tcPr>
                <w:p>
                  <w:pPr>
                    <w:pStyle w:val="39"/>
                    <w:jc w:val="center"/>
                  </w:pPr>
                  <w:r>
                    <w:rPr>
                      <w:rFonts w:hint="eastAsia"/>
                    </w:rPr>
                    <w:t>120</w:t>
                  </w:r>
                </w:p>
              </w:tc>
              <w:tc>
                <w:tcPr>
                  <w:tcW w:w="1822" w:type="pct"/>
                  <w:vAlign w:val="center"/>
                </w:tcPr>
                <w:p>
                  <w:pPr>
                    <w:pStyle w:val="39"/>
                    <w:jc w:val="center"/>
                  </w:pPr>
                  <w:r>
                    <w:t>液状、</w:t>
                  </w:r>
                  <w:r>
                    <w:rPr>
                      <w:rFonts w:hint="eastAsia"/>
                    </w:rPr>
                    <w:t>储罐储存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279" w:hRule="atLeast"/>
                <w:jc w:val="center"/>
              </w:trPr>
              <w:tc>
                <w:tcPr>
                  <w:tcW w:w="604" w:type="pct"/>
                  <w:vMerge w:val="restart"/>
                  <w:vAlign w:val="center"/>
                </w:tcPr>
                <w:p>
                  <w:pPr>
                    <w:pStyle w:val="39"/>
                    <w:jc w:val="center"/>
                  </w:pPr>
                  <w:r>
                    <w:t>能源</w:t>
                  </w:r>
                </w:p>
              </w:tc>
              <w:tc>
                <w:tcPr>
                  <w:tcW w:w="450" w:type="pct"/>
                  <w:vAlign w:val="center"/>
                </w:tcPr>
                <w:p>
                  <w:pPr>
                    <w:pStyle w:val="39"/>
                    <w:jc w:val="center"/>
                  </w:pPr>
                  <w:r>
                    <w:t>1</w:t>
                  </w:r>
                </w:p>
              </w:tc>
              <w:tc>
                <w:tcPr>
                  <w:tcW w:w="953" w:type="pct"/>
                  <w:vAlign w:val="center"/>
                </w:tcPr>
                <w:p>
                  <w:pPr>
                    <w:pStyle w:val="39"/>
                    <w:jc w:val="center"/>
                  </w:pPr>
                  <w:r>
                    <w:t>电</w:t>
                  </w:r>
                </w:p>
              </w:tc>
              <w:tc>
                <w:tcPr>
                  <w:tcW w:w="493" w:type="pct"/>
                  <w:vAlign w:val="center"/>
                </w:tcPr>
                <w:p>
                  <w:pPr>
                    <w:pStyle w:val="39"/>
                    <w:jc w:val="center"/>
                  </w:pPr>
                  <w:r>
                    <w:t>kwh</w:t>
                  </w:r>
                </w:p>
              </w:tc>
              <w:tc>
                <w:tcPr>
                  <w:tcW w:w="676" w:type="pct"/>
                  <w:vAlign w:val="center"/>
                </w:tcPr>
                <w:p>
                  <w:pPr>
                    <w:pStyle w:val="39"/>
                    <w:jc w:val="center"/>
                  </w:pPr>
                  <w:r>
                    <w:rPr>
                      <w:rFonts w:hint="eastAsia"/>
                    </w:rPr>
                    <w:t>60000</w:t>
                  </w:r>
                </w:p>
              </w:tc>
              <w:tc>
                <w:tcPr>
                  <w:tcW w:w="1822" w:type="pct"/>
                  <w:vAlign w:val="center"/>
                </w:tcPr>
                <w:p>
                  <w:pPr>
                    <w:pStyle w:val="39"/>
                    <w:jc w:val="center"/>
                  </w:pPr>
                  <w:r>
                    <w:rPr>
                      <w:rFonts w:hint="eastAsia"/>
                    </w:rPr>
                    <w:t>专属变压器</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8" w:hRule="atLeast"/>
                <w:jc w:val="center"/>
              </w:trPr>
              <w:tc>
                <w:tcPr>
                  <w:tcW w:w="604" w:type="pct"/>
                  <w:vMerge w:val="continue"/>
                  <w:vAlign w:val="center"/>
                </w:tcPr>
                <w:p>
                  <w:pPr>
                    <w:pStyle w:val="39"/>
                    <w:jc w:val="center"/>
                  </w:pPr>
                </w:p>
              </w:tc>
              <w:tc>
                <w:tcPr>
                  <w:tcW w:w="450" w:type="pct"/>
                  <w:vAlign w:val="center"/>
                </w:tcPr>
                <w:p>
                  <w:pPr>
                    <w:pStyle w:val="39"/>
                    <w:jc w:val="center"/>
                  </w:pPr>
                  <w:r>
                    <w:rPr>
                      <w:rFonts w:hint="eastAsia"/>
                    </w:rPr>
                    <w:t>2</w:t>
                  </w:r>
                </w:p>
              </w:tc>
              <w:tc>
                <w:tcPr>
                  <w:tcW w:w="953" w:type="pct"/>
                  <w:vAlign w:val="center"/>
                </w:tcPr>
                <w:p>
                  <w:pPr>
                    <w:pStyle w:val="39"/>
                    <w:jc w:val="center"/>
                  </w:pPr>
                  <w:r>
                    <w:t>水</w:t>
                  </w:r>
                </w:p>
              </w:tc>
              <w:tc>
                <w:tcPr>
                  <w:tcW w:w="493" w:type="pct"/>
                  <w:vAlign w:val="center"/>
                </w:tcPr>
                <w:p>
                  <w:pPr>
                    <w:pStyle w:val="39"/>
                    <w:jc w:val="center"/>
                  </w:pPr>
                  <w:r>
                    <w:t>m</w:t>
                  </w:r>
                  <w:r>
                    <w:rPr>
                      <w:vertAlign w:val="superscript"/>
                    </w:rPr>
                    <w:t>3</w:t>
                  </w:r>
                  <w:r>
                    <w:t>/a</w:t>
                  </w:r>
                </w:p>
              </w:tc>
              <w:tc>
                <w:tcPr>
                  <w:tcW w:w="676" w:type="pct"/>
                  <w:vAlign w:val="center"/>
                </w:tcPr>
                <w:p>
                  <w:pPr>
                    <w:pStyle w:val="39"/>
                    <w:jc w:val="center"/>
                  </w:pPr>
                  <w:r>
                    <w:rPr>
                      <w:rFonts w:hint="eastAsia"/>
                    </w:rPr>
                    <w:t>5800</w:t>
                  </w:r>
                </w:p>
              </w:tc>
              <w:tc>
                <w:tcPr>
                  <w:tcW w:w="1822" w:type="pct"/>
                  <w:vAlign w:val="center"/>
                </w:tcPr>
                <w:p>
                  <w:pPr>
                    <w:pStyle w:val="39"/>
                    <w:jc w:val="center"/>
                    <w:rPr>
                      <w:rFonts w:hint="eastAsia" w:eastAsia="宋体"/>
                      <w:lang w:eastAsia="zh-CN"/>
                    </w:rPr>
                  </w:pPr>
                  <w:r>
                    <w:rPr>
                      <w:rFonts w:hint="eastAsia"/>
                    </w:rPr>
                    <w:t>内蒙古皓淇环境卫生管理有限公司污水处理厂处理后的中水</w:t>
                  </w:r>
                  <w:r>
                    <w:rPr>
                      <w:rFonts w:hint="eastAsia"/>
                      <w:lang w:eastAsia="zh-CN"/>
                    </w:rPr>
                    <w:t>。</w:t>
                  </w:r>
                </w:p>
              </w:tc>
            </w:tr>
          </w:tbl>
          <w:p>
            <w:pPr>
              <w:ind w:firstLine="480"/>
            </w:pPr>
            <w:r>
              <w:rPr>
                <w:rFonts w:hint="eastAsia"/>
              </w:rPr>
              <w:t>项目</w:t>
            </w:r>
            <w:r>
              <w:t>部分原辅材料的成分和性质：</w:t>
            </w:r>
          </w:p>
          <w:p>
            <w:pPr>
              <w:ind w:firstLine="480"/>
            </w:pPr>
            <w:r>
              <w:t>（1）水泥</w:t>
            </w:r>
          </w:p>
          <w:p>
            <w:pPr>
              <w:ind w:firstLine="480"/>
            </w:pPr>
            <w:r>
              <w:t>水泥品种是以水泥的性能为依据划分的。我国常用的水泥都是硅酸盐系列水泥，主要是通过调整硅酸盐水泥熟料，合理掺入不同品种、不同数量的混合材料划分的。硅酸盐水泥熟料中主要矿物有硅酸三钙、硅酸二钙、铝酸三钙和铁铝酸四钙四种。水泥的性质主要由熟料的矿物组成和矿物结构、混合材料的质量和数量以及石膏掺量和粉磨细度等因素决定。所以不同生产厂和不同生产方式的水泥，其性质是不同的。</w:t>
            </w:r>
          </w:p>
          <w:p>
            <w:pPr>
              <w:ind w:firstLine="480"/>
            </w:pPr>
            <w:r>
              <w:rPr>
                <w:rFonts w:hint="eastAsia"/>
              </w:rPr>
              <w:t>（2）</w:t>
            </w:r>
            <w:r>
              <w:t>粉煤灰</w:t>
            </w:r>
          </w:p>
          <w:p>
            <w:pPr>
              <w:ind w:firstLine="480"/>
            </w:pPr>
            <w:r>
              <w:t>粉煤灰是由煤粉炉排出的烟气中收集到的细颗粒白色粉末，是由矿化程度较低的褐煤燃烧后形成的残灰，它的氧化钙含量较高，具有胶凝性质。粉煤灰一般多呈球形，且富含玻璃体，含量在50%-70%之间。晶体部分主要包括莫来石和石英，此外还有少量未燃尽炭，含量约为1%~22%。从化学成</w:t>
            </w:r>
            <w:r>
              <w:rPr>
                <w:rFonts w:hint="eastAsia"/>
              </w:rPr>
              <w:t>分</w:t>
            </w:r>
            <w:r>
              <w:t>看，粉煤灰主要含有SiO</w:t>
            </w:r>
            <w:r>
              <w:rPr>
                <w:vertAlign w:val="subscript"/>
              </w:rPr>
              <w:t>2</w:t>
            </w:r>
            <w:r>
              <w:t>（30%-60%），Al</w:t>
            </w:r>
            <w:r>
              <w:rPr>
                <w:vertAlign w:val="subscript"/>
              </w:rPr>
              <w:t>2</w:t>
            </w:r>
            <w:r>
              <w:t>O</w:t>
            </w:r>
            <w:r>
              <w:rPr>
                <w:vertAlign w:val="subscript"/>
              </w:rPr>
              <w:t>3</w:t>
            </w:r>
            <w:r>
              <w:t>（13%-20%），CaO（2%-5%），Fe</w:t>
            </w:r>
            <w:r>
              <w:rPr>
                <w:vertAlign w:val="subscript"/>
              </w:rPr>
              <w:t>2</w:t>
            </w:r>
            <w:r>
              <w:t>O</w:t>
            </w:r>
            <w:r>
              <w:rPr>
                <w:vertAlign w:val="subscript"/>
              </w:rPr>
              <w:t>3</w:t>
            </w:r>
            <w:r>
              <w:t>（3%-10%）等。由于粉煤灰经高温熔融，所以其结构非常致密。</w:t>
            </w:r>
          </w:p>
          <w:p>
            <w:pPr>
              <w:ind w:firstLine="480"/>
            </w:pPr>
            <w:r>
              <w:t>（3）外加剂</w:t>
            </w:r>
          </w:p>
          <w:p>
            <w:pPr>
              <w:ind w:firstLine="480"/>
            </w:pPr>
            <w:r>
              <w:t>它是一种减水、缓凝和引气作用极小的混凝土外加剂。主要成分为萘系（NSF），它们分子结构单元中都含有磺酸基，最佳的分子结构一般为线型主链，并同时有多个长支链，主要通过缩合反应得到。使用该外加剂可以大幅度降低混凝土用水量，从而提高混凝土强度，特别适用于制备高强或流态混凝土；同时，还能延长混凝土凝结时间，降低水泥水化热，适用于各种需要混凝土缓凝的场合。</w:t>
            </w:r>
          </w:p>
          <w:p>
            <w:pPr>
              <w:ind w:firstLine="482"/>
              <w:rPr>
                <w:b/>
                <w:bCs/>
              </w:rPr>
            </w:pPr>
            <w:r>
              <w:rPr>
                <w:rFonts w:hint="eastAsia" w:ascii="宋体" w:hAnsi="宋体" w:cs="宋体"/>
                <w:b/>
                <w:bCs/>
              </w:rPr>
              <w:t>4.</w:t>
            </w:r>
            <w:r>
              <w:rPr>
                <w:b/>
                <w:bCs/>
              </w:rPr>
              <w:t>劳动定员及工作制度</w:t>
            </w:r>
          </w:p>
          <w:p>
            <w:pPr>
              <w:ind w:firstLine="480"/>
            </w:pPr>
            <w:r>
              <w:t>项目</w:t>
            </w:r>
            <w:r>
              <w:rPr>
                <w:rFonts w:hint="eastAsia"/>
              </w:rPr>
              <w:t>劳动定员5</w:t>
            </w:r>
            <w:r>
              <w:t>人，年工作天数为</w:t>
            </w:r>
            <w:r>
              <w:rPr>
                <w:rFonts w:hint="eastAsia"/>
              </w:rPr>
              <w:t>150</w:t>
            </w:r>
            <w:r>
              <w:t>d，每天工作</w:t>
            </w:r>
            <w:r>
              <w:rPr>
                <w:rFonts w:hint="eastAsia"/>
              </w:rPr>
              <w:t>8</w:t>
            </w:r>
            <w:r>
              <w:t>h</w:t>
            </w:r>
            <w:r>
              <w:rPr>
                <w:rFonts w:hint="eastAsia"/>
              </w:rPr>
              <w:t>。</w:t>
            </w:r>
          </w:p>
          <w:p>
            <w:pPr>
              <w:ind w:firstLine="482"/>
              <w:rPr>
                <w:b/>
              </w:rPr>
            </w:pPr>
            <w:r>
              <w:rPr>
                <w:rFonts w:hint="eastAsia"/>
                <w:b/>
              </w:rPr>
              <w:t>5.公用工程</w:t>
            </w:r>
          </w:p>
          <w:p>
            <w:pPr>
              <w:ind w:firstLine="482"/>
              <w:rPr>
                <w:b/>
                <w:bCs/>
              </w:rPr>
            </w:pPr>
            <w:r>
              <w:rPr>
                <w:rFonts w:hint="eastAsia"/>
                <w:b/>
                <w:bCs/>
              </w:rPr>
              <w:t>5.</w:t>
            </w:r>
            <w:r>
              <w:rPr>
                <w:b/>
                <w:bCs/>
              </w:rPr>
              <w:t>1给</w:t>
            </w:r>
            <w:r>
              <w:rPr>
                <w:rFonts w:hint="eastAsia"/>
                <w:b/>
                <w:bCs/>
              </w:rPr>
              <w:t>排</w:t>
            </w:r>
            <w:r>
              <w:rPr>
                <w:b/>
                <w:bCs/>
              </w:rPr>
              <w:t>水</w:t>
            </w:r>
          </w:p>
          <w:p>
            <w:pPr>
              <w:adjustRightInd w:val="0"/>
              <w:snapToGrid w:val="0"/>
              <w:ind w:firstLine="480"/>
              <w:rPr>
                <w:szCs w:val="21"/>
              </w:rPr>
            </w:pPr>
            <w:r>
              <w:rPr>
                <w:szCs w:val="21"/>
              </w:rPr>
              <w:t>项目厂区用水包括生产工艺用水、设备清洗用水、场地冲洗用水、砂石库洒水及员工生活用水，生产工艺用水、设备清洗用水、场地冲洗用水、砂石库洒水</w:t>
            </w:r>
            <w:r>
              <w:rPr>
                <w:rFonts w:hint="eastAsia"/>
                <w:szCs w:val="21"/>
              </w:rPr>
              <w:t>采用外购内蒙古皓淇环境卫生管理有限公司污水处理厂处理后的中水，生活用水采用桶装水</w:t>
            </w:r>
            <w:r>
              <w:rPr>
                <w:szCs w:val="21"/>
              </w:rPr>
              <w:t>。</w:t>
            </w:r>
          </w:p>
          <w:p>
            <w:pPr>
              <w:adjustRightInd w:val="0"/>
              <w:snapToGrid w:val="0"/>
              <w:ind w:firstLine="480"/>
              <w:rPr>
                <w:szCs w:val="21"/>
              </w:rPr>
            </w:pPr>
            <w:r>
              <w:rPr>
                <w:rFonts w:hint="eastAsia"/>
              </w:rPr>
              <w:t>（1）</w:t>
            </w:r>
            <w:r>
              <w:rPr>
                <w:szCs w:val="21"/>
              </w:rPr>
              <w:t>生产工艺</w:t>
            </w:r>
          </w:p>
          <w:p>
            <w:pPr>
              <w:adjustRightInd w:val="0"/>
              <w:snapToGrid w:val="0"/>
              <w:ind w:firstLine="480"/>
              <w:rPr>
                <w:szCs w:val="21"/>
              </w:rPr>
            </w:pPr>
            <w:r>
              <w:rPr>
                <w:szCs w:val="21"/>
              </w:rPr>
              <w:t>根据商品混凝土配合比要求，企业提供生产用水量约为</w:t>
            </w:r>
            <w:r>
              <w:rPr>
                <w:rFonts w:hint="eastAsia"/>
                <w:szCs w:val="21"/>
              </w:rPr>
              <w:t>5800</w:t>
            </w:r>
            <w:r>
              <w:rPr>
                <w:szCs w:val="21"/>
              </w:rPr>
              <w:t>m</w:t>
            </w:r>
            <w:r>
              <w:rPr>
                <w:szCs w:val="21"/>
                <w:vertAlign w:val="superscript"/>
              </w:rPr>
              <w:t>3</w:t>
            </w:r>
            <w:r>
              <w:rPr>
                <w:szCs w:val="21"/>
              </w:rPr>
              <w:t>/a</w:t>
            </w:r>
            <w:r>
              <w:rPr>
                <w:rFonts w:hint="eastAsia"/>
                <w:szCs w:val="21"/>
              </w:rPr>
              <w:t>（38.67</w:t>
            </w:r>
            <w:r>
              <w:rPr>
                <w:szCs w:val="21"/>
              </w:rPr>
              <w:t>m</w:t>
            </w:r>
            <w:r>
              <w:rPr>
                <w:szCs w:val="21"/>
                <w:vertAlign w:val="superscript"/>
              </w:rPr>
              <w:t>3</w:t>
            </w:r>
            <w:r>
              <w:rPr>
                <w:szCs w:val="21"/>
              </w:rPr>
              <w:t>/</w:t>
            </w:r>
            <w:r>
              <w:rPr>
                <w:rFonts w:hint="eastAsia"/>
                <w:szCs w:val="21"/>
              </w:rPr>
              <w:t>d）</w:t>
            </w:r>
            <w:r>
              <w:rPr>
                <w:szCs w:val="21"/>
              </w:rPr>
              <w:t>，全部带入产品中，无废水产生。</w:t>
            </w:r>
          </w:p>
          <w:p>
            <w:pPr>
              <w:adjustRightInd w:val="0"/>
              <w:snapToGrid w:val="0"/>
              <w:ind w:firstLine="480"/>
              <w:rPr>
                <w:szCs w:val="21"/>
              </w:rPr>
            </w:pPr>
            <w:r>
              <w:rPr>
                <w:rFonts w:hint="eastAsia"/>
              </w:rPr>
              <w:t>（2）</w:t>
            </w:r>
            <w:r>
              <w:rPr>
                <w:szCs w:val="21"/>
              </w:rPr>
              <w:t>设备清洗</w:t>
            </w:r>
          </w:p>
          <w:p>
            <w:pPr>
              <w:adjustRightInd w:val="0"/>
              <w:snapToGrid w:val="0"/>
              <w:ind w:firstLine="480"/>
              <w:rPr>
                <w:szCs w:val="21"/>
              </w:rPr>
            </w:pPr>
            <w:r>
              <w:rPr>
                <w:szCs w:val="21"/>
              </w:rPr>
              <w:t>项目搅拌机在暂时停止生产时必须冲洗干净。项目配备了一台搅拌机，每天工作完毕后对搅拌机进行冲洗，参考同类型项目，每次冲洗水用量约为3m</w:t>
            </w:r>
            <w:r>
              <w:rPr>
                <w:szCs w:val="21"/>
                <w:vertAlign w:val="superscript"/>
              </w:rPr>
              <w:t>3</w:t>
            </w:r>
            <w:r>
              <w:rPr>
                <w:szCs w:val="21"/>
              </w:rPr>
              <w:t>/次台，全年冲洗次数为150次。因此，项目搅拌机全年冲洗水用量为450m</w:t>
            </w:r>
            <w:r>
              <w:rPr>
                <w:szCs w:val="21"/>
                <w:vertAlign w:val="superscript"/>
              </w:rPr>
              <w:t>3</w:t>
            </w:r>
            <w:r>
              <w:rPr>
                <w:szCs w:val="21"/>
              </w:rPr>
              <w:t>/a（3m</w:t>
            </w:r>
            <w:r>
              <w:rPr>
                <w:szCs w:val="21"/>
                <w:vertAlign w:val="superscript"/>
              </w:rPr>
              <w:t>3</w:t>
            </w:r>
            <w:r>
              <w:rPr>
                <w:szCs w:val="21"/>
              </w:rPr>
              <w:t>/d）。产污系数按0.8计，设备清洗废水产生量为</w:t>
            </w:r>
            <w:r>
              <w:rPr>
                <w:rFonts w:hint="eastAsia"/>
                <w:szCs w:val="21"/>
              </w:rPr>
              <w:t>360</w:t>
            </w:r>
            <w:r>
              <w:rPr>
                <w:szCs w:val="21"/>
              </w:rPr>
              <w:t>m</w:t>
            </w:r>
            <w:r>
              <w:rPr>
                <w:szCs w:val="21"/>
                <w:vertAlign w:val="superscript"/>
              </w:rPr>
              <w:t>3</w:t>
            </w:r>
            <w:r>
              <w:rPr>
                <w:szCs w:val="21"/>
              </w:rPr>
              <w:t>/a</w:t>
            </w:r>
            <w:r>
              <w:rPr>
                <w:rFonts w:hint="eastAsia"/>
                <w:szCs w:val="21"/>
              </w:rPr>
              <w:t>（2.4</w:t>
            </w:r>
            <w:r>
              <w:rPr>
                <w:szCs w:val="21"/>
              </w:rPr>
              <w:t>m</w:t>
            </w:r>
            <w:r>
              <w:rPr>
                <w:szCs w:val="21"/>
                <w:vertAlign w:val="superscript"/>
              </w:rPr>
              <w:t>3</w:t>
            </w:r>
            <w:r>
              <w:rPr>
                <w:szCs w:val="21"/>
              </w:rPr>
              <w:t>/</w:t>
            </w:r>
            <w:r>
              <w:rPr>
                <w:rFonts w:hint="eastAsia"/>
                <w:szCs w:val="21"/>
              </w:rPr>
              <w:t>d）</w:t>
            </w:r>
            <w:r>
              <w:rPr>
                <w:szCs w:val="21"/>
              </w:rPr>
              <w:t>。设备清洗废水经沉淀处理后全部回用，不外排。</w:t>
            </w:r>
          </w:p>
          <w:p>
            <w:pPr>
              <w:adjustRightInd w:val="0"/>
              <w:snapToGrid w:val="0"/>
              <w:ind w:firstLine="480"/>
              <w:rPr>
                <w:szCs w:val="21"/>
              </w:rPr>
            </w:pPr>
            <w:r>
              <w:rPr>
                <w:rFonts w:hint="eastAsia"/>
              </w:rPr>
              <w:t>（3）</w:t>
            </w:r>
            <w:r>
              <w:rPr>
                <w:szCs w:val="21"/>
              </w:rPr>
              <w:t>场地冲洗</w:t>
            </w:r>
          </w:p>
          <w:p>
            <w:pPr>
              <w:adjustRightInd w:val="0"/>
              <w:snapToGrid w:val="0"/>
              <w:ind w:firstLine="480"/>
              <w:rPr>
                <w:rFonts w:ascii="宋体" w:hAnsi="宋体" w:cs="宋体"/>
                <w:color w:val="000000"/>
                <w:lang w:bidi="ar"/>
              </w:rPr>
            </w:pPr>
            <w:r>
              <w:rPr>
                <w:szCs w:val="21"/>
              </w:rPr>
              <w:t>项目定期对搅拌楼周围场地进行冲洗，一年约冲洗</w:t>
            </w:r>
            <w:r>
              <w:rPr>
                <w:rFonts w:hint="eastAsia"/>
                <w:szCs w:val="21"/>
              </w:rPr>
              <w:t>75</w:t>
            </w:r>
            <w:r>
              <w:rPr>
                <w:szCs w:val="21"/>
              </w:rPr>
              <w:t>次，每次冲洗约2m</w:t>
            </w:r>
            <w:r>
              <w:rPr>
                <w:szCs w:val="21"/>
                <w:vertAlign w:val="superscript"/>
              </w:rPr>
              <w:t>3</w:t>
            </w:r>
            <w:r>
              <w:rPr>
                <w:szCs w:val="21"/>
              </w:rPr>
              <w:t>/次，即</w:t>
            </w:r>
            <w:r>
              <w:rPr>
                <w:rFonts w:hint="eastAsia"/>
                <w:szCs w:val="21"/>
              </w:rPr>
              <w:t>150</w:t>
            </w:r>
            <w:r>
              <w:rPr>
                <w:szCs w:val="21"/>
              </w:rPr>
              <w:t>m</w:t>
            </w:r>
            <w:r>
              <w:rPr>
                <w:szCs w:val="21"/>
                <w:vertAlign w:val="superscript"/>
              </w:rPr>
              <w:t>3</w:t>
            </w:r>
            <w:r>
              <w:rPr>
                <w:szCs w:val="21"/>
              </w:rPr>
              <w:t>/a</w:t>
            </w:r>
            <w:r>
              <w:rPr>
                <w:rFonts w:hint="eastAsia"/>
                <w:szCs w:val="21"/>
              </w:rPr>
              <w:t>（1</w:t>
            </w:r>
            <w:r>
              <w:rPr>
                <w:szCs w:val="21"/>
              </w:rPr>
              <w:t>m</w:t>
            </w:r>
            <w:r>
              <w:rPr>
                <w:szCs w:val="21"/>
                <w:vertAlign w:val="superscript"/>
              </w:rPr>
              <w:t>3</w:t>
            </w:r>
            <w:r>
              <w:rPr>
                <w:szCs w:val="21"/>
              </w:rPr>
              <w:t>/</w:t>
            </w:r>
            <w:r>
              <w:rPr>
                <w:rFonts w:hint="eastAsia"/>
                <w:szCs w:val="21"/>
              </w:rPr>
              <w:t>d）</w:t>
            </w:r>
            <w:r>
              <w:rPr>
                <w:szCs w:val="21"/>
              </w:rPr>
              <w:t>。产污系数按0.8计，场地冲洗废水产生量为</w:t>
            </w:r>
            <w:r>
              <w:rPr>
                <w:rFonts w:hint="eastAsia"/>
                <w:szCs w:val="21"/>
              </w:rPr>
              <w:t>120</w:t>
            </w:r>
            <w:r>
              <w:rPr>
                <w:szCs w:val="21"/>
              </w:rPr>
              <w:t>m</w:t>
            </w:r>
            <w:r>
              <w:rPr>
                <w:szCs w:val="21"/>
                <w:vertAlign w:val="superscript"/>
              </w:rPr>
              <w:t>3</w:t>
            </w:r>
            <w:r>
              <w:rPr>
                <w:szCs w:val="21"/>
              </w:rPr>
              <w:t>/a</w:t>
            </w:r>
            <w:r>
              <w:rPr>
                <w:rFonts w:hint="eastAsia"/>
                <w:szCs w:val="21"/>
              </w:rPr>
              <w:t>（0.8</w:t>
            </w:r>
            <w:r>
              <w:rPr>
                <w:szCs w:val="21"/>
              </w:rPr>
              <w:t>m</w:t>
            </w:r>
            <w:r>
              <w:rPr>
                <w:szCs w:val="21"/>
                <w:vertAlign w:val="superscript"/>
              </w:rPr>
              <w:t>3</w:t>
            </w:r>
            <w:r>
              <w:rPr>
                <w:szCs w:val="21"/>
              </w:rPr>
              <w:t>/</w:t>
            </w:r>
            <w:r>
              <w:rPr>
                <w:rFonts w:hint="eastAsia"/>
                <w:szCs w:val="21"/>
              </w:rPr>
              <w:t>d）</w:t>
            </w:r>
            <w:r>
              <w:rPr>
                <w:szCs w:val="21"/>
              </w:rPr>
              <w:t>。场地冲洗经沉淀处理后全部回用，不外排。</w:t>
            </w:r>
          </w:p>
          <w:p>
            <w:pPr>
              <w:ind w:firstLine="480"/>
            </w:pPr>
            <w:r>
              <w:rPr>
                <w:rFonts w:hint="eastAsia"/>
              </w:rPr>
              <w:t>（4）</w:t>
            </w:r>
            <w:r>
              <w:rPr>
                <w:rFonts w:hint="eastAsia"/>
                <w:lang w:eastAsia="zh-Hans"/>
              </w:rPr>
              <w:t>砂石</w:t>
            </w:r>
            <w:r>
              <w:t>料库洒水</w:t>
            </w:r>
          </w:p>
          <w:p>
            <w:pPr>
              <w:ind w:firstLine="480"/>
            </w:pPr>
            <w:r>
              <w:t>项目</w:t>
            </w:r>
            <w:r>
              <w:rPr>
                <w:rFonts w:hint="eastAsia"/>
                <w:lang w:eastAsia="zh-Hans"/>
              </w:rPr>
              <w:t>砂石</w:t>
            </w:r>
            <w:r>
              <w:t>料库占地</w:t>
            </w:r>
            <w:r>
              <w:rPr>
                <w:rFonts w:hint="eastAsia"/>
              </w:rPr>
              <w:t>600</w:t>
            </w:r>
            <w:r>
              <w:t>m</w:t>
            </w:r>
            <w:r>
              <w:rPr>
                <w:vertAlign w:val="superscript"/>
              </w:rPr>
              <w:t>2</w:t>
            </w:r>
            <w:r>
              <w:t>，参照《内蒙古自治区行业用水定额标准》（2019 年版）-城市环境卫生管理—场地、道路喷洒定额按2L/m</w:t>
            </w:r>
            <w:r>
              <w:rPr>
                <w:vertAlign w:val="superscript"/>
              </w:rPr>
              <w:t>2</w:t>
            </w:r>
            <w:r>
              <w:t>·d，项目每天洒水1次，用水量为</w:t>
            </w:r>
            <w:r>
              <w:rPr>
                <w:rFonts w:hint="eastAsia"/>
              </w:rPr>
              <w:t>1.2</w:t>
            </w:r>
            <w:r>
              <w:t>m</w:t>
            </w:r>
            <w:r>
              <w:rPr>
                <w:vertAlign w:val="superscript"/>
              </w:rPr>
              <w:t>3</w:t>
            </w:r>
            <w:r>
              <w:t>/d，服务期限共计</w:t>
            </w:r>
            <w:r>
              <w:rPr>
                <w:rFonts w:hint="eastAsia"/>
              </w:rPr>
              <w:t>150</w:t>
            </w:r>
            <w:r>
              <w:t>天，则项目洒水降尘共计需要</w:t>
            </w:r>
            <w:r>
              <w:rPr>
                <w:rFonts w:hint="eastAsia"/>
              </w:rPr>
              <w:t>180</w:t>
            </w:r>
            <w:r>
              <w:rPr>
                <w:szCs w:val="21"/>
              </w:rPr>
              <w:t>m</w:t>
            </w:r>
            <w:r>
              <w:rPr>
                <w:szCs w:val="21"/>
                <w:vertAlign w:val="superscript"/>
              </w:rPr>
              <w:t>3</w:t>
            </w:r>
            <w:r>
              <w:rPr>
                <w:szCs w:val="21"/>
              </w:rPr>
              <w:t>/a</w:t>
            </w:r>
            <w:r>
              <w:rPr>
                <w:rFonts w:hint="eastAsia"/>
              </w:rPr>
              <w:t>，</w:t>
            </w:r>
            <w:r>
              <w:t>洒水全部自然蒸发损耗。</w:t>
            </w:r>
          </w:p>
          <w:p>
            <w:pPr>
              <w:ind w:firstLine="480"/>
            </w:pPr>
            <w:r>
              <w:rPr>
                <w:rFonts w:hint="eastAsia"/>
              </w:rPr>
              <w:t>（5）</w:t>
            </w:r>
            <w:r>
              <w:t>绿化用水</w:t>
            </w:r>
          </w:p>
          <w:p>
            <w:pPr>
              <w:ind w:firstLine="480"/>
            </w:pPr>
            <w:r>
              <w:t>厂区绿化用水按2L/m</w:t>
            </w:r>
            <w:r>
              <w:rPr>
                <w:vertAlign w:val="superscript"/>
              </w:rPr>
              <w:t>2</w:t>
            </w:r>
            <w:r>
              <w:t>•d算，绿化面积</w:t>
            </w:r>
            <w:r>
              <w:rPr>
                <w:rFonts w:hint="eastAsia"/>
                <w:lang w:eastAsia="zh-CN"/>
              </w:rPr>
              <w:t>为</w:t>
            </w:r>
            <w:r>
              <w:t>1000m</w:t>
            </w:r>
            <w:r>
              <w:rPr>
                <w:vertAlign w:val="superscript"/>
              </w:rPr>
              <w:t>2</w:t>
            </w:r>
            <w:r>
              <w:rPr>
                <w:rFonts w:hint="eastAsia"/>
              </w:rPr>
              <w:t>。</w:t>
            </w:r>
            <w:r>
              <w:t>夏季进行绿化，则绿化用水量为2m</w:t>
            </w:r>
            <w:r>
              <w:rPr>
                <w:vertAlign w:val="superscript"/>
              </w:rPr>
              <w:t>3</w:t>
            </w:r>
            <w:r>
              <w:t>/d</w:t>
            </w:r>
            <w:r>
              <w:rPr>
                <w:rFonts w:hint="eastAsia"/>
              </w:rPr>
              <w:t>。</w:t>
            </w:r>
            <w:r>
              <w:t>夏季</w:t>
            </w:r>
            <w:r>
              <w:rPr>
                <w:rFonts w:hint="eastAsia"/>
                <w:lang w:eastAsia="zh-CN"/>
              </w:rPr>
              <w:t>按照</w:t>
            </w:r>
            <w:r>
              <w:t>00天计，用水量为200m</w:t>
            </w:r>
            <w:r>
              <w:rPr>
                <w:vertAlign w:val="superscript"/>
              </w:rPr>
              <w:t>3</w:t>
            </w:r>
            <w:r>
              <w:t>/a。</w:t>
            </w:r>
          </w:p>
          <w:p>
            <w:pPr>
              <w:adjustRightInd w:val="0"/>
              <w:snapToGrid w:val="0"/>
              <w:ind w:firstLine="480"/>
              <w:rPr>
                <w:szCs w:val="21"/>
              </w:rPr>
            </w:pPr>
            <w:r>
              <w:rPr>
                <w:rFonts w:hint="eastAsia"/>
              </w:rPr>
              <w:t>（6）</w:t>
            </w:r>
            <w:r>
              <w:rPr>
                <w:szCs w:val="21"/>
              </w:rPr>
              <w:t>员工生活</w:t>
            </w:r>
          </w:p>
          <w:p>
            <w:pPr>
              <w:adjustRightInd w:val="0"/>
              <w:snapToGrid w:val="0"/>
              <w:ind w:firstLine="480"/>
              <w:rPr>
                <w:szCs w:val="21"/>
              </w:rPr>
            </w:pPr>
            <w:r>
              <w:rPr>
                <w:szCs w:val="21"/>
              </w:rPr>
              <w:t>项目定员为5人。员工生活用水按照</w:t>
            </w:r>
            <w:r>
              <w:t>《内蒙古自治区行业用水定额标准》（2019 年版）</w:t>
            </w:r>
            <w:r>
              <w:rPr>
                <w:szCs w:val="21"/>
              </w:rPr>
              <w:t>中用水定额0.06m</w:t>
            </w:r>
            <w:r>
              <w:rPr>
                <w:szCs w:val="21"/>
                <w:vertAlign w:val="superscript"/>
              </w:rPr>
              <w:t>3</w:t>
            </w:r>
            <w:r>
              <w:rPr>
                <w:szCs w:val="21"/>
              </w:rPr>
              <w:t>/人•天计，则本项目员工生活用水量为</w:t>
            </w:r>
            <w:r>
              <w:rPr>
                <w:rFonts w:hint="eastAsia"/>
                <w:szCs w:val="21"/>
              </w:rPr>
              <w:t>0.3</w:t>
            </w:r>
            <w:r>
              <w:rPr>
                <w:szCs w:val="21"/>
              </w:rPr>
              <w:t>m</w:t>
            </w:r>
            <w:r>
              <w:rPr>
                <w:szCs w:val="21"/>
                <w:vertAlign w:val="superscript"/>
              </w:rPr>
              <w:t>3</w:t>
            </w:r>
            <w:r>
              <w:rPr>
                <w:szCs w:val="21"/>
              </w:rPr>
              <w:t>/d（</w:t>
            </w:r>
            <w:r>
              <w:rPr>
                <w:rFonts w:hint="eastAsia"/>
                <w:szCs w:val="21"/>
              </w:rPr>
              <w:t>45</w:t>
            </w:r>
            <w:r>
              <w:rPr>
                <w:szCs w:val="21"/>
              </w:rPr>
              <w:t>m</w:t>
            </w:r>
            <w:r>
              <w:rPr>
                <w:szCs w:val="21"/>
                <w:vertAlign w:val="superscript"/>
              </w:rPr>
              <w:t>3</w:t>
            </w:r>
            <w:r>
              <w:rPr>
                <w:szCs w:val="21"/>
              </w:rPr>
              <w:t>/a）。生活污水污染物主要为COD、BOD</w:t>
            </w:r>
            <w:r>
              <w:rPr>
                <w:szCs w:val="21"/>
                <w:vertAlign w:val="subscript"/>
              </w:rPr>
              <w:t>5</w:t>
            </w:r>
            <w:r>
              <w:rPr>
                <w:szCs w:val="21"/>
              </w:rPr>
              <w:t>、SS、NH</w:t>
            </w:r>
            <w:r>
              <w:rPr>
                <w:szCs w:val="21"/>
                <w:vertAlign w:val="subscript"/>
              </w:rPr>
              <w:t>3</w:t>
            </w:r>
            <w:r>
              <w:rPr>
                <w:szCs w:val="21"/>
              </w:rPr>
              <w:t>-N，生活污水产污系数按0.8计，则项目污水产生量为</w:t>
            </w:r>
            <w:r>
              <w:rPr>
                <w:rFonts w:hint="eastAsia"/>
                <w:szCs w:val="21"/>
              </w:rPr>
              <w:t>0.24</w:t>
            </w:r>
            <w:r>
              <w:rPr>
                <w:szCs w:val="21"/>
              </w:rPr>
              <w:t>m</w:t>
            </w:r>
            <w:r>
              <w:rPr>
                <w:szCs w:val="21"/>
                <w:vertAlign w:val="superscript"/>
              </w:rPr>
              <w:t>3</w:t>
            </w:r>
            <w:r>
              <w:rPr>
                <w:szCs w:val="21"/>
              </w:rPr>
              <w:t>/d（</w:t>
            </w:r>
            <w:r>
              <w:rPr>
                <w:rFonts w:hint="eastAsia"/>
                <w:szCs w:val="21"/>
              </w:rPr>
              <w:t>36</w:t>
            </w:r>
            <w:r>
              <w:rPr>
                <w:szCs w:val="21"/>
              </w:rPr>
              <w:t>m</w:t>
            </w:r>
            <w:r>
              <w:rPr>
                <w:szCs w:val="21"/>
                <w:vertAlign w:val="superscript"/>
              </w:rPr>
              <w:t>3</w:t>
            </w:r>
            <w:r>
              <w:rPr>
                <w:szCs w:val="21"/>
              </w:rPr>
              <w:t>/a），生活污水经化粪池处理后拉运至</w:t>
            </w:r>
            <w:r>
              <w:rPr>
                <w:rFonts w:hint="eastAsia"/>
                <w:szCs w:val="21"/>
              </w:rPr>
              <w:t>内蒙古皓淇环境卫生管理有限公司</w:t>
            </w:r>
            <w:r>
              <w:rPr>
                <w:szCs w:val="21"/>
              </w:rPr>
              <w:t>污水处理厂。</w:t>
            </w:r>
          </w:p>
          <w:p>
            <w:pPr>
              <w:pStyle w:val="25"/>
            </w:pPr>
            <w:r>
              <w:rPr>
                <w:rFonts w:hint="eastAsia"/>
              </w:rPr>
              <w:t>表2-5水平衡一览表</w:t>
            </w:r>
            <w:r>
              <w:rPr>
                <w:rFonts w:hint="eastAsia"/>
                <w:lang w:eastAsia="zh-CN"/>
              </w:rPr>
              <w:t>（</w:t>
            </w:r>
            <w:r>
              <w:rPr>
                <w:rFonts w:hint="eastAsia"/>
              </w:rPr>
              <w:t>单位m</w:t>
            </w:r>
            <w:r>
              <w:rPr>
                <w:rFonts w:hint="eastAsia"/>
                <w:vertAlign w:val="superscript"/>
              </w:rPr>
              <w:t>3</w:t>
            </w:r>
            <w:r>
              <w:rPr>
                <w:rFonts w:hint="eastAsia"/>
              </w:rPr>
              <w:t>/d</w:t>
            </w:r>
            <w:r>
              <w:rPr>
                <w:rFonts w:hint="eastAsia"/>
                <w:lang w:eastAsia="zh-CN"/>
              </w:rPr>
              <w:t>）</w:t>
            </w:r>
          </w:p>
          <w:tbl>
            <w:tblPr>
              <w:tblStyle w:val="17"/>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73"/>
              <w:gridCol w:w="933"/>
              <w:gridCol w:w="814"/>
              <w:gridCol w:w="1084"/>
              <w:gridCol w:w="895"/>
              <w:gridCol w:w="1083"/>
              <w:gridCol w:w="915"/>
              <w:gridCol w:w="55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843" w:type="pct"/>
                  <w:vMerge w:val="restart"/>
                  <w:vAlign w:val="center"/>
                </w:tcPr>
                <w:p>
                  <w:pPr>
                    <w:pStyle w:val="39"/>
                    <w:jc w:val="center"/>
                  </w:pPr>
                  <w:r>
                    <w:rPr>
                      <w:rFonts w:hint="eastAsia"/>
                    </w:rPr>
                    <w:t>名称</w:t>
                  </w:r>
                </w:p>
              </w:tc>
              <w:tc>
                <w:tcPr>
                  <w:tcW w:w="618" w:type="pct"/>
                  <w:vMerge w:val="restart"/>
                  <w:vAlign w:val="center"/>
                </w:tcPr>
                <w:p>
                  <w:pPr>
                    <w:pStyle w:val="39"/>
                    <w:jc w:val="center"/>
                  </w:pPr>
                  <w:r>
                    <w:t>用水量</w:t>
                  </w:r>
                </w:p>
              </w:tc>
              <w:tc>
                <w:tcPr>
                  <w:tcW w:w="1850" w:type="pct"/>
                  <w:gridSpan w:val="3"/>
                  <w:vAlign w:val="center"/>
                </w:tcPr>
                <w:p>
                  <w:pPr>
                    <w:pStyle w:val="39"/>
                    <w:jc w:val="center"/>
                  </w:pPr>
                  <w:r>
                    <w:t>来源</w:t>
                  </w:r>
                </w:p>
              </w:tc>
              <w:tc>
                <w:tcPr>
                  <w:tcW w:w="717" w:type="pct"/>
                  <w:vMerge w:val="restart"/>
                  <w:vAlign w:val="center"/>
                </w:tcPr>
                <w:p>
                  <w:pPr>
                    <w:pStyle w:val="39"/>
                    <w:jc w:val="center"/>
                  </w:pPr>
                  <w:r>
                    <w:t>废水</w:t>
                  </w:r>
                </w:p>
              </w:tc>
              <w:tc>
                <w:tcPr>
                  <w:tcW w:w="606" w:type="pct"/>
                  <w:vMerge w:val="restart"/>
                  <w:vAlign w:val="center"/>
                </w:tcPr>
                <w:p>
                  <w:pPr>
                    <w:pStyle w:val="39"/>
                    <w:jc w:val="center"/>
                  </w:pPr>
                  <w:r>
                    <w:t>损耗</w:t>
                  </w:r>
                </w:p>
              </w:tc>
              <w:tc>
                <w:tcPr>
                  <w:tcW w:w="364" w:type="pct"/>
                  <w:vMerge w:val="restart"/>
                  <w:vAlign w:val="center"/>
                </w:tcPr>
                <w:p>
                  <w:pPr>
                    <w:pStyle w:val="39"/>
                    <w:jc w:val="center"/>
                  </w:pPr>
                  <w: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843" w:type="pct"/>
                  <w:vMerge w:val="continue"/>
                  <w:vAlign w:val="center"/>
                </w:tcPr>
                <w:p>
                  <w:pPr>
                    <w:pStyle w:val="39"/>
                    <w:jc w:val="center"/>
                  </w:pPr>
                </w:p>
              </w:tc>
              <w:tc>
                <w:tcPr>
                  <w:tcW w:w="618" w:type="pct"/>
                  <w:vMerge w:val="continue"/>
                  <w:vAlign w:val="center"/>
                </w:tcPr>
                <w:p>
                  <w:pPr>
                    <w:pStyle w:val="39"/>
                    <w:jc w:val="center"/>
                  </w:pPr>
                </w:p>
              </w:tc>
              <w:tc>
                <w:tcPr>
                  <w:tcW w:w="539" w:type="pct"/>
                  <w:vAlign w:val="center"/>
                </w:tcPr>
                <w:p>
                  <w:pPr>
                    <w:pStyle w:val="39"/>
                    <w:jc w:val="center"/>
                  </w:pPr>
                  <w:r>
                    <w:t>新水</w:t>
                  </w:r>
                </w:p>
              </w:tc>
              <w:tc>
                <w:tcPr>
                  <w:tcW w:w="718" w:type="pct"/>
                  <w:vAlign w:val="center"/>
                </w:tcPr>
                <w:p>
                  <w:pPr>
                    <w:pStyle w:val="39"/>
                    <w:jc w:val="center"/>
                  </w:pPr>
                  <w:r>
                    <w:rPr>
                      <w:rFonts w:hint="eastAsia"/>
                    </w:rPr>
                    <w:t>中水</w:t>
                  </w:r>
                </w:p>
              </w:tc>
              <w:tc>
                <w:tcPr>
                  <w:tcW w:w="592" w:type="pct"/>
                  <w:vAlign w:val="center"/>
                </w:tcPr>
                <w:p>
                  <w:pPr>
                    <w:pStyle w:val="39"/>
                    <w:jc w:val="center"/>
                  </w:pPr>
                  <w:r>
                    <w:t>回用水</w:t>
                  </w:r>
                </w:p>
              </w:tc>
              <w:tc>
                <w:tcPr>
                  <w:tcW w:w="717" w:type="pct"/>
                  <w:vMerge w:val="continue"/>
                  <w:vAlign w:val="center"/>
                </w:tcPr>
                <w:p>
                  <w:pPr>
                    <w:pStyle w:val="39"/>
                    <w:jc w:val="center"/>
                  </w:pPr>
                </w:p>
              </w:tc>
              <w:tc>
                <w:tcPr>
                  <w:tcW w:w="606" w:type="pct"/>
                  <w:vMerge w:val="continue"/>
                  <w:vAlign w:val="center"/>
                </w:tcPr>
                <w:p>
                  <w:pPr>
                    <w:pStyle w:val="39"/>
                    <w:jc w:val="center"/>
                  </w:pPr>
                </w:p>
              </w:tc>
              <w:tc>
                <w:tcPr>
                  <w:tcW w:w="364" w:type="pct"/>
                  <w:vMerge w:val="continue"/>
                  <w:vAlign w:val="center"/>
                </w:tcPr>
                <w:p>
                  <w:pPr>
                    <w:pStyle w:val="39"/>
                    <w:jc w:val="cente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43" w:type="pct"/>
                  <w:vAlign w:val="center"/>
                </w:tcPr>
                <w:p>
                  <w:pPr>
                    <w:pStyle w:val="39"/>
                    <w:jc w:val="center"/>
                  </w:pPr>
                  <w:r>
                    <w:rPr>
                      <w:rFonts w:hint="eastAsia"/>
                    </w:rPr>
                    <w:t>生产工艺</w:t>
                  </w:r>
                </w:p>
              </w:tc>
              <w:tc>
                <w:tcPr>
                  <w:tcW w:w="618" w:type="pct"/>
                  <w:vAlign w:val="center"/>
                </w:tcPr>
                <w:p>
                  <w:pPr>
                    <w:pStyle w:val="39"/>
                    <w:jc w:val="center"/>
                  </w:pPr>
                  <w:r>
                    <w:rPr>
                      <w:rFonts w:hint="eastAsia"/>
                    </w:rPr>
                    <w:t>38.67</w:t>
                  </w:r>
                </w:p>
              </w:tc>
              <w:tc>
                <w:tcPr>
                  <w:tcW w:w="539" w:type="pct"/>
                  <w:vAlign w:val="center"/>
                </w:tcPr>
                <w:p>
                  <w:pPr>
                    <w:pStyle w:val="39"/>
                    <w:jc w:val="center"/>
                  </w:pPr>
                  <w:r>
                    <w:rPr>
                      <w:rFonts w:hint="eastAsia"/>
                    </w:rPr>
                    <w:t>/</w:t>
                  </w:r>
                </w:p>
              </w:tc>
              <w:tc>
                <w:tcPr>
                  <w:tcW w:w="718" w:type="pct"/>
                  <w:vAlign w:val="center"/>
                </w:tcPr>
                <w:p>
                  <w:pPr>
                    <w:pStyle w:val="39"/>
                    <w:jc w:val="center"/>
                  </w:pPr>
                  <w:r>
                    <w:rPr>
                      <w:rFonts w:hint="eastAsia"/>
                    </w:rPr>
                    <w:t>35.47</w:t>
                  </w:r>
                </w:p>
              </w:tc>
              <w:tc>
                <w:tcPr>
                  <w:tcW w:w="592" w:type="pct"/>
                  <w:vAlign w:val="center"/>
                </w:tcPr>
                <w:p>
                  <w:pPr>
                    <w:pStyle w:val="39"/>
                    <w:jc w:val="center"/>
                  </w:pPr>
                  <w:r>
                    <w:rPr>
                      <w:rFonts w:hint="eastAsia"/>
                    </w:rPr>
                    <w:t>3.2</w:t>
                  </w:r>
                </w:p>
              </w:tc>
              <w:tc>
                <w:tcPr>
                  <w:tcW w:w="717" w:type="pct"/>
                  <w:vAlign w:val="center"/>
                </w:tcPr>
                <w:p>
                  <w:pPr>
                    <w:pStyle w:val="39"/>
                    <w:jc w:val="center"/>
                  </w:pPr>
                  <w:r>
                    <w:t>/</w:t>
                  </w:r>
                </w:p>
              </w:tc>
              <w:tc>
                <w:tcPr>
                  <w:tcW w:w="606" w:type="pct"/>
                  <w:vAlign w:val="center"/>
                </w:tcPr>
                <w:p>
                  <w:pPr>
                    <w:pStyle w:val="39"/>
                    <w:jc w:val="center"/>
                  </w:pPr>
                  <w:r>
                    <w:rPr>
                      <w:rFonts w:hint="eastAsia"/>
                    </w:rPr>
                    <w:t>38.67</w:t>
                  </w:r>
                </w:p>
              </w:tc>
              <w:tc>
                <w:tcPr>
                  <w:tcW w:w="364" w:type="pct"/>
                  <w:vAlign w:val="center"/>
                </w:tcPr>
                <w:p>
                  <w:pPr>
                    <w:pStyle w:val="39"/>
                    <w:jc w:val="center"/>
                  </w:pPr>
                  <w: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43" w:type="pct"/>
                  <w:vAlign w:val="center"/>
                </w:tcPr>
                <w:p>
                  <w:pPr>
                    <w:pStyle w:val="39"/>
                    <w:jc w:val="center"/>
                  </w:pPr>
                  <w:r>
                    <w:rPr>
                      <w:rFonts w:hint="eastAsia"/>
                    </w:rPr>
                    <w:t>设备清洗</w:t>
                  </w:r>
                </w:p>
              </w:tc>
              <w:tc>
                <w:tcPr>
                  <w:tcW w:w="618" w:type="pct"/>
                  <w:vAlign w:val="center"/>
                </w:tcPr>
                <w:p>
                  <w:pPr>
                    <w:pStyle w:val="39"/>
                    <w:jc w:val="center"/>
                  </w:pPr>
                  <w:r>
                    <w:rPr>
                      <w:rFonts w:hint="eastAsia"/>
                    </w:rPr>
                    <w:t>3</w:t>
                  </w:r>
                </w:p>
              </w:tc>
              <w:tc>
                <w:tcPr>
                  <w:tcW w:w="539" w:type="pct"/>
                  <w:vAlign w:val="center"/>
                </w:tcPr>
                <w:p>
                  <w:pPr>
                    <w:pStyle w:val="39"/>
                    <w:jc w:val="center"/>
                  </w:pPr>
                  <w:r>
                    <w:rPr>
                      <w:rFonts w:hint="eastAsia"/>
                    </w:rPr>
                    <w:t>/</w:t>
                  </w:r>
                </w:p>
              </w:tc>
              <w:tc>
                <w:tcPr>
                  <w:tcW w:w="718" w:type="pct"/>
                  <w:vAlign w:val="center"/>
                </w:tcPr>
                <w:p>
                  <w:pPr>
                    <w:pStyle w:val="39"/>
                    <w:jc w:val="center"/>
                  </w:pPr>
                  <w:r>
                    <w:rPr>
                      <w:rFonts w:hint="eastAsia"/>
                    </w:rPr>
                    <w:t>3</w:t>
                  </w:r>
                </w:p>
              </w:tc>
              <w:tc>
                <w:tcPr>
                  <w:tcW w:w="592" w:type="pct"/>
                  <w:vAlign w:val="center"/>
                </w:tcPr>
                <w:p>
                  <w:pPr>
                    <w:pStyle w:val="39"/>
                    <w:jc w:val="center"/>
                  </w:pPr>
                  <w:r>
                    <w:t>/</w:t>
                  </w:r>
                </w:p>
              </w:tc>
              <w:tc>
                <w:tcPr>
                  <w:tcW w:w="717" w:type="pct"/>
                  <w:vAlign w:val="center"/>
                </w:tcPr>
                <w:p>
                  <w:pPr>
                    <w:pStyle w:val="39"/>
                    <w:jc w:val="center"/>
                  </w:pPr>
                  <w:r>
                    <w:rPr>
                      <w:rFonts w:hint="eastAsia"/>
                    </w:rPr>
                    <w:t>2.4</w:t>
                  </w:r>
                </w:p>
              </w:tc>
              <w:tc>
                <w:tcPr>
                  <w:tcW w:w="606" w:type="pct"/>
                  <w:vAlign w:val="center"/>
                </w:tcPr>
                <w:p>
                  <w:pPr>
                    <w:pStyle w:val="39"/>
                    <w:jc w:val="center"/>
                  </w:pPr>
                  <w:r>
                    <w:rPr>
                      <w:rFonts w:hint="eastAsia"/>
                    </w:rPr>
                    <w:t>0.6</w:t>
                  </w:r>
                </w:p>
              </w:tc>
              <w:tc>
                <w:tcPr>
                  <w:tcW w:w="364" w:type="pct"/>
                  <w:vAlign w:val="center"/>
                </w:tcPr>
                <w:p>
                  <w:pPr>
                    <w:pStyle w:val="39"/>
                    <w:jc w:val="center"/>
                  </w:pPr>
                  <w: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43" w:type="pct"/>
                  <w:vAlign w:val="center"/>
                </w:tcPr>
                <w:p>
                  <w:pPr>
                    <w:pStyle w:val="39"/>
                    <w:jc w:val="center"/>
                  </w:pPr>
                  <w:r>
                    <w:rPr>
                      <w:rFonts w:hint="eastAsia"/>
                    </w:rPr>
                    <w:t>场地冲洗</w:t>
                  </w:r>
                </w:p>
              </w:tc>
              <w:tc>
                <w:tcPr>
                  <w:tcW w:w="618" w:type="pct"/>
                  <w:vAlign w:val="center"/>
                </w:tcPr>
                <w:p>
                  <w:pPr>
                    <w:pStyle w:val="39"/>
                    <w:jc w:val="center"/>
                  </w:pPr>
                  <w:r>
                    <w:rPr>
                      <w:rFonts w:hint="eastAsia"/>
                    </w:rPr>
                    <w:t>1</w:t>
                  </w:r>
                </w:p>
              </w:tc>
              <w:tc>
                <w:tcPr>
                  <w:tcW w:w="539" w:type="pct"/>
                  <w:vAlign w:val="center"/>
                </w:tcPr>
                <w:p>
                  <w:pPr>
                    <w:pStyle w:val="39"/>
                    <w:jc w:val="center"/>
                  </w:pPr>
                  <w:r>
                    <w:rPr>
                      <w:rFonts w:hint="eastAsia"/>
                    </w:rPr>
                    <w:t>/</w:t>
                  </w:r>
                </w:p>
              </w:tc>
              <w:tc>
                <w:tcPr>
                  <w:tcW w:w="718" w:type="pct"/>
                  <w:vAlign w:val="center"/>
                </w:tcPr>
                <w:p>
                  <w:pPr>
                    <w:pStyle w:val="39"/>
                    <w:jc w:val="center"/>
                  </w:pPr>
                  <w:r>
                    <w:rPr>
                      <w:rFonts w:hint="eastAsia"/>
                    </w:rPr>
                    <w:t>1</w:t>
                  </w:r>
                </w:p>
              </w:tc>
              <w:tc>
                <w:tcPr>
                  <w:tcW w:w="592" w:type="pct"/>
                  <w:vAlign w:val="center"/>
                </w:tcPr>
                <w:p>
                  <w:pPr>
                    <w:pStyle w:val="39"/>
                    <w:jc w:val="center"/>
                  </w:pPr>
                  <w:r>
                    <w:t>/</w:t>
                  </w:r>
                </w:p>
              </w:tc>
              <w:tc>
                <w:tcPr>
                  <w:tcW w:w="717" w:type="pct"/>
                  <w:vAlign w:val="center"/>
                </w:tcPr>
                <w:p>
                  <w:pPr>
                    <w:pStyle w:val="39"/>
                    <w:jc w:val="center"/>
                  </w:pPr>
                  <w:r>
                    <w:rPr>
                      <w:rFonts w:hint="eastAsia"/>
                    </w:rPr>
                    <w:t>0.8</w:t>
                  </w:r>
                </w:p>
              </w:tc>
              <w:tc>
                <w:tcPr>
                  <w:tcW w:w="606" w:type="pct"/>
                  <w:vAlign w:val="center"/>
                </w:tcPr>
                <w:p>
                  <w:pPr>
                    <w:pStyle w:val="39"/>
                    <w:jc w:val="center"/>
                  </w:pPr>
                  <w:r>
                    <w:rPr>
                      <w:rFonts w:hint="eastAsia"/>
                    </w:rPr>
                    <w:t>0.2</w:t>
                  </w:r>
                </w:p>
              </w:tc>
              <w:tc>
                <w:tcPr>
                  <w:tcW w:w="364" w:type="pct"/>
                  <w:vAlign w:val="center"/>
                </w:tcPr>
                <w:p>
                  <w:pPr>
                    <w:pStyle w:val="39"/>
                    <w:jc w:val="center"/>
                  </w:pPr>
                  <w: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43" w:type="pct"/>
                  <w:vAlign w:val="center"/>
                </w:tcPr>
                <w:p>
                  <w:pPr>
                    <w:pStyle w:val="39"/>
                    <w:jc w:val="center"/>
                  </w:pPr>
                  <w:r>
                    <w:rPr>
                      <w:rFonts w:hint="eastAsia"/>
                    </w:rPr>
                    <w:t>砂石库洒水</w:t>
                  </w:r>
                </w:p>
              </w:tc>
              <w:tc>
                <w:tcPr>
                  <w:tcW w:w="618" w:type="pct"/>
                  <w:vAlign w:val="center"/>
                </w:tcPr>
                <w:p>
                  <w:pPr>
                    <w:pStyle w:val="39"/>
                    <w:jc w:val="center"/>
                  </w:pPr>
                  <w:r>
                    <w:rPr>
                      <w:rFonts w:hint="eastAsia"/>
                    </w:rPr>
                    <w:t>1.2</w:t>
                  </w:r>
                </w:p>
              </w:tc>
              <w:tc>
                <w:tcPr>
                  <w:tcW w:w="539" w:type="pct"/>
                  <w:vAlign w:val="center"/>
                </w:tcPr>
                <w:p>
                  <w:pPr>
                    <w:pStyle w:val="39"/>
                    <w:jc w:val="center"/>
                  </w:pPr>
                  <w:r>
                    <w:rPr>
                      <w:rFonts w:hint="eastAsia"/>
                    </w:rPr>
                    <w:t>/</w:t>
                  </w:r>
                </w:p>
              </w:tc>
              <w:tc>
                <w:tcPr>
                  <w:tcW w:w="718" w:type="pct"/>
                  <w:vAlign w:val="center"/>
                </w:tcPr>
                <w:p>
                  <w:pPr>
                    <w:pStyle w:val="39"/>
                    <w:jc w:val="center"/>
                  </w:pPr>
                  <w:r>
                    <w:rPr>
                      <w:rFonts w:hint="eastAsia"/>
                    </w:rPr>
                    <w:t>1.2</w:t>
                  </w:r>
                </w:p>
              </w:tc>
              <w:tc>
                <w:tcPr>
                  <w:tcW w:w="592" w:type="pct"/>
                  <w:vAlign w:val="center"/>
                </w:tcPr>
                <w:p>
                  <w:pPr>
                    <w:pStyle w:val="39"/>
                    <w:jc w:val="center"/>
                  </w:pPr>
                  <w:r>
                    <w:t>/</w:t>
                  </w:r>
                </w:p>
              </w:tc>
              <w:tc>
                <w:tcPr>
                  <w:tcW w:w="717" w:type="pct"/>
                  <w:vAlign w:val="center"/>
                </w:tcPr>
                <w:p>
                  <w:pPr>
                    <w:pStyle w:val="39"/>
                    <w:jc w:val="center"/>
                  </w:pPr>
                  <w:r>
                    <w:rPr>
                      <w:rFonts w:hint="eastAsia"/>
                    </w:rPr>
                    <w:t>/</w:t>
                  </w:r>
                </w:p>
              </w:tc>
              <w:tc>
                <w:tcPr>
                  <w:tcW w:w="606" w:type="pct"/>
                  <w:vAlign w:val="center"/>
                </w:tcPr>
                <w:p>
                  <w:pPr>
                    <w:pStyle w:val="39"/>
                    <w:jc w:val="center"/>
                  </w:pPr>
                  <w:r>
                    <w:rPr>
                      <w:rFonts w:hint="eastAsia"/>
                    </w:rPr>
                    <w:t>1.2</w:t>
                  </w:r>
                </w:p>
              </w:tc>
              <w:tc>
                <w:tcPr>
                  <w:tcW w:w="364" w:type="pct"/>
                  <w:vAlign w:val="center"/>
                </w:tcPr>
                <w:p>
                  <w:pPr>
                    <w:pStyle w:val="39"/>
                    <w:jc w:val="center"/>
                  </w:pPr>
                  <w: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43" w:type="pct"/>
                  <w:vAlign w:val="center"/>
                </w:tcPr>
                <w:p>
                  <w:pPr>
                    <w:pStyle w:val="39"/>
                    <w:jc w:val="center"/>
                  </w:pPr>
                  <w:r>
                    <w:rPr>
                      <w:rFonts w:hint="eastAsia"/>
                    </w:rPr>
                    <w:t>绿化用水</w:t>
                  </w:r>
                </w:p>
              </w:tc>
              <w:tc>
                <w:tcPr>
                  <w:tcW w:w="618" w:type="pct"/>
                  <w:vAlign w:val="center"/>
                </w:tcPr>
                <w:p>
                  <w:pPr>
                    <w:pStyle w:val="39"/>
                    <w:jc w:val="center"/>
                  </w:pPr>
                  <w:r>
                    <w:rPr>
                      <w:rFonts w:hint="eastAsia"/>
                    </w:rPr>
                    <w:t>2</w:t>
                  </w:r>
                </w:p>
              </w:tc>
              <w:tc>
                <w:tcPr>
                  <w:tcW w:w="539" w:type="pct"/>
                  <w:vAlign w:val="center"/>
                </w:tcPr>
                <w:p>
                  <w:pPr>
                    <w:pStyle w:val="39"/>
                    <w:jc w:val="center"/>
                  </w:pPr>
                  <w:r>
                    <w:rPr>
                      <w:rFonts w:hint="eastAsia"/>
                    </w:rPr>
                    <w:t>/</w:t>
                  </w:r>
                </w:p>
              </w:tc>
              <w:tc>
                <w:tcPr>
                  <w:tcW w:w="718" w:type="pct"/>
                  <w:vAlign w:val="center"/>
                </w:tcPr>
                <w:p>
                  <w:pPr>
                    <w:pStyle w:val="39"/>
                    <w:jc w:val="center"/>
                  </w:pPr>
                  <w:r>
                    <w:rPr>
                      <w:rFonts w:hint="eastAsia"/>
                    </w:rPr>
                    <w:t>2</w:t>
                  </w:r>
                </w:p>
              </w:tc>
              <w:tc>
                <w:tcPr>
                  <w:tcW w:w="592" w:type="pct"/>
                  <w:vAlign w:val="center"/>
                </w:tcPr>
                <w:p>
                  <w:pPr>
                    <w:pStyle w:val="39"/>
                    <w:jc w:val="center"/>
                  </w:pPr>
                  <w:r>
                    <w:rPr>
                      <w:rFonts w:hint="eastAsia"/>
                    </w:rPr>
                    <w:t>/</w:t>
                  </w:r>
                </w:p>
              </w:tc>
              <w:tc>
                <w:tcPr>
                  <w:tcW w:w="717" w:type="pct"/>
                  <w:vAlign w:val="center"/>
                </w:tcPr>
                <w:p>
                  <w:pPr>
                    <w:pStyle w:val="39"/>
                    <w:jc w:val="center"/>
                  </w:pPr>
                  <w:r>
                    <w:t>/</w:t>
                  </w:r>
                </w:p>
              </w:tc>
              <w:tc>
                <w:tcPr>
                  <w:tcW w:w="606" w:type="pct"/>
                  <w:vAlign w:val="center"/>
                </w:tcPr>
                <w:p>
                  <w:pPr>
                    <w:pStyle w:val="39"/>
                    <w:jc w:val="center"/>
                  </w:pPr>
                  <w:r>
                    <w:rPr>
                      <w:rFonts w:hint="eastAsia"/>
                    </w:rPr>
                    <w:t>2</w:t>
                  </w:r>
                </w:p>
              </w:tc>
              <w:tc>
                <w:tcPr>
                  <w:tcW w:w="364" w:type="pct"/>
                  <w:vAlign w:val="center"/>
                </w:tcPr>
                <w:p>
                  <w:pPr>
                    <w:pStyle w:val="39"/>
                    <w:jc w:val="center"/>
                  </w:pPr>
                  <w: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43" w:type="pct"/>
                  <w:vAlign w:val="center"/>
                </w:tcPr>
                <w:p>
                  <w:pPr>
                    <w:pStyle w:val="39"/>
                    <w:jc w:val="center"/>
                  </w:pPr>
                  <w:r>
                    <w:rPr>
                      <w:rFonts w:hint="eastAsia"/>
                    </w:rPr>
                    <w:t>员工生活</w:t>
                  </w:r>
                </w:p>
              </w:tc>
              <w:tc>
                <w:tcPr>
                  <w:tcW w:w="618" w:type="pct"/>
                  <w:vAlign w:val="center"/>
                </w:tcPr>
                <w:p>
                  <w:pPr>
                    <w:pStyle w:val="39"/>
                    <w:jc w:val="center"/>
                  </w:pPr>
                  <w:r>
                    <w:rPr>
                      <w:rFonts w:hint="eastAsia"/>
                    </w:rPr>
                    <w:t>0.3</w:t>
                  </w:r>
                </w:p>
              </w:tc>
              <w:tc>
                <w:tcPr>
                  <w:tcW w:w="539" w:type="pct"/>
                  <w:vAlign w:val="center"/>
                </w:tcPr>
                <w:p>
                  <w:pPr>
                    <w:pStyle w:val="39"/>
                    <w:jc w:val="center"/>
                  </w:pPr>
                  <w:r>
                    <w:rPr>
                      <w:rFonts w:hint="eastAsia"/>
                    </w:rPr>
                    <w:t>0.3</w:t>
                  </w:r>
                </w:p>
              </w:tc>
              <w:tc>
                <w:tcPr>
                  <w:tcW w:w="718" w:type="pct"/>
                  <w:vAlign w:val="center"/>
                </w:tcPr>
                <w:p>
                  <w:pPr>
                    <w:pStyle w:val="39"/>
                    <w:jc w:val="center"/>
                  </w:pPr>
                  <w:r>
                    <w:rPr>
                      <w:rFonts w:hint="eastAsia"/>
                    </w:rPr>
                    <w:t>/</w:t>
                  </w:r>
                </w:p>
              </w:tc>
              <w:tc>
                <w:tcPr>
                  <w:tcW w:w="592" w:type="pct"/>
                  <w:vAlign w:val="center"/>
                </w:tcPr>
                <w:p>
                  <w:pPr>
                    <w:pStyle w:val="39"/>
                    <w:jc w:val="center"/>
                  </w:pPr>
                  <w:r>
                    <w:rPr>
                      <w:rFonts w:hint="eastAsia"/>
                    </w:rPr>
                    <w:t>/</w:t>
                  </w:r>
                </w:p>
              </w:tc>
              <w:tc>
                <w:tcPr>
                  <w:tcW w:w="717" w:type="pct"/>
                  <w:vAlign w:val="center"/>
                </w:tcPr>
                <w:p>
                  <w:pPr>
                    <w:pStyle w:val="39"/>
                    <w:jc w:val="center"/>
                  </w:pPr>
                  <w:r>
                    <w:rPr>
                      <w:rFonts w:hint="eastAsia"/>
                    </w:rPr>
                    <w:t>0.24</w:t>
                  </w:r>
                </w:p>
              </w:tc>
              <w:tc>
                <w:tcPr>
                  <w:tcW w:w="606" w:type="pct"/>
                  <w:vAlign w:val="center"/>
                </w:tcPr>
                <w:p>
                  <w:pPr>
                    <w:pStyle w:val="39"/>
                    <w:jc w:val="center"/>
                  </w:pPr>
                  <w:r>
                    <w:rPr>
                      <w:rFonts w:hint="eastAsia"/>
                    </w:rPr>
                    <w:t>0.06</w:t>
                  </w:r>
                </w:p>
              </w:tc>
              <w:tc>
                <w:tcPr>
                  <w:tcW w:w="364" w:type="pct"/>
                  <w:vAlign w:val="center"/>
                </w:tcPr>
                <w:p>
                  <w:pPr>
                    <w:pStyle w:val="39"/>
                    <w:jc w:val="center"/>
                  </w:pPr>
                  <w: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43" w:type="pct"/>
                  <w:vAlign w:val="center"/>
                </w:tcPr>
                <w:p>
                  <w:pPr>
                    <w:pStyle w:val="39"/>
                    <w:jc w:val="center"/>
                  </w:pPr>
                  <w:r>
                    <w:t>合计</w:t>
                  </w:r>
                </w:p>
              </w:tc>
              <w:tc>
                <w:tcPr>
                  <w:tcW w:w="618" w:type="pct"/>
                  <w:vAlign w:val="center"/>
                </w:tcPr>
                <w:p>
                  <w:pPr>
                    <w:pStyle w:val="39"/>
                    <w:jc w:val="center"/>
                  </w:pPr>
                  <w:r>
                    <w:rPr>
                      <w:rFonts w:hint="eastAsia"/>
                    </w:rPr>
                    <w:t>46.17</w:t>
                  </w:r>
                </w:p>
              </w:tc>
              <w:tc>
                <w:tcPr>
                  <w:tcW w:w="539" w:type="pct"/>
                  <w:vAlign w:val="center"/>
                </w:tcPr>
                <w:p>
                  <w:pPr>
                    <w:pStyle w:val="39"/>
                    <w:jc w:val="center"/>
                  </w:pPr>
                  <w:r>
                    <w:rPr>
                      <w:rFonts w:hint="eastAsia"/>
                    </w:rPr>
                    <w:t>0.3</w:t>
                  </w:r>
                </w:p>
              </w:tc>
              <w:tc>
                <w:tcPr>
                  <w:tcW w:w="718" w:type="pct"/>
                  <w:vAlign w:val="center"/>
                </w:tcPr>
                <w:p>
                  <w:pPr>
                    <w:pStyle w:val="39"/>
                    <w:jc w:val="center"/>
                  </w:pPr>
                  <w:r>
                    <w:rPr>
                      <w:rFonts w:hint="eastAsia"/>
                    </w:rPr>
                    <w:t>42.67</w:t>
                  </w:r>
                </w:p>
              </w:tc>
              <w:tc>
                <w:tcPr>
                  <w:tcW w:w="592" w:type="pct"/>
                  <w:vAlign w:val="center"/>
                </w:tcPr>
                <w:p>
                  <w:pPr>
                    <w:pStyle w:val="39"/>
                    <w:jc w:val="center"/>
                  </w:pPr>
                  <w:r>
                    <w:rPr>
                      <w:rFonts w:hint="eastAsia"/>
                    </w:rPr>
                    <w:t>3.2</w:t>
                  </w:r>
                </w:p>
              </w:tc>
              <w:tc>
                <w:tcPr>
                  <w:tcW w:w="717" w:type="pct"/>
                  <w:vAlign w:val="center"/>
                </w:tcPr>
                <w:p>
                  <w:pPr>
                    <w:pStyle w:val="39"/>
                    <w:jc w:val="center"/>
                  </w:pPr>
                  <w:r>
                    <w:rPr>
                      <w:rFonts w:hint="eastAsia"/>
                    </w:rPr>
                    <w:t>3.44</w:t>
                  </w:r>
                </w:p>
              </w:tc>
              <w:tc>
                <w:tcPr>
                  <w:tcW w:w="606" w:type="pct"/>
                  <w:vAlign w:val="center"/>
                </w:tcPr>
                <w:p>
                  <w:pPr>
                    <w:pStyle w:val="39"/>
                    <w:jc w:val="center"/>
                  </w:pPr>
                  <w:r>
                    <w:rPr>
                      <w:rFonts w:hint="eastAsia"/>
                    </w:rPr>
                    <w:t>42.73</w:t>
                  </w:r>
                </w:p>
              </w:tc>
              <w:tc>
                <w:tcPr>
                  <w:tcW w:w="364" w:type="pct"/>
                  <w:vAlign w:val="center"/>
                </w:tcPr>
                <w:p>
                  <w:pPr>
                    <w:pStyle w:val="39"/>
                    <w:jc w:val="center"/>
                  </w:pPr>
                  <w:r>
                    <w:t>/</w:t>
                  </w:r>
                </w:p>
              </w:tc>
            </w:tr>
          </w:tbl>
          <w:p>
            <w:pPr>
              <w:ind w:firstLine="480"/>
              <w:jc w:val="center"/>
            </w:pPr>
            <w:r>
              <w:pict>
                <v:shape id="_x0000_i1025" o:spt="75" type="#_x0000_t75" style="height:312.5pt;width:287.3pt;" filled="f" o:preferrelative="t" stroked="f" coordsize="21600,21600">
                  <v:path/>
                  <v:fill on="f" focussize="0,0"/>
                  <v:stroke on="f" joinstyle="miter"/>
                  <v:imagedata r:id="rId13" o:title=""/>
                  <o:lock v:ext="edit" aspectratio="f"/>
                  <w10:wrap type="none"/>
                  <w10:anchorlock/>
                </v:shape>
              </w:pict>
            </w:r>
          </w:p>
          <w:p>
            <w:pPr>
              <w:pStyle w:val="25"/>
            </w:pPr>
            <w:r>
              <w:rPr>
                <w:rStyle w:val="41"/>
                <w:rFonts w:hint="eastAsia"/>
                <w:b/>
              </w:rPr>
              <w:t>图2-</w:t>
            </w:r>
            <w:r>
              <w:rPr>
                <w:rStyle w:val="41"/>
                <w:rFonts w:hint="eastAsia"/>
                <w:b/>
                <w:lang w:val="en-US" w:eastAsia="zh-CN"/>
              </w:rPr>
              <w:t>1</w:t>
            </w:r>
            <w:r>
              <w:rPr>
                <w:rStyle w:val="41"/>
                <w:rFonts w:hint="eastAsia"/>
                <w:b/>
              </w:rPr>
              <w:t>项目水平衡图</w:t>
            </w:r>
            <w:r>
              <w:rPr>
                <w:rStyle w:val="41"/>
                <w:rFonts w:hint="eastAsia"/>
                <w:b/>
                <w:lang w:eastAsia="zh-CN"/>
              </w:rPr>
              <w:t>（</w:t>
            </w:r>
            <w:r>
              <w:rPr>
                <w:rStyle w:val="41"/>
                <w:rFonts w:hint="eastAsia"/>
                <w:b/>
              </w:rPr>
              <w:t>单位：m</w:t>
            </w:r>
            <w:r>
              <w:rPr>
                <w:rStyle w:val="41"/>
                <w:rFonts w:hint="eastAsia"/>
                <w:b/>
                <w:vertAlign w:val="superscript"/>
              </w:rPr>
              <w:t>3</w:t>
            </w:r>
            <w:r>
              <w:rPr>
                <w:rStyle w:val="41"/>
                <w:rFonts w:hint="eastAsia"/>
                <w:b/>
              </w:rPr>
              <w:t>/d</w:t>
            </w:r>
            <w:r>
              <w:rPr>
                <w:rStyle w:val="41"/>
                <w:rFonts w:hint="eastAsia"/>
                <w:b/>
                <w:lang w:eastAsia="zh-CN"/>
              </w:rPr>
              <w:t>）</w:t>
            </w:r>
          </w:p>
          <w:p>
            <w:pPr>
              <w:ind w:firstLine="482"/>
              <w:rPr>
                <w:b/>
                <w:bCs/>
              </w:rPr>
            </w:pPr>
            <w:r>
              <w:rPr>
                <w:rFonts w:hint="eastAsia"/>
                <w:b/>
                <w:bCs/>
              </w:rPr>
              <w:t>5.2</w:t>
            </w:r>
            <w:r>
              <w:rPr>
                <w:b/>
                <w:bCs/>
              </w:rPr>
              <w:t>供电</w:t>
            </w:r>
          </w:p>
          <w:p>
            <w:pPr>
              <w:tabs>
                <w:tab w:val="left" w:pos="567"/>
              </w:tabs>
              <w:ind w:firstLine="480"/>
              <w:jc w:val="left"/>
              <w:textAlignment w:val="baseline"/>
              <w:rPr>
                <w:szCs w:val="21"/>
              </w:rPr>
            </w:pPr>
            <w:r>
              <w:rPr>
                <w:szCs w:val="21"/>
              </w:rPr>
              <w:t>项目供电由当地的供电局电力系统提供，用电量约</w:t>
            </w:r>
            <w:r>
              <w:rPr>
                <w:rFonts w:hint="eastAsia"/>
                <w:szCs w:val="21"/>
              </w:rPr>
              <w:t>6</w:t>
            </w:r>
            <w:r>
              <w:rPr>
                <w:szCs w:val="21"/>
              </w:rPr>
              <w:t>万kw</w:t>
            </w:r>
            <w:r>
              <w:rPr>
                <w:rFonts w:hint="eastAsia"/>
                <w:szCs w:val="21"/>
              </w:rPr>
              <w:t>·</w:t>
            </w:r>
            <w:r>
              <w:rPr>
                <w:szCs w:val="21"/>
              </w:rPr>
              <w:t>h/a。</w:t>
            </w:r>
          </w:p>
          <w:p>
            <w:pPr>
              <w:ind w:firstLine="482"/>
              <w:rPr>
                <w:b/>
                <w:bCs/>
              </w:rPr>
            </w:pPr>
            <w:r>
              <w:rPr>
                <w:rFonts w:hint="eastAsia"/>
                <w:b/>
                <w:bCs/>
              </w:rPr>
              <w:t>5.3</w:t>
            </w:r>
            <w:r>
              <w:rPr>
                <w:b/>
                <w:bCs/>
              </w:rPr>
              <w:t>供热</w:t>
            </w:r>
          </w:p>
          <w:p>
            <w:pPr>
              <w:ind w:firstLine="480"/>
              <w:rPr>
                <w:color w:val="000000"/>
              </w:rPr>
            </w:pPr>
            <w:r>
              <w:rPr>
                <w:rFonts w:hint="eastAsia"/>
                <w:color w:val="000000"/>
              </w:rPr>
              <w:t>本项目冬季</w:t>
            </w:r>
            <w:r>
              <w:rPr>
                <w:color w:val="000000"/>
              </w:rPr>
              <w:t>采暖方式</w:t>
            </w:r>
            <w:r>
              <w:rPr>
                <w:rFonts w:hint="eastAsia"/>
                <w:color w:val="000000"/>
              </w:rPr>
              <w:t>为电采暖。</w:t>
            </w:r>
          </w:p>
          <w:p>
            <w:pPr>
              <w:ind w:firstLine="482"/>
              <w:rPr>
                <w:rFonts w:hint="eastAsia" w:eastAsia="宋体"/>
                <w:b/>
                <w:bCs/>
                <w:lang w:eastAsia="zh-CN"/>
              </w:rPr>
            </w:pPr>
            <w:r>
              <w:rPr>
                <w:rFonts w:hint="eastAsia"/>
                <w:b/>
                <w:bCs/>
              </w:rPr>
              <w:t>5.4运输方式及储存</w:t>
            </w:r>
            <w:r>
              <w:rPr>
                <w:rFonts w:hint="eastAsia"/>
                <w:b/>
                <w:bCs/>
                <w:lang w:eastAsia="zh-CN"/>
              </w:rPr>
              <w:t>方法</w:t>
            </w:r>
          </w:p>
          <w:p>
            <w:pPr>
              <w:ind w:firstLine="480"/>
              <w:rPr>
                <w:szCs w:val="21"/>
              </w:rPr>
            </w:pPr>
            <w:r>
              <w:t>项目生产过程中原辅料主要为砂、碎石、水泥、粉煤灰、外加剂</w:t>
            </w:r>
            <w:r>
              <w:rPr>
                <w:rFonts w:hint="eastAsia"/>
              </w:rPr>
              <w:t>等</w:t>
            </w:r>
            <w:r>
              <w:t>。砂、碎石经运输车辆运至公司后堆放在原料仓库，水泥、粉煤灰采用密闭的车辆运输至厂区，用输灰管将车辆的出料口与筒仓的进料口连接，采用车辆配套的压缩空气将车辆中的粉料输送至原料仓中储存，外加剂经运输车辆运至公司后存放至搅拌楼旁储罐中。</w:t>
            </w:r>
          </w:p>
          <w:p>
            <w:pPr>
              <w:ind w:firstLine="482"/>
              <w:rPr>
                <w:b/>
                <w:bCs/>
              </w:rPr>
            </w:pPr>
            <w:r>
              <w:rPr>
                <w:rFonts w:hint="eastAsia"/>
                <w:b/>
                <w:bCs/>
              </w:rPr>
              <w:t>5.5运输路线</w:t>
            </w:r>
          </w:p>
          <w:p>
            <w:pPr>
              <w:ind w:firstLine="480"/>
            </w:pPr>
            <w:r>
              <w:t>本项目根据人流与车流分设的原则，形成畅通的车行路线，保证人员、车辆出入的快捷和安全，并与场区外侧主要道路连接，并保证舒适的步行环境，形成便捷、顺畅的交通道路网，创造方便快捷的工作环境。</w:t>
            </w:r>
          </w:p>
          <w:p>
            <w:pPr>
              <w:ind w:firstLine="482"/>
              <w:rPr>
                <w:b/>
                <w:bCs/>
              </w:rPr>
            </w:pPr>
            <w:r>
              <w:rPr>
                <w:rFonts w:hint="eastAsia"/>
                <w:b/>
                <w:bCs/>
              </w:rPr>
              <w:t>5.6厂区绿化</w:t>
            </w:r>
          </w:p>
          <w:p>
            <w:pPr>
              <w:adjustRightInd w:val="0"/>
              <w:snapToGrid w:val="0"/>
              <w:ind w:firstLine="480"/>
            </w:pPr>
            <w:r>
              <w:rPr>
                <w:szCs w:val="21"/>
              </w:rPr>
              <w:t>对厂区进行绿化，种植苗木等绿植，绿化面积为</w:t>
            </w:r>
            <w:r>
              <w:rPr>
                <w:rFonts w:hint="eastAsia"/>
                <w:szCs w:val="21"/>
              </w:rPr>
              <w:t>1</w:t>
            </w:r>
            <w:r>
              <w:rPr>
                <w:szCs w:val="21"/>
              </w:rPr>
              <w:t>000m</w:t>
            </w:r>
            <w:r>
              <w:rPr>
                <w:szCs w:val="21"/>
                <w:vertAlign w:val="superscript"/>
              </w:rPr>
              <w:t>2</w:t>
            </w:r>
            <w:r>
              <w:rPr>
                <w:szCs w:val="21"/>
              </w:rPr>
              <w:t>。</w:t>
            </w:r>
          </w:p>
          <w:p>
            <w:pPr>
              <w:ind w:firstLine="482"/>
              <w:rPr>
                <w:b/>
                <w:bCs/>
              </w:rPr>
            </w:pPr>
            <w:r>
              <w:rPr>
                <w:rFonts w:hint="eastAsia"/>
                <w:b/>
                <w:bCs/>
              </w:rPr>
              <w:t>6.</w:t>
            </w:r>
            <w:r>
              <w:rPr>
                <w:b/>
                <w:bCs/>
              </w:rPr>
              <w:t>平面布置</w:t>
            </w:r>
          </w:p>
          <w:p>
            <w:pPr>
              <w:ind w:firstLine="480"/>
            </w:pPr>
            <w:r>
              <w:t>厂区整体呈长方形，搅拌机主楼位于整厂区</w:t>
            </w:r>
            <w:r>
              <w:rPr>
                <w:rFonts w:hint="eastAsia"/>
              </w:rPr>
              <w:t>南部</w:t>
            </w:r>
            <w:r>
              <w:t>位置，水泥及粉煤灰筒仓位于</w:t>
            </w:r>
            <w:r>
              <w:rPr>
                <w:rFonts w:hint="eastAsia"/>
              </w:rPr>
              <w:t>主机</w:t>
            </w:r>
            <w:r>
              <w:t>楼</w:t>
            </w:r>
            <w:r>
              <w:rPr>
                <w:rFonts w:hint="eastAsia"/>
              </w:rPr>
              <w:t>西侧</w:t>
            </w:r>
            <w:r>
              <w:t>，</w:t>
            </w:r>
            <w:r>
              <w:rPr>
                <w:rFonts w:hint="eastAsia"/>
              </w:rPr>
              <w:t>外加剂储罐位于</w:t>
            </w:r>
            <w:r>
              <w:t>水泥及粉煤灰筒仓</w:t>
            </w:r>
            <w:r>
              <w:rPr>
                <w:rFonts w:hint="eastAsia"/>
              </w:rPr>
              <w:t>下，砂石</w:t>
            </w:r>
            <w:r>
              <w:t>料</w:t>
            </w:r>
            <w:r>
              <w:rPr>
                <w:rFonts w:hint="eastAsia"/>
              </w:rPr>
              <w:t>库</w:t>
            </w:r>
            <w:r>
              <w:t>位于水泥及粉煤灰筒仓</w:t>
            </w:r>
            <w:r>
              <w:rPr>
                <w:rFonts w:hint="eastAsia"/>
              </w:rPr>
              <w:t>西</w:t>
            </w:r>
            <w:r>
              <w:t>侧，便于物料传输，</w:t>
            </w:r>
            <w:r>
              <w:rPr>
                <w:rFonts w:hint="eastAsia"/>
              </w:rPr>
              <w:t>化验室位于主机</w:t>
            </w:r>
            <w:r>
              <w:t>楼</w:t>
            </w:r>
            <w:r>
              <w:rPr>
                <w:rFonts w:hint="eastAsia"/>
              </w:rPr>
              <w:t>南侧，储水罐位于主机楼北侧，主机</w:t>
            </w:r>
            <w:r>
              <w:t>楼</w:t>
            </w:r>
            <w:r>
              <w:rPr>
                <w:rFonts w:hint="eastAsia"/>
              </w:rPr>
              <w:t>北侧连接1根49米长的斜皮带至上料仓，</w:t>
            </w:r>
            <w:r>
              <w:t>办公生活区位于整个厂区</w:t>
            </w:r>
            <w:r>
              <w:rPr>
                <w:rFonts w:hint="eastAsia"/>
              </w:rPr>
              <w:t>北部</w:t>
            </w:r>
            <w:r>
              <w:t>，办公生活</w:t>
            </w:r>
            <w:r>
              <w:rPr>
                <w:rFonts w:hint="eastAsia"/>
              </w:rPr>
              <w:t>区</w:t>
            </w:r>
            <w:r>
              <w:t>与生产区域相对独立，厂区</w:t>
            </w:r>
            <w:r>
              <w:rPr>
                <w:rFonts w:hint="eastAsia"/>
                <w:lang w:eastAsia="zh-CN"/>
              </w:rPr>
              <w:t>总</w:t>
            </w:r>
            <w:r>
              <w:t>平面布置图见附图。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2" w:type="dxa"/>
            <w:vAlign w:val="center"/>
          </w:tcPr>
          <w:p>
            <w:pPr>
              <w:ind w:firstLine="0" w:firstLineChars="0"/>
            </w:pPr>
            <w:r>
              <w:rPr>
                <w:rFonts w:hint="eastAsia"/>
              </w:rPr>
              <w:t>工艺流程和产排污环节</w:t>
            </w:r>
          </w:p>
        </w:tc>
        <w:tc>
          <w:tcPr>
            <w:tcW w:w="7771" w:type="dxa"/>
          </w:tcPr>
          <w:p>
            <w:pPr>
              <w:ind w:firstLine="482"/>
              <w:rPr>
                <w:b/>
                <w:bCs/>
              </w:rPr>
            </w:pPr>
            <w:r>
              <w:rPr>
                <w:b/>
                <w:bCs/>
              </w:rPr>
              <w:t>1</w:t>
            </w:r>
            <w:r>
              <w:rPr>
                <w:rFonts w:hint="eastAsia"/>
                <w:b/>
                <w:bCs/>
              </w:rPr>
              <w:t>.施工期工艺流程及产污节点</w:t>
            </w:r>
          </w:p>
          <w:p>
            <w:pPr>
              <w:ind w:firstLine="480"/>
            </w:pPr>
            <w:r>
              <w:t>项目施工期对环境的主要影响为：施工扬尘、施工废水、施工机械噪声以及施工队伍的生活排污。</w:t>
            </w:r>
          </w:p>
          <w:p>
            <w:pPr>
              <w:ind w:firstLine="480"/>
            </w:pPr>
            <w:r>
              <w:t>施工流程及各阶段主要污染物产生</w:t>
            </w:r>
            <w:r>
              <w:rPr>
                <w:rFonts w:hint="eastAsia"/>
              </w:rPr>
              <w:t>节点</w:t>
            </w:r>
            <w:r>
              <w:t>见下图。.</w:t>
            </w:r>
          </w:p>
          <w:p>
            <w:pPr>
              <w:ind w:firstLine="0" w:firstLineChars="0"/>
              <w:jc w:val="center"/>
            </w:pPr>
            <w:r>
              <w:rPr>
                <w:sz w:val="21"/>
                <w:szCs w:val="21"/>
              </w:rPr>
              <w:drawing>
                <wp:inline distT="0" distB="0" distL="114300" distR="114300">
                  <wp:extent cx="4476750" cy="1599565"/>
                  <wp:effectExtent l="0" t="0" r="0" b="635"/>
                  <wp:docPr id="2" name="图片 14" descr="施工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4" descr="施工期"/>
                          <pic:cNvPicPr>
                            <a:picLocks noChangeAspect="1"/>
                          </pic:cNvPicPr>
                        </pic:nvPicPr>
                        <pic:blipFill>
                          <a:blip r:embed="rId14"/>
                          <a:stretch>
                            <a:fillRect/>
                          </a:stretch>
                        </pic:blipFill>
                        <pic:spPr>
                          <a:xfrm>
                            <a:off x="0" y="0"/>
                            <a:ext cx="4476750" cy="1599565"/>
                          </a:xfrm>
                          <a:prstGeom prst="rect">
                            <a:avLst/>
                          </a:prstGeom>
                          <a:noFill/>
                          <a:ln>
                            <a:noFill/>
                          </a:ln>
                        </pic:spPr>
                      </pic:pic>
                    </a:graphicData>
                  </a:graphic>
                </wp:inline>
              </w:drawing>
            </w:r>
          </w:p>
          <w:p>
            <w:pPr>
              <w:pStyle w:val="25"/>
            </w:pPr>
            <w:r>
              <w:rPr>
                <w:rFonts w:hint="eastAsia"/>
              </w:rPr>
              <w:t>图2-2  施工期工艺流程及产污节点示意图</w:t>
            </w:r>
          </w:p>
          <w:p>
            <w:pPr>
              <w:ind w:firstLine="482"/>
              <w:rPr>
                <w:b/>
                <w:bCs/>
              </w:rPr>
            </w:pPr>
            <w:r>
              <w:rPr>
                <w:rFonts w:hint="eastAsia"/>
                <w:b/>
                <w:bCs/>
              </w:rPr>
              <w:t>2.运营期生产工艺流程及产污节点</w:t>
            </w:r>
          </w:p>
          <w:p>
            <w:pPr>
              <w:adjustRightInd w:val="0"/>
              <w:snapToGrid w:val="0"/>
              <w:spacing w:before="124" w:beforeLines="40"/>
              <w:ind w:firstLine="480"/>
              <w:rPr>
                <w:szCs w:val="21"/>
                <w:lang w:bidi="ar"/>
              </w:rPr>
            </w:pPr>
            <w:r>
              <w:rPr>
                <w:szCs w:val="21"/>
                <w:lang w:bidi="ar"/>
              </w:rPr>
              <w:t>项目营运期生产工艺流程图如下：</w:t>
            </w:r>
          </w:p>
          <w:p>
            <w:pPr>
              <w:ind w:firstLine="0" w:firstLineChars="0"/>
              <w:jc w:val="center"/>
            </w:pPr>
            <w:r>
              <w:object>
                <v:shape id="_x0000_i1026" o:spt="75" type="#_x0000_t75" style="height:339.1pt;width:324.7pt;" o:ole="t" filled="f" o:preferrelative="t" stroked="f" coordsize="21600,21600">
                  <v:path/>
                  <v:fill on="f" focussize="0,0"/>
                  <v:stroke on="f" joinstyle="miter"/>
                  <v:imagedata r:id="rId16" o:title=""/>
                  <o:lock v:ext="edit" aspectratio="f"/>
                  <w10:wrap type="none"/>
                  <w10:anchorlock/>
                </v:shape>
                <o:OLEObject Type="Embed" ProgID="Visio.Drawing.11" ShapeID="_x0000_i1026" DrawAspect="Content" ObjectID="_1468075725" r:id="rId15">
                  <o:LockedField>false</o:LockedField>
                </o:OLEObject>
              </w:object>
            </w:r>
          </w:p>
          <w:p>
            <w:pPr>
              <w:pStyle w:val="25"/>
            </w:pPr>
            <w:r>
              <w:rPr>
                <w:rFonts w:hint="eastAsia"/>
              </w:rPr>
              <w:t xml:space="preserve">图2-3  </w:t>
            </w:r>
            <w:r>
              <w:rPr>
                <w:rFonts w:hint="eastAsia"/>
                <w:color w:val="auto"/>
              </w:rPr>
              <w:t>运营期工艺流程及产污节点示意图</w:t>
            </w:r>
          </w:p>
          <w:p>
            <w:pPr>
              <w:numPr>
                <w:ilvl w:val="0"/>
                <w:numId w:val="1"/>
              </w:numPr>
              <w:ind w:firstLine="480"/>
            </w:pPr>
            <w:r>
              <w:rPr>
                <w:rFonts w:hint="eastAsia"/>
              </w:rPr>
              <w:t>物料</w:t>
            </w:r>
            <w:r>
              <w:t>输送</w:t>
            </w:r>
          </w:p>
          <w:p>
            <w:pPr>
              <w:ind w:firstLine="480"/>
            </w:pPr>
            <w:r>
              <w:t>本项目所用的原料为砂</w:t>
            </w:r>
            <w:r>
              <w:rPr>
                <w:rFonts w:hint="eastAsia"/>
              </w:rPr>
              <w:t>（0.3mm-4.75mm）</w:t>
            </w:r>
            <w:r>
              <w:t>、碎石</w:t>
            </w:r>
            <w:r>
              <w:rPr>
                <w:rFonts w:hint="eastAsia"/>
              </w:rPr>
              <w:t>（5mm-31.5mm）</w:t>
            </w:r>
            <w:r>
              <w:t>、水泥、粉煤灰等，外购的砂、碎石通过斗车运输至项目</w:t>
            </w:r>
            <w:r>
              <w:rPr>
                <w:rFonts w:hint="eastAsia"/>
              </w:rPr>
              <w:t>砂石料库</w:t>
            </w:r>
            <w:r>
              <w:t>，砂石输送过程主要产生粉尘，为无组织排放；水泥、粉煤灰通过密闭车辆运输至筒仓底，通过输灰管将车辆的出料口与筒仓的进料口连接，采用运输车辆配备的空压机将车辆中的粉料通过压缩空气压送到原料筒仓中储存，在输送水泥、粉煤灰过程中会产生粉尘，筒仓内配置脉冲袋式除尘器进行除尘，除尘之后粉尘经顶部排口进行排空。</w:t>
            </w:r>
          </w:p>
          <w:p>
            <w:pPr>
              <w:numPr>
                <w:ilvl w:val="0"/>
                <w:numId w:val="1"/>
              </w:numPr>
              <w:ind w:firstLine="480"/>
            </w:pPr>
            <w:r>
              <w:t>配料</w:t>
            </w:r>
          </w:p>
          <w:p>
            <w:pPr>
              <w:ind w:firstLine="480"/>
            </w:pPr>
            <w:r>
              <w:t>生产前，根据各标号混凝土的配比对各种原材料进行称量，称量及配料过程均通过微机控制系统控制。</w:t>
            </w:r>
          </w:p>
          <w:p>
            <w:pPr>
              <w:numPr>
                <w:ilvl w:val="0"/>
                <w:numId w:val="1"/>
              </w:numPr>
              <w:ind w:firstLine="480"/>
            </w:pPr>
            <w:r>
              <w:t>投料</w:t>
            </w:r>
          </w:p>
          <w:p>
            <w:pPr>
              <w:ind w:firstLine="480"/>
            </w:pPr>
            <w:r>
              <w:t>砂、碎石被堆放在原料库房，通过装载机运至砂石进料斗。进料斗配套的称量装置称量后由皮带输送装置提升至搅拌楼的骨料进料仓，进料完成后打开料仓底部的放料阀门，将骨料一次性放入搅拌主机仓内；投料过程中产生</w:t>
            </w:r>
            <w:r>
              <w:rPr>
                <w:rFonts w:hint="eastAsia"/>
              </w:rPr>
              <w:t>的</w:t>
            </w:r>
            <w:r>
              <w:t>粉尘以无组织形式排放。储存于筒仓中的水泥、粉煤灰由筒仓底部自带的螺旋进料机输送至搅拌楼的粉料进料仓内进行称量，称量完成后打开料仓底部的放料阀门，将粉料放至搅拌主机仓内；然后将水和液态外加剂通过泵抽送至液态物称量仓中，称量完成后通过管道输送至搅拌主机仓内。</w:t>
            </w:r>
          </w:p>
          <w:p>
            <w:pPr>
              <w:numPr>
                <w:ilvl w:val="0"/>
                <w:numId w:val="1"/>
              </w:numPr>
              <w:ind w:firstLine="480"/>
            </w:pPr>
            <w:r>
              <w:t>搅拌</w:t>
            </w:r>
          </w:p>
          <w:p>
            <w:pPr>
              <w:ind w:firstLine="480"/>
            </w:pPr>
            <w:r>
              <w:t>自动计量、配料后的各种原材料输送至搅拌机混合搅拌，搅拌机自动盖料，密封搅拌。仓筒进料和出料过程中由于仓筒内气压变化造成粉料局部起尘，项目仓筒配套设有除尘装置；粉料进料仓为密闭式，当粉料进料称量时产生的粉尘全部进入除尘器内收集，停止工作后由于气压变化粉尘逐渐沉降至粉料仓；粉料仓</w:t>
            </w:r>
            <w:r>
              <w:rPr>
                <w:rFonts w:hint="eastAsia"/>
                <w:lang w:eastAsia="zh-CN"/>
              </w:rPr>
              <w:t>将</w:t>
            </w:r>
            <w:r>
              <w:t>粉料输送至搅拌主机仓进行搅拌过程。在搅拌过程中会产生粉尘，搅拌楼内设置除尘器对搅拌粉尘进行收集，除尘之后粉尘经搅拌楼顶部排口进行排空（高度约</w:t>
            </w:r>
            <w:r>
              <w:rPr>
                <w:rFonts w:hint="eastAsia"/>
              </w:rPr>
              <w:t>21</w:t>
            </w:r>
            <w:r>
              <w:t>m）。</w:t>
            </w:r>
          </w:p>
          <w:p>
            <w:pPr>
              <w:numPr>
                <w:ilvl w:val="0"/>
                <w:numId w:val="1"/>
              </w:numPr>
              <w:ind w:firstLine="480"/>
            </w:pPr>
            <w:r>
              <w:t>抽检</w:t>
            </w:r>
          </w:p>
          <w:p>
            <w:pPr>
              <w:ind w:firstLine="480"/>
            </w:pPr>
            <w:r>
              <w:t>混凝土出场前需进行抽检，抽取少量的混凝土样品进行混凝土强度、坍落度等指标检测</w:t>
            </w:r>
            <w:r>
              <w:rPr>
                <w:rFonts w:hint="eastAsia"/>
              </w:rPr>
              <w:t>。</w:t>
            </w:r>
            <w:r>
              <w:t>检测指标主要为物理指标，不涉及化学实验。经过抽检合格的物品将被装车运往施工现场，而不合格的物品将进行再次搅拌回用。</w:t>
            </w:r>
          </w:p>
          <w:p>
            <w:pPr>
              <w:numPr>
                <w:ilvl w:val="0"/>
                <w:numId w:val="1"/>
              </w:numPr>
              <w:ind w:firstLine="480"/>
            </w:pPr>
            <w:r>
              <w:t>出厂</w:t>
            </w:r>
          </w:p>
          <w:p>
            <w:pPr>
              <w:ind w:firstLine="480"/>
            </w:pPr>
            <w:r>
              <w:t>将抽检合格的商品混凝土装入车辆出厂。</w:t>
            </w:r>
          </w:p>
          <w:p>
            <w:pPr>
              <w:ind w:firstLine="482"/>
              <w:rPr>
                <w:b/>
                <w:bCs/>
              </w:rPr>
            </w:pPr>
            <w:r>
              <w:rPr>
                <w:rFonts w:hint="eastAsia"/>
                <w:b/>
                <w:bCs/>
              </w:rPr>
              <w:t>3</w:t>
            </w:r>
            <w:r>
              <w:rPr>
                <w:rFonts w:hint="eastAsia"/>
                <w:b/>
                <w:bCs/>
                <w:lang w:val="en-US" w:eastAsia="zh-CN"/>
              </w:rPr>
              <w:t>.</w:t>
            </w:r>
            <w:r>
              <w:rPr>
                <w:rFonts w:hint="eastAsia"/>
                <w:b/>
                <w:bCs/>
              </w:rPr>
              <w:t>产污环节分析</w:t>
            </w:r>
          </w:p>
          <w:p>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根据工艺流程分析，本项目运营期主要产污环节及采用的污染防治措施详见下表。</w:t>
            </w:r>
          </w:p>
          <w:p>
            <w:pPr>
              <w:pStyle w:val="25"/>
              <w:rPr>
                <w:color w:val="auto"/>
              </w:rPr>
            </w:pPr>
            <w:r>
              <w:rPr>
                <w:rFonts w:hint="eastAsia"/>
                <w:color w:val="auto"/>
              </w:rPr>
              <w:t>表2-6项目主要产污环节及采用污染防治措施一览表</w:t>
            </w:r>
          </w:p>
          <w:tbl>
            <w:tblPr>
              <w:tblStyle w:val="1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077"/>
              <w:gridCol w:w="1276"/>
              <w:gridCol w:w="1314"/>
              <w:gridCol w:w="319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 w:type="pct"/>
                  <w:vAlign w:val="center"/>
                </w:tcPr>
                <w:p>
                  <w:pPr>
                    <w:pStyle w:val="39"/>
                    <w:jc w:val="center"/>
                    <w:rPr>
                      <w:b/>
                      <w:bCs/>
                      <w:color w:val="auto"/>
                    </w:rPr>
                  </w:pPr>
                  <w:r>
                    <w:rPr>
                      <w:b/>
                      <w:bCs/>
                      <w:color w:val="auto"/>
                    </w:rPr>
                    <w:t>污染类别</w:t>
                  </w:r>
                </w:p>
              </w:tc>
              <w:tc>
                <w:tcPr>
                  <w:tcW w:w="712" w:type="pct"/>
                  <w:vAlign w:val="center"/>
                </w:tcPr>
                <w:p>
                  <w:pPr>
                    <w:pStyle w:val="39"/>
                    <w:jc w:val="center"/>
                    <w:rPr>
                      <w:b/>
                      <w:bCs/>
                      <w:color w:val="auto"/>
                    </w:rPr>
                  </w:pPr>
                  <w:r>
                    <w:rPr>
                      <w:b/>
                      <w:bCs/>
                      <w:color w:val="auto"/>
                    </w:rPr>
                    <w:t>产污环节</w:t>
                  </w:r>
                </w:p>
              </w:tc>
              <w:tc>
                <w:tcPr>
                  <w:tcW w:w="844" w:type="pct"/>
                  <w:vAlign w:val="center"/>
                </w:tcPr>
                <w:p>
                  <w:pPr>
                    <w:pStyle w:val="39"/>
                    <w:jc w:val="center"/>
                    <w:rPr>
                      <w:b/>
                      <w:bCs/>
                      <w:color w:val="auto"/>
                    </w:rPr>
                  </w:pPr>
                  <w:r>
                    <w:rPr>
                      <w:b/>
                      <w:bCs/>
                      <w:color w:val="auto"/>
                    </w:rPr>
                    <w:t>污染源名称</w:t>
                  </w:r>
                </w:p>
              </w:tc>
              <w:tc>
                <w:tcPr>
                  <w:tcW w:w="869" w:type="pct"/>
                  <w:vAlign w:val="center"/>
                </w:tcPr>
                <w:p>
                  <w:pPr>
                    <w:pStyle w:val="39"/>
                    <w:jc w:val="center"/>
                    <w:rPr>
                      <w:b/>
                      <w:bCs/>
                      <w:color w:val="auto"/>
                    </w:rPr>
                  </w:pPr>
                  <w:r>
                    <w:rPr>
                      <w:b/>
                      <w:bCs/>
                      <w:color w:val="auto"/>
                    </w:rPr>
                    <w:t>主要污染物</w:t>
                  </w:r>
                </w:p>
              </w:tc>
              <w:tc>
                <w:tcPr>
                  <w:tcW w:w="2115" w:type="pct"/>
                  <w:vAlign w:val="center"/>
                </w:tcPr>
                <w:p>
                  <w:pPr>
                    <w:pStyle w:val="39"/>
                    <w:jc w:val="center"/>
                    <w:rPr>
                      <w:b/>
                      <w:bCs/>
                      <w:color w:val="auto"/>
                    </w:rPr>
                  </w:pPr>
                  <w:r>
                    <w:rPr>
                      <w:b/>
                      <w:bCs/>
                      <w:color w:val="auto"/>
                    </w:rPr>
                    <w:t>拟采取的措施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 w:type="pct"/>
                  <w:vMerge w:val="restart"/>
                  <w:vAlign w:val="center"/>
                </w:tcPr>
                <w:p>
                  <w:pPr>
                    <w:pStyle w:val="39"/>
                    <w:jc w:val="center"/>
                    <w:rPr>
                      <w:color w:val="auto"/>
                    </w:rPr>
                  </w:pPr>
                  <w:r>
                    <w:rPr>
                      <w:color w:val="auto"/>
                    </w:rPr>
                    <w:t>废气</w:t>
                  </w:r>
                </w:p>
              </w:tc>
              <w:tc>
                <w:tcPr>
                  <w:tcW w:w="712" w:type="pct"/>
                  <w:vAlign w:val="center"/>
                </w:tcPr>
                <w:p>
                  <w:pPr>
                    <w:pStyle w:val="39"/>
                    <w:jc w:val="center"/>
                    <w:rPr>
                      <w:color w:val="auto"/>
                    </w:rPr>
                  </w:pPr>
                  <w:r>
                    <w:rPr>
                      <w:rFonts w:hint="eastAsia"/>
                      <w:color w:val="auto"/>
                    </w:rPr>
                    <w:t>物料输送</w:t>
                  </w:r>
                </w:p>
              </w:tc>
              <w:tc>
                <w:tcPr>
                  <w:tcW w:w="844" w:type="pct"/>
                  <w:vAlign w:val="center"/>
                </w:tcPr>
                <w:p>
                  <w:pPr>
                    <w:pStyle w:val="39"/>
                    <w:jc w:val="center"/>
                    <w:rPr>
                      <w:color w:val="auto"/>
                    </w:rPr>
                  </w:pPr>
                  <w:r>
                    <w:rPr>
                      <w:rFonts w:hint="eastAsia"/>
                      <w:color w:val="auto"/>
                    </w:rPr>
                    <w:t>运输车辆产生的扬尘</w:t>
                  </w:r>
                </w:p>
              </w:tc>
              <w:tc>
                <w:tcPr>
                  <w:tcW w:w="869" w:type="pct"/>
                  <w:vAlign w:val="center"/>
                </w:tcPr>
                <w:p>
                  <w:pPr>
                    <w:pStyle w:val="39"/>
                    <w:jc w:val="center"/>
                    <w:rPr>
                      <w:color w:val="auto"/>
                    </w:rPr>
                  </w:pPr>
                  <w:r>
                    <w:rPr>
                      <w:color w:val="auto"/>
                    </w:rPr>
                    <w:t>颗粒物</w:t>
                  </w:r>
                </w:p>
              </w:tc>
              <w:tc>
                <w:tcPr>
                  <w:tcW w:w="2115" w:type="pct"/>
                  <w:vAlign w:val="center"/>
                </w:tcPr>
                <w:p>
                  <w:pPr>
                    <w:pStyle w:val="39"/>
                    <w:jc w:val="center"/>
                    <w:rPr>
                      <w:color w:val="auto"/>
                    </w:rPr>
                  </w:pPr>
                  <w:r>
                    <w:rPr>
                      <w:rFonts w:hint="eastAsia"/>
                      <w:color w:val="auto"/>
                    </w:rPr>
                    <w:t>路面清扫+洒水抑尘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 w:type="pct"/>
                  <w:vMerge w:val="continue"/>
                  <w:vAlign w:val="center"/>
                </w:tcPr>
                <w:p>
                  <w:pPr>
                    <w:pStyle w:val="39"/>
                    <w:jc w:val="center"/>
                    <w:rPr>
                      <w:color w:val="auto"/>
                    </w:rPr>
                  </w:pPr>
                </w:p>
              </w:tc>
              <w:tc>
                <w:tcPr>
                  <w:tcW w:w="712" w:type="pct"/>
                  <w:vMerge w:val="restart"/>
                  <w:vAlign w:val="center"/>
                </w:tcPr>
                <w:p>
                  <w:pPr>
                    <w:pStyle w:val="39"/>
                    <w:jc w:val="center"/>
                    <w:rPr>
                      <w:color w:val="auto"/>
                    </w:rPr>
                  </w:pPr>
                  <w:r>
                    <w:rPr>
                      <w:color w:val="auto"/>
                    </w:rPr>
                    <w:t>库料存储</w:t>
                  </w:r>
                </w:p>
              </w:tc>
              <w:tc>
                <w:tcPr>
                  <w:tcW w:w="844" w:type="pct"/>
                  <w:vAlign w:val="center"/>
                </w:tcPr>
                <w:p>
                  <w:pPr>
                    <w:pStyle w:val="39"/>
                    <w:jc w:val="center"/>
                    <w:rPr>
                      <w:color w:val="auto"/>
                    </w:rPr>
                  </w:pPr>
                  <w:r>
                    <w:rPr>
                      <w:rFonts w:hint="eastAsia"/>
                      <w:color w:val="auto"/>
                    </w:rPr>
                    <w:t>砂石装卸、堆放产生的扬尘</w:t>
                  </w:r>
                </w:p>
              </w:tc>
              <w:tc>
                <w:tcPr>
                  <w:tcW w:w="869" w:type="pct"/>
                  <w:vAlign w:val="center"/>
                </w:tcPr>
                <w:p>
                  <w:pPr>
                    <w:pStyle w:val="39"/>
                    <w:jc w:val="center"/>
                    <w:rPr>
                      <w:color w:val="auto"/>
                    </w:rPr>
                  </w:pPr>
                  <w:r>
                    <w:rPr>
                      <w:color w:val="auto"/>
                    </w:rPr>
                    <w:t>颗粒物</w:t>
                  </w:r>
                </w:p>
              </w:tc>
              <w:tc>
                <w:tcPr>
                  <w:tcW w:w="2115" w:type="pct"/>
                  <w:vAlign w:val="center"/>
                </w:tcPr>
                <w:p>
                  <w:pPr>
                    <w:pStyle w:val="39"/>
                    <w:jc w:val="center"/>
                    <w:rPr>
                      <w:color w:val="auto"/>
                    </w:rPr>
                  </w:pPr>
                  <w:r>
                    <w:rPr>
                      <w:rFonts w:hint="eastAsia"/>
                      <w:color w:val="auto"/>
                    </w:rPr>
                    <w:t>全</w:t>
                  </w:r>
                  <w:r>
                    <w:rPr>
                      <w:color w:val="auto"/>
                    </w:rPr>
                    <w:t>封闭</w:t>
                  </w:r>
                  <w:r>
                    <w:rPr>
                      <w:rFonts w:hint="eastAsia"/>
                      <w:color w:val="auto"/>
                    </w:rPr>
                    <w:t>砂石料库</w:t>
                  </w:r>
                  <w:r>
                    <w:rPr>
                      <w:color w:val="auto"/>
                    </w:rPr>
                    <w:t>+</w:t>
                  </w:r>
                  <w:r>
                    <w:rPr>
                      <w:rFonts w:hint="eastAsia"/>
                      <w:color w:val="auto"/>
                    </w:rPr>
                    <w:t>定期</w:t>
                  </w:r>
                  <w:r>
                    <w:rPr>
                      <w:color w:val="auto"/>
                    </w:rPr>
                    <w:t>洒水抑尘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 w:type="pct"/>
                  <w:vMerge w:val="continue"/>
                  <w:vAlign w:val="center"/>
                </w:tcPr>
                <w:p>
                  <w:pPr>
                    <w:pStyle w:val="39"/>
                    <w:jc w:val="center"/>
                    <w:rPr>
                      <w:color w:val="auto"/>
                    </w:rPr>
                  </w:pPr>
                </w:p>
              </w:tc>
              <w:tc>
                <w:tcPr>
                  <w:tcW w:w="712" w:type="pct"/>
                  <w:vMerge w:val="continue"/>
                  <w:vAlign w:val="center"/>
                </w:tcPr>
                <w:p>
                  <w:pPr>
                    <w:pStyle w:val="39"/>
                    <w:jc w:val="center"/>
                    <w:rPr>
                      <w:color w:val="auto"/>
                    </w:rPr>
                  </w:pPr>
                </w:p>
              </w:tc>
              <w:tc>
                <w:tcPr>
                  <w:tcW w:w="844" w:type="pct"/>
                  <w:vAlign w:val="center"/>
                </w:tcPr>
                <w:p>
                  <w:pPr>
                    <w:pStyle w:val="39"/>
                    <w:jc w:val="center"/>
                    <w:rPr>
                      <w:color w:val="auto"/>
                    </w:rPr>
                  </w:pPr>
                  <w:r>
                    <w:rPr>
                      <w:rFonts w:hint="eastAsia"/>
                      <w:color w:val="auto"/>
                    </w:rPr>
                    <w:t>砂石配料、投料、皮带输送产生的无组织粉尘</w:t>
                  </w:r>
                </w:p>
              </w:tc>
              <w:tc>
                <w:tcPr>
                  <w:tcW w:w="869" w:type="pct"/>
                  <w:vAlign w:val="center"/>
                </w:tcPr>
                <w:p>
                  <w:pPr>
                    <w:pStyle w:val="39"/>
                    <w:jc w:val="center"/>
                    <w:rPr>
                      <w:color w:val="auto"/>
                    </w:rPr>
                  </w:pPr>
                  <w:r>
                    <w:rPr>
                      <w:color w:val="auto"/>
                    </w:rPr>
                    <w:t>颗粒物</w:t>
                  </w:r>
                </w:p>
              </w:tc>
              <w:tc>
                <w:tcPr>
                  <w:tcW w:w="2115" w:type="pct"/>
                  <w:vAlign w:val="center"/>
                </w:tcPr>
                <w:p>
                  <w:pPr>
                    <w:pStyle w:val="39"/>
                    <w:jc w:val="center"/>
                    <w:rPr>
                      <w:color w:val="auto"/>
                    </w:rPr>
                  </w:pPr>
                  <w:r>
                    <w:rPr>
                      <w:rFonts w:hint="eastAsia"/>
                      <w:color w:val="auto"/>
                    </w:rPr>
                    <w:t>全封料斗（输送皮带）</w:t>
                  </w:r>
                  <w:r>
                    <w:rPr>
                      <w:color w:val="auto"/>
                    </w:rPr>
                    <w:t>+</w:t>
                  </w:r>
                  <w:r>
                    <w:rPr>
                      <w:rFonts w:hint="eastAsia"/>
                      <w:color w:val="auto"/>
                    </w:rPr>
                    <w:t>雾炮</w:t>
                  </w:r>
                  <w:r>
                    <w:rPr>
                      <w:color w:val="auto"/>
                    </w:rPr>
                    <w:t>洒水抑尘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 w:type="pct"/>
                  <w:vMerge w:val="continue"/>
                  <w:vAlign w:val="center"/>
                </w:tcPr>
                <w:p>
                  <w:pPr>
                    <w:pStyle w:val="39"/>
                    <w:jc w:val="center"/>
                    <w:rPr>
                      <w:color w:val="auto"/>
                    </w:rPr>
                  </w:pPr>
                </w:p>
              </w:tc>
              <w:tc>
                <w:tcPr>
                  <w:tcW w:w="712" w:type="pct"/>
                  <w:vMerge w:val="restart"/>
                  <w:vAlign w:val="center"/>
                </w:tcPr>
                <w:p>
                  <w:pPr>
                    <w:pStyle w:val="39"/>
                    <w:jc w:val="center"/>
                    <w:rPr>
                      <w:color w:val="auto"/>
                    </w:rPr>
                  </w:pPr>
                  <w:r>
                    <w:rPr>
                      <w:color w:val="auto"/>
                    </w:rPr>
                    <w:t>混凝土制备</w:t>
                  </w:r>
                </w:p>
              </w:tc>
              <w:tc>
                <w:tcPr>
                  <w:tcW w:w="844" w:type="pct"/>
                  <w:vAlign w:val="center"/>
                </w:tcPr>
                <w:p>
                  <w:pPr>
                    <w:pStyle w:val="39"/>
                    <w:jc w:val="center"/>
                    <w:rPr>
                      <w:color w:val="auto"/>
                    </w:rPr>
                  </w:pPr>
                  <w:r>
                    <w:rPr>
                      <w:rFonts w:hint="eastAsia"/>
                      <w:color w:val="auto"/>
                    </w:rPr>
                    <w:t>筒仓呼吸孔及库底粉尘</w:t>
                  </w:r>
                </w:p>
              </w:tc>
              <w:tc>
                <w:tcPr>
                  <w:tcW w:w="869" w:type="pct"/>
                  <w:vAlign w:val="center"/>
                </w:tcPr>
                <w:p>
                  <w:pPr>
                    <w:pStyle w:val="39"/>
                    <w:jc w:val="center"/>
                    <w:rPr>
                      <w:color w:val="auto"/>
                    </w:rPr>
                  </w:pPr>
                  <w:r>
                    <w:rPr>
                      <w:color w:val="auto"/>
                    </w:rPr>
                    <w:t>颗粒物</w:t>
                  </w:r>
                </w:p>
              </w:tc>
              <w:tc>
                <w:tcPr>
                  <w:tcW w:w="2115" w:type="pct"/>
                  <w:vAlign w:val="center"/>
                </w:tcPr>
                <w:p>
                  <w:pPr>
                    <w:pStyle w:val="39"/>
                    <w:jc w:val="center"/>
                    <w:rPr>
                      <w:color w:val="auto"/>
                    </w:rPr>
                  </w:pPr>
                  <w:r>
                    <w:rPr>
                      <w:rFonts w:hint="eastAsia"/>
                      <w:color w:val="auto"/>
                    </w:rPr>
                    <w:t>水泥、粉煤灰筒仓顶部均安装</w:t>
                  </w:r>
                  <w:r>
                    <w:rPr>
                      <w:color w:val="auto"/>
                    </w:rPr>
                    <w:t>脉冲袋式除尘器</w:t>
                  </w:r>
                  <w:r>
                    <w:rPr>
                      <w:rFonts w:hint="eastAsia"/>
                      <w:color w:val="auto"/>
                    </w:rPr>
                    <w:t>+仓顶排放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 w:type="pct"/>
                  <w:vMerge w:val="continue"/>
                  <w:vAlign w:val="center"/>
                </w:tcPr>
                <w:p>
                  <w:pPr>
                    <w:pStyle w:val="39"/>
                    <w:jc w:val="center"/>
                    <w:rPr>
                      <w:color w:val="auto"/>
                    </w:rPr>
                  </w:pPr>
                </w:p>
              </w:tc>
              <w:tc>
                <w:tcPr>
                  <w:tcW w:w="712" w:type="pct"/>
                  <w:vMerge w:val="continue"/>
                  <w:vAlign w:val="center"/>
                </w:tcPr>
                <w:p>
                  <w:pPr>
                    <w:pStyle w:val="39"/>
                    <w:jc w:val="center"/>
                    <w:rPr>
                      <w:color w:val="auto"/>
                    </w:rPr>
                  </w:pPr>
                </w:p>
              </w:tc>
              <w:tc>
                <w:tcPr>
                  <w:tcW w:w="844" w:type="pct"/>
                  <w:vAlign w:val="center"/>
                </w:tcPr>
                <w:p>
                  <w:pPr>
                    <w:pStyle w:val="39"/>
                    <w:jc w:val="center"/>
                    <w:rPr>
                      <w:color w:val="auto"/>
                    </w:rPr>
                  </w:pPr>
                  <w:r>
                    <w:rPr>
                      <w:color w:val="auto"/>
                    </w:rPr>
                    <w:t>搅拌粉尘</w:t>
                  </w:r>
                </w:p>
              </w:tc>
              <w:tc>
                <w:tcPr>
                  <w:tcW w:w="869" w:type="pct"/>
                  <w:vAlign w:val="center"/>
                </w:tcPr>
                <w:p>
                  <w:pPr>
                    <w:pStyle w:val="39"/>
                    <w:jc w:val="center"/>
                    <w:rPr>
                      <w:color w:val="auto"/>
                    </w:rPr>
                  </w:pPr>
                  <w:r>
                    <w:rPr>
                      <w:color w:val="auto"/>
                    </w:rPr>
                    <w:t>颗粒物</w:t>
                  </w:r>
                </w:p>
              </w:tc>
              <w:tc>
                <w:tcPr>
                  <w:tcW w:w="2115" w:type="pct"/>
                  <w:vAlign w:val="center"/>
                </w:tcPr>
                <w:p>
                  <w:pPr>
                    <w:pStyle w:val="39"/>
                    <w:jc w:val="center"/>
                    <w:rPr>
                      <w:color w:val="auto"/>
                    </w:rPr>
                  </w:pPr>
                  <w:r>
                    <w:rPr>
                      <w:color w:val="auto"/>
                    </w:rPr>
                    <w:t>脉冲袋式除尘器</w:t>
                  </w:r>
                  <w:r>
                    <w:rPr>
                      <w:rFonts w:hint="eastAsia"/>
                      <w:color w:val="auto"/>
                    </w:rPr>
                    <w:t>二级除尘+仓顶排放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457" w:type="pct"/>
                  <w:vMerge w:val="restart"/>
                  <w:vAlign w:val="center"/>
                </w:tcPr>
                <w:p>
                  <w:pPr>
                    <w:pStyle w:val="39"/>
                    <w:jc w:val="center"/>
                    <w:rPr>
                      <w:color w:val="auto"/>
                    </w:rPr>
                  </w:pPr>
                  <w:r>
                    <w:rPr>
                      <w:color w:val="auto"/>
                    </w:rPr>
                    <w:t>废水</w:t>
                  </w:r>
                </w:p>
              </w:tc>
              <w:tc>
                <w:tcPr>
                  <w:tcW w:w="712" w:type="pct"/>
                  <w:vAlign w:val="center"/>
                </w:tcPr>
                <w:p>
                  <w:pPr>
                    <w:pStyle w:val="39"/>
                    <w:jc w:val="center"/>
                    <w:rPr>
                      <w:color w:val="auto"/>
                    </w:rPr>
                  </w:pPr>
                  <w:r>
                    <w:rPr>
                      <w:color w:val="auto"/>
                    </w:rPr>
                    <w:t>设备清洗</w:t>
                  </w:r>
                </w:p>
              </w:tc>
              <w:tc>
                <w:tcPr>
                  <w:tcW w:w="844" w:type="pct"/>
                  <w:vAlign w:val="center"/>
                </w:tcPr>
                <w:p>
                  <w:pPr>
                    <w:pStyle w:val="39"/>
                    <w:jc w:val="center"/>
                    <w:rPr>
                      <w:color w:val="auto"/>
                    </w:rPr>
                  </w:pPr>
                  <w:r>
                    <w:rPr>
                      <w:color w:val="auto"/>
                    </w:rPr>
                    <w:t>设备清洗废水</w:t>
                  </w:r>
                </w:p>
              </w:tc>
              <w:tc>
                <w:tcPr>
                  <w:tcW w:w="869" w:type="pct"/>
                  <w:vMerge w:val="restart"/>
                  <w:vAlign w:val="center"/>
                </w:tcPr>
                <w:p>
                  <w:pPr>
                    <w:pStyle w:val="39"/>
                    <w:jc w:val="center"/>
                    <w:rPr>
                      <w:color w:val="auto"/>
                    </w:rPr>
                  </w:pPr>
                  <w:r>
                    <w:rPr>
                      <w:color w:val="auto"/>
                    </w:rPr>
                    <w:t>SS</w:t>
                  </w:r>
                </w:p>
              </w:tc>
              <w:tc>
                <w:tcPr>
                  <w:tcW w:w="2115" w:type="pct"/>
                  <w:vMerge w:val="restart"/>
                  <w:vAlign w:val="center"/>
                </w:tcPr>
                <w:p>
                  <w:pPr>
                    <w:pStyle w:val="39"/>
                    <w:jc w:val="center"/>
                    <w:rPr>
                      <w:color w:val="auto"/>
                    </w:rPr>
                  </w:pPr>
                  <w:r>
                    <w:rPr>
                      <w:color w:val="auto"/>
                    </w:rPr>
                    <w:t>排放至沉淀池（</w:t>
                  </w:r>
                  <w:r>
                    <w:rPr>
                      <w:rFonts w:hint="eastAsia"/>
                      <w:color w:val="auto"/>
                    </w:rPr>
                    <w:t>1</w:t>
                  </w:r>
                  <w:r>
                    <w:rPr>
                      <w:color w:val="auto"/>
                    </w:rPr>
                    <w:t>0m</w:t>
                  </w:r>
                  <w:r>
                    <w:rPr>
                      <w:color w:val="auto"/>
                      <w:vertAlign w:val="superscript"/>
                    </w:rPr>
                    <w:t>3</w:t>
                  </w:r>
                  <w:r>
                    <w:rPr>
                      <w:color w:val="auto"/>
                    </w:rPr>
                    <w:t>）经沉淀后，澄清液回用于生产。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 w:type="pct"/>
                  <w:vMerge w:val="continue"/>
                  <w:vAlign w:val="center"/>
                </w:tcPr>
                <w:p>
                  <w:pPr>
                    <w:pStyle w:val="39"/>
                    <w:jc w:val="center"/>
                    <w:rPr>
                      <w:color w:val="auto"/>
                    </w:rPr>
                  </w:pPr>
                </w:p>
              </w:tc>
              <w:tc>
                <w:tcPr>
                  <w:tcW w:w="712" w:type="pct"/>
                  <w:vAlign w:val="center"/>
                </w:tcPr>
                <w:p>
                  <w:pPr>
                    <w:pStyle w:val="39"/>
                    <w:jc w:val="center"/>
                    <w:rPr>
                      <w:color w:val="auto"/>
                    </w:rPr>
                  </w:pPr>
                  <w:r>
                    <w:rPr>
                      <w:rFonts w:hint="eastAsia"/>
                      <w:color w:val="auto"/>
                    </w:rPr>
                    <w:t>场地冲洗</w:t>
                  </w:r>
                </w:p>
              </w:tc>
              <w:tc>
                <w:tcPr>
                  <w:tcW w:w="844" w:type="pct"/>
                  <w:vAlign w:val="center"/>
                </w:tcPr>
                <w:p>
                  <w:pPr>
                    <w:pStyle w:val="39"/>
                    <w:jc w:val="center"/>
                    <w:rPr>
                      <w:color w:val="auto"/>
                    </w:rPr>
                  </w:pPr>
                  <w:r>
                    <w:rPr>
                      <w:color w:val="auto"/>
                    </w:rPr>
                    <w:t>锅炉及软水装置排污水</w:t>
                  </w:r>
                </w:p>
              </w:tc>
              <w:tc>
                <w:tcPr>
                  <w:tcW w:w="869" w:type="pct"/>
                  <w:vMerge w:val="continue"/>
                  <w:vAlign w:val="center"/>
                </w:tcPr>
                <w:p>
                  <w:pPr>
                    <w:pStyle w:val="39"/>
                    <w:jc w:val="center"/>
                    <w:rPr>
                      <w:color w:val="auto"/>
                    </w:rPr>
                  </w:pPr>
                </w:p>
              </w:tc>
              <w:tc>
                <w:tcPr>
                  <w:tcW w:w="2115" w:type="pct"/>
                  <w:vMerge w:val="continue"/>
                  <w:vAlign w:val="center"/>
                </w:tcPr>
                <w:p>
                  <w:pPr>
                    <w:pStyle w:val="39"/>
                    <w:jc w:val="center"/>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 w:type="pct"/>
                  <w:vMerge w:val="continue"/>
                  <w:vAlign w:val="center"/>
                </w:tcPr>
                <w:p>
                  <w:pPr>
                    <w:pStyle w:val="39"/>
                    <w:jc w:val="center"/>
                    <w:rPr>
                      <w:color w:val="auto"/>
                    </w:rPr>
                  </w:pPr>
                </w:p>
              </w:tc>
              <w:tc>
                <w:tcPr>
                  <w:tcW w:w="712" w:type="pct"/>
                  <w:vAlign w:val="center"/>
                </w:tcPr>
                <w:p>
                  <w:pPr>
                    <w:pStyle w:val="39"/>
                    <w:jc w:val="center"/>
                    <w:rPr>
                      <w:color w:val="auto"/>
                    </w:rPr>
                  </w:pPr>
                  <w:r>
                    <w:rPr>
                      <w:color w:val="auto"/>
                    </w:rPr>
                    <w:t>员工日常</w:t>
                  </w:r>
                </w:p>
              </w:tc>
              <w:tc>
                <w:tcPr>
                  <w:tcW w:w="844" w:type="pct"/>
                  <w:vAlign w:val="center"/>
                </w:tcPr>
                <w:p>
                  <w:pPr>
                    <w:pStyle w:val="39"/>
                    <w:jc w:val="center"/>
                    <w:rPr>
                      <w:color w:val="auto"/>
                    </w:rPr>
                  </w:pPr>
                  <w:r>
                    <w:rPr>
                      <w:color w:val="auto"/>
                    </w:rPr>
                    <w:t>生活污水</w:t>
                  </w:r>
                </w:p>
              </w:tc>
              <w:tc>
                <w:tcPr>
                  <w:tcW w:w="869" w:type="pct"/>
                  <w:vAlign w:val="center"/>
                </w:tcPr>
                <w:p>
                  <w:pPr>
                    <w:pStyle w:val="39"/>
                    <w:jc w:val="center"/>
                    <w:rPr>
                      <w:color w:val="auto"/>
                    </w:rPr>
                  </w:pPr>
                  <w:r>
                    <w:rPr>
                      <w:color w:val="auto"/>
                    </w:rPr>
                    <w:t>pH、COD、BOD</w:t>
                  </w:r>
                  <w:r>
                    <w:rPr>
                      <w:color w:val="auto"/>
                      <w:vertAlign w:val="subscript"/>
                    </w:rPr>
                    <w:t>5</w:t>
                  </w:r>
                  <w:r>
                    <w:rPr>
                      <w:color w:val="auto"/>
                    </w:rPr>
                    <w:t>、SS、NH</w:t>
                  </w:r>
                  <w:r>
                    <w:rPr>
                      <w:color w:val="auto"/>
                      <w:vertAlign w:val="subscript"/>
                    </w:rPr>
                    <w:t>3</w:t>
                  </w:r>
                  <w:r>
                    <w:rPr>
                      <w:color w:val="auto"/>
                    </w:rPr>
                    <w:t>-N</w:t>
                  </w:r>
                </w:p>
              </w:tc>
              <w:tc>
                <w:tcPr>
                  <w:tcW w:w="2115" w:type="pct"/>
                  <w:vAlign w:val="center"/>
                </w:tcPr>
                <w:p>
                  <w:pPr>
                    <w:pStyle w:val="39"/>
                    <w:jc w:val="center"/>
                    <w:rPr>
                      <w:color w:val="auto"/>
                    </w:rPr>
                  </w:pPr>
                  <w:r>
                    <w:rPr>
                      <w:color w:val="auto"/>
                    </w:rPr>
                    <w:t>经化粪池处理后</w:t>
                  </w:r>
                  <w:r>
                    <w:rPr>
                      <w:rFonts w:hint="eastAsia"/>
                      <w:color w:val="auto"/>
                    </w:rPr>
                    <w:t>定期拉运至内蒙古皓淇环境卫生管理有限公司污水处理厂</w:t>
                  </w:r>
                  <w:r>
                    <w:rPr>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 w:type="pct"/>
                  <w:vMerge w:val="restart"/>
                  <w:vAlign w:val="center"/>
                </w:tcPr>
                <w:p>
                  <w:pPr>
                    <w:pStyle w:val="39"/>
                    <w:jc w:val="center"/>
                    <w:rPr>
                      <w:color w:val="auto"/>
                    </w:rPr>
                  </w:pPr>
                  <w:r>
                    <w:rPr>
                      <w:color w:val="auto"/>
                    </w:rPr>
                    <w:t>固废</w:t>
                  </w:r>
                </w:p>
              </w:tc>
              <w:tc>
                <w:tcPr>
                  <w:tcW w:w="712" w:type="pct"/>
                  <w:vAlign w:val="center"/>
                </w:tcPr>
                <w:p>
                  <w:pPr>
                    <w:pStyle w:val="39"/>
                    <w:jc w:val="center"/>
                    <w:rPr>
                      <w:color w:val="auto"/>
                    </w:rPr>
                  </w:pPr>
                  <w:r>
                    <w:rPr>
                      <w:rFonts w:hint="eastAsia"/>
                      <w:color w:val="auto"/>
                    </w:rPr>
                    <w:t>抽检</w:t>
                  </w:r>
                </w:p>
              </w:tc>
              <w:tc>
                <w:tcPr>
                  <w:tcW w:w="844" w:type="pct"/>
                  <w:vAlign w:val="center"/>
                </w:tcPr>
                <w:p>
                  <w:pPr>
                    <w:pStyle w:val="39"/>
                    <w:jc w:val="center"/>
                    <w:rPr>
                      <w:color w:val="auto"/>
                    </w:rPr>
                  </w:pPr>
                  <w:r>
                    <w:rPr>
                      <w:rFonts w:hint="eastAsia"/>
                      <w:color w:val="auto"/>
                    </w:rPr>
                    <w:t>废混凝土</w:t>
                  </w:r>
                </w:p>
              </w:tc>
              <w:tc>
                <w:tcPr>
                  <w:tcW w:w="869" w:type="pct"/>
                  <w:vAlign w:val="center"/>
                </w:tcPr>
                <w:p>
                  <w:pPr>
                    <w:pStyle w:val="39"/>
                    <w:jc w:val="center"/>
                    <w:rPr>
                      <w:color w:val="auto"/>
                    </w:rPr>
                  </w:pPr>
                  <w:r>
                    <w:rPr>
                      <w:rFonts w:hint="eastAsia"/>
                      <w:color w:val="auto"/>
                    </w:rPr>
                    <w:t>废混凝土</w:t>
                  </w:r>
                </w:p>
              </w:tc>
              <w:tc>
                <w:tcPr>
                  <w:tcW w:w="2115" w:type="pct"/>
                  <w:vAlign w:val="center"/>
                </w:tcPr>
                <w:p>
                  <w:pPr>
                    <w:pStyle w:val="39"/>
                    <w:jc w:val="center"/>
                    <w:rPr>
                      <w:color w:val="auto"/>
                    </w:rPr>
                  </w:pPr>
                  <w:r>
                    <w:rPr>
                      <w:color w:val="auto"/>
                    </w:rPr>
                    <w:t>集中收集暂存于</w:t>
                  </w:r>
                  <w:r>
                    <w:rPr>
                      <w:rFonts w:hint="eastAsia"/>
                      <w:color w:val="auto"/>
                    </w:rPr>
                    <w:t>原料库一侧，定期外售，</w:t>
                  </w:r>
                  <w:r>
                    <w:rPr>
                      <w:rFonts w:hint="eastAsia"/>
                      <w:color w:val="auto"/>
                      <w:lang w:eastAsia="zh-CN"/>
                    </w:rPr>
                    <w:t>可以</w:t>
                  </w:r>
                  <w:r>
                    <w:rPr>
                      <w:rFonts w:hint="eastAsia"/>
                      <w:color w:val="auto"/>
                    </w:rPr>
                    <w:t>作为填方材料外运处理，也</w:t>
                  </w:r>
                  <w:r>
                    <w:rPr>
                      <w:rFonts w:hint="eastAsia"/>
                      <w:color w:val="auto"/>
                      <w:lang w:eastAsia="zh-CN"/>
                    </w:rPr>
                    <w:t>可以</w:t>
                  </w:r>
                  <w:r>
                    <w:rPr>
                      <w:rFonts w:hint="eastAsia"/>
                      <w:color w:val="auto"/>
                    </w:rPr>
                    <w:t>用于筑路等。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 w:type="pct"/>
                  <w:vMerge w:val="continue"/>
                  <w:vAlign w:val="center"/>
                </w:tcPr>
                <w:p>
                  <w:pPr>
                    <w:pStyle w:val="39"/>
                    <w:jc w:val="center"/>
                    <w:rPr>
                      <w:color w:val="auto"/>
                    </w:rPr>
                  </w:pPr>
                </w:p>
              </w:tc>
              <w:tc>
                <w:tcPr>
                  <w:tcW w:w="712" w:type="pct"/>
                  <w:vAlign w:val="center"/>
                </w:tcPr>
                <w:p>
                  <w:pPr>
                    <w:pStyle w:val="39"/>
                    <w:jc w:val="center"/>
                    <w:rPr>
                      <w:color w:val="auto"/>
                    </w:rPr>
                  </w:pPr>
                  <w:r>
                    <w:rPr>
                      <w:rFonts w:hint="eastAsia"/>
                      <w:color w:val="auto"/>
                    </w:rPr>
                    <w:t>混凝土制备</w:t>
                  </w:r>
                </w:p>
              </w:tc>
              <w:tc>
                <w:tcPr>
                  <w:tcW w:w="844" w:type="pct"/>
                  <w:vAlign w:val="center"/>
                </w:tcPr>
                <w:p>
                  <w:pPr>
                    <w:pStyle w:val="39"/>
                    <w:jc w:val="center"/>
                    <w:rPr>
                      <w:color w:val="auto"/>
                    </w:rPr>
                  </w:pPr>
                  <w:r>
                    <w:rPr>
                      <w:rFonts w:hint="eastAsia"/>
                      <w:color w:val="auto"/>
                    </w:rPr>
                    <w:t>除尘灰</w:t>
                  </w:r>
                </w:p>
              </w:tc>
              <w:tc>
                <w:tcPr>
                  <w:tcW w:w="869" w:type="pct"/>
                  <w:vAlign w:val="center"/>
                </w:tcPr>
                <w:p>
                  <w:pPr>
                    <w:pStyle w:val="39"/>
                    <w:jc w:val="center"/>
                    <w:rPr>
                      <w:color w:val="auto"/>
                    </w:rPr>
                  </w:pPr>
                  <w:r>
                    <w:rPr>
                      <w:rFonts w:hint="eastAsia"/>
                      <w:color w:val="auto"/>
                    </w:rPr>
                    <w:t>颗粒物</w:t>
                  </w:r>
                </w:p>
              </w:tc>
              <w:tc>
                <w:tcPr>
                  <w:tcW w:w="2115" w:type="pct"/>
                  <w:vAlign w:val="center"/>
                </w:tcPr>
                <w:p>
                  <w:pPr>
                    <w:pStyle w:val="39"/>
                    <w:jc w:val="center"/>
                    <w:rPr>
                      <w:color w:val="auto"/>
                    </w:rPr>
                  </w:pPr>
                  <w:r>
                    <w:rPr>
                      <w:color w:val="auto"/>
                    </w:rPr>
                    <w:t>经过收集处理后</w:t>
                  </w:r>
                  <w:r>
                    <w:rPr>
                      <w:rFonts w:hint="eastAsia"/>
                      <w:color w:val="auto"/>
                      <w:lang w:eastAsia="zh-CN"/>
                    </w:rPr>
                    <w:t>可以</w:t>
                  </w:r>
                  <w:r>
                    <w:rPr>
                      <w:rFonts w:hint="eastAsia"/>
                      <w:color w:val="auto"/>
                    </w:rPr>
                    <w:t>作</w:t>
                  </w:r>
                  <w:r>
                    <w:rPr>
                      <w:color w:val="auto"/>
                    </w:rPr>
                    <w:t>为原料回用到生产中</w:t>
                  </w:r>
                  <w:r>
                    <w:rPr>
                      <w:rFonts w:hint="eastAsia"/>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 w:type="pct"/>
                  <w:vMerge w:val="continue"/>
                  <w:vAlign w:val="center"/>
                </w:tcPr>
                <w:p>
                  <w:pPr>
                    <w:pStyle w:val="39"/>
                    <w:jc w:val="center"/>
                    <w:rPr>
                      <w:color w:val="auto"/>
                    </w:rPr>
                  </w:pPr>
                </w:p>
              </w:tc>
              <w:tc>
                <w:tcPr>
                  <w:tcW w:w="712" w:type="pct"/>
                  <w:vAlign w:val="center"/>
                </w:tcPr>
                <w:p>
                  <w:pPr>
                    <w:pStyle w:val="39"/>
                    <w:jc w:val="center"/>
                    <w:rPr>
                      <w:color w:val="auto"/>
                    </w:rPr>
                  </w:pPr>
                  <w:r>
                    <w:rPr>
                      <w:rFonts w:hint="eastAsia"/>
                      <w:color w:val="auto"/>
                    </w:rPr>
                    <w:t>沉淀池</w:t>
                  </w:r>
                </w:p>
              </w:tc>
              <w:tc>
                <w:tcPr>
                  <w:tcW w:w="844" w:type="pct"/>
                  <w:vAlign w:val="center"/>
                </w:tcPr>
                <w:p>
                  <w:pPr>
                    <w:pStyle w:val="39"/>
                    <w:jc w:val="center"/>
                    <w:rPr>
                      <w:color w:val="auto"/>
                    </w:rPr>
                  </w:pPr>
                  <w:r>
                    <w:rPr>
                      <w:rFonts w:hint="eastAsia"/>
                      <w:color w:val="auto"/>
                    </w:rPr>
                    <w:t>沉淀池泥沙</w:t>
                  </w:r>
                </w:p>
              </w:tc>
              <w:tc>
                <w:tcPr>
                  <w:tcW w:w="869" w:type="pct"/>
                  <w:vAlign w:val="center"/>
                </w:tcPr>
                <w:p>
                  <w:pPr>
                    <w:pStyle w:val="39"/>
                    <w:jc w:val="center"/>
                    <w:rPr>
                      <w:color w:val="auto"/>
                    </w:rPr>
                  </w:pPr>
                  <w:r>
                    <w:rPr>
                      <w:rFonts w:hint="eastAsia"/>
                      <w:color w:val="auto"/>
                    </w:rPr>
                    <w:t>沉淀池泥沙</w:t>
                  </w:r>
                </w:p>
              </w:tc>
              <w:tc>
                <w:tcPr>
                  <w:tcW w:w="2115" w:type="pct"/>
                  <w:vAlign w:val="center"/>
                </w:tcPr>
                <w:p>
                  <w:pPr>
                    <w:pStyle w:val="39"/>
                    <w:jc w:val="center"/>
                    <w:rPr>
                      <w:color w:val="auto"/>
                    </w:rPr>
                  </w:pPr>
                  <w:r>
                    <w:rPr>
                      <w:rFonts w:hint="eastAsia"/>
                      <w:color w:val="auto"/>
                    </w:rPr>
                    <w:t>定期清掏外售，</w:t>
                  </w:r>
                  <w:r>
                    <w:rPr>
                      <w:rFonts w:hint="eastAsia"/>
                      <w:color w:val="auto"/>
                      <w:lang w:eastAsia="zh-CN"/>
                    </w:rPr>
                    <w:t>可以</w:t>
                  </w:r>
                  <w:r>
                    <w:rPr>
                      <w:rFonts w:hint="eastAsia"/>
                      <w:color w:val="auto"/>
                    </w:rPr>
                    <w:t>作为填方材料外运处理，也</w:t>
                  </w:r>
                  <w:r>
                    <w:rPr>
                      <w:rFonts w:hint="eastAsia"/>
                      <w:color w:val="auto"/>
                      <w:lang w:eastAsia="zh-CN"/>
                    </w:rPr>
                    <w:t>可以</w:t>
                  </w:r>
                  <w:r>
                    <w:rPr>
                      <w:rFonts w:hint="eastAsia"/>
                      <w:color w:val="auto"/>
                    </w:rPr>
                    <w:t>用于筑路等。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 w:type="pct"/>
                  <w:vMerge w:val="continue"/>
                  <w:vAlign w:val="center"/>
                </w:tcPr>
                <w:p>
                  <w:pPr>
                    <w:pStyle w:val="39"/>
                    <w:jc w:val="center"/>
                    <w:rPr>
                      <w:color w:val="auto"/>
                    </w:rPr>
                  </w:pPr>
                </w:p>
              </w:tc>
              <w:tc>
                <w:tcPr>
                  <w:tcW w:w="712" w:type="pct"/>
                  <w:vAlign w:val="center"/>
                </w:tcPr>
                <w:p>
                  <w:pPr>
                    <w:pStyle w:val="39"/>
                    <w:jc w:val="center"/>
                    <w:rPr>
                      <w:color w:val="auto"/>
                    </w:rPr>
                  </w:pPr>
                  <w:r>
                    <w:rPr>
                      <w:color w:val="auto"/>
                    </w:rPr>
                    <w:t>员工日常</w:t>
                  </w:r>
                </w:p>
              </w:tc>
              <w:tc>
                <w:tcPr>
                  <w:tcW w:w="844" w:type="pct"/>
                  <w:vAlign w:val="center"/>
                </w:tcPr>
                <w:p>
                  <w:pPr>
                    <w:pStyle w:val="39"/>
                    <w:jc w:val="center"/>
                    <w:rPr>
                      <w:color w:val="auto"/>
                    </w:rPr>
                  </w:pPr>
                  <w:r>
                    <w:rPr>
                      <w:color w:val="auto"/>
                    </w:rPr>
                    <w:t>生活垃圾</w:t>
                  </w:r>
                </w:p>
              </w:tc>
              <w:tc>
                <w:tcPr>
                  <w:tcW w:w="869" w:type="pct"/>
                  <w:vAlign w:val="center"/>
                </w:tcPr>
                <w:p>
                  <w:pPr>
                    <w:pStyle w:val="39"/>
                    <w:jc w:val="center"/>
                    <w:rPr>
                      <w:color w:val="auto"/>
                    </w:rPr>
                  </w:pPr>
                  <w:r>
                    <w:rPr>
                      <w:color w:val="auto"/>
                    </w:rPr>
                    <w:t>果皮、食物残渣等</w:t>
                  </w:r>
                </w:p>
              </w:tc>
              <w:tc>
                <w:tcPr>
                  <w:tcW w:w="2115" w:type="pct"/>
                  <w:vAlign w:val="center"/>
                </w:tcPr>
                <w:p>
                  <w:pPr>
                    <w:pStyle w:val="39"/>
                    <w:jc w:val="center"/>
                    <w:rPr>
                      <w:color w:val="auto"/>
                    </w:rPr>
                  </w:pPr>
                  <w:r>
                    <w:rPr>
                      <w:rFonts w:hint="eastAsia"/>
                      <w:color w:val="auto"/>
                      <w:lang w:eastAsia="zh-CN"/>
                    </w:rPr>
                    <w:t>由垃圾箱进行集中收集，并定期由环卫工人进行统一清运。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7" w:type="pct"/>
                  <w:vAlign w:val="center"/>
                </w:tcPr>
                <w:p>
                  <w:pPr>
                    <w:pStyle w:val="39"/>
                    <w:jc w:val="center"/>
                    <w:rPr>
                      <w:color w:val="auto"/>
                    </w:rPr>
                  </w:pPr>
                  <w:r>
                    <w:rPr>
                      <w:color w:val="auto"/>
                    </w:rPr>
                    <w:t>噪声</w:t>
                  </w:r>
                </w:p>
              </w:tc>
              <w:tc>
                <w:tcPr>
                  <w:tcW w:w="712" w:type="pct"/>
                  <w:vAlign w:val="center"/>
                </w:tcPr>
                <w:p>
                  <w:pPr>
                    <w:pStyle w:val="39"/>
                    <w:jc w:val="center"/>
                    <w:rPr>
                      <w:color w:val="auto"/>
                    </w:rPr>
                  </w:pPr>
                  <w:r>
                    <w:rPr>
                      <w:color w:val="auto"/>
                    </w:rPr>
                    <w:t>生产设备</w:t>
                  </w:r>
                </w:p>
              </w:tc>
              <w:tc>
                <w:tcPr>
                  <w:tcW w:w="844" w:type="pct"/>
                  <w:vAlign w:val="center"/>
                </w:tcPr>
                <w:p>
                  <w:pPr>
                    <w:pStyle w:val="39"/>
                    <w:jc w:val="center"/>
                    <w:rPr>
                      <w:color w:val="auto"/>
                    </w:rPr>
                  </w:pPr>
                  <w:r>
                    <w:rPr>
                      <w:color w:val="auto"/>
                    </w:rPr>
                    <w:t>设备噪声</w:t>
                  </w:r>
                </w:p>
              </w:tc>
              <w:tc>
                <w:tcPr>
                  <w:tcW w:w="869" w:type="pct"/>
                  <w:vAlign w:val="center"/>
                </w:tcPr>
                <w:p>
                  <w:pPr>
                    <w:pStyle w:val="39"/>
                    <w:jc w:val="center"/>
                    <w:rPr>
                      <w:color w:val="auto"/>
                    </w:rPr>
                  </w:pPr>
                  <w:r>
                    <w:rPr>
                      <w:color w:val="auto"/>
                    </w:rPr>
                    <w:t>等效连续A声级</w:t>
                  </w:r>
                </w:p>
              </w:tc>
              <w:tc>
                <w:tcPr>
                  <w:tcW w:w="2115" w:type="pct"/>
                  <w:vAlign w:val="center"/>
                </w:tcPr>
                <w:p>
                  <w:pPr>
                    <w:pStyle w:val="39"/>
                    <w:jc w:val="center"/>
                    <w:rPr>
                      <w:rFonts w:hint="eastAsia" w:eastAsia="宋体"/>
                      <w:color w:val="auto"/>
                      <w:lang w:eastAsia="zh-CN"/>
                    </w:rPr>
                  </w:pPr>
                  <w:r>
                    <w:rPr>
                      <w:color w:val="auto"/>
                    </w:rPr>
                    <w:t>选购低噪声设备，设备置于封闭</w:t>
                  </w:r>
                  <w:r>
                    <w:rPr>
                      <w:rFonts w:hint="eastAsia"/>
                      <w:color w:val="auto"/>
                      <w:lang w:eastAsia="zh-CN"/>
                    </w:rPr>
                    <w:t>式</w:t>
                  </w:r>
                  <w:r>
                    <w:rPr>
                      <w:color w:val="auto"/>
                    </w:rPr>
                    <w:t>厂房内，高噪声设备采取基础减震措施</w:t>
                  </w:r>
                  <w:r>
                    <w:rPr>
                      <w:rFonts w:hint="eastAsia"/>
                      <w:color w:val="auto"/>
                      <w:lang w:eastAsia="zh-CN"/>
                    </w:rPr>
                    <w:t>。</w:t>
                  </w:r>
                </w:p>
              </w:tc>
            </w:tr>
          </w:tbl>
          <w:p>
            <w:pPr>
              <w:ind w:firstLine="482"/>
              <w:rPr>
                <w:b/>
                <w:bCs/>
              </w:rPr>
            </w:pPr>
            <w:r>
              <w:rPr>
                <w:rFonts w:hint="eastAsia"/>
                <w:b/>
                <w:bCs/>
              </w:rPr>
              <w:t>4</w:t>
            </w:r>
            <w:r>
              <w:rPr>
                <w:rFonts w:hint="eastAsia"/>
                <w:b/>
                <w:bCs/>
                <w:lang w:val="en-US" w:eastAsia="zh-CN"/>
              </w:rPr>
              <w:t>.</w:t>
            </w:r>
            <w:r>
              <w:rPr>
                <w:rFonts w:hint="eastAsia"/>
                <w:b/>
                <w:bCs/>
              </w:rPr>
              <w:t>物料平衡</w:t>
            </w:r>
          </w:p>
          <w:p>
            <w:pPr>
              <w:ind w:firstLine="480"/>
            </w:pPr>
            <w:r>
              <w:t>项目物料平衡表见表</w:t>
            </w:r>
            <w:r>
              <w:rPr>
                <w:rFonts w:hint="eastAsia"/>
              </w:rPr>
              <w:t>2-7、</w:t>
            </w:r>
            <w:r>
              <w:t>图</w:t>
            </w:r>
            <w:r>
              <w:rPr>
                <w:rFonts w:hint="eastAsia"/>
              </w:rPr>
              <w:t>2-4</w:t>
            </w:r>
            <w:r>
              <w:t>。</w:t>
            </w:r>
          </w:p>
          <w:p>
            <w:pPr>
              <w:pStyle w:val="25"/>
            </w:pPr>
            <w:r>
              <w:rPr>
                <w:rFonts w:hint="eastAsia"/>
              </w:rPr>
              <w:t>表2-7  项目物料平衡表</w:t>
            </w:r>
          </w:p>
          <w:tbl>
            <w:tblPr>
              <w:tblStyle w:val="17"/>
              <w:tblW w:w="5000" w:type="pct"/>
              <w:tblInd w:w="1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37"/>
              <w:gridCol w:w="2038"/>
              <w:gridCol w:w="2034"/>
              <w:gridCol w:w="204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5" w:hRule="atLeast"/>
              </w:trPr>
              <w:tc>
                <w:tcPr>
                  <w:tcW w:w="2300" w:type="pct"/>
                  <w:gridSpan w:val="2"/>
                  <w:tcBorders>
                    <w:tl2br w:val="nil"/>
                    <w:tr2bl w:val="nil"/>
                  </w:tcBorders>
                  <w:vAlign w:val="center"/>
                </w:tcPr>
                <w:p>
                  <w:pPr>
                    <w:pStyle w:val="39"/>
                    <w:jc w:val="center"/>
                  </w:pPr>
                  <w:r>
                    <w:rPr>
                      <w:rFonts w:hint="eastAsia"/>
                    </w:rPr>
                    <w:t>原辅料投入</w:t>
                  </w:r>
                </w:p>
              </w:tc>
              <w:tc>
                <w:tcPr>
                  <w:tcW w:w="2699" w:type="pct"/>
                  <w:gridSpan w:val="2"/>
                  <w:tcBorders>
                    <w:tl2br w:val="nil"/>
                    <w:tr2bl w:val="nil"/>
                  </w:tcBorders>
                  <w:vAlign w:val="center"/>
                </w:tcPr>
                <w:p>
                  <w:pPr>
                    <w:pStyle w:val="39"/>
                    <w:jc w:val="center"/>
                  </w:pPr>
                  <w:r>
                    <w:rPr>
                      <w:rFonts w:hint="eastAsia"/>
                    </w:rPr>
                    <w:t>产出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物料名称</w:t>
                  </w:r>
                </w:p>
              </w:tc>
              <w:tc>
                <w:tcPr>
                  <w:tcW w:w="1348" w:type="pct"/>
                  <w:tcBorders>
                    <w:tl2br w:val="nil"/>
                    <w:tr2bl w:val="nil"/>
                  </w:tcBorders>
                  <w:vAlign w:val="center"/>
                </w:tcPr>
                <w:p>
                  <w:pPr>
                    <w:pStyle w:val="39"/>
                    <w:jc w:val="center"/>
                  </w:pPr>
                  <w:r>
                    <w:rPr>
                      <w:rFonts w:hint="eastAsia"/>
                    </w:rPr>
                    <w:t>年用量（</w:t>
                  </w:r>
                  <w:r>
                    <w:t>t/a</w:t>
                  </w:r>
                  <w:r>
                    <w:rPr>
                      <w:rFonts w:hint="eastAsia"/>
                    </w:rPr>
                    <w:t>）</w:t>
                  </w:r>
                </w:p>
              </w:tc>
              <w:tc>
                <w:tcPr>
                  <w:tcW w:w="1346" w:type="pct"/>
                  <w:tcBorders>
                    <w:tl2br w:val="nil"/>
                    <w:tr2bl w:val="nil"/>
                  </w:tcBorders>
                  <w:vAlign w:val="center"/>
                </w:tcPr>
                <w:p>
                  <w:pPr>
                    <w:pStyle w:val="39"/>
                    <w:jc w:val="center"/>
                  </w:pPr>
                  <w:r>
                    <w:rPr>
                      <w:rFonts w:hint="eastAsia"/>
                    </w:rPr>
                    <w:t>产品名称</w:t>
                  </w:r>
                </w:p>
              </w:tc>
              <w:tc>
                <w:tcPr>
                  <w:tcW w:w="1352" w:type="pct"/>
                  <w:tcBorders>
                    <w:tl2br w:val="nil"/>
                    <w:tr2bl w:val="nil"/>
                  </w:tcBorders>
                  <w:vAlign w:val="center"/>
                </w:tcPr>
                <w:p>
                  <w:pPr>
                    <w:pStyle w:val="39"/>
                    <w:jc w:val="center"/>
                  </w:pPr>
                  <w:r>
                    <w:rPr>
                      <w:rFonts w:hint="eastAsia"/>
                    </w:rPr>
                    <w:t>产量（</w:t>
                  </w:r>
                  <w:r>
                    <w:t>t/a</w:t>
                  </w:r>
                  <w:r>
                    <w:rPr>
                      <w:rFonts w:hint="eastAsia"/>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000" w:type="pct"/>
                  <w:gridSpan w:val="4"/>
                  <w:tcBorders>
                    <w:tl2br w:val="nil"/>
                    <w:tr2bl w:val="nil"/>
                  </w:tcBorders>
                  <w:vAlign w:val="center"/>
                </w:tcPr>
                <w:p>
                  <w:pPr>
                    <w:pStyle w:val="39"/>
                    <w:jc w:val="center"/>
                  </w:pPr>
                  <w:r>
                    <w:rPr>
                      <w:rFonts w:hint="eastAsia"/>
                    </w:rPr>
                    <w:t>砂石装卸、堆放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砂</w:t>
                  </w:r>
                </w:p>
              </w:tc>
              <w:tc>
                <w:tcPr>
                  <w:tcW w:w="1348" w:type="pct"/>
                  <w:tcBorders>
                    <w:tl2br w:val="nil"/>
                    <w:tr2bl w:val="nil"/>
                  </w:tcBorders>
                  <w:vAlign w:val="center"/>
                </w:tcPr>
                <w:p>
                  <w:pPr>
                    <w:pStyle w:val="39"/>
                    <w:jc w:val="center"/>
                  </w:pPr>
                  <w:r>
                    <w:rPr>
                      <w:rFonts w:hint="eastAsia"/>
                    </w:rPr>
                    <w:t>17000</w:t>
                  </w:r>
                </w:p>
              </w:tc>
              <w:tc>
                <w:tcPr>
                  <w:tcW w:w="1346" w:type="pct"/>
                  <w:tcBorders>
                    <w:tl2br w:val="nil"/>
                    <w:tr2bl w:val="nil"/>
                  </w:tcBorders>
                  <w:vAlign w:val="center"/>
                </w:tcPr>
                <w:p>
                  <w:pPr>
                    <w:pStyle w:val="39"/>
                    <w:jc w:val="center"/>
                  </w:pPr>
                  <w:r>
                    <w:rPr>
                      <w:rFonts w:hint="eastAsia"/>
                    </w:rPr>
                    <w:t>砂石料</w:t>
                  </w:r>
                </w:p>
              </w:tc>
              <w:tc>
                <w:tcPr>
                  <w:tcW w:w="1352" w:type="pct"/>
                  <w:tcBorders>
                    <w:tl2br w:val="nil"/>
                    <w:tr2bl w:val="nil"/>
                  </w:tcBorders>
                  <w:vAlign w:val="center"/>
                </w:tcPr>
                <w:p>
                  <w:pPr>
                    <w:pStyle w:val="39"/>
                    <w:jc w:val="center"/>
                  </w:pPr>
                  <w:r>
                    <w:rPr>
                      <w:rFonts w:hint="eastAsia"/>
                    </w:rPr>
                    <w:t>35998.95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碎石</w:t>
                  </w:r>
                </w:p>
              </w:tc>
              <w:tc>
                <w:tcPr>
                  <w:tcW w:w="1348" w:type="pct"/>
                  <w:tcBorders>
                    <w:tl2br w:val="nil"/>
                    <w:tr2bl w:val="nil"/>
                  </w:tcBorders>
                  <w:vAlign w:val="center"/>
                </w:tcPr>
                <w:p>
                  <w:pPr>
                    <w:pStyle w:val="39"/>
                    <w:jc w:val="center"/>
                  </w:pPr>
                  <w:r>
                    <w:rPr>
                      <w:rFonts w:hint="eastAsia"/>
                    </w:rPr>
                    <w:t>19000</w:t>
                  </w:r>
                </w:p>
              </w:tc>
              <w:tc>
                <w:tcPr>
                  <w:tcW w:w="1346" w:type="pct"/>
                  <w:tcBorders>
                    <w:tl2br w:val="nil"/>
                    <w:tr2bl w:val="nil"/>
                  </w:tcBorders>
                  <w:vAlign w:val="center"/>
                </w:tcPr>
                <w:p>
                  <w:pPr>
                    <w:pStyle w:val="39"/>
                    <w:jc w:val="center"/>
                  </w:pPr>
                  <w:r>
                    <w:rPr>
                      <w:rFonts w:hint="eastAsia"/>
                    </w:rPr>
                    <w:t>砂石装卸、堆放扬尘</w:t>
                  </w:r>
                </w:p>
              </w:tc>
              <w:tc>
                <w:tcPr>
                  <w:tcW w:w="1352" w:type="pct"/>
                  <w:tcBorders>
                    <w:tl2br w:val="nil"/>
                    <w:tr2bl w:val="nil"/>
                  </w:tcBorders>
                  <w:vAlign w:val="center"/>
                </w:tcPr>
                <w:p>
                  <w:pPr>
                    <w:pStyle w:val="39"/>
                    <w:jc w:val="center"/>
                  </w:pPr>
                  <w:r>
                    <w:rPr>
                      <w:rFonts w:hint="eastAsia"/>
                    </w:rPr>
                    <w:t>1.05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合计</w:t>
                  </w:r>
                </w:p>
              </w:tc>
              <w:tc>
                <w:tcPr>
                  <w:tcW w:w="1348" w:type="pct"/>
                  <w:tcBorders>
                    <w:tl2br w:val="nil"/>
                    <w:tr2bl w:val="nil"/>
                  </w:tcBorders>
                  <w:vAlign w:val="center"/>
                </w:tcPr>
                <w:p>
                  <w:pPr>
                    <w:pStyle w:val="39"/>
                    <w:jc w:val="center"/>
                  </w:pPr>
                  <w:r>
                    <w:rPr>
                      <w:rFonts w:hint="eastAsia"/>
                    </w:rPr>
                    <w:t>36000</w:t>
                  </w:r>
                </w:p>
              </w:tc>
              <w:tc>
                <w:tcPr>
                  <w:tcW w:w="1346" w:type="pct"/>
                  <w:tcBorders>
                    <w:tl2br w:val="nil"/>
                    <w:tr2bl w:val="nil"/>
                  </w:tcBorders>
                  <w:vAlign w:val="center"/>
                </w:tcPr>
                <w:p>
                  <w:pPr>
                    <w:pStyle w:val="39"/>
                    <w:jc w:val="center"/>
                  </w:pPr>
                  <w:r>
                    <w:rPr>
                      <w:rFonts w:hint="eastAsia"/>
                    </w:rPr>
                    <w:t>合计</w:t>
                  </w:r>
                </w:p>
              </w:tc>
              <w:tc>
                <w:tcPr>
                  <w:tcW w:w="1352" w:type="pct"/>
                  <w:tcBorders>
                    <w:tl2br w:val="nil"/>
                    <w:tr2bl w:val="nil"/>
                  </w:tcBorders>
                  <w:vAlign w:val="center"/>
                </w:tcPr>
                <w:p>
                  <w:pPr>
                    <w:pStyle w:val="39"/>
                    <w:jc w:val="center"/>
                  </w:pPr>
                  <w:r>
                    <w:rPr>
                      <w:rFonts w:hint="eastAsia"/>
                    </w:rPr>
                    <w:t>36000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5000" w:type="pct"/>
                  <w:gridSpan w:val="4"/>
                  <w:tcBorders>
                    <w:tl2br w:val="nil"/>
                    <w:tr2bl w:val="nil"/>
                  </w:tcBorders>
                  <w:vAlign w:val="center"/>
                </w:tcPr>
                <w:p>
                  <w:pPr>
                    <w:pStyle w:val="39"/>
                    <w:jc w:val="center"/>
                  </w:pPr>
                  <w:r>
                    <w:rPr>
                      <w:rFonts w:hint="eastAsia"/>
                    </w:rPr>
                    <w:t>砂石配料、投料、皮带输送</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砂石料</w:t>
                  </w:r>
                </w:p>
              </w:tc>
              <w:tc>
                <w:tcPr>
                  <w:tcW w:w="1348" w:type="pct"/>
                  <w:tcBorders>
                    <w:tl2br w:val="nil"/>
                    <w:tr2bl w:val="nil"/>
                  </w:tcBorders>
                  <w:vAlign w:val="center"/>
                </w:tcPr>
                <w:p>
                  <w:pPr>
                    <w:pStyle w:val="39"/>
                    <w:jc w:val="center"/>
                  </w:pPr>
                  <w:r>
                    <w:rPr>
                      <w:rFonts w:hint="eastAsia"/>
                    </w:rPr>
                    <w:t>35998.95</w:t>
                  </w:r>
                </w:p>
              </w:tc>
              <w:tc>
                <w:tcPr>
                  <w:tcW w:w="1346" w:type="pct"/>
                  <w:tcBorders>
                    <w:tl2br w:val="nil"/>
                    <w:tr2bl w:val="nil"/>
                  </w:tcBorders>
                  <w:vAlign w:val="center"/>
                </w:tcPr>
                <w:p>
                  <w:pPr>
                    <w:pStyle w:val="39"/>
                    <w:jc w:val="center"/>
                  </w:pPr>
                  <w:r>
                    <w:rPr>
                      <w:rFonts w:hint="eastAsia"/>
                    </w:rPr>
                    <w:t>砂石料</w:t>
                  </w:r>
                </w:p>
              </w:tc>
              <w:tc>
                <w:tcPr>
                  <w:tcW w:w="1352" w:type="pct"/>
                  <w:tcBorders>
                    <w:tl2br w:val="nil"/>
                    <w:tr2bl w:val="nil"/>
                  </w:tcBorders>
                  <w:vAlign w:val="center"/>
                </w:tcPr>
                <w:p>
                  <w:pPr>
                    <w:pStyle w:val="39"/>
                    <w:jc w:val="center"/>
                  </w:pPr>
                  <w:r>
                    <w:rPr>
                      <w:rFonts w:hint="eastAsia"/>
                    </w:rPr>
                    <w:t>35998.09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rPr>
                      <w:rFonts w:hint="eastAsia" w:eastAsia="宋体"/>
                      <w:lang w:val="en-US" w:eastAsia="zh-CN"/>
                    </w:rPr>
                  </w:pPr>
                  <w:r>
                    <w:rPr>
                      <w:rFonts w:hint="eastAsia"/>
                      <w:lang w:val="en-US" w:eastAsia="zh-CN"/>
                    </w:rPr>
                    <w:t>/</w:t>
                  </w:r>
                </w:p>
              </w:tc>
              <w:tc>
                <w:tcPr>
                  <w:tcW w:w="1348" w:type="pct"/>
                  <w:tcBorders>
                    <w:tl2br w:val="nil"/>
                    <w:tr2bl w:val="nil"/>
                  </w:tcBorders>
                  <w:vAlign w:val="center"/>
                </w:tcPr>
                <w:p>
                  <w:pPr>
                    <w:pStyle w:val="39"/>
                    <w:jc w:val="center"/>
                    <w:rPr>
                      <w:rFonts w:hint="eastAsia" w:eastAsia="宋体"/>
                      <w:lang w:val="en-US" w:eastAsia="zh-CN"/>
                    </w:rPr>
                  </w:pPr>
                  <w:r>
                    <w:rPr>
                      <w:rFonts w:hint="eastAsia"/>
                      <w:lang w:val="en-US" w:eastAsia="zh-CN"/>
                    </w:rPr>
                    <w:t>/</w:t>
                  </w:r>
                </w:p>
              </w:tc>
              <w:tc>
                <w:tcPr>
                  <w:tcW w:w="1346" w:type="pct"/>
                  <w:tcBorders>
                    <w:tl2br w:val="nil"/>
                    <w:tr2bl w:val="nil"/>
                  </w:tcBorders>
                  <w:vAlign w:val="center"/>
                </w:tcPr>
                <w:p>
                  <w:pPr>
                    <w:pStyle w:val="39"/>
                    <w:jc w:val="center"/>
                  </w:pPr>
                  <w:r>
                    <w:rPr>
                      <w:rFonts w:hint="eastAsia"/>
                    </w:rPr>
                    <w:t>砂石配料、投料、皮带输送粉尘</w:t>
                  </w:r>
                </w:p>
              </w:tc>
              <w:tc>
                <w:tcPr>
                  <w:tcW w:w="1352" w:type="pct"/>
                  <w:tcBorders>
                    <w:tl2br w:val="nil"/>
                    <w:tr2bl w:val="nil"/>
                  </w:tcBorders>
                  <w:vAlign w:val="center"/>
                </w:tcPr>
                <w:p>
                  <w:pPr>
                    <w:pStyle w:val="39"/>
                    <w:jc w:val="center"/>
                  </w:pPr>
                  <w:r>
                    <w:rPr>
                      <w:rFonts w:hint="eastAsia"/>
                    </w:rPr>
                    <w:t>0.86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合计</w:t>
                  </w:r>
                </w:p>
              </w:tc>
              <w:tc>
                <w:tcPr>
                  <w:tcW w:w="1348" w:type="pct"/>
                  <w:tcBorders>
                    <w:tl2br w:val="nil"/>
                    <w:tr2bl w:val="nil"/>
                  </w:tcBorders>
                  <w:vAlign w:val="center"/>
                </w:tcPr>
                <w:p>
                  <w:pPr>
                    <w:pStyle w:val="39"/>
                    <w:jc w:val="center"/>
                  </w:pPr>
                  <w:r>
                    <w:rPr>
                      <w:rFonts w:hint="eastAsia"/>
                    </w:rPr>
                    <w:t>35998.95</w:t>
                  </w:r>
                </w:p>
              </w:tc>
              <w:tc>
                <w:tcPr>
                  <w:tcW w:w="1346" w:type="pct"/>
                  <w:tcBorders>
                    <w:tl2br w:val="nil"/>
                    <w:tr2bl w:val="nil"/>
                  </w:tcBorders>
                  <w:vAlign w:val="center"/>
                </w:tcPr>
                <w:p>
                  <w:pPr>
                    <w:pStyle w:val="39"/>
                    <w:jc w:val="center"/>
                  </w:pPr>
                  <w:r>
                    <w:rPr>
                      <w:rFonts w:hint="eastAsia"/>
                    </w:rPr>
                    <w:t>合计</w:t>
                  </w:r>
                </w:p>
              </w:tc>
              <w:tc>
                <w:tcPr>
                  <w:tcW w:w="1352" w:type="pct"/>
                  <w:tcBorders>
                    <w:tl2br w:val="nil"/>
                    <w:tr2bl w:val="nil"/>
                  </w:tcBorders>
                  <w:vAlign w:val="center"/>
                </w:tcPr>
                <w:p>
                  <w:pPr>
                    <w:pStyle w:val="39"/>
                    <w:jc w:val="center"/>
                  </w:pPr>
                  <w:r>
                    <w:rPr>
                      <w:rFonts w:hint="eastAsia"/>
                    </w:rPr>
                    <w:t>35998.95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000" w:type="pct"/>
                  <w:gridSpan w:val="4"/>
                  <w:tcBorders>
                    <w:tl2br w:val="nil"/>
                    <w:tr2bl w:val="nil"/>
                  </w:tcBorders>
                  <w:vAlign w:val="center"/>
                </w:tcPr>
                <w:p>
                  <w:pPr>
                    <w:pStyle w:val="39"/>
                    <w:jc w:val="center"/>
                  </w:pPr>
                  <w:r>
                    <w:rPr>
                      <w:rFonts w:hint="eastAsia"/>
                    </w:rPr>
                    <w:t>筒仓储运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水泥</w:t>
                  </w:r>
                </w:p>
              </w:tc>
              <w:tc>
                <w:tcPr>
                  <w:tcW w:w="1348" w:type="pct"/>
                  <w:tcBorders>
                    <w:tl2br w:val="nil"/>
                    <w:tr2bl w:val="nil"/>
                  </w:tcBorders>
                  <w:vAlign w:val="center"/>
                </w:tcPr>
                <w:p>
                  <w:pPr>
                    <w:pStyle w:val="39"/>
                    <w:jc w:val="center"/>
                  </w:pPr>
                  <w:r>
                    <w:rPr>
                      <w:rFonts w:hint="eastAsia"/>
                    </w:rPr>
                    <w:t>4500</w:t>
                  </w:r>
                </w:p>
              </w:tc>
              <w:tc>
                <w:tcPr>
                  <w:tcW w:w="1346" w:type="pct"/>
                  <w:tcBorders>
                    <w:tl2br w:val="nil"/>
                    <w:tr2bl w:val="nil"/>
                  </w:tcBorders>
                  <w:vAlign w:val="center"/>
                </w:tcPr>
                <w:p>
                  <w:pPr>
                    <w:pStyle w:val="39"/>
                    <w:jc w:val="center"/>
                  </w:pPr>
                  <w:r>
                    <w:rPr>
                      <w:rFonts w:hint="eastAsia"/>
                    </w:rPr>
                    <w:t>水泥</w:t>
                  </w:r>
                </w:p>
              </w:tc>
              <w:tc>
                <w:tcPr>
                  <w:tcW w:w="1352" w:type="pct"/>
                  <w:tcBorders>
                    <w:tl2br w:val="nil"/>
                    <w:tr2bl w:val="nil"/>
                  </w:tcBorders>
                  <w:vAlign w:val="center"/>
                </w:tcPr>
                <w:p>
                  <w:pPr>
                    <w:pStyle w:val="39"/>
                    <w:jc w:val="center"/>
                  </w:pPr>
                  <w:r>
                    <w:rPr>
                      <w:rFonts w:hint="eastAsia"/>
                    </w:rPr>
                    <w:t>4499.99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粉煤灰</w:t>
                  </w:r>
                </w:p>
              </w:tc>
              <w:tc>
                <w:tcPr>
                  <w:tcW w:w="1348" w:type="pct"/>
                  <w:tcBorders>
                    <w:tl2br w:val="nil"/>
                    <w:tr2bl w:val="nil"/>
                  </w:tcBorders>
                  <w:vAlign w:val="center"/>
                </w:tcPr>
                <w:p>
                  <w:pPr>
                    <w:pStyle w:val="39"/>
                    <w:jc w:val="center"/>
                  </w:pPr>
                  <w:r>
                    <w:rPr>
                      <w:rFonts w:hint="eastAsia"/>
                    </w:rPr>
                    <w:t>2200</w:t>
                  </w:r>
                </w:p>
              </w:tc>
              <w:tc>
                <w:tcPr>
                  <w:tcW w:w="1346" w:type="pct"/>
                  <w:tcBorders>
                    <w:tl2br w:val="nil"/>
                    <w:tr2bl w:val="nil"/>
                  </w:tcBorders>
                  <w:vAlign w:val="center"/>
                </w:tcPr>
                <w:p>
                  <w:pPr>
                    <w:pStyle w:val="39"/>
                    <w:jc w:val="center"/>
                  </w:pPr>
                  <w:r>
                    <w:rPr>
                      <w:rFonts w:hint="eastAsia"/>
                    </w:rPr>
                    <w:t>粉煤灰</w:t>
                  </w:r>
                </w:p>
              </w:tc>
              <w:tc>
                <w:tcPr>
                  <w:tcW w:w="1352" w:type="pct"/>
                  <w:tcBorders>
                    <w:tl2br w:val="nil"/>
                    <w:tr2bl w:val="nil"/>
                  </w:tcBorders>
                  <w:vAlign w:val="center"/>
                </w:tcPr>
                <w:p>
                  <w:pPr>
                    <w:pStyle w:val="39"/>
                    <w:jc w:val="center"/>
                  </w:pPr>
                  <w:r>
                    <w:rPr>
                      <w:rFonts w:hint="eastAsia"/>
                    </w:rPr>
                    <w:t>2199.99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rPr>
                      <w:rFonts w:hint="eastAsia" w:eastAsia="宋体"/>
                      <w:lang w:val="en-US" w:eastAsia="zh-CN"/>
                    </w:rPr>
                  </w:pPr>
                  <w:r>
                    <w:rPr>
                      <w:rFonts w:hint="eastAsia"/>
                      <w:lang w:val="en-US" w:eastAsia="zh-CN"/>
                    </w:rPr>
                    <w:t>/</w:t>
                  </w:r>
                </w:p>
              </w:tc>
              <w:tc>
                <w:tcPr>
                  <w:tcW w:w="1348" w:type="pct"/>
                  <w:tcBorders>
                    <w:tl2br w:val="nil"/>
                    <w:tr2bl w:val="nil"/>
                  </w:tcBorders>
                  <w:vAlign w:val="center"/>
                </w:tcPr>
                <w:p>
                  <w:pPr>
                    <w:pStyle w:val="39"/>
                    <w:jc w:val="center"/>
                    <w:rPr>
                      <w:rFonts w:hint="eastAsia" w:eastAsia="宋体"/>
                      <w:lang w:val="en-US" w:eastAsia="zh-CN"/>
                    </w:rPr>
                  </w:pPr>
                  <w:r>
                    <w:rPr>
                      <w:rFonts w:hint="eastAsia"/>
                      <w:lang w:val="en-US" w:eastAsia="zh-CN"/>
                    </w:rPr>
                    <w:t>/</w:t>
                  </w:r>
                </w:p>
              </w:tc>
              <w:tc>
                <w:tcPr>
                  <w:tcW w:w="1346" w:type="pct"/>
                  <w:tcBorders>
                    <w:tl2br w:val="nil"/>
                    <w:tr2bl w:val="nil"/>
                  </w:tcBorders>
                  <w:vAlign w:val="center"/>
                </w:tcPr>
                <w:p>
                  <w:pPr>
                    <w:pStyle w:val="39"/>
                    <w:jc w:val="center"/>
                  </w:pPr>
                  <w:r>
                    <w:rPr>
                      <w:rFonts w:hint="eastAsia"/>
                    </w:rPr>
                    <w:t>筒仓有组织排放粉尘</w:t>
                  </w:r>
                </w:p>
              </w:tc>
              <w:tc>
                <w:tcPr>
                  <w:tcW w:w="1352" w:type="pct"/>
                  <w:tcBorders>
                    <w:tl2br w:val="nil"/>
                    <w:tr2bl w:val="nil"/>
                  </w:tcBorders>
                  <w:vAlign w:val="center"/>
                </w:tcPr>
                <w:p>
                  <w:pPr>
                    <w:pStyle w:val="39"/>
                    <w:jc w:val="center"/>
                  </w:pPr>
                  <w:r>
                    <w:rPr>
                      <w:rFonts w:hint="eastAsia"/>
                    </w:rPr>
                    <w:t>0.017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合计</w:t>
                  </w:r>
                </w:p>
              </w:tc>
              <w:tc>
                <w:tcPr>
                  <w:tcW w:w="1348" w:type="pct"/>
                  <w:tcBorders>
                    <w:tl2br w:val="nil"/>
                    <w:tr2bl w:val="nil"/>
                  </w:tcBorders>
                  <w:vAlign w:val="center"/>
                </w:tcPr>
                <w:p>
                  <w:pPr>
                    <w:pStyle w:val="39"/>
                    <w:jc w:val="center"/>
                  </w:pPr>
                  <w:r>
                    <w:rPr>
                      <w:rFonts w:hint="eastAsia"/>
                    </w:rPr>
                    <w:t>6700</w:t>
                  </w:r>
                </w:p>
              </w:tc>
              <w:tc>
                <w:tcPr>
                  <w:tcW w:w="1346" w:type="pct"/>
                  <w:tcBorders>
                    <w:tl2br w:val="nil"/>
                    <w:tr2bl w:val="nil"/>
                  </w:tcBorders>
                  <w:vAlign w:val="center"/>
                </w:tcPr>
                <w:p>
                  <w:pPr>
                    <w:pStyle w:val="39"/>
                    <w:jc w:val="center"/>
                  </w:pPr>
                  <w:r>
                    <w:rPr>
                      <w:rFonts w:hint="eastAsia"/>
                    </w:rPr>
                    <w:t>合计</w:t>
                  </w:r>
                </w:p>
              </w:tc>
              <w:tc>
                <w:tcPr>
                  <w:tcW w:w="1352" w:type="pct"/>
                  <w:tcBorders>
                    <w:tl2br w:val="nil"/>
                    <w:tr2bl w:val="nil"/>
                  </w:tcBorders>
                  <w:vAlign w:val="center"/>
                </w:tcPr>
                <w:p>
                  <w:pPr>
                    <w:pStyle w:val="39"/>
                    <w:jc w:val="center"/>
                  </w:pPr>
                  <w:r>
                    <w:rPr>
                      <w:rFonts w:hint="eastAsia"/>
                    </w:rPr>
                    <w:t>6700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000" w:type="pct"/>
                  <w:gridSpan w:val="4"/>
                  <w:tcBorders>
                    <w:tl2br w:val="nil"/>
                    <w:tr2bl w:val="nil"/>
                  </w:tcBorders>
                  <w:vAlign w:val="center"/>
                </w:tcPr>
                <w:p>
                  <w:pPr>
                    <w:pStyle w:val="39"/>
                    <w:jc w:val="center"/>
                  </w:pPr>
                  <w:r>
                    <w:rPr>
                      <w:rFonts w:hint="eastAsia"/>
                    </w:rPr>
                    <w:t>搅拌混合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水泥</w:t>
                  </w:r>
                </w:p>
              </w:tc>
              <w:tc>
                <w:tcPr>
                  <w:tcW w:w="2038" w:type="dxa"/>
                  <w:tcBorders>
                    <w:tl2br w:val="nil"/>
                    <w:tr2bl w:val="nil"/>
                  </w:tcBorders>
                  <w:vAlign w:val="center"/>
                </w:tcPr>
                <w:p>
                  <w:pPr>
                    <w:pStyle w:val="39"/>
                    <w:jc w:val="center"/>
                  </w:pPr>
                  <w:r>
                    <w:rPr>
                      <w:rFonts w:hint="eastAsia"/>
                    </w:rPr>
                    <w:t>4499.99</w:t>
                  </w:r>
                </w:p>
              </w:tc>
              <w:tc>
                <w:tcPr>
                  <w:tcW w:w="1346" w:type="pct"/>
                  <w:tcBorders>
                    <w:tl2br w:val="nil"/>
                    <w:tr2bl w:val="nil"/>
                  </w:tcBorders>
                  <w:vAlign w:val="center"/>
                </w:tcPr>
                <w:p>
                  <w:pPr>
                    <w:pStyle w:val="39"/>
                    <w:jc w:val="center"/>
                  </w:pPr>
                  <w:r>
                    <w:rPr>
                      <w:rFonts w:hint="eastAsia"/>
                    </w:rPr>
                    <w:t>混凝土</w:t>
                  </w:r>
                </w:p>
              </w:tc>
              <w:tc>
                <w:tcPr>
                  <w:tcW w:w="1352" w:type="pct"/>
                  <w:tcBorders>
                    <w:tl2br w:val="nil"/>
                    <w:tr2bl w:val="nil"/>
                  </w:tcBorders>
                  <w:vAlign w:val="center"/>
                </w:tcPr>
                <w:p>
                  <w:pPr>
                    <w:pStyle w:val="39"/>
                    <w:jc w:val="center"/>
                  </w:pPr>
                  <w:r>
                    <w:rPr>
                      <w:rFonts w:hint="eastAsia"/>
                    </w:rPr>
                    <w:t>48615.05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粉煤灰</w:t>
                  </w:r>
                </w:p>
              </w:tc>
              <w:tc>
                <w:tcPr>
                  <w:tcW w:w="2038" w:type="dxa"/>
                  <w:tcBorders>
                    <w:tl2br w:val="nil"/>
                    <w:tr2bl w:val="nil"/>
                  </w:tcBorders>
                  <w:vAlign w:val="center"/>
                </w:tcPr>
                <w:p>
                  <w:pPr>
                    <w:pStyle w:val="39"/>
                    <w:jc w:val="center"/>
                  </w:pPr>
                  <w:r>
                    <w:rPr>
                      <w:rFonts w:hint="eastAsia"/>
                    </w:rPr>
                    <w:t>2199.99</w:t>
                  </w:r>
                </w:p>
              </w:tc>
              <w:tc>
                <w:tcPr>
                  <w:tcW w:w="1346" w:type="pct"/>
                  <w:tcBorders>
                    <w:tl2br w:val="nil"/>
                    <w:tr2bl w:val="nil"/>
                  </w:tcBorders>
                  <w:vAlign w:val="center"/>
                </w:tcPr>
                <w:p>
                  <w:pPr>
                    <w:pStyle w:val="39"/>
                    <w:jc w:val="center"/>
                  </w:pPr>
                  <w:r>
                    <w:rPr>
                      <w:rFonts w:hint="eastAsia"/>
                    </w:rPr>
                    <w:t>搅拌仓有组织排放粉尘</w:t>
                  </w:r>
                </w:p>
              </w:tc>
              <w:tc>
                <w:tcPr>
                  <w:tcW w:w="1352" w:type="pct"/>
                  <w:tcBorders>
                    <w:tl2br w:val="nil"/>
                    <w:tr2bl w:val="nil"/>
                  </w:tcBorders>
                  <w:vAlign w:val="center"/>
                </w:tcPr>
                <w:p>
                  <w:pPr>
                    <w:pStyle w:val="39"/>
                    <w:jc w:val="center"/>
                  </w:pPr>
                  <w:r>
                    <w:rPr>
                      <w:rFonts w:hint="eastAsia"/>
                    </w:rPr>
                    <w:t>0.02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外加剂</w:t>
                  </w:r>
                </w:p>
              </w:tc>
              <w:tc>
                <w:tcPr>
                  <w:tcW w:w="1348" w:type="pct"/>
                  <w:tcBorders>
                    <w:tl2br w:val="nil"/>
                    <w:tr2bl w:val="nil"/>
                  </w:tcBorders>
                  <w:vAlign w:val="center"/>
                </w:tcPr>
                <w:p>
                  <w:pPr>
                    <w:pStyle w:val="39"/>
                    <w:jc w:val="center"/>
                  </w:pPr>
                  <w:r>
                    <w:rPr>
                      <w:rFonts w:hint="eastAsia"/>
                    </w:rPr>
                    <w:t>120</w:t>
                  </w:r>
                </w:p>
              </w:tc>
              <w:tc>
                <w:tcPr>
                  <w:tcW w:w="1346" w:type="pct"/>
                  <w:tcBorders>
                    <w:tl2br w:val="nil"/>
                    <w:tr2bl w:val="nil"/>
                  </w:tcBorders>
                  <w:vAlign w:val="center"/>
                </w:tcPr>
                <w:p>
                  <w:pPr>
                    <w:pStyle w:val="39"/>
                    <w:jc w:val="center"/>
                  </w:pPr>
                  <w:r>
                    <w:rPr>
                      <w:rFonts w:hint="eastAsia"/>
                    </w:rPr>
                    <w:t>设备清洗损耗</w:t>
                  </w:r>
                </w:p>
              </w:tc>
              <w:tc>
                <w:tcPr>
                  <w:tcW w:w="1352" w:type="pct"/>
                  <w:tcBorders>
                    <w:tl2br w:val="nil"/>
                    <w:tr2bl w:val="nil"/>
                  </w:tcBorders>
                  <w:vAlign w:val="center"/>
                </w:tcPr>
                <w:p>
                  <w:pPr>
                    <w:pStyle w:val="39"/>
                    <w:jc w:val="center"/>
                  </w:pPr>
                  <w:r>
                    <w:rPr>
                      <w:rFonts w:hint="eastAsia"/>
                    </w:rPr>
                    <w:t>90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生产用水</w:t>
                  </w:r>
                </w:p>
              </w:tc>
              <w:tc>
                <w:tcPr>
                  <w:tcW w:w="1348" w:type="pct"/>
                  <w:tcBorders>
                    <w:tl2br w:val="nil"/>
                    <w:tr2bl w:val="nil"/>
                  </w:tcBorders>
                  <w:vAlign w:val="center"/>
                </w:tcPr>
                <w:p>
                  <w:pPr>
                    <w:pStyle w:val="39"/>
                    <w:jc w:val="center"/>
                  </w:pPr>
                  <w:r>
                    <w:rPr>
                      <w:rFonts w:hint="eastAsia"/>
                    </w:rPr>
                    <w:t>5800</w:t>
                  </w:r>
                </w:p>
              </w:tc>
              <w:tc>
                <w:tcPr>
                  <w:tcW w:w="1346" w:type="pct"/>
                  <w:tcBorders>
                    <w:tl2br w:val="nil"/>
                    <w:tr2bl w:val="nil"/>
                  </w:tcBorders>
                  <w:vAlign w:val="center"/>
                </w:tcPr>
                <w:p>
                  <w:pPr>
                    <w:pStyle w:val="39"/>
                    <w:jc w:val="center"/>
                  </w:pPr>
                  <w:r>
                    <w:rPr>
                      <w:rFonts w:hint="eastAsia"/>
                    </w:rPr>
                    <w:t>设备清洗废水</w:t>
                  </w:r>
                </w:p>
              </w:tc>
              <w:tc>
                <w:tcPr>
                  <w:tcW w:w="1352" w:type="pct"/>
                  <w:tcBorders>
                    <w:tl2br w:val="nil"/>
                    <w:tr2bl w:val="nil"/>
                  </w:tcBorders>
                  <w:vAlign w:val="center"/>
                </w:tcPr>
                <w:p>
                  <w:pPr>
                    <w:pStyle w:val="39"/>
                    <w:jc w:val="center"/>
                  </w:pPr>
                  <w:r>
                    <w:rPr>
                      <w:rFonts w:hint="eastAsia"/>
                    </w:rPr>
                    <w:t>360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砂石料</w:t>
                  </w:r>
                </w:p>
              </w:tc>
              <w:tc>
                <w:tcPr>
                  <w:tcW w:w="1348" w:type="pct"/>
                  <w:tcBorders>
                    <w:tl2br w:val="nil"/>
                    <w:tr2bl w:val="nil"/>
                  </w:tcBorders>
                  <w:vAlign w:val="center"/>
                </w:tcPr>
                <w:p>
                  <w:pPr>
                    <w:pStyle w:val="39"/>
                    <w:jc w:val="center"/>
                  </w:pPr>
                  <w:r>
                    <w:rPr>
                      <w:rFonts w:hint="eastAsia"/>
                    </w:rPr>
                    <w:t>35998.09</w:t>
                  </w:r>
                </w:p>
              </w:tc>
              <w:tc>
                <w:tcPr>
                  <w:tcW w:w="1346" w:type="pct"/>
                  <w:tcBorders>
                    <w:tl2br w:val="nil"/>
                    <w:tr2bl w:val="nil"/>
                  </w:tcBorders>
                  <w:vAlign w:val="center"/>
                </w:tcPr>
                <w:p>
                  <w:pPr>
                    <w:pStyle w:val="39"/>
                    <w:jc w:val="center"/>
                  </w:pPr>
                  <w:r>
                    <w:rPr>
                      <w:rFonts w:hint="eastAsia"/>
                    </w:rPr>
                    <w:t>沉淀池沉渣</w:t>
                  </w:r>
                </w:p>
              </w:tc>
              <w:tc>
                <w:tcPr>
                  <w:tcW w:w="1352" w:type="pct"/>
                  <w:tcBorders>
                    <w:tl2br w:val="nil"/>
                    <w:tr2bl w:val="nil"/>
                  </w:tcBorders>
                  <w:vAlign w:val="center"/>
                </w:tcPr>
                <w:p>
                  <w:pPr>
                    <w:pStyle w:val="39"/>
                    <w:jc w:val="center"/>
                  </w:pPr>
                  <w:r>
                    <w:rPr>
                      <w:rFonts w:hint="eastAsia"/>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设备清洗用水</w:t>
                  </w:r>
                </w:p>
              </w:tc>
              <w:tc>
                <w:tcPr>
                  <w:tcW w:w="1348" w:type="pct"/>
                  <w:tcBorders>
                    <w:tl2br w:val="nil"/>
                    <w:tr2bl w:val="nil"/>
                  </w:tcBorders>
                  <w:vAlign w:val="center"/>
                </w:tcPr>
                <w:p>
                  <w:pPr>
                    <w:pStyle w:val="39"/>
                    <w:jc w:val="center"/>
                  </w:pPr>
                  <w:r>
                    <w:rPr>
                      <w:rFonts w:hint="eastAsia"/>
                    </w:rPr>
                    <w:t>450</w:t>
                  </w:r>
                </w:p>
              </w:tc>
              <w:tc>
                <w:tcPr>
                  <w:tcW w:w="1346" w:type="pct"/>
                  <w:tcBorders>
                    <w:tl2br w:val="nil"/>
                    <w:tr2bl w:val="nil"/>
                  </w:tcBorders>
                  <w:vAlign w:val="center"/>
                </w:tcPr>
                <w:p>
                  <w:pPr>
                    <w:pStyle w:val="39"/>
                    <w:jc w:val="center"/>
                    <w:rPr>
                      <w:rFonts w:hint="eastAsia" w:eastAsia="宋体"/>
                      <w:lang w:val="en-US" w:eastAsia="zh-CN"/>
                    </w:rPr>
                  </w:pPr>
                  <w:r>
                    <w:rPr>
                      <w:rFonts w:hint="eastAsia"/>
                      <w:lang w:val="en-US" w:eastAsia="zh-CN"/>
                    </w:rPr>
                    <w:t>/</w:t>
                  </w:r>
                </w:p>
              </w:tc>
              <w:tc>
                <w:tcPr>
                  <w:tcW w:w="1352" w:type="pct"/>
                  <w:tcBorders>
                    <w:tl2br w:val="nil"/>
                    <w:tr2bl w:val="nil"/>
                  </w:tcBorders>
                  <w:vAlign w:val="center"/>
                </w:tcPr>
                <w:p>
                  <w:pPr>
                    <w:pStyle w:val="39"/>
                    <w:jc w:val="center"/>
                    <w:rPr>
                      <w:rFonts w:hint="eastAsia" w:eastAsia="宋体"/>
                      <w:lang w:val="en-US" w:eastAsia="zh-CN"/>
                    </w:rPr>
                  </w:pPr>
                  <w:r>
                    <w:rPr>
                      <w:rFonts w:hint="eastAsia"/>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合计</w:t>
                  </w:r>
                </w:p>
              </w:tc>
              <w:tc>
                <w:tcPr>
                  <w:tcW w:w="1348" w:type="pct"/>
                  <w:tcBorders>
                    <w:tl2br w:val="nil"/>
                    <w:tr2bl w:val="nil"/>
                  </w:tcBorders>
                  <w:vAlign w:val="center"/>
                </w:tcPr>
                <w:p>
                  <w:pPr>
                    <w:pStyle w:val="39"/>
                    <w:jc w:val="center"/>
                  </w:pPr>
                  <w:r>
                    <w:rPr>
                      <w:rFonts w:hint="eastAsia"/>
                    </w:rPr>
                    <w:t>49068.07</w:t>
                  </w:r>
                </w:p>
              </w:tc>
              <w:tc>
                <w:tcPr>
                  <w:tcW w:w="1346" w:type="pct"/>
                  <w:tcBorders>
                    <w:tl2br w:val="nil"/>
                    <w:tr2bl w:val="nil"/>
                  </w:tcBorders>
                  <w:vAlign w:val="center"/>
                </w:tcPr>
                <w:p>
                  <w:pPr>
                    <w:pStyle w:val="39"/>
                    <w:jc w:val="center"/>
                  </w:pPr>
                  <w:r>
                    <w:rPr>
                      <w:rFonts w:hint="eastAsia"/>
                    </w:rPr>
                    <w:t>合计</w:t>
                  </w:r>
                </w:p>
              </w:tc>
              <w:tc>
                <w:tcPr>
                  <w:tcW w:w="1352" w:type="pct"/>
                  <w:tcBorders>
                    <w:tl2br w:val="nil"/>
                    <w:tr2bl w:val="nil"/>
                  </w:tcBorders>
                  <w:vAlign w:val="center"/>
                </w:tcPr>
                <w:p>
                  <w:pPr>
                    <w:pStyle w:val="39"/>
                    <w:jc w:val="center"/>
                  </w:pPr>
                  <w:r>
                    <w:rPr>
                      <w:rFonts w:hint="eastAsia"/>
                    </w:rPr>
                    <w:t>49068.07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000" w:type="pct"/>
                  <w:gridSpan w:val="4"/>
                  <w:tcBorders>
                    <w:tl2br w:val="nil"/>
                    <w:tr2bl w:val="nil"/>
                  </w:tcBorders>
                  <w:vAlign w:val="center"/>
                </w:tcPr>
                <w:p>
                  <w:pPr>
                    <w:pStyle w:val="39"/>
                    <w:jc w:val="center"/>
                  </w:pPr>
                  <w:r>
                    <w:rPr>
                      <w:rFonts w:hint="eastAsia"/>
                    </w:rPr>
                    <w:t>抽检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混凝土</w:t>
                  </w:r>
                </w:p>
              </w:tc>
              <w:tc>
                <w:tcPr>
                  <w:tcW w:w="1348" w:type="pct"/>
                  <w:tcBorders>
                    <w:tl2br w:val="nil"/>
                    <w:tr2bl w:val="nil"/>
                  </w:tcBorders>
                  <w:vAlign w:val="center"/>
                </w:tcPr>
                <w:p>
                  <w:pPr>
                    <w:pStyle w:val="39"/>
                    <w:jc w:val="center"/>
                  </w:pPr>
                  <w:r>
                    <w:rPr>
                      <w:rFonts w:hint="eastAsia"/>
                    </w:rPr>
                    <w:t>486150.5</w:t>
                  </w:r>
                </w:p>
              </w:tc>
              <w:tc>
                <w:tcPr>
                  <w:tcW w:w="1346" w:type="pct"/>
                  <w:tcBorders>
                    <w:tl2br w:val="nil"/>
                    <w:tr2bl w:val="nil"/>
                  </w:tcBorders>
                  <w:vAlign w:val="center"/>
                </w:tcPr>
                <w:p>
                  <w:pPr>
                    <w:pStyle w:val="39"/>
                    <w:jc w:val="center"/>
                  </w:pPr>
                  <w:r>
                    <w:rPr>
                      <w:rFonts w:hint="eastAsia"/>
                    </w:rPr>
                    <w:t>商品混凝土</w:t>
                  </w:r>
                </w:p>
              </w:tc>
              <w:tc>
                <w:tcPr>
                  <w:tcW w:w="1352" w:type="pct"/>
                  <w:tcBorders>
                    <w:tl2br w:val="nil"/>
                    <w:tr2bl w:val="nil"/>
                  </w:tcBorders>
                  <w:vAlign w:val="center"/>
                </w:tcPr>
                <w:p>
                  <w:pPr>
                    <w:pStyle w:val="39"/>
                    <w:jc w:val="center"/>
                  </w:pPr>
                  <w:r>
                    <w:rPr>
                      <w:rFonts w:hint="eastAsia"/>
                    </w:rPr>
                    <w:t>48612.55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rPr>
                      <w:rFonts w:hint="eastAsia" w:eastAsia="宋体"/>
                      <w:lang w:val="en-US" w:eastAsia="zh-CN"/>
                    </w:rPr>
                  </w:pPr>
                  <w:r>
                    <w:rPr>
                      <w:rFonts w:hint="eastAsia"/>
                      <w:lang w:val="en-US" w:eastAsia="zh-CN"/>
                    </w:rPr>
                    <w:t>/</w:t>
                  </w:r>
                </w:p>
              </w:tc>
              <w:tc>
                <w:tcPr>
                  <w:tcW w:w="1348" w:type="pct"/>
                  <w:tcBorders>
                    <w:tl2br w:val="nil"/>
                    <w:tr2bl w:val="nil"/>
                  </w:tcBorders>
                  <w:vAlign w:val="center"/>
                </w:tcPr>
                <w:p>
                  <w:pPr>
                    <w:pStyle w:val="39"/>
                    <w:jc w:val="center"/>
                    <w:rPr>
                      <w:rFonts w:hint="eastAsia" w:eastAsia="宋体"/>
                      <w:lang w:val="en-US" w:eastAsia="zh-CN"/>
                    </w:rPr>
                  </w:pPr>
                  <w:r>
                    <w:rPr>
                      <w:rFonts w:hint="eastAsia"/>
                      <w:lang w:val="en-US" w:eastAsia="zh-CN"/>
                    </w:rPr>
                    <w:t>/</w:t>
                  </w:r>
                </w:p>
              </w:tc>
              <w:tc>
                <w:tcPr>
                  <w:tcW w:w="1346" w:type="pct"/>
                  <w:tcBorders>
                    <w:tl2br w:val="nil"/>
                    <w:tr2bl w:val="nil"/>
                  </w:tcBorders>
                  <w:vAlign w:val="center"/>
                </w:tcPr>
                <w:p>
                  <w:pPr>
                    <w:pStyle w:val="39"/>
                    <w:jc w:val="center"/>
                  </w:pPr>
                  <w:r>
                    <w:rPr>
                      <w:rFonts w:hint="eastAsia"/>
                    </w:rPr>
                    <w:t>废混凝土</w:t>
                  </w:r>
                </w:p>
              </w:tc>
              <w:tc>
                <w:tcPr>
                  <w:tcW w:w="1352" w:type="pct"/>
                  <w:tcBorders>
                    <w:tl2br w:val="nil"/>
                    <w:tr2bl w:val="nil"/>
                  </w:tcBorders>
                  <w:vAlign w:val="center"/>
                </w:tcPr>
                <w:p>
                  <w:pPr>
                    <w:pStyle w:val="39"/>
                    <w:jc w:val="center"/>
                  </w:pPr>
                  <w:r>
                    <w:rPr>
                      <w:rFonts w:hint="eastAsia"/>
                    </w:rPr>
                    <w:t>2.5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1" w:type="pct"/>
                  <w:tcBorders>
                    <w:tl2br w:val="nil"/>
                    <w:tr2bl w:val="nil"/>
                  </w:tcBorders>
                  <w:vAlign w:val="center"/>
                </w:tcPr>
                <w:p>
                  <w:pPr>
                    <w:pStyle w:val="39"/>
                    <w:jc w:val="center"/>
                  </w:pPr>
                  <w:r>
                    <w:rPr>
                      <w:rFonts w:hint="eastAsia"/>
                    </w:rPr>
                    <w:t>合计</w:t>
                  </w:r>
                </w:p>
              </w:tc>
              <w:tc>
                <w:tcPr>
                  <w:tcW w:w="1348" w:type="pct"/>
                  <w:tcBorders>
                    <w:tl2br w:val="nil"/>
                    <w:tr2bl w:val="nil"/>
                  </w:tcBorders>
                  <w:vAlign w:val="center"/>
                </w:tcPr>
                <w:p>
                  <w:pPr>
                    <w:pStyle w:val="39"/>
                    <w:jc w:val="center"/>
                  </w:pPr>
                  <w:r>
                    <w:rPr>
                      <w:rFonts w:hint="eastAsia"/>
                    </w:rPr>
                    <w:t>486150.5</w:t>
                  </w:r>
                </w:p>
              </w:tc>
              <w:tc>
                <w:tcPr>
                  <w:tcW w:w="1346" w:type="pct"/>
                  <w:tcBorders>
                    <w:tl2br w:val="nil"/>
                    <w:tr2bl w:val="nil"/>
                  </w:tcBorders>
                  <w:vAlign w:val="center"/>
                </w:tcPr>
                <w:p>
                  <w:pPr>
                    <w:pStyle w:val="39"/>
                    <w:jc w:val="center"/>
                  </w:pPr>
                  <w:r>
                    <w:rPr>
                      <w:rFonts w:hint="eastAsia"/>
                    </w:rPr>
                    <w:t>合计</w:t>
                  </w:r>
                </w:p>
              </w:tc>
              <w:tc>
                <w:tcPr>
                  <w:tcW w:w="1352" w:type="pct"/>
                  <w:tcBorders>
                    <w:tl2br w:val="nil"/>
                    <w:tr2bl w:val="nil"/>
                  </w:tcBorders>
                  <w:vAlign w:val="center"/>
                </w:tcPr>
                <w:p>
                  <w:pPr>
                    <w:pStyle w:val="39"/>
                    <w:jc w:val="center"/>
                  </w:pPr>
                  <w:r>
                    <w:rPr>
                      <w:rFonts w:hint="eastAsia"/>
                    </w:rPr>
                    <w:t>48615.05</w:t>
                  </w:r>
                </w:p>
              </w:tc>
            </w:tr>
          </w:tbl>
          <w:p>
            <w:pPr>
              <w:pStyle w:val="39"/>
              <w:ind w:firstLine="420" w:firstLineChars="200"/>
            </w:pPr>
            <w:r>
              <w:t>注：商品混凝土根据不同型号密度会有一定的差异，一般混凝土密度为2.30～2.50t/m</w:t>
            </w:r>
            <w:r>
              <w:rPr>
                <w:vertAlign w:val="superscript"/>
              </w:rPr>
              <w:t>3</w:t>
            </w:r>
            <w:r>
              <w:t>，本项目商品混凝土密度按2.</w:t>
            </w:r>
            <w:r>
              <w:rPr>
                <w:rFonts w:hint="eastAsia"/>
              </w:rPr>
              <w:t>43</w:t>
            </w:r>
            <w:r>
              <w:t>t/m</w:t>
            </w:r>
            <w:r>
              <w:rPr>
                <w:vertAlign w:val="superscript"/>
              </w:rPr>
              <w:t>3</w:t>
            </w:r>
            <w:r>
              <w:t>考虑，则</w:t>
            </w:r>
            <w:r>
              <w:rPr>
                <w:rFonts w:hint="eastAsia"/>
              </w:rPr>
              <w:t>2</w:t>
            </w:r>
            <w:r>
              <w:t>万m</w:t>
            </w:r>
            <w:r>
              <w:rPr>
                <w:vertAlign w:val="superscript"/>
              </w:rPr>
              <w:t>3</w:t>
            </w:r>
            <w:r>
              <w:t>混凝土重量则为</w:t>
            </w:r>
            <w:r>
              <w:rPr>
                <w:rFonts w:hint="eastAsia"/>
              </w:rPr>
              <w:t>48600</w:t>
            </w:r>
            <w:r>
              <w:t>t。</w:t>
            </w:r>
          </w:p>
          <w:p>
            <w:pPr>
              <w:pStyle w:val="39"/>
              <w:spacing w:line="360" w:lineRule="auto"/>
              <w:jc w:val="center"/>
            </w:pPr>
            <w:r>
              <w:object>
                <v:shape id="_x0000_i1027" o:spt="75" type="#_x0000_t75" style="height:301.7pt;width:367.2pt;" o:ole="t" filled="f" o:preferrelative="t" stroked="f" coordsize="21600,21600">
                  <v:path/>
                  <v:fill on="f" focussize="0,0"/>
                  <v:stroke on="f" joinstyle="miter"/>
                  <v:imagedata r:id="rId18" o:title=""/>
                  <o:lock v:ext="edit" aspectratio="f"/>
                  <w10:wrap type="none"/>
                  <w10:anchorlock/>
                </v:shape>
                <o:OLEObject Type="Embed" ProgID="Visio.Drawing.11" ShapeID="_x0000_i1027" DrawAspect="Content" ObjectID="_1468075726" r:id="rId17">
                  <o:LockedField>false</o:LockedField>
                </o:OLEObject>
              </w:object>
            </w:r>
          </w:p>
          <w:p>
            <w:pPr>
              <w:pStyle w:val="25"/>
            </w:pPr>
            <w:r>
              <w:rPr>
                <w:rFonts w:hint="eastAsia"/>
              </w:rPr>
              <w:t>图2-4项目物料平衡图</w:t>
            </w:r>
            <w:r>
              <w:rPr>
                <w:rFonts w:hint="eastAsia"/>
                <w:lang w:eastAsia="zh-CN"/>
              </w:rPr>
              <w:t>（</w:t>
            </w:r>
            <w:r>
              <w:rPr>
                <w:rFonts w:hint="eastAsia"/>
              </w:rPr>
              <w:t>单位：t/a</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12" w:hRule="atLeast"/>
          <w:jc w:val="center"/>
        </w:trPr>
        <w:tc>
          <w:tcPr>
            <w:tcW w:w="842" w:type="dxa"/>
            <w:vAlign w:val="center"/>
          </w:tcPr>
          <w:p>
            <w:pPr>
              <w:ind w:firstLine="0" w:firstLineChars="0"/>
            </w:pPr>
            <w:r>
              <w:rPr>
                <w:rFonts w:hint="eastAsia"/>
              </w:rPr>
              <w:t>与项目有关的原有环境污染问题</w:t>
            </w:r>
          </w:p>
        </w:tc>
        <w:tc>
          <w:tcPr>
            <w:tcW w:w="7771" w:type="dxa"/>
            <w:vAlign w:val="center"/>
          </w:tcPr>
          <w:p>
            <w:pPr>
              <w:ind w:firstLine="0" w:firstLineChars="0"/>
              <w:jc w:val="center"/>
            </w:pPr>
            <w:r>
              <w:rPr>
                <w:rFonts w:hint="eastAsia"/>
              </w:rPr>
              <w:t>无</w:t>
            </w:r>
          </w:p>
        </w:tc>
      </w:tr>
    </w:tbl>
    <w:p>
      <w:pPr>
        <w:pStyle w:val="2"/>
        <w:rPr>
          <w:snapToGrid w:val="0"/>
        </w:rPr>
        <w:sectPr>
          <w:pgSz w:w="11906" w:h="16838"/>
          <w:pgMar w:top="1440" w:right="1800" w:bottom="1440" w:left="1800" w:header="992" w:footer="992" w:gutter="0"/>
          <w:cols w:space="425" w:num="1"/>
          <w:docGrid w:type="lines" w:linePitch="312" w:charSpace="0"/>
        </w:sectPr>
      </w:pPr>
    </w:p>
    <w:p>
      <w:pPr>
        <w:pStyle w:val="2"/>
        <w:ind w:firstLine="640"/>
        <w:rPr>
          <w:snapToGrid w:val="0"/>
        </w:rPr>
      </w:pPr>
      <w:bookmarkStart w:id="6" w:name="_Toc144507127"/>
      <w:r>
        <w:rPr>
          <w:rFonts w:hint="eastAsia"/>
          <w:snapToGrid w:val="0"/>
        </w:rPr>
        <w:t>三、区域环境质量现状、环境保护目标及评价标准</w:t>
      </w:r>
      <w:bookmarkEnd w:id="6"/>
    </w:p>
    <w:tbl>
      <w:tblPr>
        <w:tblStyle w:val="17"/>
        <w:tblW w:w="854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87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675" w:type="dxa"/>
            <w:vAlign w:val="center"/>
          </w:tcPr>
          <w:p>
            <w:pPr>
              <w:ind w:firstLine="0" w:firstLineChars="0"/>
            </w:pPr>
            <w:r>
              <w:rPr>
                <w:rFonts w:hint="eastAsia"/>
              </w:rPr>
              <w:t>区域环境质量现状</w:t>
            </w:r>
          </w:p>
        </w:tc>
        <w:tc>
          <w:tcPr>
            <w:tcW w:w="7872" w:type="dxa"/>
            <w:vAlign w:val="center"/>
          </w:tcPr>
          <w:p>
            <w:pPr>
              <w:ind w:firstLine="482"/>
              <w:rPr>
                <w:b/>
                <w:bCs/>
              </w:rPr>
            </w:pPr>
            <w:r>
              <w:rPr>
                <w:rFonts w:hint="eastAsia"/>
                <w:b/>
                <w:bCs/>
              </w:rPr>
              <w:t>一</w:t>
            </w:r>
            <w:r>
              <w:rPr>
                <w:rFonts w:hint="eastAsia"/>
                <w:b/>
                <w:bCs/>
                <w:lang w:eastAsia="zh-CN"/>
              </w:rPr>
              <w:t>、</w:t>
            </w:r>
            <w:r>
              <w:rPr>
                <w:rFonts w:hint="eastAsia"/>
                <w:b/>
                <w:bCs/>
              </w:rPr>
              <w:t>区域环境质量现状</w:t>
            </w:r>
          </w:p>
          <w:p>
            <w:pPr>
              <w:ind w:firstLine="482"/>
              <w:rPr>
                <w:b/>
                <w:bCs/>
              </w:rPr>
            </w:pPr>
            <w:r>
              <w:rPr>
                <w:b/>
                <w:bCs/>
              </w:rPr>
              <w:t>1</w:t>
            </w:r>
            <w:r>
              <w:rPr>
                <w:rFonts w:hint="eastAsia"/>
                <w:b/>
                <w:bCs/>
              </w:rPr>
              <w:t>.</w:t>
            </w:r>
            <w:r>
              <w:rPr>
                <w:b/>
                <w:bCs/>
              </w:rPr>
              <w:t>环境空气质量现状</w:t>
            </w:r>
          </w:p>
          <w:p>
            <w:pPr>
              <w:ind w:firstLine="482"/>
              <w:rPr>
                <w:b/>
                <w:bCs/>
              </w:rPr>
            </w:pPr>
            <w:r>
              <w:rPr>
                <w:rFonts w:hint="eastAsia"/>
                <w:b/>
                <w:bCs/>
              </w:rPr>
              <w:t>（1）项目所在区域环境质量达标情况</w:t>
            </w:r>
          </w:p>
          <w:p>
            <w:pPr>
              <w:ind w:firstLine="480"/>
            </w:pPr>
            <w:bookmarkStart w:id="7" w:name="_Hlk78372480"/>
            <w:r>
              <w:t>根据《环境影响评价技术导则大气环境》（HJ2.2-2018）中6.4.1.1中的内容</w:t>
            </w:r>
            <w:r>
              <w:rPr>
                <w:rFonts w:hint="eastAsia"/>
                <w:lang w:eastAsia="zh-CN"/>
              </w:rPr>
              <w:t>：“</w:t>
            </w:r>
            <w:r>
              <w:t>城市环境空气质量达标评价指标为SO</w:t>
            </w:r>
            <w:r>
              <w:rPr>
                <w:vertAlign w:val="subscript"/>
              </w:rPr>
              <w:t>2</w:t>
            </w:r>
            <w:r>
              <w:t>、NO</w:t>
            </w:r>
            <w:r>
              <w:rPr>
                <w:vertAlign w:val="subscript"/>
              </w:rPr>
              <w:t>2</w:t>
            </w:r>
            <w:r>
              <w:t>、PM</w:t>
            </w:r>
            <w:r>
              <w:rPr>
                <w:vertAlign w:val="subscript"/>
              </w:rPr>
              <w:t>10</w:t>
            </w:r>
            <w:r>
              <w:t>、PM</w:t>
            </w:r>
            <w:r>
              <w:rPr>
                <w:vertAlign w:val="subscript"/>
              </w:rPr>
              <w:t>2.5</w:t>
            </w:r>
            <w:r>
              <w:t>、CO和O</w:t>
            </w:r>
            <w:r>
              <w:rPr>
                <w:vertAlign w:val="subscript"/>
              </w:rPr>
              <w:t>3</w:t>
            </w:r>
            <w:r>
              <w:t>，六项污染物全部达标即为城市环境空气质量达标</w:t>
            </w:r>
            <w:r>
              <w:rPr>
                <w:rFonts w:hint="eastAsia"/>
                <w:lang w:eastAsia="zh-CN"/>
              </w:rPr>
              <w:t>”</w:t>
            </w:r>
            <w:r>
              <w:t>。</w:t>
            </w:r>
          </w:p>
          <w:p>
            <w:pPr>
              <w:ind w:firstLine="480"/>
            </w:pPr>
            <w:r>
              <w:t>本项目位于内蒙古自治区鄂尔多斯市杭锦旗，根据《环境影响评价技术导则·大气环境》（HJ2.2-2018）的规定，项目所在区域环境空气质量达标判定应优先采用国家或地方生态环境主管部门公开发布的评价基准年环境质量公告或环境质量报告中的数据或结论。本次采用</w:t>
            </w:r>
            <w:r>
              <w:rPr>
                <w:rFonts w:hint="eastAsia"/>
              </w:rPr>
              <w:t>了</w:t>
            </w:r>
            <w:r>
              <w:t>内蒙古自治区</w:t>
            </w:r>
            <w:r>
              <w:rPr>
                <w:rFonts w:hint="eastAsia"/>
              </w:rPr>
              <w:t>生态</w:t>
            </w:r>
            <w:r>
              <w:t>环境厅发布的</w:t>
            </w:r>
            <w:r>
              <w:rPr>
                <w:rFonts w:hint="eastAsia"/>
              </w:rPr>
              <w:t>《2022</w:t>
            </w:r>
            <w:r>
              <w:t>年内蒙古自治区生态环境状况公报》中</w:t>
            </w:r>
            <w:r>
              <w:rPr>
                <w:rFonts w:hint="eastAsia"/>
              </w:rPr>
              <w:t>鄂尔多斯市</w:t>
            </w:r>
            <w:r>
              <w:t>的环境空气质量监测数据作为评价区域达标情况的依据。环境空气污染物监测结果详见表3-1。</w:t>
            </w:r>
          </w:p>
          <w:p>
            <w:pPr>
              <w:pStyle w:val="25"/>
            </w:pPr>
            <w:r>
              <w:t>表3-1大气环境质量现状与评价结果一览表</w:t>
            </w:r>
          </w:p>
          <w:tbl>
            <w:tblPr>
              <w:tblStyle w:val="17"/>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1545"/>
              <w:gridCol w:w="1171"/>
              <w:gridCol w:w="1224"/>
              <w:gridCol w:w="1071"/>
              <w:gridCol w:w="72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250" w:type="pct"/>
                  <w:tcBorders>
                    <w:tl2br w:val="nil"/>
                    <w:tr2bl w:val="nil"/>
                  </w:tcBorders>
                  <w:shd w:val="clear" w:color="auto" w:fill="auto"/>
                  <w:vAlign w:val="center"/>
                </w:tcPr>
                <w:p>
                  <w:pPr>
                    <w:pStyle w:val="39"/>
                    <w:jc w:val="center"/>
                    <w:rPr>
                      <w:b/>
                      <w:bCs/>
                    </w:rPr>
                  </w:pPr>
                  <w:r>
                    <w:rPr>
                      <w:b/>
                      <w:bCs/>
                    </w:rPr>
                    <w:t>污染物</w:t>
                  </w:r>
                </w:p>
              </w:tc>
              <w:tc>
                <w:tcPr>
                  <w:tcW w:w="1008" w:type="pct"/>
                  <w:tcBorders>
                    <w:tl2br w:val="nil"/>
                    <w:tr2bl w:val="nil"/>
                  </w:tcBorders>
                  <w:shd w:val="clear" w:color="auto" w:fill="auto"/>
                  <w:vAlign w:val="center"/>
                </w:tcPr>
                <w:p>
                  <w:pPr>
                    <w:pStyle w:val="39"/>
                    <w:jc w:val="center"/>
                    <w:rPr>
                      <w:b/>
                      <w:bCs/>
                    </w:rPr>
                  </w:pPr>
                  <w:r>
                    <w:rPr>
                      <w:b/>
                      <w:bCs/>
                    </w:rPr>
                    <w:t>年评价指标</w:t>
                  </w:r>
                </w:p>
              </w:tc>
              <w:tc>
                <w:tcPr>
                  <w:tcW w:w="765" w:type="pct"/>
                  <w:tcBorders>
                    <w:tl2br w:val="nil"/>
                    <w:tr2bl w:val="nil"/>
                  </w:tcBorders>
                  <w:shd w:val="clear" w:color="auto" w:fill="auto"/>
                  <w:vAlign w:val="center"/>
                </w:tcPr>
                <w:p>
                  <w:pPr>
                    <w:pStyle w:val="39"/>
                    <w:jc w:val="center"/>
                    <w:rPr>
                      <w:b/>
                      <w:bCs/>
                    </w:rPr>
                  </w:pPr>
                  <w:r>
                    <w:rPr>
                      <w:b/>
                      <w:bCs/>
                    </w:rPr>
                    <w:t>现状浓度（μg/m</w:t>
                  </w:r>
                  <w:r>
                    <w:rPr>
                      <w:b/>
                      <w:bCs/>
                      <w:vertAlign w:val="superscript"/>
                    </w:rPr>
                    <w:t>3</w:t>
                  </w:r>
                  <w:r>
                    <w:rPr>
                      <w:b/>
                      <w:bCs/>
                    </w:rPr>
                    <w:t>）</w:t>
                  </w:r>
                </w:p>
              </w:tc>
              <w:tc>
                <w:tcPr>
                  <w:tcW w:w="800" w:type="pct"/>
                  <w:tcBorders>
                    <w:tl2br w:val="nil"/>
                    <w:tr2bl w:val="nil"/>
                  </w:tcBorders>
                  <w:shd w:val="clear" w:color="auto" w:fill="auto"/>
                  <w:vAlign w:val="center"/>
                </w:tcPr>
                <w:p>
                  <w:pPr>
                    <w:pStyle w:val="39"/>
                    <w:jc w:val="center"/>
                    <w:rPr>
                      <w:b/>
                      <w:bCs/>
                    </w:rPr>
                  </w:pPr>
                  <w:r>
                    <w:rPr>
                      <w:b/>
                      <w:bCs/>
                    </w:rPr>
                    <w:t>标准值（μg/m</w:t>
                  </w:r>
                  <w:r>
                    <w:rPr>
                      <w:b/>
                      <w:bCs/>
                      <w:vertAlign w:val="superscript"/>
                    </w:rPr>
                    <w:t>3</w:t>
                  </w:r>
                  <w:r>
                    <w:rPr>
                      <w:b/>
                      <w:bCs/>
                    </w:rPr>
                    <w:t>）</w:t>
                  </w:r>
                </w:p>
              </w:tc>
              <w:tc>
                <w:tcPr>
                  <w:tcW w:w="700" w:type="pct"/>
                  <w:tcBorders>
                    <w:tl2br w:val="nil"/>
                    <w:tr2bl w:val="nil"/>
                  </w:tcBorders>
                  <w:shd w:val="clear" w:color="auto" w:fill="auto"/>
                  <w:vAlign w:val="center"/>
                </w:tcPr>
                <w:p>
                  <w:pPr>
                    <w:pStyle w:val="39"/>
                    <w:jc w:val="center"/>
                    <w:rPr>
                      <w:b/>
                      <w:bCs/>
                    </w:rPr>
                  </w:pPr>
                  <w:r>
                    <w:rPr>
                      <w:b/>
                      <w:bCs/>
                    </w:rPr>
                    <w:t>占标率%</w:t>
                  </w:r>
                </w:p>
              </w:tc>
              <w:tc>
                <w:tcPr>
                  <w:tcW w:w="474" w:type="pct"/>
                  <w:tcBorders>
                    <w:tl2br w:val="nil"/>
                    <w:tr2bl w:val="nil"/>
                  </w:tcBorders>
                  <w:shd w:val="clear" w:color="auto" w:fill="auto"/>
                  <w:vAlign w:val="center"/>
                </w:tcPr>
                <w:p>
                  <w:pPr>
                    <w:pStyle w:val="39"/>
                    <w:jc w:val="center"/>
                    <w:rPr>
                      <w:b/>
                      <w:bCs/>
                    </w:rPr>
                  </w:pPr>
                  <w:r>
                    <w:rPr>
                      <w:b/>
                      <w:bCs/>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0" w:type="pct"/>
                  <w:tcBorders>
                    <w:tl2br w:val="nil"/>
                    <w:tr2bl w:val="nil"/>
                  </w:tcBorders>
                  <w:shd w:val="clear" w:color="auto" w:fill="auto"/>
                  <w:vAlign w:val="center"/>
                </w:tcPr>
                <w:p>
                  <w:pPr>
                    <w:pStyle w:val="39"/>
                    <w:jc w:val="center"/>
                  </w:pPr>
                  <w:r>
                    <w:t>细颗粒物（PM</w:t>
                  </w:r>
                  <w:r>
                    <w:rPr>
                      <w:vertAlign w:val="subscript"/>
                    </w:rPr>
                    <w:t>2.5</w:t>
                  </w:r>
                  <w:r>
                    <w:t>）</w:t>
                  </w:r>
                </w:p>
              </w:tc>
              <w:tc>
                <w:tcPr>
                  <w:tcW w:w="1008" w:type="pct"/>
                  <w:tcBorders>
                    <w:tl2br w:val="nil"/>
                    <w:tr2bl w:val="nil"/>
                  </w:tcBorders>
                  <w:shd w:val="clear" w:color="auto" w:fill="auto"/>
                  <w:vAlign w:val="center"/>
                </w:tcPr>
                <w:p>
                  <w:pPr>
                    <w:pStyle w:val="39"/>
                    <w:jc w:val="center"/>
                  </w:pPr>
                  <w:r>
                    <w:t>年平均质量</w:t>
                  </w:r>
                </w:p>
              </w:tc>
              <w:tc>
                <w:tcPr>
                  <w:tcW w:w="765" w:type="pct"/>
                  <w:tcBorders>
                    <w:tl2br w:val="nil"/>
                    <w:tr2bl w:val="nil"/>
                  </w:tcBorders>
                  <w:shd w:val="clear" w:color="auto" w:fill="auto"/>
                  <w:vAlign w:val="center"/>
                </w:tcPr>
                <w:p>
                  <w:pPr>
                    <w:pStyle w:val="39"/>
                    <w:jc w:val="center"/>
                  </w:pPr>
                  <w:r>
                    <w:rPr>
                      <w:rFonts w:hint="eastAsia"/>
                    </w:rPr>
                    <w:t>20</w:t>
                  </w:r>
                </w:p>
              </w:tc>
              <w:tc>
                <w:tcPr>
                  <w:tcW w:w="800" w:type="pct"/>
                  <w:tcBorders>
                    <w:tl2br w:val="nil"/>
                    <w:tr2bl w:val="nil"/>
                  </w:tcBorders>
                  <w:shd w:val="clear" w:color="auto" w:fill="auto"/>
                  <w:vAlign w:val="center"/>
                </w:tcPr>
                <w:p>
                  <w:pPr>
                    <w:pStyle w:val="39"/>
                    <w:jc w:val="center"/>
                  </w:pPr>
                  <w:r>
                    <w:t>35</w:t>
                  </w:r>
                </w:p>
              </w:tc>
              <w:tc>
                <w:tcPr>
                  <w:tcW w:w="700" w:type="pct"/>
                  <w:tcBorders>
                    <w:tl2br w:val="nil"/>
                    <w:tr2bl w:val="nil"/>
                  </w:tcBorders>
                  <w:shd w:val="clear" w:color="auto" w:fill="auto"/>
                  <w:vAlign w:val="center"/>
                </w:tcPr>
                <w:p>
                  <w:pPr>
                    <w:pStyle w:val="39"/>
                    <w:jc w:val="center"/>
                  </w:pPr>
                  <w:r>
                    <w:rPr>
                      <w:rFonts w:hint="eastAsia"/>
                    </w:rPr>
                    <w:t>57.1</w:t>
                  </w:r>
                </w:p>
              </w:tc>
              <w:tc>
                <w:tcPr>
                  <w:tcW w:w="474" w:type="pct"/>
                  <w:tcBorders>
                    <w:tl2br w:val="nil"/>
                    <w:tr2bl w:val="nil"/>
                  </w:tcBorders>
                  <w:shd w:val="clear" w:color="auto" w:fill="auto"/>
                  <w:vAlign w:val="center"/>
                </w:tcPr>
                <w:p>
                  <w:pPr>
                    <w:pStyle w:val="39"/>
                    <w:jc w:val="center"/>
                  </w:pPr>
                  <w: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1250" w:type="pct"/>
                  <w:tcBorders>
                    <w:tl2br w:val="nil"/>
                    <w:tr2bl w:val="nil"/>
                  </w:tcBorders>
                  <w:shd w:val="clear" w:color="auto" w:fill="auto"/>
                  <w:vAlign w:val="center"/>
                </w:tcPr>
                <w:p>
                  <w:pPr>
                    <w:pStyle w:val="39"/>
                    <w:jc w:val="center"/>
                  </w:pPr>
                  <w:r>
                    <w:t>可吸入颗粒物（PM</w:t>
                  </w:r>
                  <w:r>
                    <w:rPr>
                      <w:vertAlign w:val="subscript"/>
                    </w:rPr>
                    <w:t>10</w:t>
                  </w:r>
                  <w:r>
                    <w:t>）</w:t>
                  </w:r>
                </w:p>
              </w:tc>
              <w:tc>
                <w:tcPr>
                  <w:tcW w:w="1008" w:type="pct"/>
                  <w:tcBorders>
                    <w:tl2br w:val="nil"/>
                    <w:tr2bl w:val="nil"/>
                  </w:tcBorders>
                  <w:shd w:val="clear" w:color="auto" w:fill="auto"/>
                  <w:vAlign w:val="center"/>
                </w:tcPr>
                <w:p>
                  <w:pPr>
                    <w:pStyle w:val="39"/>
                    <w:jc w:val="center"/>
                  </w:pPr>
                  <w:r>
                    <w:t>年平均质量</w:t>
                  </w:r>
                </w:p>
              </w:tc>
              <w:tc>
                <w:tcPr>
                  <w:tcW w:w="765" w:type="pct"/>
                  <w:tcBorders>
                    <w:tl2br w:val="nil"/>
                    <w:tr2bl w:val="nil"/>
                  </w:tcBorders>
                  <w:shd w:val="clear" w:color="auto" w:fill="auto"/>
                  <w:vAlign w:val="center"/>
                </w:tcPr>
                <w:p>
                  <w:pPr>
                    <w:pStyle w:val="39"/>
                    <w:jc w:val="center"/>
                  </w:pPr>
                  <w:r>
                    <w:rPr>
                      <w:rFonts w:hint="eastAsia"/>
                    </w:rPr>
                    <w:t>51</w:t>
                  </w:r>
                </w:p>
              </w:tc>
              <w:tc>
                <w:tcPr>
                  <w:tcW w:w="800" w:type="pct"/>
                  <w:tcBorders>
                    <w:tl2br w:val="nil"/>
                    <w:tr2bl w:val="nil"/>
                  </w:tcBorders>
                  <w:shd w:val="clear" w:color="auto" w:fill="auto"/>
                  <w:vAlign w:val="center"/>
                </w:tcPr>
                <w:p>
                  <w:pPr>
                    <w:pStyle w:val="39"/>
                    <w:jc w:val="center"/>
                  </w:pPr>
                  <w:r>
                    <w:t>70</w:t>
                  </w:r>
                </w:p>
              </w:tc>
              <w:tc>
                <w:tcPr>
                  <w:tcW w:w="700" w:type="pct"/>
                  <w:tcBorders>
                    <w:tl2br w:val="nil"/>
                    <w:tr2bl w:val="nil"/>
                  </w:tcBorders>
                  <w:shd w:val="clear" w:color="auto" w:fill="auto"/>
                  <w:vAlign w:val="center"/>
                </w:tcPr>
                <w:p>
                  <w:pPr>
                    <w:pStyle w:val="39"/>
                    <w:jc w:val="center"/>
                  </w:pPr>
                  <w:r>
                    <w:rPr>
                      <w:rFonts w:hint="eastAsia"/>
                    </w:rPr>
                    <w:t>72.9</w:t>
                  </w:r>
                </w:p>
              </w:tc>
              <w:tc>
                <w:tcPr>
                  <w:tcW w:w="474" w:type="pct"/>
                  <w:tcBorders>
                    <w:tl2br w:val="nil"/>
                    <w:tr2bl w:val="nil"/>
                  </w:tcBorders>
                  <w:shd w:val="clear" w:color="auto" w:fill="auto"/>
                  <w:vAlign w:val="center"/>
                </w:tcPr>
                <w:p>
                  <w:pPr>
                    <w:pStyle w:val="39"/>
                    <w:jc w:val="center"/>
                  </w:pPr>
                  <w: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1250" w:type="pct"/>
                  <w:tcBorders>
                    <w:tl2br w:val="nil"/>
                    <w:tr2bl w:val="nil"/>
                  </w:tcBorders>
                  <w:shd w:val="clear" w:color="auto" w:fill="auto"/>
                  <w:vAlign w:val="center"/>
                </w:tcPr>
                <w:p>
                  <w:pPr>
                    <w:pStyle w:val="39"/>
                    <w:jc w:val="center"/>
                  </w:pPr>
                  <w:r>
                    <w:t>二氧化硫</w:t>
                  </w:r>
                </w:p>
              </w:tc>
              <w:tc>
                <w:tcPr>
                  <w:tcW w:w="1008" w:type="pct"/>
                  <w:tcBorders>
                    <w:tl2br w:val="nil"/>
                    <w:tr2bl w:val="nil"/>
                  </w:tcBorders>
                  <w:shd w:val="clear" w:color="auto" w:fill="auto"/>
                  <w:vAlign w:val="center"/>
                </w:tcPr>
                <w:p>
                  <w:pPr>
                    <w:pStyle w:val="39"/>
                    <w:jc w:val="center"/>
                  </w:pPr>
                  <w:r>
                    <w:t>年平均质量</w:t>
                  </w:r>
                </w:p>
              </w:tc>
              <w:tc>
                <w:tcPr>
                  <w:tcW w:w="765" w:type="pct"/>
                  <w:tcBorders>
                    <w:tl2br w:val="nil"/>
                    <w:tr2bl w:val="nil"/>
                  </w:tcBorders>
                  <w:shd w:val="clear" w:color="auto" w:fill="auto"/>
                  <w:vAlign w:val="center"/>
                </w:tcPr>
                <w:p>
                  <w:pPr>
                    <w:pStyle w:val="39"/>
                    <w:jc w:val="center"/>
                  </w:pPr>
                  <w:r>
                    <w:t>1</w:t>
                  </w:r>
                  <w:r>
                    <w:rPr>
                      <w:rFonts w:hint="eastAsia"/>
                    </w:rPr>
                    <w:t>0</w:t>
                  </w:r>
                </w:p>
              </w:tc>
              <w:tc>
                <w:tcPr>
                  <w:tcW w:w="800" w:type="pct"/>
                  <w:tcBorders>
                    <w:tl2br w:val="nil"/>
                    <w:tr2bl w:val="nil"/>
                  </w:tcBorders>
                  <w:shd w:val="clear" w:color="auto" w:fill="auto"/>
                  <w:vAlign w:val="center"/>
                </w:tcPr>
                <w:p>
                  <w:pPr>
                    <w:pStyle w:val="39"/>
                    <w:jc w:val="center"/>
                  </w:pPr>
                  <w:r>
                    <w:t>60</w:t>
                  </w:r>
                </w:p>
              </w:tc>
              <w:tc>
                <w:tcPr>
                  <w:tcW w:w="700" w:type="pct"/>
                  <w:tcBorders>
                    <w:tl2br w:val="nil"/>
                    <w:tr2bl w:val="nil"/>
                  </w:tcBorders>
                  <w:shd w:val="clear" w:color="auto" w:fill="auto"/>
                  <w:vAlign w:val="center"/>
                </w:tcPr>
                <w:p>
                  <w:pPr>
                    <w:pStyle w:val="39"/>
                    <w:jc w:val="center"/>
                  </w:pPr>
                  <w:r>
                    <w:rPr>
                      <w:rFonts w:hint="eastAsia"/>
                    </w:rPr>
                    <w:t>16.7</w:t>
                  </w:r>
                </w:p>
              </w:tc>
              <w:tc>
                <w:tcPr>
                  <w:tcW w:w="474" w:type="pct"/>
                  <w:tcBorders>
                    <w:tl2br w:val="nil"/>
                    <w:tr2bl w:val="nil"/>
                  </w:tcBorders>
                  <w:shd w:val="clear" w:color="auto" w:fill="auto"/>
                  <w:vAlign w:val="center"/>
                </w:tcPr>
                <w:p>
                  <w:pPr>
                    <w:pStyle w:val="39"/>
                    <w:jc w:val="center"/>
                  </w:pPr>
                  <w: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1250" w:type="pct"/>
                  <w:tcBorders>
                    <w:tl2br w:val="nil"/>
                    <w:tr2bl w:val="nil"/>
                  </w:tcBorders>
                  <w:shd w:val="clear" w:color="auto" w:fill="auto"/>
                  <w:vAlign w:val="center"/>
                </w:tcPr>
                <w:p>
                  <w:pPr>
                    <w:pStyle w:val="39"/>
                    <w:jc w:val="center"/>
                  </w:pPr>
                  <w:r>
                    <w:t>二氧化氮</w:t>
                  </w:r>
                </w:p>
              </w:tc>
              <w:tc>
                <w:tcPr>
                  <w:tcW w:w="1008" w:type="pct"/>
                  <w:tcBorders>
                    <w:tl2br w:val="nil"/>
                    <w:tr2bl w:val="nil"/>
                  </w:tcBorders>
                  <w:shd w:val="clear" w:color="auto" w:fill="auto"/>
                  <w:vAlign w:val="center"/>
                </w:tcPr>
                <w:p>
                  <w:pPr>
                    <w:pStyle w:val="39"/>
                    <w:jc w:val="center"/>
                  </w:pPr>
                  <w:r>
                    <w:t>年平均质量</w:t>
                  </w:r>
                </w:p>
              </w:tc>
              <w:tc>
                <w:tcPr>
                  <w:tcW w:w="765" w:type="pct"/>
                  <w:tcBorders>
                    <w:tl2br w:val="nil"/>
                    <w:tr2bl w:val="nil"/>
                  </w:tcBorders>
                  <w:shd w:val="clear" w:color="auto" w:fill="auto"/>
                  <w:vAlign w:val="center"/>
                </w:tcPr>
                <w:p>
                  <w:pPr>
                    <w:pStyle w:val="39"/>
                    <w:jc w:val="center"/>
                  </w:pPr>
                  <w:r>
                    <w:t>2</w:t>
                  </w:r>
                  <w:r>
                    <w:rPr>
                      <w:rFonts w:hint="eastAsia"/>
                    </w:rPr>
                    <w:t>3</w:t>
                  </w:r>
                </w:p>
              </w:tc>
              <w:tc>
                <w:tcPr>
                  <w:tcW w:w="800" w:type="pct"/>
                  <w:tcBorders>
                    <w:tl2br w:val="nil"/>
                    <w:tr2bl w:val="nil"/>
                  </w:tcBorders>
                  <w:shd w:val="clear" w:color="auto" w:fill="auto"/>
                  <w:vAlign w:val="center"/>
                </w:tcPr>
                <w:p>
                  <w:pPr>
                    <w:pStyle w:val="39"/>
                    <w:jc w:val="center"/>
                  </w:pPr>
                  <w:r>
                    <w:t>40</w:t>
                  </w:r>
                </w:p>
              </w:tc>
              <w:tc>
                <w:tcPr>
                  <w:tcW w:w="700" w:type="pct"/>
                  <w:tcBorders>
                    <w:tl2br w:val="nil"/>
                    <w:tr2bl w:val="nil"/>
                  </w:tcBorders>
                  <w:shd w:val="clear" w:color="auto" w:fill="auto"/>
                  <w:vAlign w:val="center"/>
                </w:tcPr>
                <w:p>
                  <w:pPr>
                    <w:pStyle w:val="39"/>
                    <w:jc w:val="center"/>
                  </w:pPr>
                  <w:r>
                    <w:rPr>
                      <w:rFonts w:hint="eastAsia"/>
                    </w:rPr>
                    <w:t>57.5</w:t>
                  </w:r>
                </w:p>
              </w:tc>
              <w:tc>
                <w:tcPr>
                  <w:tcW w:w="474" w:type="pct"/>
                  <w:tcBorders>
                    <w:tl2br w:val="nil"/>
                    <w:tr2bl w:val="nil"/>
                  </w:tcBorders>
                  <w:shd w:val="clear" w:color="auto" w:fill="auto"/>
                  <w:vAlign w:val="center"/>
                </w:tcPr>
                <w:p>
                  <w:pPr>
                    <w:pStyle w:val="39"/>
                    <w:jc w:val="center"/>
                  </w:pPr>
                  <w: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1250" w:type="pct"/>
                  <w:tcBorders>
                    <w:tl2br w:val="nil"/>
                    <w:tr2bl w:val="nil"/>
                  </w:tcBorders>
                  <w:shd w:val="clear" w:color="auto" w:fill="auto"/>
                  <w:vAlign w:val="center"/>
                </w:tcPr>
                <w:p>
                  <w:pPr>
                    <w:pStyle w:val="39"/>
                    <w:jc w:val="center"/>
                  </w:pPr>
                  <w:r>
                    <w:t>一氧化碳</w:t>
                  </w:r>
                </w:p>
              </w:tc>
              <w:tc>
                <w:tcPr>
                  <w:tcW w:w="1008" w:type="pct"/>
                  <w:tcBorders>
                    <w:tl2br w:val="nil"/>
                    <w:tr2bl w:val="nil"/>
                  </w:tcBorders>
                  <w:shd w:val="clear" w:color="auto" w:fill="auto"/>
                  <w:vAlign w:val="center"/>
                </w:tcPr>
                <w:p>
                  <w:pPr>
                    <w:pStyle w:val="39"/>
                    <w:jc w:val="center"/>
                  </w:pPr>
                  <w:r>
                    <w:t>日平均浓度</w:t>
                  </w:r>
                </w:p>
              </w:tc>
              <w:tc>
                <w:tcPr>
                  <w:tcW w:w="765" w:type="pct"/>
                  <w:tcBorders>
                    <w:tl2br w:val="nil"/>
                    <w:tr2bl w:val="nil"/>
                  </w:tcBorders>
                  <w:shd w:val="clear" w:color="auto" w:fill="auto"/>
                  <w:vAlign w:val="center"/>
                </w:tcPr>
                <w:p>
                  <w:pPr>
                    <w:pStyle w:val="39"/>
                    <w:jc w:val="center"/>
                  </w:pPr>
                  <w:r>
                    <w:rPr>
                      <w:rFonts w:hint="eastAsia"/>
                    </w:rPr>
                    <w:t>9</w:t>
                  </w:r>
                  <w:r>
                    <w:t>00</w:t>
                  </w:r>
                </w:p>
              </w:tc>
              <w:tc>
                <w:tcPr>
                  <w:tcW w:w="800" w:type="pct"/>
                  <w:tcBorders>
                    <w:tl2br w:val="nil"/>
                    <w:tr2bl w:val="nil"/>
                  </w:tcBorders>
                  <w:shd w:val="clear" w:color="auto" w:fill="auto"/>
                  <w:vAlign w:val="center"/>
                </w:tcPr>
                <w:p>
                  <w:pPr>
                    <w:pStyle w:val="39"/>
                    <w:jc w:val="center"/>
                  </w:pPr>
                  <w:r>
                    <w:t>4000</w:t>
                  </w:r>
                </w:p>
              </w:tc>
              <w:tc>
                <w:tcPr>
                  <w:tcW w:w="700" w:type="pct"/>
                  <w:tcBorders>
                    <w:tl2br w:val="nil"/>
                    <w:tr2bl w:val="nil"/>
                  </w:tcBorders>
                  <w:shd w:val="clear" w:color="auto" w:fill="auto"/>
                  <w:vAlign w:val="center"/>
                </w:tcPr>
                <w:p>
                  <w:pPr>
                    <w:pStyle w:val="39"/>
                    <w:jc w:val="center"/>
                  </w:pPr>
                  <w:r>
                    <w:rPr>
                      <w:rFonts w:hint="eastAsia"/>
                    </w:rPr>
                    <w:t>22.5</w:t>
                  </w:r>
                </w:p>
              </w:tc>
              <w:tc>
                <w:tcPr>
                  <w:tcW w:w="474" w:type="pct"/>
                  <w:tcBorders>
                    <w:tl2br w:val="nil"/>
                    <w:tr2bl w:val="nil"/>
                  </w:tcBorders>
                  <w:shd w:val="clear" w:color="auto" w:fill="auto"/>
                  <w:vAlign w:val="center"/>
                </w:tcPr>
                <w:p>
                  <w:pPr>
                    <w:pStyle w:val="39"/>
                    <w:jc w:val="center"/>
                  </w:pPr>
                  <w: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1250" w:type="pct"/>
                  <w:tcBorders>
                    <w:tl2br w:val="nil"/>
                    <w:tr2bl w:val="nil"/>
                  </w:tcBorders>
                  <w:shd w:val="clear" w:color="auto" w:fill="auto"/>
                  <w:vAlign w:val="center"/>
                </w:tcPr>
                <w:p>
                  <w:pPr>
                    <w:pStyle w:val="39"/>
                    <w:jc w:val="center"/>
                  </w:pPr>
                  <w:r>
                    <w:t>臭氧</w:t>
                  </w:r>
                </w:p>
              </w:tc>
              <w:tc>
                <w:tcPr>
                  <w:tcW w:w="1008" w:type="pct"/>
                  <w:tcBorders>
                    <w:tl2br w:val="nil"/>
                    <w:tr2bl w:val="nil"/>
                  </w:tcBorders>
                  <w:shd w:val="clear" w:color="auto" w:fill="auto"/>
                  <w:vAlign w:val="center"/>
                </w:tcPr>
                <w:p>
                  <w:pPr>
                    <w:pStyle w:val="39"/>
                    <w:jc w:val="center"/>
                  </w:pPr>
                  <w:r>
                    <w:t>8小时平均浓度</w:t>
                  </w:r>
                </w:p>
              </w:tc>
              <w:tc>
                <w:tcPr>
                  <w:tcW w:w="765" w:type="pct"/>
                  <w:tcBorders>
                    <w:tl2br w:val="nil"/>
                    <w:tr2bl w:val="nil"/>
                  </w:tcBorders>
                  <w:shd w:val="clear" w:color="auto" w:fill="auto"/>
                  <w:vAlign w:val="center"/>
                </w:tcPr>
                <w:p>
                  <w:pPr>
                    <w:pStyle w:val="39"/>
                    <w:jc w:val="center"/>
                  </w:pPr>
                  <w:r>
                    <w:rPr>
                      <w:rFonts w:hint="eastAsia"/>
                    </w:rPr>
                    <w:t>148</w:t>
                  </w:r>
                </w:p>
              </w:tc>
              <w:tc>
                <w:tcPr>
                  <w:tcW w:w="800" w:type="pct"/>
                  <w:tcBorders>
                    <w:tl2br w:val="nil"/>
                    <w:tr2bl w:val="nil"/>
                  </w:tcBorders>
                  <w:shd w:val="clear" w:color="auto" w:fill="auto"/>
                  <w:vAlign w:val="center"/>
                </w:tcPr>
                <w:p>
                  <w:pPr>
                    <w:pStyle w:val="39"/>
                    <w:jc w:val="center"/>
                  </w:pPr>
                  <w:r>
                    <w:t>160</w:t>
                  </w:r>
                </w:p>
              </w:tc>
              <w:tc>
                <w:tcPr>
                  <w:tcW w:w="700" w:type="pct"/>
                  <w:tcBorders>
                    <w:tl2br w:val="nil"/>
                    <w:tr2bl w:val="nil"/>
                  </w:tcBorders>
                  <w:shd w:val="clear" w:color="auto" w:fill="auto"/>
                  <w:vAlign w:val="center"/>
                </w:tcPr>
                <w:p>
                  <w:pPr>
                    <w:pStyle w:val="39"/>
                    <w:jc w:val="center"/>
                  </w:pPr>
                  <w:r>
                    <w:rPr>
                      <w:rFonts w:hint="eastAsia"/>
                    </w:rPr>
                    <w:t>92.5</w:t>
                  </w:r>
                </w:p>
              </w:tc>
              <w:tc>
                <w:tcPr>
                  <w:tcW w:w="474" w:type="pct"/>
                  <w:tcBorders>
                    <w:tl2br w:val="nil"/>
                    <w:tr2bl w:val="nil"/>
                  </w:tcBorders>
                  <w:shd w:val="clear" w:color="auto" w:fill="auto"/>
                  <w:vAlign w:val="center"/>
                </w:tcPr>
                <w:p>
                  <w:pPr>
                    <w:pStyle w:val="39"/>
                    <w:jc w:val="center"/>
                  </w:pPr>
                  <w:r>
                    <w:t>达标</w:t>
                  </w:r>
                </w:p>
              </w:tc>
            </w:tr>
          </w:tbl>
          <w:p>
            <w:pPr>
              <w:ind w:firstLine="480"/>
            </w:pPr>
            <w:r>
              <w:t>从上表可以看出，</w:t>
            </w:r>
            <w:r>
              <w:rPr>
                <w:rFonts w:hint="eastAsia"/>
              </w:rPr>
              <w:t>鄂尔多斯市杭锦旗</w:t>
            </w:r>
            <w:r>
              <w:t>202</w:t>
            </w:r>
            <w:r>
              <w:rPr>
                <w:rFonts w:hint="eastAsia"/>
              </w:rPr>
              <w:t>2</w:t>
            </w:r>
            <w:r>
              <w:t>年大气环境中6项污染物中SO</w:t>
            </w:r>
            <w:r>
              <w:rPr>
                <w:vertAlign w:val="subscript"/>
              </w:rPr>
              <w:t>2</w:t>
            </w:r>
            <w:r>
              <w:t>、NO</w:t>
            </w:r>
            <w:r>
              <w:rPr>
                <w:vertAlign w:val="subscript"/>
              </w:rPr>
              <w:t>2</w:t>
            </w:r>
            <w:r>
              <w:t>、PM</w:t>
            </w:r>
            <w:r>
              <w:rPr>
                <w:vertAlign w:val="subscript"/>
              </w:rPr>
              <w:t>10</w:t>
            </w:r>
            <w:r>
              <w:t>、PM</w:t>
            </w:r>
            <w:r>
              <w:rPr>
                <w:vertAlign w:val="subscript"/>
              </w:rPr>
              <w:t>2.5</w:t>
            </w:r>
            <w:r>
              <w:t>、CO和O</w:t>
            </w:r>
            <w:r>
              <w:rPr>
                <w:vertAlign w:val="subscript"/>
              </w:rPr>
              <w:t>3</w:t>
            </w:r>
            <w:r>
              <w:t>质量浓度均满足《环境空气质量标准》（GB3095-2012）二级标准限值，由此可判断</w:t>
            </w:r>
            <w:r>
              <w:rPr>
                <w:rFonts w:hint="eastAsia"/>
              </w:rPr>
              <w:t>杭锦旗</w:t>
            </w:r>
            <w:r>
              <w:t>为达标区。</w:t>
            </w:r>
          </w:p>
          <w:p>
            <w:pPr>
              <w:ind w:firstLine="482"/>
              <w:rPr>
                <w:b/>
                <w:bCs/>
              </w:rPr>
            </w:pPr>
            <w:r>
              <w:rPr>
                <w:rFonts w:hint="eastAsia"/>
                <w:b/>
                <w:bCs/>
              </w:rPr>
              <w:t>（2）其他污染物环境质量现状</w:t>
            </w:r>
          </w:p>
          <w:p>
            <w:pPr>
              <w:ind w:firstLine="480"/>
              <w:rPr>
                <w:color w:val="000000"/>
              </w:rPr>
            </w:pPr>
            <w:r>
              <w:rPr>
                <w:rFonts w:hint="eastAsia"/>
                <w:color w:val="000000"/>
                <w:lang w:eastAsia="zh-CN"/>
              </w:rPr>
              <w:t>①</w:t>
            </w:r>
            <w:r>
              <w:rPr>
                <w:color w:val="000000"/>
              </w:rPr>
              <w:t>监测布点</w:t>
            </w:r>
          </w:p>
          <w:p>
            <w:pPr>
              <w:ind w:firstLine="480"/>
              <w:rPr>
                <w:color w:val="000000"/>
              </w:rPr>
            </w:pPr>
            <w:r>
              <w:rPr>
                <w:color w:val="000000"/>
              </w:rPr>
              <w:t>按照《环境影响评价技术导则大气环境》（HJ2.2-2018）</w:t>
            </w:r>
            <w:r>
              <w:rPr>
                <w:rFonts w:hint="eastAsia"/>
                <w:color w:val="000000"/>
              </w:rPr>
              <w:t>及《建设项目环境影响报告表（污染类影响）（试行）》的</w:t>
            </w:r>
            <w:r>
              <w:rPr>
                <w:color w:val="000000"/>
              </w:rPr>
              <w:t>要求，</w:t>
            </w:r>
            <w:r>
              <w:rPr>
                <w:rFonts w:hint="eastAsia"/>
                <w:color w:val="000000"/>
              </w:rPr>
              <w:t>“排放国家、地方环境空气质量标准中有标准限值要求的特征污染物时，引用建设项目周边</w:t>
            </w:r>
            <w:r>
              <w:rPr>
                <w:rFonts w:hint="eastAsia"/>
                <w:color w:val="000000"/>
                <w:lang w:eastAsia="zh-CN"/>
              </w:rPr>
              <w:t>五千</w:t>
            </w:r>
            <w:r>
              <w:rPr>
                <w:rFonts w:hint="eastAsia"/>
                <w:color w:val="000000"/>
              </w:rPr>
              <w:t>米范围内近3年的现有监测数据，无相关数据的选择当季主导风向下风向1个点位补充不少于3天的监测数据”，</w:t>
            </w:r>
            <w:r>
              <w:rPr>
                <w:color w:val="000000"/>
              </w:rPr>
              <w:t>本项目</w:t>
            </w:r>
            <w:r>
              <w:rPr>
                <w:rFonts w:hint="eastAsia"/>
                <w:color w:val="000000"/>
              </w:rPr>
              <w:t>排放的其他污染物主要为TSP。</w:t>
            </w:r>
            <w:r>
              <w:rPr>
                <w:color w:val="000000"/>
              </w:rPr>
              <w:t>本次环境空气质量现状监测在</w:t>
            </w:r>
            <w:r>
              <w:rPr>
                <w:rFonts w:hint="eastAsia"/>
                <w:color w:val="000000"/>
              </w:rPr>
              <w:t>当季主导风向的下风向设1</w:t>
            </w:r>
            <w:r>
              <w:rPr>
                <w:color w:val="000000"/>
              </w:rPr>
              <w:t>个监测点，其具体布设情况见表</w:t>
            </w:r>
            <w:r>
              <w:rPr>
                <w:rFonts w:hint="eastAsia"/>
                <w:color w:val="000000"/>
              </w:rPr>
              <w:t>3-2</w:t>
            </w:r>
            <w:r>
              <w:rPr>
                <w:color w:val="000000"/>
              </w:rPr>
              <w:t>所示，位置详见大气环境现状监测布点图</w:t>
            </w:r>
            <w:r>
              <w:rPr>
                <w:rFonts w:hint="eastAsia"/>
                <w:color w:val="000000"/>
              </w:rPr>
              <w:t>3-1</w:t>
            </w:r>
            <w:r>
              <w:rPr>
                <w:color w:val="000000"/>
              </w:rPr>
              <w:t>。</w:t>
            </w:r>
          </w:p>
          <w:p>
            <w:pPr>
              <w:pStyle w:val="25"/>
            </w:pPr>
            <w:r>
              <w:t>表3-2其他污染物补充监测点位基本信息</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87"/>
              <w:gridCol w:w="1767"/>
              <w:gridCol w:w="2964"/>
              <w:gridCol w:w="975"/>
              <w:gridCol w:w="750"/>
              <w:gridCol w:w="81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2" w:type="pct"/>
                  <w:tcBorders>
                    <w:tl2br w:val="nil"/>
                    <w:tr2bl w:val="nil"/>
                  </w:tcBorders>
                  <w:vAlign w:val="center"/>
                </w:tcPr>
                <w:p>
                  <w:pPr>
                    <w:pStyle w:val="39"/>
                    <w:jc w:val="center"/>
                    <w:rPr>
                      <w:b/>
                      <w:bCs/>
                    </w:rPr>
                  </w:pPr>
                  <w:r>
                    <w:rPr>
                      <w:b/>
                      <w:bCs/>
                    </w:rPr>
                    <w:t>序号</w:t>
                  </w:r>
                </w:p>
              </w:tc>
              <w:tc>
                <w:tcPr>
                  <w:tcW w:w="1154" w:type="pct"/>
                  <w:tcBorders>
                    <w:tl2br w:val="nil"/>
                    <w:tr2bl w:val="nil"/>
                  </w:tcBorders>
                  <w:vAlign w:val="center"/>
                </w:tcPr>
                <w:p>
                  <w:pPr>
                    <w:pStyle w:val="39"/>
                    <w:jc w:val="center"/>
                    <w:rPr>
                      <w:b/>
                      <w:bCs/>
                      <w:lang w:val="de-DE"/>
                    </w:rPr>
                  </w:pPr>
                  <w:r>
                    <w:rPr>
                      <w:b/>
                      <w:bCs/>
                      <w:lang w:val="de-DE"/>
                    </w:rPr>
                    <w:t>点位名称</w:t>
                  </w:r>
                </w:p>
              </w:tc>
              <w:tc>
                <w:tcPr>
                  <w:tcW w:w="1936" w:type="pct"/>
                  <w:tcBorders>
                    <w:tl2br w:val="nil"/>
                    <w:tr2bl w:val="nil"/>
                  </w:tcBorders>
                  <w:vAlign w:val="center"/>
                </w:tcPr>
                <w:p>
                  <w:pPr>
                    <w:pStyle w:val="39"/>
                    <w:jc w:val="center"/>
                    <w:rPr>
                      <w:b/>
                      <w:bCs/>
                    </w:rPr>
                  </w:pPr>
                  <w:r>
                    <w:rPr>
                      <w:b/>
                      <w:bCs/>
                    </w:rPr>
                    <w:t>样品编号</w:t>
                  </w:r>
                </w:p>
              </w:tc>
              <w:tc>
                <w:tcPr>
                  <w:tcW w:w="636" w:type="pct"/>
                  <w:tcBorders>
                    <w:tl2br w:val="nil"/>
                    <w:tr2bl w:val="nil"/>
                  </w:tcBorders>
                  <w:vAlign w:val="center"/>
                </w:tcPr>
                <w:p>
                  <w:pPr>
                    <w:pStyle w:val="39"/>
                    <w:jc w:val="center"/>
                    <w:rPr>
                      <w:b/>
                      <w:bCs/>
                      <w:lang w:val="de-DE"/>
                    </w:rPr>
                  </w:pPr>
                  <w:r>
                    <w:rPr>
                      <w:b/>
                      <w:bCs/>
                    </w:rPr>
                    <w:t>样品状态</w:t>
                  </w:r>
                </w:p>
              </w:tc>
              <w:tc>
                <w:tcPr>
                  <w:tcW w:w="489" w:type="pct"/>
                  <w:tcBorders>
                    <w:tl2br w:val="nil"/>
                    <w:tr2bl w:val="nil"/>
                  </w:tcBorders>
                  <w:vAlign w:val="center"/>
                </w:tcPr>
                <w:p>
                  <w:pPr>
                    <w:pStyle w:val="39"/>
                    <w:jc w:val="center"/>
                    <w:rPr>
                      <w:b/>
                      <w:bCs/>
                    </w:rPr>
                  </w:pPr>
                  <w:r>
                    <w:rPr>
                      <w:b/>
                      <w:bCs/>
                    </w:rPr>
                    <w:t>样品类别</w:t>
                  </w:r>
                </w:p>
              </w:tc>
              <w:tc>
                <w:tcPr>
                  <w:tcW w:w="529" w:type="pct"/>
                  <w:tcBorders>
                    <w:tl2br w:val="nil"/>
                    <w:tr2bl w:val="nil"/>
                  </w:tcBorders>
                  <w:vAlign w:val="center"/>
                </w:tcPr>
                <w:p>
                  <w:pPr>
                    <w:pStyle w:val="39"/>
                    <w:jc w:val="center"/>
                    <w:rPr>
                      <w:b/>
                      <w:bCs/>
                    </w:rPr>
                  </w:pPr>
                  <w:r>
                    <w:rPr>
                      <w:b/>
                      <w:bCs/>
                    </w:rPr>
                    <w:t>检测频次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2" w:type="pct"/>
                  <w:tcBorders>
                    <w:tl2br w:val="nil"/>
                    <w:tr2bl w:val="nil"/>
                  </w:tcBorders>
                  <w:vAlign w:val="center"/>
                </w:tcPr>
                <w:p>
                  <w:pPr>
                    <w:pStyle w:val="39"/>
                    <w:jc w:val="center"/>
                  </w:pPr>
                  <w:r>
                    <w:t>1</w:t>
                  </w:r>
                </w:p>
              </w:tc>
              <w:tc>
                <w:tcPr>
                  <w:tcW w:w="1154" w:type="pct"/>
                  <w:tcBorders>
                    <w:tl2br w:val="nil"/>
                    <w:tr2bl w:val="nil"/>
                  </w:tcBorders>
                  <w:vAlign w:val="center"/>
                </w:tcPr>
                <w:p>
                  <w:pPr>
                    <w:pStyle w:val="39"/>
                    <w:jc w:val="center"/>
                  </w:pPr>
                  <w:r>
                    <w:t>项目区西北侧300m处</w:t>
                  </w:r>
                </w:p>
                <w:p>
                  <w:pPr>
                    <w:pStyle w:val="39"/>
                    <w:jc w:val="center"/>
                  </w:pPr>
                  <w:r>
                    <w:t>（N：40.553602</w:t>
                  </w:r>
                  <w:r>
                    <w:rPr>
                      <w:rFonts w:hint="eastAsia"/>
                    </w:rPr>
                    <w:t>，</w:t>
                  </w:r>
                  <w:r>
                    <w:t>E</w:t>
                  </w:r>
                  <w:r>
                    <w:rPr>
                      <w:rFonts w:hint="eastAsia"/>
                    </w:rPr>
                    <w:t>：</w:t>
                  </w:r>
                  <w:r>
                    <w:t>107.257067）</w:t>
                  </w:r>
                </w:p>
              </w:tc>
              <w:tc>
                <w:tcPr>
                  <w:tcW w:w="1936" w:type="pct"/>
                  <w:tcBorders>
                    <w:tl2br w:val="nil"/>
                    <w:tr2bl w:val="nil"/>
                  </w:tcBorders>
                  <w:vAlign w:val="center"/>
                </w:tcPr>
                <w:p>
                  <w:pPr>
                    <w:pStyle w:val="39"/>
                    <w:jc w:val="center"/>
                  </w:pPr>
                  <w:r>
                    <w:t>336HQ1-01-01~336HQ1-01-03</w:t>
                  </w:r>
                </w:p>
              </w:tc>
              <w:tc>
                <w:tcPr>
                  <w:tcW w:w="636" w:type="pct"/>
                  <w:tcBorders>
                    <w:tl2br w:val="nil"/>
                    <w:tr2bl w:val="nil"/>
                  </w:tcBorders>
                  <w:vAlign w:val="center"/>
                </w:tcPr>
                <w:p>
                  <w:pPr>
                    <w:pStyle w:val="39"/>
                    <w:jc w:val="center"/>
                    <w:rPr>
                      <w:rFonts w:hint="eastAsia" w:eastAsia="宋体"/>
                      <w:lang w:eastAsia="zh-CN"/>
                    </w:rPr>
                  </w:pPr>
                  <w:r>
                    <w:t>样品完好</w:t>
                  </w:r>
                  <w:r>
                    <w:rPr>
                      <w:rFonts w:hint="eastAsia"/>
                      <w:lang w:eastAsia="zh-CN"/>
                    </w:rPr>
                    <w:t>，</w:t>
                  </w:r>
                </w:p>
                <w:p>
                  <w:pPr>
                    <w:pStyle w:val="39"/>
                    <w:jc w:val="center"/>
                    <w:rPr>
                      <w:lang w:val="de-DE"/>
                    </w:rPr>
                  </w:pPr>
                  <w:r>
                    <w:t>无破损</w:t>
                  </w:r>
                </w:p>
              </w:tc>
              <w:tc>
                <w:tcPr>
                  <w:tcW w:w="489" w:type="pct"/>
                  <w:tcBorders>
                    <w:tl2br w:val="nil"/>
                    <w:tr2bl w:val="nil"/>
                  </w:tcBorders>
                  <w:vAlign w:val="center"/>
                </w:tcPr>
                <w:p>
                  <w:pPr>
                    <w:pStyle w:val="39"/>
                    <w:jc w:val="center"/>
                  </w:pPr>
                  <w:r>
                    <w:t>环境空气</w:t>
                  </w:r>
                </w:p>
              </w:tc>
              <w:tc>
                <w:tcPr>
                  <w:tcW w:w="529" w:type="pct"/>
                  <w:tcBorders>
                    <w:tl2br w:val="nil"/>
                    <w:tr2bl w:val="nil"/>
                  </w:tcBorders>
                  <w:vAlign w:val="center"/>
                </w:tcPr>
                <w:p>
                  <w:pPr>
                    <w:pStyle w:val="39"/>
                    <w:jc w:val="center"/>
                  </w:pPr>
                  <w:r>
                    <w:t>1次/1天，检测3天</w:t>
                  </w:r>
                </w:p>
              </w:tc>
            </w:tr>
          </w:tbl>
          <w:p>
            <w:pPr>
              <w:ind w:firstLine="480"/>
              <w:rPr>
                <w:color w:val="000000"/>
              </w:rPr>
            </w:pPr>
            <w:r>
              <w:rPr>
                <w:rFonts w:hint="eastAsia"/>
                <w:color w:val="000000"/>
                <w:lang w:eastAsia="zh-CN"/>
              </w:rPr>
              <w:t>②</w:t>
            </w:r>
            <w:r>
              <w:rPr>
                <w:color w:val="000000"/>
              </w:rPr>
              <w:t>监测项目</w:t>
            </w:r>
          </w:p>
          <w:p>
            <w:pPr>
              <w:ind w:firstLine="480"/>
              <w:rPr>
                <w:color w:val="000000"/>
              </w:rPr>
            </w:pPr>
            <w:r>
              <w:rPr>
                <w:color w:val="000000"/>
              </w:rPr>
              <w:t>监测项目：</w:t>
            </w:r>
            <w:r>
              <w:rPr>
                <w:rFonts w:hint="eastAsia"/>
                <w:color w:val="000000"/>
              </w:rPr>
              <w:t>TSP。</w:t>
            </w:r>
          </w:p>
          <w:p>
            <w:pPr>
              <w:ind w:firstLine="480"/>
              <w:rPr>
                <w:color w:val="000000"/>
              </w:rPr>
            </w:pPr>
            <w:r>
              <w:rPr>
                <w:rFonts w:hint="eastAsia"/>
                <w:color w:val="000000"/>
                <w:lang w:eastAsia="zh-CN"/>
              </w:rPr>
              <w:t>③</w:t>
            </w:r>
            <w:r>
              <w:rPr>
                <w:color w:val="000000"/>
              </w:rPr>
              <w:t>评价标准</w:t>
            </w:r>
          </w:p>
          <w:p>
            <w:pPr>
              <w:ind w:firstLine="480"/>
              <w:rPr>
                <w:rFonts w:cs="Times New Roman"/>
                <w:color w:val="000000"/>
              </w:rPr>
            </w:pPr>
            <w:r>
              <w:rPr>
                <w:rFonts w:hint="eastAsia" w:cs="Times New Roman"/>
                <w:color w:val="000000"/>
              </w:rPr>
              <w:t>本项目TSP执行《环境空气质量标准》（GB3095-2012）二级标准。</w:t>
            </w:r>
          </w:p>
          <w:p>
            <w:pPr>
              <w:pStyle w:val="25"/>
              <w:rPr>
                <w:rFonts w:hint="eastAsia" w:eastAsia="宋体"/>
                <w:lang w:val="en-US" w:eastAsia="zh-CN"/>
              </w:rPr>
            </w:pPr>
            <w:r>
              <w:rPr>
                <w:rFonts w:hint="eastAsia"/>
              </w:rPr>
              <w:t>表3-3环境空气质量标准</w:t>
            </w:r>
            <w:r>
              <w:rPr>
                <w:rFonts w:hint="eastAsia"/>
                <w:lang w:eastAsia="zh-CN"/>
              </w:rPr>
              <w:t>（</w:t>
            </w:r>
            <w:r>
              <w:rPr>
                <w:rFonts w:hint="eastAsia"/>
              </w:rPr>
              <w:t>单位：</w:t>
            </w:r>
            <w:r>
              <w:rPr>
                <w:rFonts w:cs="Times New Roman"/>
              </w:rPr>
              <w:t>µ</w:t>
            </w:r>
            <w:r>
              <w:rPr>
                <w:rFonts w:hint="eastAsia"/>
              </w:rPr>
              <w:t>g/m</w:t>
            </w:r>
            <w:r>
              <w:rPr>
                <w:rFonts w:hint="eastAsia"/>
                <w:vertAlign w:val="superscript"/>
              </w:rPr>
              <w:t>3</w:t>
            </w:r>
            <w:r>
              <w:rPr>
                <w:rFonts w:hint="eastAsia"/>
                <w:lang w:eastAsia="zh-CN"/>
              </w:rPr>
              <w:t>）</w:t>
            </w:r>
          </w:p>
          <w:tbl>
            <w:tblPr>
              <w:tblStyle w:val="17"/>
              <w:tblW w:w="4986"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2656"/>
              <w:gridCol w:w="1661"/>
              <w:gridCol w:w="1660"/>
              <w:gridCol w:w="1658"/>
            </w:tblGrid>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jc w:val="center"/>
              </w:trPr>
              <w:tc>
                <w:tcPr>
                  <w:tcW w:w="1738" w:type="pct"/>
                  <w:tcMar>
                    <w:top w:w="19" w:type="dxa"/>
                    <w:left w:w="19" w:type="dxa"/>
                    <w:bottom w:w="0" w:type="dxa"/>
                    <w:right w:w="19" w:type="dxa"/>
                  </w:tcMar>
                  <w:vAlign w:val="center"/>
                </w:tcPr>
                <w:p>
                  <w:pPr>
                    <w:pStyle w:val="39"/>
                    <w:jc w:val="center"/>
                    <w:rPr>
                      <w:b/>
                      <w:bCs/>
                    </w:rPr>
                  </w:pPr>
                  <w:r>
                    <w:rPr>
                      <w:b/>
                      <w:bCs/>
                    </w:rPr>
                    <w:t>污染物</w:t>
                  </w:r>
                </w:p>
              </w:tc>
              <w:tc>
                <w:tcPr>
                  <w:tcW w:w="1087" w:type="pct"/>
                  <w:tcMar>
                    <w:top w:w="19" w:type="dxa"/>
                    <w:left w:w="19" w:type="dxa"/>
                    <w:bottom w:w="0" w:type="dxa"/>
                    <w:right w:w="19" w:type="dxa"/>
                  </w:tcMar>
                  <w:vAlign w:val="center"/>
                </w:tcPr>
                <w:p>
                  <w:pPr>
                    <w:pStyle w:val="39"/>
                    <w:jc w:val="center"/>
                    <w:rPr>
                      <w:b/>
                      <w:bCs/>
                    </w:rPr>
                  </w:pPr>
                  <w:r>
                    <w:rPr>
                      <w:b/>
                      <w:bCs/>
                    </w:rPr>
                    <w:t>24小时均值</w:t>
                  </w:r>
                </w:p>
              </w:tc>
              <w:tc>
                <w:tcPr>
                  <w:tcW w:w="1087" w:type="pct"/>
                  <w:vAlign w:val="center"/>
                </w:tcPr>
                <w:p>
                  <w:pPr>
                    <w:pStyle w:val="39"/>
                    <w:jc w:val="center"/>
                    <w:rPr>
                      <w:b/>
                      <w:bCs/>
                    </w:rPr>
                  </w:pPr>
                  <w:r>
                    <w:rPr>
                      <w:b/>
                      <w:bCs/>
                    </w:rPr>
                    <w:t>8小时均值</w:t>
                  </w:r>
                </w:p>
              </w:tc>
              <w:tc>
                <w:tcPr>
                  <w:tcW w:w="1086" w:type="pct"/>
                  <w:vAlign w:val="center"/>
                </w:tcPr>
                <w:p>
                  <w:pPr>
                    <w:pStyle w:val="39"/>
                    <w:jc w:val="center"/>
                    <w:rPr>
                      <w:b/>
                      <w:bCs/>
                    </w:rPr>
                  </w:pPr>
                  <w:r>
                    <w:rPr>
                      <w:b/>
                      <w:bCs/>
                    </w:rPr>
                    <w:t>1小时均值</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jc w:val="center"/>
              </w:trPr>
              <w:tc>
                <w:tcPr>
                  <w:tcW w:w="1738" w:type="pct"/>
                  <w:tcMar>
                    <w:top w:w="19" w:type="dxa"/>
                    <w:left w:w="19" w:type="dxa"/>
                    <w:bottom w:w="0" w:type="dxa"/>
                    <w:right w:w="19" w:type="dxa"/>
                  </w:tcMar>
                  <w:vAlign w:val="center"/>
                </w:tcPr>
                <w:p>
                  <w:pPr>
                    <w:pStyle w:val="39"/>
                    <w:jc w:val="center"/>
                  </w:pPr>
                  <w:r>
                    <w:t>TSP</w:t>
                  </w:r>
                </w:p>
              </w:tc>
              <w:tc>
                <w:tcPr>
                  <w:tcW w:w="1087" w:type="pct"/>
                  <w:tcMar>
                    <w:top w:w="19" w:type="dxa"/>
                    <w:left w:w="19" w:type="dxa"/>
                    <w:bottom w:w="0" w:type="dxa"/>
                    <w:right w:w="19" w:type="dxa"/>
                  </w:tcMar>
                  <w:vAlign w:val="center"/>
                </w:tcPr>
                <w:p>
                  <w:pPr>
                    <w:pStyle w:val="39"/>
                    <w:jc w:val="center"/>
                  </w:pPr>
                  <w:r>
                    <w:t>300</w:t>
                  </w:r>
                </w:p>
              </w:tc>
              <w:tc>
                <w:tcPr>
                  <w:tcW w:w="1087" w:type="pct"/>
                  <w:vAlign w:val="center"/>
                </w:tcPr>
                <w:p>
                  <w:pPr>
                    <w:pStyle w:val="39"/>
                    <w:jc w:val="center"/>
                  </w:pPr>
                  <w:r>
                    <w:t>/</w:t>
                  </w:r>
                </w:p>
              </w:tc>
              <w:tc>
                <w:tcPr>
                  <w:tcW w:w="1086" w:type="pct"/>
                  <w:vAlign w:val="center"/>
                </w:tcPr>
                <w:p>
                  <w:pPr>
                    <w:pStyle w:val="39"/>
                    <w:jc w:val="center"/>
                  </w:pPr>
                  <w:r>
                    <w:t>/</w:t>
                  </w:r>
                </w:p>
              </w:tc>
            </w:tr>
          </w:tbl>
          <w:p>
            <w:pPr>
              <w:numPr>
                <w:ilvl w:val="0"/>
                <w:numId w:val="0"/>
              </w:numPr>
              <w:ind w:firstLine="480" w:firstLineChars="200"/>
              <w:rPr>
                <w:color w:val="000000"/>
              </w:rPr>
            </w:pPr>
            <w:r>
              <w:rPr>
                <w:rFonts w:hint="eastAsia"/>
                <w:color w:val="000000"/>
                <w:lang w:eastAsia="zh-CN"/>
              </w:rPr>
              <w:t>④</w:t>
            </w:r>
            <w:r>
              <w:rPr>
                <w:rFonts w:hint="eastAsia"/>
                <w:color w:val="000000"/>
              </w:rPr>
              <w:t>监测结果</w:t>
            </w:r>
          </w:p>
          <w:p>
            <w:pPr>
              <w:ind w:firstLine="480"/>
            </w:pPr>
            <w:r>
              <w:rPr>
                <w:rFonts w:hint="eastAsia"/>
              </w:rPr>
              <w:t>本项目TSP环境质量现状监测委托</w:t>
            </w:r>
            <w:r>
              <w:rPr>
                <w:rFonts w:hint="eastAsia"/>
                <w:color w:val="auto"/>
              </w:rPr>
              <w:t>内蒙古科远环境检测有限公司</w:t>
            </w:r>
            <w:r>
              <w:rPr>
                <w:rFonts w:hint="eastAsia"/>
                <w:color w:val="auto"/>
                <w:lang w:eastAsia="zh-CN"/>
              </w:rPr>
              <w:t>监测，</w:t>
            </w:r>
            <w:r>
              <w:rPr>
                <w:rFonts w:hint="eastAsia"/>
                <w:color w:val="auto"/>
              </w:rPr>
              <w:t>于</w:t>
            </w:r>
            <w:r>
              <w:t>202</w:t>
            </w:r>
            <w:r>
              <w:rPr>
                <w:rFonts w:hint="eastAsia"/>
              </w:rPr>
              <w:t>4年4月</w:t>
            </w:r>
            <w:r>
              <w:rPr>
                <w:rFonts w:hint="eastAsia"/>
                <w:lang w:val="en-US" w:eastAsia="zh-CN"/>
              </w:rPr>
              <w:t>7</w:t>
            </w:r>
            <w:r>
              <w:rPr>
                <w:rFonts w:hint="eastAsia"/>
              </w:rPr>
              <w:t>日至9日对本项目所在地进行了现状监测，监测结果见下表。</w:t>
            </w:r>
          </w:p>
          <w:p>
            <w:pPr>
              <w:pStyle w:val="25"/>
              <w:rPr>
                <w:rFonts w:cs="Times New Roman"/>
                <w:bCs/>
                <w:szCs w:val="21"/>
              </w:rPr>
            </w:pPr>
            <w:r>
              <w:rPr>
                <w:color w:val="000000"/>
              </w:rPr>
              <w:t>表3-</w:t>
            </w:r>
            <w:r>
              <w:rPr>
                <w:rFonts w:hint="eastAsia"/>
                <w:color w:val="000000"/>
              </w:rPr>
              <w:t>4</w:t>
            </w:r>
            <w:r>
              <w:rPr>
                <w:rFonts w:cs="Times New Roman"/>
                <w:bCs/>
                <w:szCs w:val="21"/>
              </w:rPr>
              <w:t>检测技术依据及仪器设备一览表</w:t>
            </w:r>
          </w:p>
          <w:tbl>
            <w:tblPr>
              <w:tblStyle w:val="17"/>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02"/>
              <w:gridCol w:w="859"/>
              <w:gridCol w:w="1949"/>
              <w:gridCol w:w="1376"/>
              <w:gridCol w:w="1676"/>
              <w:gridCol w:w="129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7" w:type="pct"/>
                  <w:vAlign w:val="center"/>
                </w:tcPr>
                <w:p>
                  <w:pPr>
                    <w:pStyle w:val="39"/>
                    <w:jc w:val="center"/>
                    <w:rPr>
                      <w:b/>
                      <w:bCs/>
                    </w:rPr>
                  </w:pPr>
                  <w:r>
                    <w:rPr>
                      <w:b/>
                      <w:bCs/>
                    </w:rPr>
                    <w:t>序号</w:t>
                  </w:r>
                </w:p>
              </w:tc>
              <w:tc>
                <w:tcPr>
                  <w:tcW w:w="561" w:type="pct"/>
                  <w:vAlign w:val="center"/>
                </w:tcPr>
                <w:p>
                  <w:pPr>
                    <w:pStyle w:val="39"/>
                    <w:jc w:val="center"/>
                    <w:rPr>
                      <w:b/>
                      <w:bCs/>
                    </w:rPr>
                  </w:pPr>
                  <w:r>
                    <w:rPr>
                      <w:b/>
                      <w:bCs/>
                    </w:rPr>
                    <w:t>检测项目</w:t>
                  </w:r>
                </w:p>
              </w:tc>
              <w:tc>
                <w:tcPr>
                  <w:tcW w:w="1273" w:type="pct"/>
                  <w:vAlign w:val="center"/>
                </w:tcPr>
                <w:p>
                  <w:pPr>
                    <w:pStyle w:val="39"/>
                    <w:jc w:val="center"/>
                    <w:rPr>
                      <w:b/>
                      <w:bCs/>
                    </w:rPr>
                  </w:pPr>
                  <w:r>
                    <w:rPr>
                      <w:b/>
                      <w:bCs/>
                    </w:rPr>
                    <w:t>使用仪器设备</w:t>
                  </w:r>
                </w:p>
                <w:p>
                  <w:pPr>
                    <w:pStyle w:val="39"/>
                    <w:jc w:val="center"/>
                    <w:rPr>
                      <w:b/>
                      <w:bCs/>
                    </w:rPr>
                  </w:pPr>
                  <w:r>
                    <w:rPr>
                      <w:b/>
                      <w:bCs/>
                    </w:rPr>
                    <w:t>（管理编号）</w:t>
                  </w:r>
                </w:p>
              </w:tc>
              <w:tc>
                <w:tcPr>
                  <w:tcW w:w="899" w:type="pct"/>
                  <w:vAlign w:val="center"/>
                </w:tcPr>
                <w:p>
                  <w:pPr>
                    <w:pStyle w:val="39"/>
                    <w:jc w:val="center"/>
                    <w:rPr>
                      <w:b/>
                      <w:bCs/>
                    </w:rPr>
                  </w:pPr>
                  <w:r>
                    <w:rPr>
                      <w:b/>
                      <w:bCs/>
                    </w:rPr>
                    <w:t>仪器溯源方式及有效期</w:t>
                  </w:r>
                </w:p>
              </w:tc>
              <w:tc>
                <w:tcPr>
                  <w:tcW w:w="1095" w:type="pct"/>
                  <w:vAlign w:val="center"/>
                </w:tcPr>
                <w:p>
                  <w:pPr>
                    <w:pStyle w:val="39"/>
                    <w:jc w:val="center"/>
                    <w:rPr>
                      <w:b/>
                      <w:bCs/>
                    </w:rPr>
                  </w:pPr>
                  <w:r>
                    <w:rPr>
                      <w:b/>
                      <w:bCs/>
                    </w:rPr>
                    <w:t>检测技术依据</w:t>
                  </w:r>
                </w:p>
              </w:tc>
              <w:tc>
                <w:tcPr>
                  <w:tcW w:w="842" w:type="pct"/>
                  <w:vAlign w:val="center"/>
                </w:tcPr>
                <w:p>
                  <w:pPr>
                    <w:pStyle w:val="39"/>
                    <w:jc w:val="center"/>
                    <w:rPr>
                      <w:b/>
                      <w:bCs/>
                    </w:rPr>
                  </w:pPr>
                  <w:r>
                    <w:rPr>
                      <w:b/>
                      <w:bCs/>
                    </w:rPr>
                    <w:t>检出限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7" w:type="pct"/>
                  <w:vMerge w:val="restart"/>
                  <w:vAlign w:val="center"/>
                </w:tcPr>
                <w:p>
                  <w:pPr>
                    <w:pStyle w:val="39"/>
                    <w:jc w:val="center"/>
                  </w:pPr>
                  <w:r>
                    <w:t>1</w:t>
                  </w:r>
                </w:p>
              </w:tc>
              <w:tc>
                <w:tcPr>
                  <w:tcW w:w="561" w:type="pct"/>
                  <w:vMerge w:val="restart"/>
                  <w:vAlign w:val="center"/>
                </w:tcPr>
                <w:p>
                  <w:pPr>
                    <w:pStyle w:val="39"/>
                    <w:jc w:val="center"/>
                  </w:pPr>
                  <w:r>
                    <w:t>总悬浮</w:t>
                  </w:r>
                </w:p>
                <w:p>
                  <w:pPr>
                    <w:pStyle w:val="39"/>
                    <w:jc w:val="center"/>
                  </w:pPr>
                  <w:r>
                    <w:t>颗粒物</w:t>
                  </w:r>
                </w:p>
              </w:tc>
              <w:tc>
                <w:tcPr>
                  <w:tcW w:w="1273" w:type="pct"/>
                  <w:vAlign w:val="center"/>
                </w:tcPr>
                <w:p>
                  <w:pPr>
                    <w:pStyle w:val="39"/>
                    <w:jc w:val="center"/>
                  </w:pPr>
                  <w:r>
                    <w:rPr>
                      <w:rFonts w:hint="eastAsia"/>
                    </w:rPr>
                    <w:t>KB-6120综合大气采样器</w:t>
                  </w:r>
                  <w:r>
                    <w:t>（KY-</w:t>
                  </w:r>
                  <w:r>
                    <w:rPr>
                      <w:rFonts w:hint="eastAsia"/>
                    </w:rPr>
                    <w:t>1878</w:t>
                  </w:r>
                  <w:r>
                    <w:t>）</w:t>
                  </w:r>
                </w:p>
              </w:tc>
              <w:tc>
                <w:tcPr>
                  <w:tcW w:w="899" w:type="pct"/>
                  <w:vAlign w:val="center"/>
                </w:tcPr>
                <w:p>
                  <w:pPr>
                    <w:pStyle w:val="39"/>
                    <w:jc w:val="center"/>
                  </w:pPr>
                  <w:r>
                    <w:t>检定</w:t>
                  </w:r>
                </w:p>
                <w:p>
                  <w:pPr>
                    <w:pStyle w:val="39"/>
                    <w:jc w:val="center"/>
                  </w:pPr>
                  <w:r>
                    <w:t>202</w:t>
                  </w:r>
                  <w:r>
                    <w:rPr>
                      <w:rFonts w:hint="eastAsia"/>
                    </w:rPr>
                    <w:t>4.09.03</w:t>
                  </w:r>
                </w:p>
              </w:tc>
              <w:tc>
                <w:tcPr>
                  <w:tcW w:w="1095" w:type="pct"/>
                  <w:vMerge w:val="restart"/>
                  <w:vAlign w:val="center"/>
                </w:tcPr>
                <w:p>
                  <w:pPr>
                    <w:pStyle w:val="39"/>
                    <w:jc w:val="center"/>
                  </w:pPr>
                  <w:r>
                    <w:t>《</w:t>
                  </w:r>
                  <w:r>
                    <w:rPr>
                      <w:rFonts w:hint="eastAsia"/>
                    </w:rPr>
                    <w:t>环境空气</w:t>
                  </w:r>
                  <w:r>
                    <w:t xml:space="preserve"> 总悬浮颗粒物的测定 重量法》</w:t>
                  </w:r>
                </w:p>
                <w:p>
                  <w:pPr>
                    <w:pStyle w:val="39"/>
                    <w:jc w:val="center"/>
                  </w:pPr>
                  <w:r>
                    <w:t>HJ 1263-2022</w:t>
                  </w:r>
                </w:p>
              </w:tc>
              <w:tc>
                <w:tcPr>
                  <w:tcW w:w="842" w:type="pct"/>
                  <w:vMerge w:val="restart"/>
                  <w:vAlign w:val="center"/>
                </w:tcPr>
                <w:p>
                  <w:pPr>
                    <w:pStyle w:val="39"/>
                    <w:jc w:val="center"/>
                  </w:pPr>
                  <w:r>
                    <w:t>0.</w:t>
                  </w:r>
                  <w:r>
                    <w:rPr>
                      <w:rFonts w:hint="eastAsia"/>
                    </w:rPr>
                    <w:t>007</w:t>
                  </w:r>
                  <w:r>
                    <w:t>mg/m</w:t>
                  </w:r>
                  <w:r>
                    <w:rPr>
                      <w:vertAlign w:val="superscript"/>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7" w:type="pct"/>
                  <w:vMerge w:val="continue"/>
                  <w:vAlign w:val="center"/>
                </w:tcPr>
                <w:p>
                  <w:pPr>
                    <w:pStyle w:val="39"/>
                    <w:jc w:val="center"/>
                  </w:pPr>
                </w:p>
              </w:tc>
              <w:tc>
                <w:tcPr>
                  <w:tcW w:w="561" w:type="pct"/>
                  <w:vMerge w:val="continue"/>
                  <w:vAlign w:val="center"/>
                </w:tcPr>
                <w:p>
                  <w:pPr>
                    <w:pStyle w:val="39"/>
                    <w:jc w:val="center"/>
                  </w:pPr>
                </w:p>
              </w:tc>
              <w:tc>
                <w:tcPr>
                  <w:tcW w:w="1273" w:type="pct"/>
                  <w:vAlign w:val="center"/>
                </w:tcPr>
                <w:p>
                  <w:pPr>
                    <w:pStyle w:val="39"/>
                    <w:jc w:val="center"/>
                  </w:pPr>
                  <w:r>
                    <w:rPr>
                      <w:rFonts w:hint="eastAsia"/>
                    </w:rPr>
                    <w:t>PX125DZH</w:t>
                  </w:r>
                  <w:r>
                    <w:t>天平（KY-181</w:t>
                  </w:r>
                  <w:r>
                    <w:rPr>
                      <w:rFonts w:hint="eastAsia"/>
                    </w:rPr>
                    <w:t>6</w:t>
                  </w:r>
                  <w:r>
                    <w:t>）</w:t>
                  </w:r>
                </w:p>
              </w:tc>
              <w:tc>
                <w:tcPr>
                  <w:tcW w:w="899" w:type="pct"/>
                  <w:vAlign w:val="center"/>
                </w:tcPr>
                <w:p>
                  <w:pPr>
                    <w:pStyle w:val="39"/>
                    <w:jc w:val="center"/>
                  </w:pPr>
                  <w:r>
                    <w:rPr>
                      <w:rFonts w:hint="eastAsia"/>
                    </w:rPr>
                    <w:t>校准</w:t>
                  </w:r>
                  <w:r>
                    <w:t>202</w:t>
                  </w:r>
                  <w:r>
                    <w:rPr>
                      <w:rFonts w:hint="eastAsia"/>
                    </w:rPr>
                    <w:t>4.09.18</w:t>
                  </w:r>
                </w:p>
              </w:tc>
              <w:tc>
                <w:tcPr>
                  <w:tcW w:w="1095" w:type="pct"/>
                  <w:vMerge w:val="continue"/>
                  <w:vAlign w:val="center"/>
                </w:tcPr>
                <w:p>
                  <w:pPr>
                    <w:pStyle w:val="39"/>
                    <w:jc w:val="center"/>
                  </w:pPr>
                </w:p>
              </w:tc>
              <w:tc>
                <w:tcPr>
                  <w:tcW w:w="842" w:type="pct"/>
                  <w:vMerge w:val="continue"/>
                  <w:vAlign w:val="center"/>
                </w:tcPr>
                <w:p>
                  <w:pPr>
                    <w:pStyle w:val="39"/>
                    <w:jc w:val="cente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7" w:type="pct"/>
                  <w:vAlign w:val="center"/>
                </w:tcPr>
                <w:p>
                  <w:pPr>
                    <w:pStyle w:val="39"/>
                    <w:jc w:val="center"/>
                  </w:pPr>
                  <w:r>
                    <w:rPr>
                      <w:b/>
                      <w:bCs/>
                    </w:rPr>
                    <w:t>备注</w:t>
                  </w:r>
                </w:p>
              </w:tc>
              <w:tc>
                <w:tcPr>
                  <w:tcW w:w="4672" w:type="pct"/>
                  <w:gridSpan w:val="5"/>
                  <w:vAlign w:val="center"/>
                </w:tcPr>
                <w:p>
                  <w:pPr>
                    <w:pStyle w:val="39"/>
                    <w:jc w:val="center"/>
                    <w:rPr>
                      <w:rFonts w:hint="eastAsia" w:eastAsia="宋体"/>
                      <w:lang w:val="en-US" w:eastAsia="zh-CN"/>
                    </w:rPr>
                  </w:pPr>
                  <w:r>
                    <w:rPr>
                      <w:rFonts w:hint="eastAsia"/>
                      <w:lang w:val="en-US" w:eastAsia="zh-CN"/>
                    </w:rPr>
                    <w:t>无</w:t>
                  </w:r>
                </w:p>
              </w:tc>
            </w:tr>
          </w:tbl>
          <w:p>
            <w:pPr>
              <w:pStyle w:val="25"/>
              <w:rPr>
                <w:rFonts w:cs="Times New Roman"/>
                <w:bCs/>
                <w:szCs w:val="21"/>
              </w:rPr>
            </w:pPr>
            <w:r>
              <w:rPr>
                <w:color w:val="000000"/>
              </w:rPr>
              <w:t>表3-</w:t>
            </w:r>
            <w:r>
              <w:rPr>
                <w:rFonts w:hint="eastAsia"/>
                <w:color w:val="000000"/>
              </w:rPr>
              <w:t xml:space="preserve">5  </w:t>
            </w:r>
            <w:r>
              <w:rPr>
                <w:rFonts w:cs="Times New Roman"/>
                <w:bCs/>
                <w:szCs w:val="21"/>
              </w:rPr>
              <w:t>气象参数报告</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2046"/>
              <w:gridCol w:w="1099"/>
              <w:gridCol w:w="1112"/>
              <w:gridCol w:w="1066"/>
              <w:gridCol w:w="100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tcBorders>
                    <w:tl2br w:val="nil"/>
                    <w:tr2bl w:val="nil"/>
                  </w:tcBorders>
                  <w:vAlign w:val="center"/>
                </w:tcPr>
                <w:p>
                  <w:pPr>
                    <w:spacing w:line="240" w:lineRule="auto"/>
                    <w:ind w:firstLine="0" w:firstLineChars="0"/>
                    <w:jc w:val="center"/>
                    <w:rPr>
                      <w:rFonts w:cs="Times New Roman"/>
                      <w:b/>
                      <w:sz w:val="21"/>
                      <w:szCs w:val="21"/>
                    </w:rPr>
                  </w:pPr>
                  <w:r>
                    <w:rPr>
                      <w:rFonts w:cs="Times New Roman"/>
                      <w:b/>
                      <w:sz w:val="21"/>
                      <w:szCs w:val="21"/>
                    </w:rPr>
                    <w:t>检测科室</w:t>
                  </w: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cs="Times New Roman"/>
                      <w:bCs/>
                      <w:sz w:val="21"/>
                      <w:szCs w:val="21"/>
                    </w:rPr>
                    <w:t>现场室</w:t>
                  </w:r>
                </w:p>
              </w:tc>
              <w:tc>
                <w:tcPr>
                  <w:tcW w:w="1444" w:type="pct"/>
                  <w:gridSpan w:val="2"/>
                  <w:tcBorders>
                    <w:tl2br w:val="nil"/>
                    <w:tr2bl w:val="nil"/>
                  </w:tcBorders>
                  <w:vAlign w:val="center"/>
                </w:tcPr>
                <w:p>
                  <w:pPr>
                    <w:spacing w:line="240" w:lineRule="auto"/>
                    <w:ind w:firstLine="0" w:firstLineChars="0"/>
                    <w:jc w:val="center"/>
                    <w:rPr>
                      <w:rFonts w:cs="Times New Roman"/>
                      <w:b/>
                      <w:sz w:val="21"/>
                      <w:szCs w:val="21"/>
                    </w:rPr>
                  </w:pPr>
                  <w:r>
                    <w:rPr>
                      <w:rFonts w:cs="Times New Roman"/>
                      <w:b/>
                      <w:sz w:val="21"/>
                      <w:szCs w:val="21"/>
                    </w:rPr>
                    <w:t>检测</w:t>
                  </w:r>
                  <w:r>
                    <w:rPr>
                      <w:rFonts w:hint="eastAsia" w:cs="Times New Roman"/>
                      <w:b/>
                      <w:sz w:val="21"/>
                      <w:szCs w:val="21"/>
                    </w:rPr>
                    <w:t>人员</w:t>
                  </w:r>
                </w:p>
              </w:tc>
              <w:tc>
                <w:tcPr>
                  <w:tcW w:w="1348" w:type="pct"/>
                  <w:gridSpan w:val="2"/>
                  <w:tcBorders>
                    <w:tl2br w:val="nil"/>
                    <w:tr2bl w:val="nil"/>
                  </w:tcBorders>
                  <w:vAlign w:val="center"/>
                </w:tcPr>
                <w:p>
                  <w:pPr>
                    <w:spacing w:line="240" w:lineRule="auto"/>
                    <w:ind w:firstLine="0" w:firstLineChars="0"/>
                    <w:jc w:val="center"/>
                    <w:rPr>
                      <w:rFonts w:cs="Times New Roman"/>
                      <w:b/>
                      <w:sz w:val="21"/>
                      <w:szCs w:val="21"/>
                    </w:rPr>
                  </w:pPr>
                  <w:r>
                    <w:rPr>
                      <w:rFonts w:hint="eastAsia" w:cs="Times New Roman"/>
                      <w:bCs/>
                      <w:sz w:val="21"/>
                      <w:szCs w:val="21"/>
                    </w:rPr>
                    <w:t>石媛</w:t>
                  </w:r>
                  <w:r>
                    <w:rPr>
                      <w:rFonts w:hint="eastAsia" w:cs="Times New Roman"/>
                      <w:bCs/>
                      <w:sz w:val="21"/>
                      <w:szCs w:val="21"/>
                      <w:lang w:eastAsia="zh-CN"/>
                    </w:rPr>
                    <w:t>和</w:t>
                  </w:r>
                  <w:r>
                    <w:rPr>
                      <w:rFonts w:hint="eastAsia" w:cs="Times New Roman"/>
                      <w:bCs/>
                      <w:sz w:val="21"/>
                      <w:szCs w:val="21"/>
                    </w:rPr>
                    <w:t>武文奇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tcBorders>
                    <w:tl2br w:val="nil"/>
                    <w:tr2bl w:val="nil"/>
                  </w:tcBorders>
                  <w:vAlign w:val="center"/>
                </w:tcPr>
                <w:p>
                  <w:pPr>
                    <w:spacing w:line="240" w:lineRule="auto"/>
                    <w:ind w:firstLine="0" w:firstLineChars="0"/>
                    <w:jc w:val="center"/>
                    <w:rPr>
                      <w:rFonts w:cs="Times New Roman"/>
                      <w:b/>
                      <w:sz w:val="21"/>
                      <w:szCs w:val="21"/>
                    </w:rPr>
                  </w:pPr>
                  <w:r>
                    <w:rPr>
                      <w:rFonts w:cs="Times New Roman"/>
                      <w:b/>
                      <w:sz w:val="21"/>
                      <w:szCs w:val="21"/>
                    </w:rPr>
                    <w:t>采样日期</w:t>
                  </w:r>
                </w:p>
              </w:tc>
              <w:tc>
                <w:tcPr>
                  <w:tcW w:w="1336" w:type="pct"/>
                  <w:tcBorders>
                    <w:tl2br w:val="nil"/>
                    <w:tr2bl w:val="nil"/>
                  </w:tcBorders>
                  <w:vAlign w:val="center"/>
                </w:tcPr>
                <w:p>
                  <w:pPr>
                    <w:spacing w:line="240" w:lineRule="auto"/>
                    <w:ind w:firstLine="0" w:firstLineChars="0"/>
                    <w:jc w:val="center"/>
                    <w:rPr>
                      <w:rFonts w:cs="Times New Roman"/>
                      <w:b/>
                      <w:sz w:val="21"/>
                      <w:szCs w:val="21"/>
                    </w:rPr>
                  </w:pPr>
                  <w:r>
                    <w:rPr>
                      <w:rFonts w:cs="Times New Roman"/>
                      <w:b/>
                      <w:sz w:val="21"/>
                      <w:szCs w:val="21"/>
                    </w:rPr>
                    <w:t>采样时间段</w:t>
                  </w:r>
                </w:p>
              </w:tc>
              <w:tc>
                <w:tcPr>
                  <w:tcW w:w="718" w:type="pct"/>
                  <w:tcBorders>
                    <w:tl2br w:val="nil"/>
                    <w:tr2bl w:val="nil"/>
                  </w:tcBorders>
                  <w:vAlign w:val="center"/>
                </w:tcPr>
                <w:p>
                  <w:pPr>
                    <w:spacing w:line="240" w:lineRule="auto"/>
                    <w:ind w:firstLine="0" w:firstLineChars="0"/>
                    <w:jc w:val="center"/>
                    <w:rPr>
                      <w:rFonts w:cs="Times New Roman"/>
                      <w:b/>
                      <w:sz w:val="21"/>
                      <w:szCs w:val="21"/>
                    </w:rPr>
                  </w:pPr>
                  <w:r>
                    <w:rPr>
                      <w:rFonts w:cs="Times New Roman"/>
                      <w:b/>
                      <w:sz w:val="21"/>
                      <w:szCs w:val="21"/>
                    </w:rPr>
                    <w:t>气温（℃）</w:t>
                  </w:r>
                </w:p>
              </w:tc>
              <w:tc>
                <w:tcPr>
                  <w:tcW w:w="726" w:type="pct"/>
                  <w:tcBorders>
                    <w:tl2br w:val="nil"/>
                    <w:tr2bl w:val="nil"/>
                  </w:tcBorders>
                  <w:vAlign w:val="center"/>
                </w:tcPr>
                <w:p>
                  <w:pPr>
                    <w:spacing w:line="240" w:lineRule="auto"/>
                    <w:ind w:firstLine="0" w:firstLineChars="0"/>
                    <w:jc w:val="center"/>
                    <w:rPr>
                      <w:rFonts w:cs="Times New Roman"/>
                      <w:b/>
                      <w:sz w:val="21"/>
                      <w:szCs w:val="21"/>
                    </w:rPr>
                  </w:pPr>
                  <w:r>
                    <w:rPr>
                      <w:rFonts w:cs="Times New Roman"/>
                      <w:b/>
                      <w:sz w:val="21"/>
                      <w:szCs w:val="21"/>
                    </w:rPr>
                    <w:t>气压（kPa）</w:t>
                  </w:r>
                </w:p>
              </w:tc>
              <w:tc>
                <w:tcPr>
                  <w:tcW w:w="696" w:type="pct"/>
                  <w:tcBorders>
                    <w:tl2br w:val="nil"/>
                    <w:tr2bl w:val="nil"/>
                  </w:tcBorders>
                  <w:vAlign w:val="center"/>
                </w:tcPr>
                <w:p>
                  <w:pPr>
                    <w:spacing w:line="240" w:lineRule="auto"/>
                    <w:ind w:firstLine="0" w:firstLineChars="0"/>
                    <w:jc w:val="center"/>
                    <w:rPr>
                      <w:rFonts w:cs="Times New Roman"/>
                      <w:b/>
                      <w:sz w:val="21"/>
                      <w:szCs w:val="21"/>
                    </w:rPr>
                  </w:pPr>
                  <w:r>
                    <w:rPr>
                      <w:rFonts w:cs="Times New Roman"/>
                      <w:b/>
                      <w:sz w:val="21"/>
                      <w:szCs w:val="21"/>
                    </w:rPr>
                    <w:t>风速（m/s）</w:t>
                  </w:r>
                </w:p>
              </w:tc>
              <w:tc>
                <w:tcPr>
                  <w:tcW w:w="651" w:type="pct"/>
                  <w:tcBorders>
                    <w:tl2br w:val="nil"/>
                    <w:tr2bl w:val="nil"/>
                  </w:tcBorders>
                  <w:vAlign w:val="center"/>
                </w:tcPr>
                <w:p>
                  <w:pPr>
                    <w:spacing w:line="240" w:lineRule="auto"/>
                    <w:ind w:firstLine="0" w:firstLineChars="0"/>
                    <w:jc w:val="center"/>
                    <w:rPr>
                      <w:rFonts w:cs="Times New Roman"/>
                      <w:b/>
                      <w:sz w:val="21"/>
                      <w:szCs w:val="21"/>
                    </w:rPr>
                  </w:pPr>
                  <w:r>
                    <w:rPr>
                      <w:rFonts w:cs="Times New Roman"/>
                      <w:b/>
                      <w:sz w:val="21"/>
                      <w:szCs w:val="21"/>
                    </w:rPr>
                    <w:t>风向</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vMerge w:val="restart"/>
                  <w:tcBorders>
                    <w:tl2br w:val="nil"/>
                    <w:tr2bl w:val="nil"/>
                  </w:tcBorders>
                  <w:vAlign w:val="center"/>
                </w:tcPr>
                <w:p>
                  <w:pPr>
                    <w:ind w:firstLine="0" w:firstLineChars="0"/>
                    <w:jc w:val="center"/>
                    <w:textAlignment w:val="center"/>
                    <w:rPr>
                      <w:rFonts w:cs="Times New Roman"/>
                      <w:bCs/>
                      <w:sz w:val="21"/>
                      <w:szCs w:val="21"/>
                    </w:rPr>
                  </w:pPr>
                  <w:r>
                    <w:rPr>
                      <w:rFonts w:hint="eastAsia" w:cs="Times New Roman"/>
                      <w:bCs/>
                      <w:sz w:val="21"/>
                      <w:szCs w:val="21"/>
                    </w:rPr>
                    <w:t>2024.04.07</w:t>
                  </w: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02</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03</w:t>
                  </w:r>
                  <w:r>
                    <w:rPr>
                      <w:rFonts w:cs="Times New Roman"/>
                      <w:sz w:val="21"/>
                      <w:szCs w:val="21"/>
                    </w:rPr>
                    <w:t>:</w:t>
                  </w:r>
                  <w:r>
                    <w:rPr>
                      <w:rFonts w:hint="eastAsia" w:cs="Times New Roman"/>
                      <w:sz w:val="21"/>
                      <w:szCs w:val="21"/>
                    </w:rPr>
                    <w:t>00</w:t>
                  </w:r>
                </w:p>
              </w:tc>
              <w:tc>
                <w:tcPr>
                  <w:tcW w:w="718"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10.3</w:t>
                  </w:r>
                </w:p>
              </w:tc>
              <w:tc>
                <w:tcPr>
                  <w:tcW w:w="72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89.6</w:t>
                  </w:r>
                </w:p>
              </w:tc>
              <w:tc>
                <w:tcPr>
                  <w:tcW w:w="69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2.1</w:t>
                  </w:r>
                </w:p>
              </w:tc>
              <w:tc>
                <w:tcPr>
                  <w:tcW w:w="651"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W</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vMerge w:val="continue"/>
                  <w:tcBorders>
                    <w:tl2br w:val="nil"/>
                    <w:tr2bl w:val="nil"/>
                  </w:tcBorders>
                  <w:vAlign w:val="center"/>
                </w:tcPr>
                <w:p>
                  <w:pPr>
                    <w:ind w:firstLine="420"/>
                    <w:jc w:val="center"/>
                    <w:textAlignment w:val="center"/>
                    <w:rPr>
                      <w:rFonts w:cs="Times New Roman"/>
                      <w:bCs/>
                      <w:sz w:val="21"/>
                      <w:szCs w:val="21"/>
                    </w:rPr>
                  </w:pP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08</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09</w:t>
                  </w:r>
                  <w:r>
                    <w:rPr>
                      <w:rFonts w:cs="Times New Roman"/>
                      <w:sz w:val="21"/>
                      <w:szCs w:val="21"/>
                    </w:rPr>
                    <w:t>:</w:t>
                  </w:r>
                  <w:r>
                    <w:rPr>
                      <w:rFonts w:hint="eastAsia" w:cs="Times New Roman"/>
                      <w:sz w:val="21"/>
                      <w:szCs w:val="21"/>
                    </w:rPr>
                    <w:t>00</w:t>
                  </w:r>
                </w:p>
              </w:tc>
              <w:tc>
                <w:tcPr>
                  <w:tcW w:w="718"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12.7</w:t>
                  </w:r>
                </w:p>
              </w:tc>
              <w:tc>
                <w:tcPr>
                  <w:tcW w:w="72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89.3</w:t>
                  </w:r>
                </w:p>
              </w:tc>
              <w:tc>
                <w:tcPr>
                  <w:tcW w:w="69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2.3</w:t>
                  </w:r>
                </w:p>
              </w:tc>
              <w:tc>
                <w:tcPr>
                  <w:tcW w:w="651"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W</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vMerge w:val="continue"/>
                  <w:tcBorders>
                    <w:tl2br w:val="nil"/>
                    <w:tr2bl w:val="nil"/>
                  </w:tcBorders>
                  <w:vAlign w:val="center"/>
                </w:tcPr>
                <w:p>
                  <w:pPr>
                    <w:ind w:firstLine="420"/>
                    <w:jc w:val="center"/>
                    <w:textAlignment w:val="center"/>
                    <w:rPr>
                      <w:rFonts w:cs="Times New Roman"/>
                      <w:bCs/>
                      <w:sz w:val="21"/>
                      <w:szCs w:val="21"/>
                    </w:rPr>
                  </w:pP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14</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15:00</w:t>
                  </w:r>
                </w:p>
              </w:tc>
              <w:tc>
                <w:tcPr>
                  <w:tcW w:w="718"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22.6</w:t>
                  </w:r>
                </w:p>
              </w:tc>
              <w:tc>
                <w:tcPr>
                  <w:tcW w:w="72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89.5</w:t>
                  </w:r>
                </w:p>
              </w:tc>
              <w:tc>
                <w:tcPr>
                  <w:tcW w:w="69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2.3</w:t>
                  </w:r>
                </w:p>
              </w:tc>
              <w:tc>
                <w:tcPr>
                  <w:tcW w:w="651"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W</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vMerge w:val="continue"/>
                  <w:tcBorders>
                    <w:tl2br w:val="nil"/>
                    <w:tr2bl w:val="nil"/>
                  </w:tcBorders>
                  <w:vAlign w:val="center"/>
                </w:tcPr>
                <w:p>
                  <w:pPr>
                    <w:ind w:firstLine="420"/>
                    <w:jc w:val="center"/>
                    <w:textAlignment w:val="center"/>
                    <w:rPr>
                      <w:rFonts w:cs="Times New Roman"/>
                      <w:bCs/>
                      <w:sz w:val="21"/>
                      <w:szCs w:val="21"/>
                    </w:rPr>
                  </w:pP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20</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21</w:t>
                  </w:r>
                  <w:r>
                    <w:rPr>
                      <w:rFonts w:cs="Times New Roman"/>
                      <w:sz w:val="21"/>
                      <w:szCs w:val="21"/>
                    </w:rPr>
                    <w:t>:</w:t>
                  </w:r>
                  <w:r>
                    <w:rPr>
                      <w:rFonts w:hint="eastAsia" w:cs="Times New Roman"/>
                      <w:sz w:val="21"/>
                      <w:szCs w:val="21"/>
                    </w:rPr>
                    <w:t>00</w:t>
                  </w:r>
                </w:p>
              </w:tc>
              <w:tc>
                <w:tcPr>
                  <w:tcW w:w="718"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17.4</w:t>
                  </w:r>
                </w:p>
              </w:tc>
              <w:tc>
                <w:tcPr>
                  <w:tcW w:w="72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89.6</w:t>
                  </w:r>
                </w:p>
              </w:tc>
              <w:tc>
                <w:tcPr>
                  <w:tcW w:w="69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2.2</w:t>
                  </w:r>
                </w:p>
              </w:tc>
              <w:tc>
                <w:tcPr>
                  <w:tcW w:w="651"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W</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vMerge w:val="continue"/>
                  <w:tcBorders>
                    <w:tl2br w:val="nil"/>
                    <w:tr2bl w:val="nil"/>
                  </w:tcBorders>
                  <w:vAlign w:val="center"/>
                </w:tcPr>
                <w:p>
                  <w:pPr>
                    <w:ind w:firstLine="420"/>
                    <w:jc w:val="center"/>
                    <w:textAlignment w:val="center"/>
                    <w:rPr>
                      <w:rFonts w:cs="Times New Roman"/>
                      <w:bCs/>
                      <w:sz w:val="21"/>
                      <w:szCs w:val="21"/>
                    </w:rPr>
                  </w:pP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00</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24</w:t>
                  </w:r>
                  <w:r>
                    <w:rPr>
                      <w:rFonts w:cs="Times New Roman"/>
                      <w:sz w:val="21"/>
                      <w:szCs w:val="21"/>
                    </w:rPr>
                    <w:t>:</w:t>
                  </w:r>
                  <w:r>
                    <w:rPr>
                      <w:rFonts w:hint="eastAsia" w:cs="Times New Roman"/>
                      <w:sz w:val="21"/>
                      <w:szCs w:val="21"/>
                    </w:rPr>
                    <w:t>00</w:t>
                  </w:r>
                </w:p>
              </w:tc>
              <w:tc>
                <w:tcPr>
                  <w:tcW w:w="718"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15.8</w:t>
                  </w:r>
                </w:p>
              </w:tc>
              <w:tc>
                <w:tcPr>
                  <w:tcW w:w="72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89.5</w:t>
                  </w:r>
                </w:p>
              </w:tc>
              <w:tc>
                <w:tcPr>
                  <w:tcW w:w="69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2.2</w:t>
                  </w:r>
                </w:p>
              </w:tc>
              <w:tc>
                <w:tcPr>
                  <w:tcW w:w="651"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W</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vMerge w:val="restart"/>
                  <w:tcBorders>
                    <w:tl2br w:val="nil"/>
                    <w:tr2bl w:val="nil"/>
                  </w:tcBorders>
                  <w:vAlign w:val="center"/>
                </w:tcPr>
                <w:p>
                  <w:pPr>
                    <w:ind w:firstLine="0" w:firstLineChars="0"/>
                    <w:jc w:val="center"/>
                    <w:textAlignment w:val="center"/>
                    <w:rPr>
                      <w:rFonts w:cs="Times New Roman"/>
                      <w:bCs/>
                      <w:sz w:val="21"/>
                      <w:szCs w:val="21"/>
                    </w:rPr>
                  </w:pPr>
                  <w:r>
                    <w:rPr>
                      <w:rFonts w:hint="eastAsia" w:cs="Times New Roman"/>
                      <w:bCs/>
                      <w:sz w:val="21"/>
                      <w:szCs w:val="21"/>
                    </w:rPr>
                    <w:t>2024.04.08</w:t>
                  </w: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02</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03</w:t>
                  </w:r>
                  <w:r>
                    <w:rPr>
                      <w:rFonts w:cs="Times New Roman"/>
                      <w:sz w:val="21"/>
                      <w:szCs w:val="21"/>
                    </w:rPr>
                    <w:t>:</w:t>
                  </w:r>
                  <w:r>
                    <w:rPr>
                      <w:rFonts w:hint="eastAsia" w:cs="Times New Roman"/>
                      <w:sz w:val="21"/>
                      <w:szCs w:val="21"/>
                    </w:rPr>
                    <w:t>00</w:t>
                  </w:r>
                </w:p>
              </w:tc>
              <w:tc>
                <w:tcPr>
                  <w:tcW w:w="718"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11.2</w:t>
                  </w:r>
                </w:p>
              </w:tc>
              <w:tc>
                <w:tcPr>
                  <w:tcW w:w="72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89.8</w:t>
                  </w:r>
                </w:p>
              </w:tc>
              <w:tc>
                <w:tcPr>
                  <w:tcW w:w="69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2.0</w:t>
                  </w:r>
                </w:p>
              </w:tc>
              <w:tc>
                <w:tcPr>
                  <w:tcW w:w="651"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W</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vMerge w:val="continue"/>
                  <w:tcBorders>
                    <w:tl2br w:val="nil"/>
                    <w:tr2bl w:val="nil"/>
                  </w:tcBorders>
                  <w:vAlign w:val="center"/>
                </w:tcPr>
                <w:p>
                  <w:pPr>
                    <w:ind w:firstLine="420"/>
                    <w:jc w:val="center"/>
                    <w:textAlignment w:val="center"/>
                    <w:rPr>
                      <w:rFonts w:cs="Times New Roman"/>
                      <w:bCs/>
                      <w:sz w:val="21"/>
                      <w:szCs w:val="21"/>
                    </w:rPr>
                  </w:pP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08</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09</w:t>
                  </w:r>
                  <w:r>
                    <w:rPr>
                      <w:rFonts w:cs="Times New Roman"/>
                      <w:sz w:val="21"/>
                      <w:szCs w:val="21"/>
                    </w:rPr>
                    <w:t>:</w:t>
                  </w:r>
                  <w:r>
                    <w:rPr>
                      <w:rFonts w:hint="eastAsia" w:cs="Times New Roman"/>
                      <w:sz w:val="21"/>
                      <w:szCs w:val="21"/>
                    </w:rPr>
                    <w:t>00</w:t>
                  </w:r>
                </w:p>
              </w:tc>
              <w:tc>
                <w:tcPr>
                  <w:tcW w:w="718"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12.9</w:t>
                  </w:r>
                </w:p>
              </w:tc>
              <w:tc>
                <w:tcPr>
                  <w:tcW w:w="72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89.5</w:t>
                  </w:r>
                </w:p>
              </w:tc>
              <w:tc>
                <w:tcPr>
                  <w:tcW w:w="69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2.1</w:t>
                  </w:r>
                </w:p>
              </w:tc>
              <w:tc>
                <w:tcPr>
                  <w:tcW w:w="651"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W</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vMerge w:val="continue"/>
                  <w:tcBorders>
                    <w:tl2br w:val="nil"/>
                    <w:tr2bl w:val="nil"/>
                  </w:tcBorders>
                  <w:vAlign w:val="center"/>
                </w:tcPr>
                <w:p>
                  <w:pPr>
                    <w:ind w:firstLine="420"/>
                    <w:jc w:val="center"/>
                    <w:textAlignment w:val="center"/>
                    <w:rPr>
                      <w:rFonts w:cs="Times New Roman"/>
                      <w:bCs/>
                      <w:sz w:val="21"/>
                      <w:szCs w:val="21"/>
                    </w:rPr>
                  </w:pP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14</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15:00</w:t>
                  </w:r>
                </w:p>
              </w:tc>
              <w:tc>
                <w:tcPr>
                  <w:tcW w:w="718"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21.3</w:t>
                  </w:r>
                </w:p>
              </w:tc>
              <w:tc>
                <w:tcPr>
                  <w:tcW w:w="72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89.7</w:t>
                  </w:r>
                </w:p>
              </w:tc>
              <w:tc>
                <w:tcPr>
                  <w:tcW w:w="69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2.1</w:t>
                  </w:r>
                </w:p>
              </w:tc>
              <w:tc>
                <w:tcPr>
                  <w:tcW w:w="651"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W</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vMerge w:val="continue"/>
                  <w:tcBorders>
                    <w:tl2br w:val="nil"/>
                    <w:tr2bl w:val="nil"/>
                  </w:tcBorders>
                  <w:vAlign w:val="center"/>
                </w:tcPr>
                <w:p>
                  <w:pPr>
                    <w:ind w:firstLine="420"/>
                    <w:jc w:val="center"/>
                    <w:textAlignment w:val="center"/>
                    <w:rPr>
                      <w:rFonts w:cs="Times New Roman"/>
                      <w:bCs/>
                      <w:sz w:val="21"/>
                      <w:szCs w:val="21"/>
                    </w:rPr>
                  </w:pP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20</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21</w:t>
                  </w:r>
                  <w:r>
                    <w:rPr>
                      <w:rFonts w:cs="Times New Roman"/>
                      <w:sz w:val="21"/>
                      <w:szCs w:val="21"/>
                    </w:rPr>
                    <w:t>:</w:t>
                  </w:r>
                  <w:r>
                    <w:rPr>
                      <w:rFonts w:hint="eastAsia" w:cs="Times New Roman"/>
                      <w:sz w:val="21"/>
                      <w:szCs w:val="21"/>
                    </w:rPr>
                    <w:t>00</w:t>
                  </w:r>
                </w:p>
              </w:tc>
              <w:tc>
                <w:tcPr>
                  <w:tcW w:w="718"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17.9</w:t>
                  </w:r>
                </w:p>
              </w:tc>
              <w:tc>
                <w:tcPr>
                  <w:tcW w:w="72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89.7</w:t>
                  </w:r>
                </w:p>
              </w:tc>
              <w:tc>
                <w:tcPr>
                  <w:tcW w:w="69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1.9</w:t>
                  </w:r>
                </w:p>
              </w:tc>
              <w:tc>
                <w:tcPr>
                  <w:tcW w:w="651"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W</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vMerge w:val="continue"/>
                  <w:tcBorders>
                    <w:tl2br w:val="nil"/>
                    <w:tr2bl w:val="nil"/>
                  </w:tcBorders>
                  <w:vAlign w:val="center"/>
                </w:tcPr>
                <w:p>
                  <w:pPr>
                    <w:ind w:firstLine="420"/>
                    <w:jc w:val="center"/>
                    <w:textAlignment w:val="center"/>
                    <w:rPr>
                      <w:rFonts w:cs="Times New Roman"/>
                      <w:bCs/>
                      <w:sz w:val="21"/>
                      <w:szCs w:val="21"/>
                    </w:rPr>
                  </w:pP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00</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24</w:t>
                  </w:r>
                  <w:r>
                    <w:rPr>
                      <w:rFonts w:cs="Times New Roman"/>
                      <w:sz w:val="21"/>
                      <w:szCs w:val="21"/>
                    </w:rPr>
                    <w:t>:</w:t>
                  </w:r>
                  <w:r>
                    <w:rPr>
                      <w:rFonts w:hint="eastAsia" w:cs="Times New Roman"/>
                      <w:sz w:val="21"/>
                      <w:szCs w:val="21"/>
                    </w:rPr>
                    <w:t>00</w:t>
                  </w:r>
                </w:p>
              </w:tc>
              <w:tc>
                <w:tcPr>
                  <w:tcW w:w="718"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15.8</w:t>
                  </w:r>
                </w:p>
              </w:tc>
              <w:tc>
                <w:tcPr>
                  <w:tcW w:w="72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89.7</w:t>
                  </w:r>
                </w:p>
              </w:tc>
              <w:tc>
                <w:tcPr>
                  <w:tcW w:w="69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2.0</w:t>
                  </w:r>
                </w:p>
              </w:tc>
              <w:tc>
                <w:tcPr>
                  <w:tcW w:w="651"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W</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vMerge w:val="restart"/>
                  <w:tcBorders>
                    <w:tl2br w:val="nil"/>
                    <w:tr2bl w:val="nil"/>
                  </w:tcBorders>
                  <w:vAlign w:val="center"/>
                </w:tcPr>
                <w:p>
                  <w:pPr>
                    <w:ind w:firstLine="0" w:firstLineChars="0"/>
                    <w:jc w:val="center"/>
                    <w:textAlignment w:val="center"/>
                    <w:rPr>
                      <w:rFonts w:cs="Times New Roman"/>
                      <w:bCs/>
                      <w:sz w:val="21"/>
                      <w:szCs w:val="21"/>
                    </w:rPr>
                  </w:pPr>
                  <w:r>
                    <w:rPr>
                      <w:rFonts w:hint="eastAsia" w:cs="Times New Roman"/>
                      <w:bCs/>
                      <w:sz w:val="21"/>
                      <w:szCs w:val="21"/>
                    </w:rPr>
                    <w:t>2024.04.09</w:t>
                  </w: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02</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03</w:t>
                  </w:r>
                  <w:r>
                    <w:rPr>
                      <w:rFonts w:cs="Times New Roman"/>
                      <w:sz w:val="21"/>
                      <w:szCs w:val="21"/>
                    </w:rPr>
                    <w:t>:</w:t>
                  </w:r>
                  <w:r>
                    <w:rPr>
                      <w:rFonts w:hint="eastAsia" w:cs="Times New Roman"/>
                      <w:sz w:val="21"/>
                      <w:szCs w:val="21"/>
                    </w:rPr>
                    <w:t>00</w:t>
                  </w:r>
                </w:p>
              </w:tc>
              <w:tc>
                <w:tcPr>
                  <w:tcW w:w="718"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6.7</w:t>
                  </w:r>
                </w:p>
              </w:tc>
              <w:tc>
                <w:tcPr>
                  <w:tcW w:w="72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89.7</w:t>
                  </w:r>
                </w:p>
              </w:tc>
              <w:tc>
                <w:tcPr>
                  <w:tcW w:w="69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2.1</w:t>
                  </w:r>
                </w:p>
              </w:tc>
              <w:tc>
                <w:tcPr>
                  <w:tcW w:w="651"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W</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vMerge w:val="continue"/>
                  <w:tcBorders>
                    <w:tl2br w:val="nil"/>
                    <w:tr2bl w:val="nil"/>
                  </w:tcBorders>
                  <w:vAlign w:val="center"/>
                </w:tcPr>
                <w:p>
                  <w:pPr>
                    <w:ind w:firstLine="420"/>
                    <w:jc w:val="center"/>
                    <w:textAlignment w:val="center"/>
                    <w:rPr>
                      <w:rFonts w:cs="Times New Roman"/>
                      <w:bCs/>
                      <w:sz w:val="21"/>
                      <w:szCs w:val="21"/>
                    </w:rPr>
                  </w:pP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08</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09</w:t>
                  </w:r>
                  <w:r>
                    <w:rPr>
                      <w:rFonts w:cs="Times New Roman"/>
                      <w:sz w:val="21"/>
                      <w:szCs w:val="21"/>
                    </w:rPr>
                    <w:t>:</w:t>
                  </w:r>
                  <w:r>
                    <w:rPr>
                      <w:rFonts w:hint="eastAsia" w:cs="Times New Roman"/>
                      <w:sz w:val="21"/>
                      <w:szCs w:val="21"/>
                    </w:rPr>
                    <w:t>00</w:t>
                  </w:r>
                </w:p>
              </w:tc>
              <w:tc>
                <w:tcPr>
                  <w:tcW w:w="718"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9.4</w:t>
                  </w:r>
                </w:p>
              </w:tc>
              <w:tc>
                <w:tcPr>
                  <w:tcW w:w="72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89.5</w:t>
                  </w:r>
                </w:p>
              </w:tc>
              <w:tc>
                <w:tcPr>
                  <w:tcW w:w="69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2.0</w:t>
                  </w:r>
                </w:p>
              </w:tc>
              <w:tc>
                <w:tcPr>
                  <w:tcW w:w="651"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W</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vMerge w:val="continue"/>
                  <w:tcBorders>
                    <w:tl2br w:val="nil"/>
                    <w:tr2bl w:val="nil"/>
                  </w:tcBorders>
                  <w:vAlign w:val="center"/>
                </w:tcPr>
                <w:p>
                  <w:pPr>
                    <w:ind w:firstLine="420"/>
                    <w:jc w:val="center"/>
                    <w:textAlignment w:val="center"/>
                    <w:rPr>
                      <w:rFonts w:cs="Times New Roman"/>
                      <w:bCs/>
                      <w:sz w:val="21"/>
                      <w:szCs w:val="21"/>
                    </w:rPr>
                  </w:pP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14</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15:00</w:t>
                  </w:r>
                </w:p>
              </w:tc>
              <w:tc>
                <w:tcPr>
                  <w:tcW w:w="718"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20.6</w:t>
                  </w:r>
                </w:p>
              </w:tc>
              <w:tc>
                <w:tcPr>
                  <w:tcW w:w="72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89.6</w:t>
                  </w:r>
                </w:p>
              </w:tc>
              <w:tc>
                <w:tcPr>
                  <w:tcW w:w="69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2.4</w:t>
                  </w:r>
                </w:p>
              </w:tc>
              <w:tc>
                <w:tcPr>
                  <w:tcW w:w="651"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W</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vMerge w:val="continue"/>
                  <w:tcBorders>
                    <w:tl2br w:val="nil"/>
                    <w:tr2bl w:val="nil"/>
                  </w:tcBorders>
                  <w:vAlign w:val="center"/>
                </w:tcPr>
                <w:p>
                  <w:pPr>
                    <w:ind w:firstLine="420"/>
                    <w:jc w:val="center"/>
                    <w:textAlignment w:val="center"/>
                    <w:rPr>
                      <w:rFonts w:cs="Times New Roman"/>
                      <w:bCs/>
                      <w:sz w:val="21"/>
                      <w:szCs w:val="21"/>
                    </w:rPr>
                  </w:pP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20</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21</w:t>
                  </w:r>
                  <w:r>
                    <w:rPr>
                      <w:rFonts w:cs="Times New Roman"/>
                      <w:sz w:val="21"/>
                      <w:szCs w:val="21"/>
                    </w:rPr>
                    <w:t>:</w:t>
                  </w:r>
                  <w:r>
                    <w:rPr>
                      <w:rFonts w:hint="eastAsia" w:cs="Times New Roman"/>
                      <w:sz w:val="21"/>
                      <w:szCs w:val="21"/>
                    </w:rPr>
                    <w:t>00</w:t>
                  </w:r>
                </w:p>
              </w:tc>
              <w:tc>
                <w:tcPr>
                  <w:tcW w:w="718"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16.5</w:t>
                  </w:r>
                </w:p>
              </w:tc>
              <w:tc>
                <w:tcPr>
                  <w:tcW w:w="72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89.4</w:t>
                  </w:r>
                </w:p>
              </w:tc>
              <w:tc>
                <w:tcPr>
                  <w:tcW w:w="69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2.7</w:t>
                  </w:r>
                </w:p>
              </w:tc>
              <w:tc>
                <w:tcPr>
                  <w:tcW w:w="651"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W</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vMerge w:val="continue"/>
                  <w:tcBorders>
                    <w:tl2br w:val="nil"/>
                    <w:tr2bl w:val="nil"/>
                  </w:tcBorders>
                  <w:vAlign w:val="center"/>
                </w:tcPr>
                <w:p>
                  <w:pPr>
                    <w:ind w:firstLine="420"/>
                    <w:jc w:val="center"/>
                    <w:textAlignment w:val="center"/>
                    <w:rPr>
                      <w:rFonts w:cs="Times New Roman"/>
                      <w:bCs/>
                      <w:sz w:val="21"/>
                      <w:szCs w:val="21"/>
                    </w:rPr>
                  </w:pPr>
                </w:p>
              </w:tc>
              <w:tc>
                <w:tcPr>
                  <w:tcW w:w="133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00</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24</w:t>
                  </w:r>
                  <w:r>
                    <w:rPr>
                      <w:rFonts w:cs="Times New Roman"/>
                      <w:sz w:val="21"/>
                      <w:szCs w:val="21"/>
                    </w:rPr>
                    <w:t>:</w:t>
                  </w:r>
                  <w:r>
                    <w:rPr>
                      <w:rFonts w:hint="eastAsia" w:cs="Times New Roman"/>
                      <w:sz w:val="21"/>
                      <w:szCs w:val="21"/>
                    </w:rPr>
                    <w:t>00</w:t>
                  </w:r>
                </w:p>
              </w:tc>
              <w:tc>
                <w:tcPr>
                  <w:tcW w:w="718"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13.3</w:t>
                  </w:r>
                </w:p>
              </w:tc>
              <w:tc>
                <w:tcPr>
                  <w:tcW w:w="72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89.6</w:t>
                  </w:r>
                </w:p>
              </w:tc>
              <w:tc>
                <w:tcPr>
                  <w:tcW w:w="696"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2.3</w:t>
                  </w:r>
                </w:p>
              </w:tc>
              <w:tc>
                <w:tcPr>
                  <w:tcW w:w="651" w:type="pct"/>
                  <w:tcBorders>
                    <w:tl2br w:val="nil"/>
                    <w:tr2bl w:val="nil"/>
                  </w:tcBorders>
                  <w:vAlign w:val="center"/>
                </w:tcPr>
                <w:p>
                  <w:pPr>
                    <w:spacing w:line="240" w:lineRule="auto"/>
                    <w:ind w:firstLine="0" w:firstLineChars="0"/>
                    <w:jc w:val="center"/>
                    <w:rPr>
                      <w:rFonts w:cs="Times New Roman"/>
                      <w:sz w:val="21"/>
                      <w:szCs w:val="21"/>
                    </w:rPr>
                  </w:pPr>
                  <w:r>
                    <w:rPr>
                      <w:rFonts w:hint="eastAsia" w:cs="Times New Roman"/>
                      <w:sz w:val="21"/>
                      <w:szCs w:val="21"/>
                    </w:rPr>
                    <w:t>W</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0" w:type="pct"/>
                  <w:tcBorders>
                    <w:tl2br w:val="nil"/>
                    <w:tr2bl w:val="nil"/>
                  </w:tcBorders>
                  <w:vAlign w:val="center"/>
                </w:tcPr>
                <w:p>
                  <w:pPr>
                    <w:spacing w:line="240" w:lineRule="auto"/>
                    <w:ind w:firstLine="0" w:firstLineChars="0"/>
                    <w:jc w:val="center"/>
                    <w:rPr>
                      <w:rFonts w:cs="Times New Roman"/>
                      <w:bCs/>
                      <w:sz w:val="21"/>
                      <w:szCs w:val="21"/>
                    </w:rPr>
                  </w:pPr>
                  <w:r>
                    <w:rPr>
                      <w:rFonts w:cs="Times New Roman"/>
                      <w:b/>
                      <w:sz w:val="21"/>
                      <w:szCs w:val="21"/>
                    </w:rPr>
                    <w:t>备注</w:t>
                  </w:r>
                </w:p>
              </w:tc>
              <w:tc>
                <w:tcPr>
                  <w:tcW w:w="4129" w:type="pct"/>
                  <w:gridSpan w:val="5"/>
                  <w:tcBorders>
                    <w:tl2br w:val="nil"/>
                    <w:tr2bl w:val="nil"/>
                  </w:tcBorders>
                  <w:vAlign w:val="center"/>
                </w:tcPr>
                <w:p>
                  <w:pPr>
                    <w:spacing w:line="240" w:lineRule="auto"/>
                    <w:ind w:firstLine="0" w:firstLineChars="0"/>
                    <w:jc w:val="center"/>
                    <w:rPr>
                      <w:rFonts w:hint="eastAsia" w:eastAsia="宋体" w:cs="Times New Roman"/>
                      <w:bCs/>
                      <w:sz w:val="21"/>
                      <w:szCs w:val="21"/>
                      <w:lang w:eastAsia="zh-CN"/>
                    </w:rPr>
                  </w:pPr>
                  <w:r>
                    <w:rPr>
                      <w:rFonts w:hint="eastAsia" w:cs="Times New Roman"/>
                      <w:bCs/>
                      <w:sz w:val="21"/>
                      <w:szCs w:val="21"/>
                      <w:lang w:eastAsia="zh-CN"/>
                    </w:rPr>
                    <w:t>无</w:t>
                  </w:r>
                </w:p>
              </w:tc>
            </w:tr>
          </w:tbl>
          <w:p>
            <w:pPr>
              <w:pStyle w:val="25"/>
              <w:rPr>
                <w:rFonts w:cs="Times New Roman"/>
                <w:bCs/>
                <w:szCs w:val="21"/>
              </w:rPr>
            </w:pPr>
            <w:r>
              <w:t>表3-</w:t>
            </w:r>
            <w:r>
              <w:rPr>
                <w:rFonts w:hint="eastAsia"/>
              </w:rPr>
              <w:t>6</w:t>
            </w:r>
            <w:r>
              <w:rPr>
                <w:rFonts w:hint="eastAsia" w:cs="Times New Roman"/>
                <w:bCs/>
                <w:szCs w:val="21"/>
              </w:rPr>
              <w:t>环境空气</w:t>
            </w:r>
            <w:r>
              <w:rPr>
                <w:rFonts w:cs="Times New Roman"/>
                <w:bCs/>
                <w:szCs w:val="21"/>
              </w:rPr>
              <w:t>检测结果表</w:t>
            </w:r>
          </w:p>
          <w:tbl>
            <w:tblPr>
              <w:tblStyle w:val="17"/>
              <w:tblpPr w:leftFromText="180" w:rightFromText="180" w:vertAnchor="text" w:tblpXSpec="center" w:tblpY="1"/>
              <w:tblOverlap w:val="never"/>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1384"/>
              <w:gridCol w:w="841"/>
              <w:gridCol w:w="655"/>
              <w:gridCol w:w="1231"/>
              <w:gridCol w:w="1197"/>
              <w:gridCol w:w="83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991" w:type="pct"/>
                  <w:tcBorders>
                    <w:top w:val="single" w:color="auto" w:sz="12" w:space="0"/>
                    <w:bottom w:val="single" w:color="auto" w:sz="4" w:space="0"/>
                  </w:tcBorders>
                  <w:vAlign w:val="center"/>
                </w:tcPr>
                <w:p>
                  <w:pPr>
                    <w:spacing w:line="240" w:lineRule="auto"/>
                    <w:ind w:firstLine="0" w:firstLineChars="0"/>
                    <w:jc w:val="center"/>
                    <w:rPr>
                      <w:rFonts w:cs="Times New Roman"/>
                      <w:b/>
                      <w:sz w:val="21"/>
                      <w:szCs w:val="21"/>
                    </w:rPr>
                  </w:pPr>
                  <w:r>
                    <w:rPr>
                      <w:rFonts w:cs="Times New Roman"/>
                      <w:b/>
                      <w:sz w:val="21"/>
                      <w:szCs w:val="21"/>
                    </w:rPr>
                    <w:t>样品类型</w:t>
                  </w:r>
                </w:p>
              </w:tc>
              <w:tc>
                <w:tcPr>
                  <w:tcW w:w="1452" w:type="pct"/>
                  <w:gridSpan w:val="2"/>
                  <w:tcBorders>
                    <w:top w:val="single" w:color="auto" w:sz="12" w:space="0"/>
                    <w:bottom w:val="single" w:color="auto" w:sz="4" w:space="0"/>
                  </w:tcBorders>
                  <w:vAlign w:val="center"/>
                </w:tcPr>
                <w:p>
                  <w:pPr>
                    <w:spacing w:line="240" w:lineRule="auto"/>
                    <w:ind w:firstLine="0" w:firstLineChars="0"/>
                    <w:jc w:val="center"/>
                    <w:rPr>
                      <w:rFonts w:cs="Times New Roman"/>
                      <w:kern w:val="2"/>
                      <w:sz w:val="21"/>
                      <w:szCs w:val="21"/>
                    </w:rPr>
                  </w:pPr>
                  <w:r>
                    <w:rPr>
                      <w:rFonts w:hint="eastAsia" w:cs="Times New Roman"/>
                      <w:kern w:val="2"/>
                      <w:sz w:val="21"/>
                      <w:szCs w:val="21"/>
                    </w:rPr>
                    <w:t>环境空气</w:t>
                  </w:r>
                </w:p>
              </w:tc>
              <w:tc>
                <w:tcPr>
                  <w:tcW w:w="1232" w:type="pct"/>
                  <w:gridSpan w:val="2"/>
                  <w:tcBorders>
                    <w:top w:val="single" w:color="auto" w:sz="12" w:space="0"/>
                    <w:bottom w:val="single" w:color="auto" w:sz="4" w:space="0"/>
                  </w:tcBorders>
                  <w:vAlign w:val="center"/>
                </w:tcPr>
                <w:p>
                  <w:pPr>
                    <w:spacing w:line="240" w:lineRule="auto"/>
                    <w:ind w:firstLine="0" w:firstLineChars="0"/>
                    <w:jc w:val="center"/>
                    <w:rPr>
                      <w:rFonts w:cs="Times New Roman"/>
                      <w:b/>
                      <w:sz w:val="21"/>
                      <w:szCs w:val="21"/>
                    </w:rPr>
                  </w:pPr>
                  <w:r>
                    <w:rPr>
                      <w:rFonts w:cs="Times New Roman"/>
                      <w:b/>
                      <w:sz w:val="21"/>
                      <w:szCs w:val="21"/>
                    </w:rPr>
                    <w:t>检测科室</w:t>
                  </w:r>
                </w:p>
              </w:tc>
              <w:tc>
                <w:tcPr>
                  <w:tcW w:w="1323" w:type="pct"/>
                  <w:gridSpan w:val="2"/>
                  <w:tcBorders>
                    <w:top w:val="single" w:color="auto" w:sz="12" w:space="0"/>
                    <w:bottom w:val="single" w:color="auto" w:sz="4" w:space="0"/>
                  </w:tcBorders>
                  <w:vAlign w:val="center"/>
                </w:tcPr>
                <w:p>
                  <w:pPr>
                    <w:spacing w:line="240" w:lineRule="auto"/>
                    <w:ind w:firstLine="0" w:firstLineChars="0"/>
                    <w:jc w:val="center"/>
                    <w:rPr>
                      <w:rFonts w:cs="Times New Roman"/>
                      <w:b/>
                      <w:sz w:val="21"/>
                      <w:szCs w:val="21"/>
                    </w:rPr>
                  </w:pPr>
                  <w:r>
                    <w:rPr>
                      <w:rFonts w:hint="eastAsia" w:cs="Times New Roman"/>
                      <w:kern w:val="2"/>
                      <w:sz w:val="21"/>
                      <w:szCs w:val="21"/>
                    </w:rPr>
                    <w:t>实验室</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991" w:type="pct"/>
                  <w:tcBorders>
                    <w:top w:val="single" w:color="auto" w:sz="4" w:space="0"/>
                    <w:bottom w:val="single" w:color="auto" w:sz="4" w:space="0"/>
                  </w:tcBorders>
                  <w:vAlign w:val="center"/>
                </w:tcPr>
                <w:p>
                  <w:pPr>
                    <w:spacing w:line="240" w:lineRule="auto"/>
                    <w:ind w:firstLine="0" w:firstLineChars="0"/>
                    <w:jc w:val="center"/>
                    <w:rPr>
                      <w:rFonts w:cs="Times New Roman"/>
                      <w:b/>
                      <w:sz w:val="21"/>
                      <w:szCs w:val="21"/>
                    </w:rPr>
                  </w:pPr>
                  <w:r>
                    <w:rPr>
                      <w:rFonts w:cs="Times New Roman"/>
                      <w:b/>
                      <w:sz w:val="21"/>
                      <w:szCs w:val="21"/>
                    </w:rPr>
                    <w:t>采样日期</w:t>
                  </w:r>
                </w:p>
              </w:tc>
              <w:tc>
                <w:tcPr>
                  <w:tcW w:w="1452" w:type="pct"/>
                  <w:gridSpan w:val="2"/>
                  <w:tcBorders>
                    <w:top w:val="single" w:color="auto" w:sz="4" w:space="0"/>
                    <w:bottom w:val="single" w:color="auto" w:sz="4" w:space="0"/>
                  </w:tcBorders>
                  <w:vAlign w:val="center"/>
                </w:tcPr>
                <w:p>
                  <w:pPr>
                    <w:ind w:firstLine="0" w:firstLineChars="0"/>
                    <w:jc w:val="center"/>
                    <w:rPr>
                      <w:rFonts w:cs="Times New Roman"/>
                      <w:sz w:val="21"/>
                      <w:szCs w:val="21"/>
                    </w:rPr>
                  </w:pPr>
                  <w:r>
                    <w:rPr>
                      <w:rFonts w:hint="eastAsia" w:cs="Times New Roman"/>
                      <w:sz w:val="21"/>
                      <w:szCs w:val="21"/>
                    </w:rPr>
                    <w:t>2024.04.07-04.09</w:t>
                  </w:r>
                </w:p>
              </w:tc>
              <w:tc>
                <w:tcPr>
                  <w:tcW w:w="1232" w:type="pct"/>
                  <w:gridSpan w:val="2"/>
                  <w:tcBorders>
                    <w:top w:val="single" w:color="auto" w:sz="4" w:space="0"/>
                    <w:bottom w:val="single" w:color="auto" w:sz="4" w:space="0"/>
                  </w:tcBorders>
                  <w:vAlign w:val="center"/>
                </w:tcPr>
                <w:p>
                  <w:pPr>
                    <w:ind w:firstLine="420"/>
                    <w:rPr>
                      <w:rFonts w:cs="Times New Roman"/>
                      <w:sz w:val="21"/>
                      <w:szCs w:val="21"/>
                    </w:rPr>
                  </w:pPr>
                  <w:r>
                    <w:rPr>
                      <w:rFonts w:cs="Times New Roman"/>
                      <w:bCs/>
                      <w:sz w:val="21"/>
                      <w:szCs w:val="21"/>
                    </w:rPr>
                    <w:t>检测日期</w:t>
                  </w:r>
                </w:p>
              </w:tc>
              <w:tc>
                <w:tcPr>
                  <w:tcW w:w="1323" w:type="pct"/>
                  <w:gridSpan w:val="2"/>
                  <w:tcBorders>
                    <w:top w:val="single" w:color="auto" w:sz="4" w:space="0"/>
                    <w:bottom w:val="single" w:color="auto" w:sz="4" w:space="0"/>
                  </w:tcBorders>
                  <w:vAlign w:val="center"/>
                </w:tcPr>
                <w:p>
                  <w:pPr>
                    <w:ind w:firstLine="0" w:firstLineChars="0"/>
                    <w:jc w:val="center"/>
                    <w:rPr>
                      <w:rFonts w:cs="Times New Roman"/>
                      <w:sz w:val="21"/>
                      <w:szCs w:val="21"/>
                    </w:rPr>
                  </w:pPr>
                  <w:r>
                    <w:rPr>
                      <w:rFonts w:hint="eastAsia" w:cs="Times New Roman"/>
                      <w:sz w:val="21"/>
                      <w:szCs w:val="21"/>
                    </w:rPr>
                    <w:t>2024.04.08-04.11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443" w:type="pct"/>
                  <w:gridSpan w:val="3"/>
                  <w:tcBorders>
                    <w:top w:val="single" w:color="auto" w:sz="4" w:space="0"/>
                  </w:tcBorders>
                  <w:vAlign w:val="center"/>
                </w:tcPr>
                <w:p>
                  <w:pPr>
                    <w:spacing w:line="240" w:lineRule="auto"/>
                    <w:ind w:firstLine="0" w:firstLineChars="0"/>
                    <w:jc w:val="center"/>
                    <w:rPr>
                      <w:rFonts w:cs="Times New Roman"/>
                      <w:b/>
                      <w:sz w:val="21"/>
                      <w:szCs w:val="21"/>
                    </w:rPr>
                  </w:pPr>
                  <w:r>
                    <w:rPr>
                      <w:rFonts w:cs="Times New Roman"/>
                      <w:b/>
                      <w:sz w:val="21"/>
                      <w:szCs w:val="21"/>
                    </w:rPr>
                    <w:t>检测项目</w:t>
                  </w:r>
                </w:p>
              </w:tc>
              <w:tc>
                <w:tcPr>
                  <w:tcW w:w="2556" w:type="pct"/>
                  <w:gridSpan w:val="4"/>
                  <w:tcBorders>
                    <w:top w:val="single" w:color="auto" w:sz="4" w:space="0"/>
                  </w:tcBorders>
                  <w:vAlign w:val="center"/>
                </w:tcPr>
                <w:p>
                  <w:pPr>
                    <w:spacing w:line="312" w:lineRule="exact"/>
                    <w:ind w:firstLine="0" w:firstLineChars="0"/>
                    <w:jc w:val="center"/>
                    <w:rPr>
                      <w:rFonts w:cs="Times New Roman"/>
                      <w:sz w:val="21"/>
                      <w:szCs w:val="21"/>
                    </w:rPr>
                  </w:pPr>
                  <w:r>
                    <w:rPr>
                      <w:rFonts w:hint="eastAsia" w:cs="Times New Roman"/>
                      <w:kern w:val="2"/>
                      <w:sz w:val="21"/>
                      <w:szCs w:val="21"/>
                    </w:rPr>
                    <w:t>总悬浮颗粒物</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991" w:type="pct"/>
                  <w:vAlign w:val="center"/>
                </w:tcPr>
                <w:p>
                  <w:pPr>
                    <w:spacing w:line="240" w:lineRule="auto"/>
                    <w:ind w:firstLine="0" w:firstLineChars="0"/>
                    <w:jc w:val="center"/>
                    <w:rPr>
                      <w:rFonts w:cs="Times New Roman"/>
                      <w:b/>
                      <w:sz w:val="21"/>
                      <w:szCs w:val="21"/>
                    </w:rPr>
                  </w:pPr>
                  <w:r>
                    <w:rPr>
                      <w:rFonts w:cs="Times New Roman"/>
                      <w:b/>
                      <w:sz w:val="21"/>
                      <w:szCs w:val="21"/>
                    </w:rPr>
                    <w:t>检测点位</w:t>
                  </w:r>
                </w:p>
              </w:tc>
              <w:tc>
                <w:tcPr>
                  <w:tcW w:w="903" w:type="pct"/>
                  <w:vAlign w:val="center"/>
                </w:tcPr>
                <w:p>
                  <w:pPr>
                    <w:spacing w:line="240" w:lineRule="auto"/>
                    <w:ind w:firstLine="0" w:firstLineChars="0"/>
                    <w:jc w:val="center"/>
                    <w:rPr>
                      <w:rFonts w:cs="Times New Roman"/>
                      <w:b/>
                      <w:sz w:val="21"/>
                      <w:szCs w:val="21"/>
                    </w:rPr>
                  </w:pPr>
                  <w:r>
                    <w:rPr>
                      <w:rFonts w:cs="Times New Roman"/>
                      <w:b/>
                      <w:sz w:val="21"/>
                      <w:szCs w:val="21"/>
                    </w:rPr>
                    <w:t>采样时间段</w:t>
                  </w:r>
                </w:p>
              </w:tc>
              <w:tc>
                <w:tcPr>
                  <w:tcW w:w="977" w:type="pct"/>
                  <w:gridSpan w:val="2"/>
                  <w:vAlign w:val="center"/>
                </w:tcPr>
                <w:p>
                  <w:pPr>
                    <w:spacing w:line="240" w:lineRule="auto"/>
                    <w:ind w:firstLine="0" w:firstLineChars="0"/>
                    <w:jc w:val="center"/>
                    <w:rPr>
                      <w:rFonts w:cs="Times New Roman"/>
                      <w:b/>
                      <w:kern w:val="2"/>
                      <w:sz w:val="21"/>
                      <w:szCs w:val="21"/>
                    </w:rPr>
                  </w:pPr>
                  <w:r>
                    <w:rPr>
                      <w:rFonts w:cs="Times New Roman"/>
                      <w:b/>
                      <w:sz w:val="21"/>
                      <w:szCs w:val="21"/>
                    </w:rPr>
                    <w:t>样品编号</w:t>
                  </w:r>
                </w:p>
              </w:tc>
              <w:tc>
                <w:tcPr>
                  <w:tcW w:w="803" w:type="pct"/>
                  <w:tcBorders>
                    <w:right w:val="single" w:color="auto" w:sz="4" w:space="0"/>
                  </w:tcBorders>
                  <w:vAlign w:val="center"/>
                </w:tcPr>
                <w:p>
                  <w:pPr>
                    <w:spacing w:line="240" w:lineRule="auto"/>
                    <w:ind w:firstLine="0" w:firstLineChars="0"/>
                    <w:jc w:val="center"/>
                    <w:rPr>
                      <w:rFonts w:cs="Times New Roman"/>
                      <w:b/>
                      <w:bCs/>
                      <w:sz w:val="21"/>
                      <w:szCs w:val="21"/>
                    </w:rPr>
                  </w:pPr>
                  <w:r>
                    <w:rPr>
                      <w:rFonts w:cs="Times New Roman"/>
                      <w:b/>
                      <w:bCs/>
                      <w:sz w:val="21"/>
                      <w:szCs w:val="21"/>
                    </w:rPr>
                    <w:t>检测结果</w:t>
                  </w:r>
                </w:p>
                <w:p>
                  <w:pPr>
                    <w:spacing w:line="240" w:lineRule="auto"/>
                    <w:ind w:firstLine="0" w:firstLineChars="0"/>
                    <w:jc w:val="center"/>
                    <w:rPr>
                      <w:rFonts w:cs="Times New Roman"/>
                      <w:b/>
                      <w:bCs/>
                      <w:sz w:val="21"/>
                      <w:szCs w:val="21"/>
                    </w:rPr>
                  </w:pPr>
                  <w:r>
                    <w:rPr>
                      <w:rFonts w:cs="Times New Roman"/>
                      <w:b/>
                      <w:bCs/>
                      <w:sz w:val="21"/>
                      <w:szCs w:val="21"/>
                    </w:rPr>
                    <w:t>（</w:t>
                  </w:r>
                  <w:r>
                    <w:rPr>
                      <w:rFonts w:hint="eastAsia" w:cs="Times New Roman"/>
                      <w:b/>
                      <w:bCs/>
                      <w:sz w:val="21"/>
                      <w:szCs w:val="21"/>
                    </w:rPr>
                    <w:t>m</w:t>
                  </w:r>
                  <w:r>
                    <w:rPr>
                      <w:rFonts w:cs="Times New Roman"/>
                      <w:b/>
                      <w:bCs/>
                      <w:sz w:val="21"/>
                      <w:szCs w:val="21"/>
                    </w:rPr>
                    <w:t>g/m</w:t>
                  </w:r>
                  <w:r>
                    <w:rPr>
                      <w:rFonts w:cs="Times New Roman"/>
                      <w:b/>
                      <w:bCs/>
                      <w:sz w:val="21"/>
                      <w:szCs w:val="21"/>
                      <w:vertAlign w:val="superscript"/>
                    </w:rPr>
                    <w:t>3</w:t>
                  </w:r>
                  <w:r>
                    <w:rPr>
                      <w:rFonts w:cs="Times New Roman"/>
                      <w:b/>
                      <w:bCs/>
                      <w:sz w:val="21"/>
                      <w:szCs w:val="21"/>
                    </w:rPr>
                    <w:t>）</w:t>
                  </w:r>
                </w:p>
              </w:tc>
              <w:tc>
                <w:tcPr>
                  <w:tcW w:w="782" w:type="pct"/>
                  <w:tcBorders>
                    <w:right w:val="nil"/>
                  </w:tcBorders>
                  <w:vAlign w:val="center"/>
                </w:tcPr>
                <w:p>
                  <w:pPr>
                    <w:spacing w:line="240" w:lineRule="auto"/>
                    <w:ind w:firstLine="0" w:firstLineChars="0"/>
                    <w:jc w:val="center"/>
                    <w:rPr>
                      <w:rFonts w:cs="Times New Roman"/>
                      <w:b/>
                      <w:bCs/>
                      <w:sz w:val="21"/>
                      <w:szCs w:val="21"/>
                    </w:rPr>
                  </w:pPr>
                  <w:r>
                    <w:rPr>
                      <w:rFonts w:cs="Times New Roman"/>
                      <w:b/>
                      <w:sz w:val="21"/>
                      <w:szCs w:val="21"/>
                    </w:rPr>
                    <w:t>标准限值</w:t>
                  </w:r>
                  <w:r>
                    <w:rPr>
                      <w:rFonts w:cs="Times New Roman"/>
                      <w:b/>
                      <w:bCs/>
                      <w:sz w:val="21"/>
                      <w:szCs w:val="21"/>
                    </w:rPr>
                    <w:t>（</w:t>
                  </w:r>
                  <w:r>
                    <w:rPr>
                      <w:rFonts w:hint="eastAsia" w:cs="Times New Roman"/>
                      <w:b/>
                      <w:bCs/>
                      <w:sz w:val="21"/>
                      <w:szCs w:val="21"/>
                    </w:rPr>
                    <w:t>m</w:t>
                  </w:r>
                  <w:r>
                    <w:rPr>
                      <w:rFonts w:cs="Times New Roman"/>
                      <w:b/>
                      <w:bCs/>
                      <w:sz w:val="21"/>
                      <w:szCs w:val="21"/>
                    </w:rPr>
                    <w:t>g/m</w:t>
                  </w:r>
                  <w:r>
                    <w:rPr>
                      <w:rFonts w:cs="Times New Roman"/>
                      <w:b/>
                      <w:bCs/>
                      <w:sz w:val="21"/>
                      <w:szCs w:val="21"/>
                      <w:vertAlign w:val="superscript"/>
                    </w:rPr>
                    <w:t>3</w:t>
                  </w:r>
                  <w:r>
                    <w:rPr>
                      <w:rFonts w:cs="Times New Roman"/>
                      <w:b/>
                      <w:bCs/>
                      <w:sz w:val="21"/>
                      <w:szCs w:val="21"/>
                    </w:rPr>
                    <w:t>）</w:t>
                  </w:r>
                </w:p>
              </w:tc>
              <w:tc>
                <w:tcPr>
                  <w:tcW w:w="540" w:type="pct"/>
                  <w:tcBorders>
                    <w:right w:val="nil"/>
                  </w:tcBorders>
                  <w:vAlign w:val="center"/>
                </w:tcPr>
                <w:p>
                  <w:pPr>
                    <w:spacing w:line="240" w:lineRule="auto"/>
                    <w:ind w:firstLine="0" w:firstLineChars="0"/>
                    <w:jc w:val="center"/>
                    <w:rPr>
                      <w:rFonts w:cs="Times New Roman"/>
                      <w:b/>
                      <w:sz w:val="21"/>
                      <w:szCs w:val="21"/>
                    </w:rPr>
                  </w:pPr>
                  <w:r>
                    <w:rPr>
                      <w:rFonts w:cs="Times New Roman"/>
                      <w:b/>
                      <w:sz w:val="21"/>
                      <w:szCs w:val="21"/>
                    </w:rPr>
                    <w:t>是否</w:t>
                  </w:r>
                </w:p>
                <w:p>
                  <w:pPr>
                    <w:spacing w:line="240" w:lineRule="auto"/>
                    <w:ind w:firstLine="0" w:firstLineChars="0"/>
                    <w:jc w:val="center"/>
                    <w:rPr>
                      <w:rFonts w:cs="Times New Roman"/>
                      <w:b/>
                      <w:sz w:val="21"/>
                      <w:szCs w:val="21"/>
                    </w:rPr>
                  </w:pPr>
                  <w:r>
                    <w:rPr>
                      <w:rFonts w:cs="Times New Roman"/>
                      <w:b/>
                      <w:sz w:val="21"/>
                      <w:szCs w:val="21"/>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991" w:type="pct"/>
                  <w:vMerge w:val="restart"/>
                  <w:vAlign w:val="center"/>
                </w:tcPr>
                <w:p>
                  <w:pPr>
                    <w:adjustRightInd w:val="0"/>
                    <w:snapToGrid w:val="0"/>
                    <w:ind w:firstLine="0" w:firstLineChars="0"/>
                    <w:jc w:val="center"/>
                    <w:rPr>
                      <w:rFonts w:cs="Times New Roman"/>
                      <w:bCs/>
                      <w:sz w:val="21"/>
                      <w:szCs w:val="21"/>
                    </w:rPr>
                  </w:pPr>
                  <w:r>
                    <w:rPr>
                      <w:rFonts w:hint="eastAsia" w:cs="Times New Roman" w:eastAsiaTheme="minorEastAsia"/>
                      <w:sz w:val="21"/>
                      <w:szCs w:val="21"/>
                    </w:rPr>
                    <w:t>项目区西北侧300m处</w:t>
                  </w:r>
                </w:p>
              </w:tc>
              <w:tc>
                <w:tcPr>
                  <w:tcW w:w="903" w:type="pct"/>
                  <w:vAlign w:val="center"/>
                </w:tcPr>
                <w:p>
                  <w:pPr>
                    <w:spacing w:line="240" w:lineRule="auto"/>
                    <w:ind w:firstLine="0" w:firstLineChars="0"/>
                    <w:jc w:val="center"/>
                    <w:rPr>
                      <w:rFonts w:cs="Times New Roman"/>
                      <w:bCs/>
                      <w:sz w:val="21"/>
                      <w:szCs w:val="21"/>
                    </w:rPr>
                  </w:pPr>
                  <w:r>
                    <w:rPr>
                      <w:rFonts w:hint="eastAsia" w:cs="Times New Roman"/>
                      <w:sz w:val="21"/>
                      <w:szCs w:val="21"/>
                    </w:rPr>
                    <w:t>00</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24</w:t>
                  </w:r>
                  <w:r>
                    <w:rPr>
                      <w:rFonts w:cs="Times New Roman"/>
                      <w:sz w:val="21"/>
                      <w:szCs w:val="21"/>
                    </w:rPr>
                    <w:t>:</w:t>
                  </w:r>
                  <w:r>
                    <w:rPr>
                      <w:rFonts w:hint="eastAsia" w:cs="Times New Roman"/>
                      <w:sz w:val="21"/>
                      <w:szCs w:val="21"/>
                    </w:rPr>
                    <w:t>00</w:t>
                  </w:r>
                </w:p>
              </w:tc>
              <w:tc>
                <w:tcPr>
                  <w:tcW w:w="977" w:type="pct"/>
                  <w:gridSpan w:val="2"/>
                  <w:vAlign w:val="center"/>
                </w:tcPr>
                <w:p>
                  <w:pPr>
                    <w:spacing w:line="240" w:lineRule="auto"/>
                    <w:ind w:firstLine="0" w:firstLineChars="0"/>
                    <w:jc w:val="center"/>
                    <w:rPr>
                      <w:rFonts w:cs="Times New Roman"/>
                      <w:bCs/>
                      <w:kern w:val="2"/>
                      <w:sz w:val="21"/>
                      <w:szCs w:val="21"/>
                    </w:rPr>
                  </w:pPr>
                  <w:r>
                    <w:rPr>
                      <w:rFonts w:hint="eastAsia" w:cs="Times New Roman"/>
                      <w:sz w:val="21"/>
                      <w:szCs w:val="21"/>
                    </w:rPr>
                    <w:t>336H</w:t>
                  </w:r>
                  <w:r>
                    <w:rPr>
                      <w:rFonts w:cs="Times New Roman"/>
                      <w:sz w:val="21"/>
                      <w:szCs w:val="21"/>
                    </w:rPr>
                    <w:t>Q</w:t>
                  </w:r>
                  <w:r>
                    <w:rPr>
                      <w:rFonts w:cs="Times New Roman"/>
                      <w:sz w:val="21"/>
                      <w:szCs w:val="21"/>
                      <w:vertAlign w:val="subscript"/>
                    </w:rPr>
                    <w:t>1</w:t>
                  </w:r>
                  <w:r>
                    <w:rPr>
                      <w:rFonts w:cs="Times New Roman"/>
                      <w:sz w:val="21"/>
                      <w:szCs w:val="21"/>
                    </w:rPr>
                    <w:t>-01-01</w:t>
                  </w:r>
                </w:p>
              </w:tc>
              <w:tc>
                <w:tcPr>
                  <w:tcW w:w="803" w:type="pct"/>
                  <w:tcBorders>
                    <w:right w:val="single" w:color="auto" w:sz="4" w:space="0"/>
                  </w:tcBorders>
                  <w:vAlign w:val="center"/>
                </w:tcPr>
                <w:p>
                  <w:pPr>
                    <w:ind w:firstLine="0" w:firstLineChars="0"/>
                    <w:jc w:val="center"/>
                    <w:textAlignment w:val="center"/>
                    <w:rPr>
                      <w:rFonts w:cs="Times New Roman"/>
                      <w:bCs/>
                      <w:sz w:val="21"/>
                      <w:szCs w:val="21"/>
                    </w:rPr>
                  </w:pPr>
                  <w:r>
                    <w:rPr>
                      <w:rFonts w:hint="eastAsia" w:cs="Times New Roman"/>
                      <w:bCs/>
                      <w:sz w:val="21"/>
                      <w:szCs w:val="21"/>
                    </w:rPr>
                    <w:t>0.164</w:t>
                  </w:r>
                </w:p>
              </w:tc>
              <w:tc>
                <w:tcPr>
                  <w:tcW w:w="782" w:type="pct"/>
                  <w:vMerge w:val="restart"/>
                  <w:tcBorders>
                    <w:right w:val="nil"/>
                  </w:tcBorders>
                  <w:vAlign w:val="center"/>
                </w:tcPr>
                <w:p>
                  <w:pPr>
                    <w:spacing w:line="240" w:lineRule="auto"/>
                    <w:ind w:firstLine="0" w:firstLineChars="0"/>
                    <w:jc w:val="center"/>
                    <w:rPr>
                      <w:rFonts w:cs="Times New Roman"/>
                      <w:bCs/>
                      <w:sz w:val="21"/>
                      <w:szCs w:val="21"/>
                    </w:rPr>
                  </w:pPr>
                  <w:r>
                    <w:rPr>
                      <w:rFonts w:hint="eastAsia" w:cs="Times New Roman"/>
                      <w:bCs/>
                      <w:sz w:val="21"/>
                      <w:szCs w:val="21"/>
                    </w:rPr>
                    <w:t>0.300</w:t>
                  </w:r>
                </w:p>
              </w:tc>
              <w:tc>
                <w:tcPr>
                  <w:tcW w:w="540" w:type="pct"/>
                  <w:tcBorders>
                    <w:right w:val="nil"/>
                  </w:tcBorders>
                  <w:vAlign w:val="center"/>
                </w:tcPr>
                <w:p>
                  <w:pPr>
                    <w:spacing w:line="240" w:lineRule="auto"/>
                    <w:ind w:firstLine="0" w:firstLineChars="0"/>
                    <w:jc w:val="center"/>
                    <w:rPr>
                      <w:rFonts w:cs="Times New Roman"/>
                      <w:bCs/>
                      <w:sz w:val="21"/>
                      <w:szCs w:val="21"/>
                    </w:rPr>
                  </w:pPr>
                  <w:r>
                    <w:rPr>
                      <w:rFonts w:cs="Times New Roman"/>
                      <w:bCs/>
                      <w:sz w:val="21"/>
                      <w:szCs w:val="21"/>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991" w:type="pct"/>
                  <w:vMerge w:val="continue"/>
                  <w:vAlign w:val="center"/>
                </w:tcPr>
                <w:p>
                  <w:pPr>
                    <w:spacing w:line="240" w:lineRule="auto"/>
                    <w:ind w:firstLine="0" w:firstLineChars="0"/>
                    <w:jc w:val="center"/>
                    <w:rPr>
                      <w:rFonts w:cs="Times New Roman"/>
                      <w:sz w:val="21"/>
                      <w:szCs w:val="21"/>
                    </w:rPr>
                  </w:pPr>
                </w:p>
              </w:tc>
              <w:tc>
                <w:tcPr>
                  <w:tcW w:w="903" w:type="pct"/>
                  <w:vAlign w:val="center"/>
                </w:tcPr>
                <w:p>
                  <w:pPr>
                    <w:spacing w:line="240" w:lineRule="auto"/>
                    <w:ind w:firstLine="0" w:firstLineChars="0"/>
                    <w:jc w:val="center"/>
                    <w:rPr>
                      <w:rFonts w:cs="Times New Roman"/>
                      <w:sz w:val="21"/>
                      <w:szCs w:val="21"/>
                    </w:rPr>
                  </w:pPr>
                  <w:r>
                    <w:rPr>
                      <w:rFonts w:hint="eastAsia" w:cs="Times New Roman"/>
                      <w:sz w:val="21"/>
                      <w:szCs w:val="21"/>
                    </w:rPr>
                    <w:t>00</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24</w:t>
                  </w:r>
                  <w:r>
                    <w:rPr>
                      <w:rFonts w:cs="Times New Roman"/>
                      <w:sz w:val="21"/>
                      <w:szCs w:val="21"/>
                    </w:rPr>
                    <w:t>:</w:t>
                  </w:r>
                  <w:r>
                    <w:rPr>
                      <w:rFonts w:hint="eastAsia" w:cs="Times New Roman"/>
                      <w:sz w:val="21"/>
                      <w:szCs w:val="21"/>
                    </w:rPr>
                    <w:t>00</w:t>
                  </w:r>
                </w:p>
              </w:tc>
              <w:tc>
                <w:tcPr>
                  <w:tcW w:w="977" w:type="pct"/>
                  <w:gridSpan w:val="2"/>
                  <w:vAlign w:val="center"/>
                </w:tcPr>
                <w:p>
                  <w:pPr>
                    <w:spacing w:line="240" w:lineRule="auto"/>
                    <w:ind w:firstLine="0" w:firstLineChars="0"/>
                    <w:jc w:val="center"/>
                    <w:rPr>
                      <w:rFonts w:cs="Times New Roman"/>
                      <w:kern w:val="2"/>
                      <w:sz w:val="21"/>
                      <w:szCs w:val="21"/>
                    </w:rPr>
                  </w:pPr>
                  <w:r>
                    <w:rPr>
                      <w:rFonts w:hint="eastAsia" w:cs="Times New Roman"/>
                      <w:sz w:val="21"/>
                      <w:szCs w:val="21"/>
                    </w:rPr>
                    <w:t>336H</w:t>
                  </w:r>
                  <w:r>
                    <w:rPr>
                      <w:rFonts w:cs="Times New Roman"/>
                      <w:sz w:val="21"/>
                      <w:szCs w:val="21"/>
                    </w:rPr>
                    <w:t>Q</w:t>
                  </w:r>
                  <w:r>
                    <w:rPr>
                      <w:rFonts w:cs="Times New Roman"/>
                      <w:sz w:val="21"/>
                      <w:szCs w:val="21"/>
                      <w:vertAlign w:val="subscript"/>
                    </w:rPr>
                    <w:t>1</w:t>
                  </w:r>
                  <w:r>
                    <w:rPr>
                      <w:rFonts w:cs="Times New Roman"/>
                      <w:sz w:val="21"/>
                      <w:szCs w:val="21"/>
                    </w:rPr>
                    <w:t>-01-02</w:t>
                  </w:r>
                </w:p>
              </w:tc>
              <w:tc>
                <w:tcPr>
                  <w:tcW w:w="803" w:type="pct"/>
                  <w:tcBorders>
                    <w:right w:val="single" w:color="auto" w:sz="4" w:space="0"/>
                  </w:tcBorders>
                  <w:vAlign w:val="center"/>
                </w:tcPr>
                <w:p>
                  <w:pPr>
                    <w:ind w:firstLine="0" w:firstLineChars="0"/>
                    <w:jc w:val="center"/>
                    <w:textAlignment w:val="center"/>
                    <w:rPr>
                      <w:rFonts w:cs="Times New Roman"/>
                      <w:sz w:val="21"/>
                      <w:szCs w:val="21"/>
                    </w:rPr>
                  </w:pPr>
                  <w:r>
                    <w:rPr>
                      <w:rFonts w:hint="eastAsia" w:cs="Times New Roman"/>
                      <w:sz w:val="21"/>
                      <w:szCs w:val="21"/>
                    </w:rPr>
                    <w:t>0.166</w:t>
                  </w:r>
                </w:p>
              </w:tc>
              <w:tc>
                <w:tcPr>
                  <w:tcW w:w="782" w:type="pct"/>
                  <w:vMerge w:val="continue"/>
                  <w:tcBorders>
                    <w:right w:val="nil"/>
                  </w:tcBorders>
                  <w:vAlign w:val="center"/>
                </w:tcPr>
                <w:p>
                  <w:pPr>
                    <w:spacing w:line="240" w:lineRule="auto"/>
                    <w:ind w:firstLine="0" w:firstLineChars="0"/>
                    <w:jc w:val="center"/>
                    <w:rPr>
                      <w:rFonts w:cs="Times New Roman"/>
                      <w:bCs/>
                      <w:sz w:val="21"/>
                      <w:szCs w:val="21"/>
                    </w:rPr>
                  </w:pPr>
                </w:p>
              </w:tc>
              <w:tc>
                <w:tcPr>
                  <w:tcW w:w="540" w:type="pct"/>
                  <w:tcBorders>
                    <w:right w:val="nil"/>
                  </w:tcBorders>
                  <w:vAlign w:val="center"/>
                </w:tcPr>
                <w:p>
                  <w:pPr>
                    <w:spacing w:line="240" w:lineRule="auto"/>
                    <w:ind w:firstLine="0" w:firstLineChars="0"/>
                    <w:jc w:val="center"/>
                    <w:rPr>
                      <w:rFonts w:cs="Times New Roman"/>
                      <w:bCs/>
                      <w:sz w:val="21"/>
                      <w:szCs w:val="21"/>
                    </w:rPr>
                  </w:pPr>
                  <w:r>
                    <w:rPr>
                      <w:rFonts w:cs="Times New Roman"/>
                      <w:bCs/>
                      <w:sz w:val="21"/>
                      <w:szCs w:val="21"/>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991" w:type="pct"/>
                  <w:vMerge w:val="continue"/>
                  <w:vAlign w:val="center"/>
                </w:tcPr>
                <w:p>
                  <w:pPr>
                    <w:spacing w:line="240" w:lineRule="auto"/>
                    <w:ind w:firstLine="0" w:firstLineChars="0"/>
                    <w:jc w:val="center"/>
                    <w:rPr>
                      <w:rFonts w:cs="Times New Roman"/>
                      <w:sz w:val="21"/>
                      <w:szCs w:val="21"/>
                    </w:rPr>
                  </w:pPr>
                </w:p>
              </w:tc>
              <w:tc>
                <w:tcPr>
                  <w:tcW w:w="903" w:type="pct"/>
                  <w:vAlign w:val="center"/>
                </w:tcPr>
                <w:p>
                  <w:pPr>
                    <w:spacing w:line="240" w:lineRule="auto"/>
                    <w:ind w:firstLine="0" w:firstLineChars="0"/>
                    <w:jc w:val="center"/>
                    <w:rPr>
                      <w:rFonts w:cs="Times New Roman"/>
                      <w:sz w:val="21"/>
                      <w:szCs w:val="21"/>
                    </w:rPr>
                  </w:pPr>
                  <w:r>
                    <w:rPr>
                      <w:rFonts w:hint="eastAsia" w:cs="Times New Roman"/>
                      <w:sz w:val="21"/>
                      <w:szCs w:val="21"/>
                    </w:rPr>
                    <w:t>00</w:t>
                  </w:r>
                  <w:r>
                    <w:rPr>
                      <w:rFonts w:cs="Times New Roman"/>
                      <w:sz w:val="21"/>
                      <w:szCs w:val="21"/>
                    </w:rPr>
                    <w:t>:</w:t>
                  </w:r>
                  <w:r>
                    <w:rPr>
                      <w:rFonts w:hint="eastAsia" w:cs="Times New Roman"/>
                      <w:sz w:val="21"/>
                      <w:szCs w:val="21"/>
                    </w:rPr>
                    <w:t>00</w:t>
                  </w:r>
                  <w:r>
                    <w:rPr>
                      <w:rFonts w:cs="Times New Roman"/>
                      <w:sz w:val="21"/>
                      <w:szCs w:val="21"/>
                    </w:rPr>
                    <w:t>-</w:t>
                  </w:r>
                  <w:r>
                    <w:rPr>
                      <w:rFonts w:hint="eastAsia" w:cs="Times New Roman"/>
                      <w:sz w:val="21"/>
                      <w:szCs w:val="21"/>
                    </w:rPr>
                    <w:t>24</w:t>
                  </w:r>
                  <w:r>
                    <w:rPr>
                      <w:rFonts w:cs="Times New Roman"/>
                      <w:sz w:val="21"/>
                      <w:szCs w:val="21"/>
                    </w:rPr>
                    <w:t>:</w:t>
                  </w:r>
                  <w:r>
                    <w:rPr>
                      <w:rFonts w:hint="eastAsia" w:cs="Times New Roman"/>
                      <w:sz w:val="21"/>
                      <w:szCs w:val="21"/>
                    </w:rPr>
                    <w:t>00</w:t>
                  </w:r>
                </w:p>
              </w:tc>
              <w:tc>
                <w:tcPr>
                  <w:tcW w:w="977" w:type="pct"/>
                  <w:gridSpan w:val="2"/>
                  <w:vAlign w:val="center"/>
                </w:tcPr>
                <w:p>
                  <w:pPr>
                    <w:spacing w:line="240" w:lineRule="auto"/>
                    <w:ind w:firstLine="0" w:firstLineChars="0"/>
                    <w:jc w:val="center"/>
                    <w:rPr>
                      <w:rFonts w:cs="Times New Roman"/>
                      <w:kern w:val="2"/>
                      <w:sz w:val="21"/>
                      <w:szCs w:val="21"/>
                    </w:rPr>
                  </w:pPr>
                  <w:r>
                    <w:rPr>
                      <w:rFonts w:hint="eastAsia" w:cs="Times New Roman"/>
                      <w:sz w:val="21"/>
                      <w:szCs w:val="21"/>
                    </w:rPr>
                    <w:t>336H</w:t>
                  </w:r>
                  <w:r>
                    <w:rPr>
                      <w:rFonts w:cs="Times New Roman"/>
                      <w:sz w:val="21"/>
                      <w:szCs w:val="21"/>
                    </w:rPr>
                    <w:t>Q</w:t>
                  </w:r>
                  <w:r>
                    <w:rPr>
                      <w:rFonts w:cs="Times New Roman"/>
                      <w:sz w:val="21"/>
                      <w:szCs w:val="21"/>
                      <w:vertAlign w:val="subscript"/>
                    </w:rPr>
                    <w:t>1</w:t>
                  </w:r>
                  <w:r>
                    <w:rPr>
                      <w:rFonts w:cs="Times New Roman"/>
                      <w:sz w:val="21"/>
                      <w:szCs w:val="21"/>
                    </w:rPr>
                    <w:t>-01-03</w:t>
                  </w:r>
                </w:p>
              </w:tc>
              <w:tc>
                <w:tcPr>
                  <w:tcW w:w="803" w:type="pct"/>
                  <w:tcBorders>
                    <w:right w:val="single" w:color="auto" w:sz="4" w:space="0"/>
                  </w:tcBorders>
                  <w:vAlign w:val="center"/>
                </w:tcPr>
                <w:p>
                  <w:pPr>
                    <w:ind w:firstLine="0" w:firstLineChars="0"/>
                    <w:jc w:val="center"/>
                    <w:textAlignment w:val="center"/>
                    <w:rPr>
                      <w:rFonts w:cs="Times New Roman"/>
                      <w:sz w:val="21"/>
                      <w:szCs w:val="21"/>
                    </w:rPr>
                  </w:pPr>
                  <w:r>
                    <w:rPr>
                      <w:rFonts w:hint="eastAsia" w:cs="Times New Roman"/>
                      <w:sz w:val="21"/>
                      <w:szCs w:val="21"/>
                    </w:rPr>
                    <w:t>0.142</w:t>
                  </w:r>
                </w:p>
              </w:tc>
              <w:tc>
                <w:tcPr>
                  <w:tcW w:w="782" w:type="pct"/>
                  <w:vMerge w:val="continue"/>
                  <w:tcBorders>
                    <w:right w:val="nil"/>
                  </w:tcBorders>
                  <w:vAlign w:val="center"/>
                </w:tcPr>
                <w:p>
                  <w:pPr>
                    <w:spacing w:line="240" w:lineRule="auto"/>
                    <w:ind w:firstLine="0" w:firstLineChars="0"/>
                    <w:jc w:val="center"/>
                    <w:rPr>
                      <w:rFonts w:cs="Times New Roman"/>
                      <w:bCs/>
                      <w:sz w:val="21"/>
                      <w:szCs w:val="21"/>
                    </w:rPr>
                  </w:pPr>
                </w:p>
              </w:tc>
              <w:tc>
                <w:tcPr>
                  <w:tcW w:w="540" w:type="pct"/>
                  <w:tcBorders>
                    <w:right w:val="nil"/>
                  </w:tcBorders>
                  <w:vAlign w:val="center"/>
                </w:tcPr>
                <w:p>
                  <w:pPr>
                    <w:spacing w:line="240" w:lineRule="auto"/>
                    <w:ind w:firstLine="0" w:firstLineChars="0"/>
                    <w:jc w:val="center"/>
                    <w:rPr>
                      <w:rFonts w:cs="Times New Roman"/>
                      <w:bCs/>
                      <w:sz w:val="21"/>
                      <w:szCs w:val="21"/>
                    </w:rPr>
                  </w:pPr>
                  <w:r>
                    <w:rPr>
                      <w:rFonts w:cs="Times New Roman"/>
                      <w:bCs/>
                      <w:sz w:val="21"/>
                      <w:szCs w:val="21"/>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991" w:type="pct"/>
                  <w:vAlign w:val="center"/>
                </w:tcPr>
                <w:p>
                  <w:pPr>
                    <w:ind w:firstLine="482"/>
                    <w:jc w:val="center"/>
                    <w:rPr>
                      <w:rFonts w:cs="Times New Roman"/>
                      <w:sz w:val="21"/>
                      <w:szCs w:val="21"/>
                    </w:rPr>
                  </w:pPr>
                  <w:r>
                    <w:rPr>
                      <w:rFonts w:cs="Times New Roman"/>
                      <w:b/>
                      <w:szCs w:val="21"/>
                    </w:rPr>
                    <w:t>备注</w:t>
                  </w:r>
                </w:p>
              </w:tc>
              <w:tc>
                <w:tcPr>
                  <w:tcW w:w="4008" w:type="pct"/>
                  <w:gridSpan w:val="6"/>
                  <w:tcBorders>
                    <w:right w:val="nil"/>
                  </w:tcBorders>
                  <w:vAlign w:val="center"/>
                </w:tcPr>
                <w:p>
                  <w:pPr>
                    <w:spacing w:line="240" w:lineRule="auto"/>
                    <w:ind w:firstLine="0" w:firstLineChars="0"/>
                    <w:jc w:val="center"/>
                    <w:rPr>
                      <w:rFonts w:hint="eastAsia" w:eastAsia="宋体" w:cs="Times New Roman"/>
                      <w:bCs/>
                      <w:sz w:val="21"/>
                      <w:szCs w:val="21"/>
                      <w:lang w:eastAsia="zh-CN"/>
                    </w:rPr>
                  </w:pPr>
                  <w:r>
                    <w:rPr>
                      <w:rFonts w:hint="eastAsia" w:cs="Times New Roman"/>
                      <w:bCs/>
                      <w:sz w:val="21"/>
                      <w:szCs w:val="21"/>
                      <w:lang w:eastAsia="zh-CN"/>
                    </w:rPr>
                    <w:t>无</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991" w:type="pct"/>
                  <w:vAlign w:val="center"/>
                </w:tcPr>
                <w:p>
                  <w:pPr>
                    <w:pStyle w:val="42"/>
                    <w:rPr>
                      <w:bCs/>
                    </w:rPr>
                  </w:pPr>
                  <w:r>
                    <w:t>参考标准</w:t>
                  </w:r>
                </w:p>
              </w:tc>
              <w:tc>
                <w:tcPr>
                  <w:tcW w:w="4008" w:type="pct"/>
                  <w:gridSpan w:val="6"/>
                  <w:tcBorders>
                    <w:right w:val="nil"/>
                  </w:tcBorders>
                  <w:vAlign w:val="center"/>
                </w:tcPr>
                <w:p>
                  <w:pPr>
                    <w:spacing w:line="240" w:lineRule="auto"/>
                    <w:ind w:firstLine="0" w:firstLineChars="0"/>
                    <w:jc w:val="center"/>
                    <w:rPr>
                      <w:rFonts w:cs="Times New Roman"/>
                      <w:bCs/>
                      <w:sz w:val="21"/>
                      <w:szCs w:val="21"/>
                    </w:rPr>
                  </w:pPr>
                  <w:r>
                    <w:rPr>
                      <w:rFonts w:cs="Times New Roman"/>
                      <w:bCs/>
                      <w:sz w:val="21"/>
                      <w:szCs w:val="21"/>
                    </w:rPr>
                    <w:t>《环境空气质量标准》（GB3095-2012）</w:t>
                  </w:r>
                </w:p>
              </w:tc>
            </w:tr>
          </w:tbl>
          <w:p>
            <w:pPr>
              <w:ind w:firstLine="480"/>
            </w:pPr>
            <w:r>
              <w:rPr>
                <w:rFonts w:hint="eastAsia"/>
              </w:rPr>
              <w:t>由监测结果可知，项目所在区TSP满足《环境空气质量》（GB3095-2012）二级标准要求。</w:t>
            </w:r>
          </w:p>
          <w:p>
            <w:pPr>
              <w:ind w:firstLine="0" w:firstLineChars="0"/>
              <w:rPr>
                <w:color w:val="FF0000"/>
                <w:highlight w:val="yellow"/>
              </w:rPr>
            </w:pPr>
            <w:r>
              <w:drawing>
                <wp:inline distT="0" distB="0" distL="114300" distR="114300">
                  <wp:extent cx="4834255" cy="2614930"/>
                  <wp:effectExtent l="0" t="0" r="4445" b="13970"/>
                  <wp:docPr id="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pic:cNvPicPr>
                            <a:picLocks noChangeAspect="1"/>
                          </pic:cNvPicPr>
                        </pic:nvPicPr>
                        <pic:blipFill>
                          <a:blip r:embed="rId19"/>
                          <a:stretch>
                            <a:fillRect/>
                          </a:stretch>
                        </pic:blipFill>
                        <pic:spPr>
                          <a:xfrm>
                            <a:off x="0" y="0"/>
                            <a:ext cx="4834255" cy="2614930"/>
                          </a:xfrm>
                          <a:prstGeom prst="rect">
                            <a:avLst/>
                          </a:prstGeom>
                          <a:noFill/>
                          <a:ln>
                            <a:noFill/>
                          </a:ln>
                        </pic:spPr>
                      </pic:pic>
                    </a:graphicData>
                  </a:graphic>
                </wp:inline>
              </w:drawing>
            </w:r>
          </w:p>
          <w:p>
            <w:pPr>
              <w:pStyle w:val="25"/>
              <w:rPr>
                <w:color w:val="000000"/>
              </w:rPr>
            </w:pPr>
            <w:r>
              <w:rPr>
                <w:rFonts w:hint="eastAsia"/>
              </w:rPr>
              <w:t xml:space="preserve">图3-1 </w:t>
            </w:r>
            <w:r>
              <w:rPr>
                <w:rFonts w:hint="eastAsia"/>
                <w:color w:val="FF0000"/>
              </w:rPr>
              <w:t xml:space="preserve"> </w:t>
            </w:r>
            <w:bookmarkEnd w:id="7"/>
            <w:r>
              <w:rPr>
                <w:color w:val="000000"/>
              </w:rPr>
              <w:t>大气环境现状监测布点图</w:t>
            </w:r>
          </w:p>
          <w:p>
            <w:pPr>
              <w:ind w:firstLine="482"/>
              <w:rPr>
                <w:b/>
                <w:bCs/>
              </w:rPr>
            </w:pPr>
            <w:r>
              <w:rPr>
                <w:rFonts w:hint="eastAsia"/>
                <w:b/>
                <w:bCs/>
              </w:rPr>
              <w:t>2.声环境质量</w:t>
            </w:r>
          </w:p>
          <w:p>
            <w:pPr>
              <w:ind w:firstLine="482"/>
              <w:rPr>
                <w:rFonts w:ascii="微软雅黑" w:hAnsi="微软雅黑" w:eastAsia="微软雅黑" w:cs="微软雅黑"/>
                <w:i w:val="0"/>
                <w:iCs w:val="0"/>
                <w:caps w:val="0"/>
                <w:color w:val="2DC76D"/>
                <w:spacing w:val="0"/>
                <w:sz w:val="21"/>
                <w:szCs w:val="21"/>
              </w:rPr>
            </w:pPr>
            <w:r>
              <w:t>本项目厂界外50m范围内没有声环境保护目标，因此不进行现状监测。</w:t>
            </w:r>
          </w:p>
          <w:p>
            <w:pPr>
              <w:ind w:firstLine="482"/>
              <w:rPr>
                <w:b/>
                <w:bCs/>
              </w:rPr>
            </w:pPr>
            <w:r>
              <w:rPr>
                <w:rFonts w:hint="eastAsia"/>
                <w:b/>
                <w:bCs/>
              </w:rPr>
              <w:t>3.土壤和地下水环境质量现状</w:t>
            </w:r>
          </w:p>
          <w:p>
            <w:pPr>
              <w:ind w:firstLine="480"/>
            </w:pPr>
            <w:r>
              <w:t>按照《建设项目环境影响报告表编制技术指南（污染影响类）（试行）》，原则上不开展地下水、土壤环境质量现状调查。</w:t>
            </w:r>
          </w:p>
          <w:p>
            <w:pPr>
              <w:ind w:firstLine="480"/>
            </w:pPr>
            <w:r>
              <w:t>依据《环境影响评价技术导则 地下水环境》（HJ610-2016）附录A-地下水环境影响评价行业分类表之划分，建设项目地下水环境影响评价项目类别属Ⅳ类（参见附录A-地下水环境影响评价行业分类表-</w:t>
            </w:r>
            <w:r>
              <w:rPr>
                <w:rFonts w:hint="eastAsia"/>
              </w:rPr>
              <w:t>60</w:t>
            </w:r>
            <w:r>
              <w:rPr>
                <w:rFonts w:hint="eastAsia"/>
                <w:lang w:eastAsia="zh-CN"/>
              </w:rPr>
              <w:t>、</w:t>
            </w:r>
            <w:r>
              <w:rPr>
                <w:rFonts w:hint="eastAsia"/>
              </w:rPr>
              <w:t>砼结构构件制造、商品混凝土加工</w:t>
            </w:r>
            <w:r>
              <w:t>—</w:t>
            </w:r>
            <w:r>
              <w:rPr>
                <w:rFonts w:hint="eastAsia"/>
              </w:rPr>
              <w:t>全部</w:t>
            </w:r>
            <w:r>
              <w:t>）</w:t>
            </w:r>
            <w:r>
              <w:rPr>
                <w:rFonts w:hint="eastAsia"/>
                <w:lang w:eastAsia="zh-CN"/>
              </w:rPr>
              <w:t>，</w:t>
            </w:r>
            <w:r>
              <w:t>因此无需进行地下水监测及评价。</w:t>
            </w:r>
          </w:p>
          <w:p>
            <w:pPr>
              <w:ind w:firstLine="480"/>
              <w:rPr>
                <w:highlight w:val="yellow"/>
              </w:rPr>
            </w:pPr>
            <w:r>
              <w:t>对照《环境影响评价技术导则 土壤环境（试行）》（HJ964-2018）附录A-</w:t>
            </w:r>
            <w:r>
              <w:rPr>
                <w:rFonts w:hint="eastAsia"/>
              </w:rPr>
              <w:t>土壤环境影响评价项目类别</w:t>
            </w:r>
            <w:r>
              <w:t>，判定本项目土壤类别为</w:t>
            </w:r>
            <w:r>
              <w:rPr>
                <w:rFonts w:hint="eastAsia"/>
                <w:lang w:eastAsia="zh-CN"/>
              </w:rPr>
              <w:t>“</w:t>
            </w:r>
            <w:r>
              <w:t>其他</w:t>
            </w:r>
            <w:r>
              <w:rPr>
                <w:rFonts w:hint="eastAsia"/>
              </w:rPr>
              <w:t>行业</w:t>
            </w:r>
            <w:r>
              <w:t>—</w:t>
            </w:r>
            <w:r>
              <w:rPr>
                <w:rFonts w:hint="eastAsia"/>
              </w:rPr>
              <w:t>全部</w:t>
            </w:r>
            <w:r>
              <w:rPr>
                <w:rFonts w:hint="eastAsia"/>
                <w:lang w:eastAsia="zh-CN"/>
              </w:rPr>
              <w:t>”</w:t>
            </w:r>
            <w:r>
              <w:t>，为Ⅳ类建设项目，根据《环境影响评价技术导则 土壤环境（试行）》（HJ964-2018）4.2.2</w:t>
            </w:r>
            <w:r>
              <w:rPr>
                <w:rFonts w:hint="eastAsia"/>
                <w:lang w:eastAsia="zh-CN"/>
              </w:rPr>
              <w:t>“</w:t>
            </w:r>
            <w:r>
              <w:t>Ⅳ类项目可不开展土壤环境影响评价</w:t>
            </w:r>
            <w:r>
              <w:rPr>
                <w:rFonts w:hint="eastAsia"/>
                <w:lang w:eastAsia="zh-CN"/>
              </w:rPr>
              <w:t>”</w:t>
            </w:r>
            <w: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675" w:type="dxa"/>
            <w:vAlign w:val="center"/>
          </w:tcPr>
          <w:p>
            <w:pPr>
              <w:ind w:firstLine="0" w:firstLineChars="0"/>
            </w:pPr>
            <w:r>
              <w:rPr>
                <w:rFonts w:hint="eastAsia"/>
              </w:rPr>
              <w:t>环境保护目标</w:t>
            </w:r>
          </w:p>
        </w:tc>
        <w:tc>
          <w:tcPr>
            <w:tcW w:w="7872" w:type="dxa"/>
            <w:vAlign w:val="center"/>
          </w:tcPr>
          <w:p>
            <w:pPr>
              <w:ind w:firstLine="482"/>
              <w:rPr>
                <w:b/>
                <w:bCs/>
              </w:rPr>
            </w:pPr>
            <w:r>
              <w:rPr>
                <w:b/>
                <w:bCs/>
              </w:rPr>
              <w:t>环境保护目标</w:t>
            </w:r>
          </w:p>
          <w:p>
            <w:pPr>
              <w:ind w:firstLine="480"/>
            </w:pPr>
            <w:r>
              <w:rPr>
                <w:rFonts w:hint="eastAsia"/>
              </w:rPr>
              <w:t>本项目厂界500m范围内无自然保护区、风景名胜区、文物古迹、文化区等敏感目标，厂界50m范围内无村庄等人群集中区域；本项目500m范围内无地下水集中式饮用水源地和热水、矿泉水、温泉等特殊地下水资源；项目区周边无生态环境保护目标。针对施工场地以及运营期周围具体环境敏感点进行现场考察，并结合项目本身的特点，确定该项目的具体保护目标及保护级别见表3-7。具体环境保护目标见附图。</w:t>
            </w:r>
          </w:p>
          <w:p>
            <w:pPr>
              <w:pStyle w:val="25"/>
            </w:pPr>
            <w:r>
              <w:rPr>
                <w:rFonts w:hint="eastAsia"/>
              </w:rPr>
              <w:t>表3-7项目大气、噪声环境保护目标一览表</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72"/>
              <w:gridCol w:w="942"/>
              <w:gridCol w:w="861"/>
              <w:gridCol w:w="1536"/>
              <w:gridCol w:w="649"/>
              <w:gridCol w:w="658"/>
              <w:gridCol w:w="585"/>
              <w:gridCol w:w="185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 w:type="pct"/>
                  <w:tcBorders>
                    <w:tl2br w:val="nil"/>
                    <w:tr2bl w:val="nil"/>
                  </w:tcBorders>
                  <w:vAlign w:val="center"/>
                </w:tcPr>
                <w:p>
                  <w:pPr>
                    <w:pStyle w:val="39"/>
                    <w:jc w:val="center"/>
                    <w:rPr>
                      <w:b/>
                      <w:bCs/>
                    </w:rPr>
                  </w:pPr>
                  <w:r>
                    <w:rPr>
                      <w:b/>
                      <w:bCs/>
                    </w:rPr>
                    <w:t>环境要素</w:t>
                  </w:r>
                </w:p>
              </w:tc>
              <w:tc>
                <w:tcPr>
                  <w:tcW w:w="615" w:type="pct"/>
                  <w:tcBorders>
                    <w:tl2br w:val="nil"/>
                    <w:tr2bl w:val="nil"/>
                  </w:tcBorders>
                  <w:vAlign w:val="center"/>
                </w:tcPr>
                <w:p>
                  <w:pPr>
                    <w:pStyle w:val="39"/>
                    <w:jc w:val="center"/>
                    <w:rPr>
                      <w:b/>
                      <w:bCs/>
                    </w:rPr>
                  </w:pPr>
                  <w:r>
                    <w:rPr>
                      <w:b/>
                      <w:bCs/>
                    </w:rPr>
                    <w:t>保护范围</w:t>
                  </w:r>
                </w:p>
              </w:tc>
              <w:tc>
                <w:tcPr>
                  <w:tcW w:w="562" w:type="pct"/>
                  <w:tcBorders>
                    <w:tl2br w:val="nil"/>
                    <w:tr2bl w:val="nil"/>
                  </w:tcBorders>
                  <w:vAlign w:val="center"/>
                </w:tcPr>
                <w:p>
                  <w:pPr>
                    <w:pStyle w:val="39"/>
                    <w:jc w:val="center"/>
                    <w:rPr>
                      <w:b/>
                      <w:bCs/>
                    </w:rPr>
                  </w:pPr>
                  <w:r>
                    <w:rPr>
                      <w:b/>
                      <w:bCs/>
                    </w:rPr>
                    <w:t>保护目标名称</w:t>
                  </w:r>
                </w:p>
              </w:tc>
              <w:tc>
                <w:tcPr>
                  <w:tcW w:w="1003" w:type="pct"/>
                  <w:tcBorders>
                    <w:tl2br w:val="nil"/>
                    <w:tr2bl w:val="nil"/>
                  </w:tcBorders>
                  <w:vAlign w:val="center"/>
                </w:tcPr>
                <w:p>
                  <w:pPr>
                    <w:pStyle w:val="39"/>
                    <w:jc w:val="center"/>
                    <w:rPr>
                      <w:b/>
                      <w:bCs/>
                    </w:rPr>
                  </w:pPr>
                  <w:r>
                    <w:rPr>
                      <w:b/>
                      <w:bCs/>
                    </w:rPr>
                    <w:t>坐标</w:t>
                  </w:r>
                </w:p>
              </w:tc>
              <w:tc>
                <w:tcPr>
                  <w:tcW w:w="424" w:type="pct"/>
                  <w:tcBorders>
                    <w:tl2br w:val="nil"/>
                    <w:tr2bl w:val="nil"/>
                  </w:tcBorders>
                  <w:vAlign w:val="center"/>
                </w:tcPr>
                <w:p>
                  <w:pPr>
                    <w:pStyle w:val="39"/>
                    <w:jc w:val="center"/>
                    <w:rPr>
                      <w:b/>
                      <w:bCs/>
                    </w:rPr>
                  </w:pPr>
                  <w:r>
                    <w:rPr>
                      <w:b/>
                      <w:bCs/>
                    </w:rPr>
                    <w:t>相对位置</w:t>
                  </w:r>
                </w:p>
              </w:tc>
              <w:tc>
                <w:tcPr>
                  <w:tcW w:w="430" w:type="pct"/>
                  <w:tcBorders>
                    <w:tl2br w:val="nil"/>
                    <w:tr2bl w:val="nil"/>
                  </w:tcBorders>
                  <w:vAlign w:val="center"/>
                </w:tcPr>
                <w:p>
                  <w:pPr>
                    <w:pStyle w:val="39"/>
                    <w:jc w:val="center"/>
                    <w:rPr>
                      <w:b/>
                      <w:bCs/>
                    </w:rPr>
                  </w:pPr>
                  <w:r>
                    <w:rPr>
                      <w:b/>
                      <w:bCs/>
                    </w:rPr>
                    <w:t>距离（m）</w:t>
                  </w:r>
                </w:p>
              </w:tc>
              <w:tc>
                <w:tcPr>
                  <w:tcW w:w="380" w:type="pct"/>
                  <w:tcBorders>
                    <w:tl2br w:val="nil"/>
                    <w:tr2bl w:val="nil"/>
                  </w:tcBorders>
                  <w:vAlign w:val="center"/>
                </w:tcPr>
                <w:p>
                  <w:pPr>
                    <w:pStyle w:val="39"/>
                    <w:jc w:val="center"/>
                    <w:rPr>
                      <w:b/>
                      <w:bCs/>
                    </w:rPr>
                  </w:pPr>
                  <w:r>
                    <w:rPr>
                      <w:b/>
                      <w:bCs/>
                    </w:rPr>
                    <w:t>人数</w:t>
                  </w:r>
                </w:p>
              </w:tc>
              <w:tc>
                <w:tcPr>
                  <w:tcW w:w="1209" w:type="pct"/>
                  <w:tcBorders>
                    <w:tl2br w:val="nil"/>
                    <w:tr2bl w:val="nil"/>
                  </w:tcBorders>
                  <w:vAlign w:val="center"/>
                </w:tcPr>
                <w:p>
                  <w:pPr>
                    <w:pStyle w:val="39"/>
                    <w:jc w:val="center"/>
                    <w:rPr>
                      <w:b/>
                      <w:bCs/>
                    </w:rPr>
                  </w:pPr>
                  <w:r>
                    <w:rPr>
                      <w:b/>
                      <w:bCs/>
                    </w:rPr>
                    <w:t>保护级别</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 w:type="pct"/>
                  <w:tcBorders>
                    <w:tl2br w:val="nil"/>
                    <w:tr2bl w:val="nil"/>
                  </w:tcBorders>
                  <w:vAlign w:val="center"/>
                </w:tcPr>
                <w:p>
                  <w:pPr>
                    <w:pStyle w:val="39"/>
                    <w:jc w:val="center"/>
                  </w:pPr>
                  <w:r>
                    <w:t>环境空气</w:t>
                  </w:r>
                </w:p>
              </w:tc>
              <w:tc>
                <w:tcPr>
                  <w:tcW w:w="615" w:type="pct"/>
                  <w:tcBorders>
                    <w:tl2br w:val="nil"/>
                    <w:tr2bl w:val="nil"/>
                  </w:tcBorders>
                  <w:vAlign w:val="center"/>
                </w:tcPr>
                <w:p>
                  <w:pPr>
                    <w:pStyle w:val="39"/>
                    <w:jc w:val="center"/>
                  </w:pPr>
                  <w:r>
                    <w:t>厂界外扩500m范围</w:t>
                  </w:r>
                </w:p>
              </w:tc>
              <w:tc>
                <w:tcPr>
                  <w:tcW w:w="562" w:type="pct"/>
                  <w:tcBorders>
                    <w:tl2br w:val="nil"/>
                    <w:tr2bl w:val="nil"/>
                  </w:tcBorders>
                  <w:vAlign w:val="center"/>
                </w:tcPr>
                <w:p>
                  <w:pPr>
                    <w:pStyle w:val="39"/>
                    <w:jc w:val="center"/>
                  </w:pPr>
                  <w:r>
                    <w:rPr>
                      <w:rFonts w:hint="eastAsia"/>
                    </w:rPr>
                    <w:t>东红柳村</w:t>
                  </w:r>
                </w:p>
              </w:tc>
              <w:tc>
                <w:tcPr>
                  <w:tcW w:w="1003" w:type="pct"/>
                  <w:tcBorders>
                    <w:tl2br w:val="nil"/>
                    <w:tr2bl w:val="nil"/>
                  </w:tcBorders>
                  <w:vAlign w:val="center"/>
                </w:tcPr>
                <w:p>
                  <w:pPr>
                    <w:pStyle w:val="39"/>
                    <w:jc w:val="center"/>
                  </w:pPr>
                  <w:r>
                    <w:rPr>
                      <w:rFonts w:hint="eastAsia"/>
                    </w:rPr>
                    <w:t>东经</w:t>
                  </w:r>
                  <w:r>
                    <w:t>1</w:t>
                  </w:r>
                  <w:r>
                    <w:rPr>
                      <w:rFonts w:hint="eastAsia"/>
                    </w:rPr>
                    <w:t>07</w:t>
                  </w:r>
                  <w:r>
                    <w:t>°</w:t>
                  </w:r>
                  <w:r>
                    <w:rPr>
                      <w:rFonts w:hint="eastAsia"/>
                    </w:rPr>
                    <w:t>15</w:t>
                  </w:r>
                  <w:r>
                    <w:t>′</w:t>
                  </w:r>
                  <w:r>
                    <w:rPr>
                      <w:rFonts w:hint="eastAsia"/>
                    </w:rPr>
                    <w:t>25.445</w:t>
                  </w:r>
                  <w:r>
                    <w:t>″</w:t>
                  </w:r>
                </w:p>
                <w:p>
                  <w:pPr>
                    <w:pStyle w:val="39"/>
                    <w:jc w:val="center"/>
                  </w:pPr>
                  <w:r>
                    <w:rPr>
                      <w:rFonts w:hint="eastAsia"/>
                    </w:rPr>
                    <w:t>北纬</w:t>
                  </w:r>
                  <w:r>
                    <w:t>4</w:t>
                  </w:r>
                  <w:r>
                    <w:rPr>
                      <w:rFonts w:hint="eastAsia"/>
                    </w:rPr>
                    <w:t>0</w:t>
                  </w:r>
                  <w:r>
                    <w:t>°</w:t>
                  </w:r>
                  <w:r>
                    <w:rPr>
                      <w:rFonts w:hint="eastAsia"/>
                    </w:rPr>
                    <w:t>33</w:t>
                  </w:r>
                  <w:r>
                    <w:t>′</w:t>
                  </w:r>
                  <w:r>
                    <w:rPr>
                      <w:rFonts w:hint="eastAsia"/>
                    </w:rPr>
                    <w:t>12.926</w:t>
                  </w:r>
                  <w:r>
                    <w:t>″</w:t>
                  </w:r>
                </w:p>
              </w:tc>
              <w:tc>
                <w:tcPr>
                  <w:tcW w:w="424" w:type="pct"/>
                  <w:tcBorders>
                    <w:tl2br w:val="nil"/>
                    <w:tr2bl w:val="nil"/>
                  </w:tcBorders>
                  <w:vAlign w:val="center"/>
                </w:tcPr>
                <w:p>
                  <w:pPr>
                    <w:pStyle w:val="39"/>
                    <w:jc w:val="center"/>
                  </w:pPr>
                  <w:r>
                    <w:rPr>
                      <w:rFonts w:hint="eastAsia"/>
                    </w:rPr>
                    <w:t>WN</w:t>
                  </w:r>
                </w:p>
              </w:tc>
              <w:tc>
                <w:tcPr>
                  <w:tcW w:w="430" w:type="pct"/>
                  <w:tcBorders>
                    <w:tl2br w:val="nil"/>
                    <w:tr2bl w:val="nil"/>
                  </w:tcBorders>
                  <w:vAlign w:val="center"/>
                </w:tcPr>
                <w:p>
                  <w:pPr>
                    <w:pStyle w:val="39"/>
                    <w:jc w:val="center"/>
                  </w:pPr>
                  <w:r>
                    <w:rPr>
                      <w:rFonts w:hint="eastAsia"/>
                    </w:rPr>
                    <w:t>300</w:t>
                  </w:r>
                </w:p>
              </w:tc>
              <w:tc>
                <w:tcPr>
                  <w:tcW w:w="380" w:type="pct"/>
                  <w:tcBorders>
                    <w:tl2br w:val="nil"/>
                    <w:tr2bl w:val="nil"/>
                  </w:tcBorders>
                  <w:vAlign w:val="center"/>
                </w:tcPr>
                <w:p>
                  <w:pPr>
                    <w:pStyle w:val="39"/>
                    <w:jc w:val="center"/>
                  </w:pPr>
                  <w:r>
                    <w:rPr>
                      <w:rFonts w:hint="eastAsia"/>
                    </w:rPr>
                    <w:t>50</w:t>
                  </w:r>
                </w:p>
              </w:tc>
              <w:tc>
                <w:tcPr>
                  <w:tcW w:w="1209" w:type="pct"/>
                  <w:tcBorders>
                    <w:tl2br w:val="nil"/>
                    <w:tr2bl w:val="nil"/>
                  </w:tcBorders>
                  <w:vAlign w:val="center"/>
                </w:tcPr>
                <w:p>
                  <w:pPr>
                    <w:pStyle w:val="39"/>
                    <w:jc w:val="center"/>
                  </w:pPr>
                  <w:r>
                    <w:t>《环境空气质量标准》（GB3095-2012）二级标准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 w:type="pct"/>
                  <w:tcBorders>
                    <w:tl2br w:val="nil"/>
                    <w:tr2bl w:val="nil"/>
                  </w:tcBorders>
                  <w:vAlign w:val="center"/>
                </w:tcPr>
                <w:p>
                  <w:pPr>
                    <w:pStyle w:val="39"/>
                    <w:jc w:val="center"/>
                  </w:pPr>
                  <w:r>
                    <w:t>声环境</w:t>
                  </w:r>
                </w:p>
              </w:tc>
              <w:tc>
                <w:tcPr>
                  <w:tcW w:w="615" w:type="pct"/>
                  <w:tcBorders>
                    <w:tl2br w:val="nil"/>
                    <w:tr2bl w:val="nil"/>
                  </w:tcBorders>
                  <w:vAlign w:val="center"/>
                </w:tcPr>
                <w:p>
                  <w:pPr>
                    <w:pStyle w:val="39"/>
                    <w:jc w:val="center"/>
                  </w:pPr>
                  <w:r>
                    <w:t>厂界外扩50m范围</w:t>
                  </w:r>
                </w:p>
              </w:tc>
              <w:tc>
                <w:tcPr>
                  <w:tcW w:w="2801" w:type="pct"/>
                  <w:gridSpan w:val="5"/>
                  <w:tcBorders>
                    <w:tl2br w:val="nil"/>
                    <w:tr2bl w:val="nil"/>
                  </w:tcBorders>
                  <w:vAlign w:val="center"/>
                </w:tcPr>
                <w:p>
                  <w:pPr>
                    <w:pStyle w:val="39"/>
                    <w:jc w:val="center"/>
                  </w:pPr>
                  <w:r>
                    <w:t>厂界外50m范围内无声环境保护目标</w:t>
                  </w:r>
                </w:p>
              </w:tc>
              <w:tc>
                <w:tcPr>
                  <w:tcW w:w="1209" w:type="pct"/>
                  <w:tcBorders>
                    <w:tl2br w:val="nil"/>
                    <w:tr2bl w:val="nil"/>
                  </w:tcBorders>
                  <w:vAlign w:val="center"/>
                </w:tcPr>
                <w:p>
                  <w:pPr>
                    <w:pStyle w:val="39"/>
                    <w:jc w:val="center"/>
                  </w:pPr>
                  <w:r>
                    <w:t>《声环境质量标准》（GB3096-2008）</w:t>
                  </w:r>
                  <w:r>
                    <w:rPr>
                      <w:rFonts w:hint="eastAsia"/>
                    </w:rPr>
                    <w:t>1</w:t>
                  </w:r>
                  <w:r>
                    <w:t>类标准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3" w:type="pct"/>
                  <w:tcBorders>
                    <w:tl2br w:val="nil"/>
                    <w:tr2bl w:val="nil"/>
                  </w:tcBorders>
                  <w:vAlign w:val="center"/>
                </w:tcPr>
                <w:p>
                  <w:pPr>
                    <w:pStyle w:val="39"/>
                    <w:jc w:val="center"/>
                  </w:pPr>
                  <w:r>
                    <w:t>地下水环境</w:t>
                  </w:r>
                </w:p>
              </w:tc>
              <w:tc>
                <w:tcPr>
                  <w:tcW w:w="615" w:type="pct"/>
                  <w:tcBorders>
                    <w:tl2br w:val="nil"/>
                    <w:tr2bl w:val="nil"/>
                  </w:tcBorders>
                  <w:vAlign w:val="center"/>
                </w:tcPr>
                <w:p>
                  <w:pPr>
                    <w:pStyle w:val="39"/>
                    <w:jc w:val="center"/>
                  </w:pPr>
                  <w:r>
                    <w:t>厂界外扩500m范围</w:t>
                  </w:r>
                </w:p>
              </w:tc>
              <w:tc>
                <w:tcPr>
                  <w:tcW w:w="2801" w:type="pct"/>
                  <w:gridSpan w:val="5"/>
                  <w:tcBorders>
                    <w:tl2br w:val="nil"/>
                    <w:tr2bl w:val="nil"/>
                  </w:tcBorders>
                  <w:vAlign w:val="center"/>
                </w:tcPr>
                <w:p>
                  <w:pPr>
                    <w:pStyle w:val="39"/>
                    <w:jc w:val="center"/>
                  </w:pPr>
                  <w:r>
                    <w:t>厂界外500m范围内无地下水集中式饮用水水源和热水、矿泉水、温泉等特殊地下水资源</w:t>
                  </w:r>
                </w:p>
              </w:tc>
              <w:tc>
                <w:tcPr>
                  <w:tcW w:w="1209" w:type="pct"/>
                  <w:tcBorders>
                    <w:tl2br w:val="nil"/>
                    <w:tr2bl w:val="nil"/>
                  </w:tcBorders>
                  <w:vAlign w:val="center"/>
                </w:tcPr>
                <w:p>
                  <w:pPr>
                    <w:pStyle w:val="39"/>
                    <w:jc w:val="center"/>
                  </w:pPr>
                  <w:r>
                    <w:t>《地下水质量标准》(GB/T14848-2017)中Ⅲ类标准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373" w:type="pct"/>
                  <w:vAlign w:val="center"/>
                </w:tcPr>
                <w:p>
                  <w:pPr>
                    <w:pStyle w:val="39"/>
                    <w:jc w:val="center"/>
                  </w:pPr>
                  <w:r>
                    <w:rPr>
                      <w:rFonts w:hint="eastAsia"/>
                    </w:rPr>
                    <w:t>土壤环境</w:t>
                  </w:r>
                </w:p>
              </w:tc>
              <w:tc>
                <w:tcPr>
                  <w:tcW w:w="615" w:type="pct"/>
                  <w:vAlign w:val="center"/>
                </w:tcPr>
                <w:p>
                  <w:pPr>
                    <w:pStyle w:val="39"/>
                    <w:jc w:val="center"/>
                  </w:pPr>
                  <w:r>
                    <w:rPr>
                      <w:rFonts w:hint="eastAsia"/>
                    </w:rPr>
                    <w:t>厂界内50m范围</w:t>
                  </w:r>
                </w:p>
              </w:tc>
              <w:tc>
                <w:tcPr>
                  <w:tcW w:w="2801" w:type="pct"/>
                  <w:gridSpan w:val="5"/>
                  <w:vAlign w:val="center"/>
                </w:tcPr>
                <w:p>
                  <w:pPr>
                    <w:pStyle w:val="39"/>
                    <w:jc w:val="center"/>
                  </w:pPr>
                  <w:r>
                    <w:t>厂界</w:t>
                  </w:r>
                  <w:r>
                    <w:rPr>
                      <w:rFonts w:hint="eastAsia"/>
                    </w:rPr>
                    <w:t>内</w:t>
                  </w:r>
                  <w:r>
                    <w:t>50m范围内无</w:t>
                  </w:r>
                  <w:r>
                    <w:rPr>
                      <w:rFonts w:hint="eastAsia"/>
                    </w:rPr>
                    <w:t>土壤</w:t>
                  </w:r>
                  <w:r>
                    <w:t>环境保护目标</w:t>
                  </w:r>
                </w:p>
              </w:tc>
              <w:tc>
                <w:tcPr>
                  <w:tcW w:w="1209" w:type="pct"/>
                  <w:vAlign w:val="center"/>
                </w:tcPr>
                <w:p>
                  <w:pPr>
                    <w:pStyle w:val="39"/>
                    <w:jc w:val="center"/>
                  </w:pPr>
                  <w:r>
                    <w:t>--</w:t>
                  </w:r>
                </w:p>
              </w:tc>
            </w:tr>
          </w:tbl>
          <w:p>
            <w:pPr>
              <w:pStyle w:val="25"/>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675" w:type="dxa"/>
            <w:tcMar>
              <w:left w:w="28" w:type="dxa"/>
              <w:right w:w="28" w:type="dxa"/>
            </w:tcMar>
            <w:vAlign w:val="center"/>
          </w:tcPr>
          <w:p>
            <w:pPr>
              <w:ind w:firstLine="0" w:firstLineChars="0"/>
            </w:pPr>
            <w:r>
              <w:rPr>
                <w:rFonts w:hint="eastAsia"/>
              </w:rPr>
              <w:t>污染物排放控制标准</w:t>
            </w:r>
          </w:p>
        </w:tc>
        <w:tc>
          <w:tcPr>
            <w:tcW w:w="7872" w:type="dxa"/>
            <w:vAlign w:val="center"/>
          </w:tcPr>
          <w:p>
            <w:pPr>
              <w:ind w:firstLine="482"/>
              <w:rPr>
                <w:b/>
                <w:bCs/>
                <w:lang w:val="zh-CN"/>
              </w:rPr>
            </w:pPr>
            <w:r>
              <w:rPr>
                <w:b/>
                <w:bCs/>
                <w:lang w:val="zh-CN"/>
              </w:rPr>
              <w:t>1</w:t>
            </w:r>
            <w:r>
              <w:rPr>
                <w:rFonts w:hint="eastAsia"/>
                <w:b/>
                <w:bCs/>
                <w:lang w:val="zh-CN"/>
              </w:rPr>
              <w:t>.</w:t>
            </w:r>
            <w:r>
              <w:rPr>
                <w:b/>
                <w:bCs/>
                <w:lang w:val="zh-CN"/>
              </w:rPr>
              <w:t>大气污染物排放标准</w:t>
            </w:r>
          </w:p>
          <w:p>
            <w:pPr>
              <w:ind w:firstLine="482"/>
              <w:rPr>
                <w:b/>
                <w:bCs/>
              </w:rPr>
            </w:pPr>
            <w:r>
              <w:rPr>
                <w:rFonts w:hint="eastAsia"/>
                <w:b/>
                <w:bCs/>
              </w:rPr>
              <w:t>1.1施工期</w:t>
            </w:r>
          </w:p>
          <w:p>
            <w:pPr>
              <w:ind w:firstLine="480"/>
            </w:pPr>
            <w:r>
              <w:t>本项目施工期产生的废气污染物主要是颗粒物，排放执行《大气污染物综合排放标准》（GB16297-1996）表2新污染源大气污染物排放限值中“无组织排放监控浓度限值”</w:t>
            </w:r>
            <w:r>
              <w:rPr>
                <w:rFonts w:hint="eastAsia"/>
              </w:rPr>
              <w:t>。</w:t>
            </w:r>
          </w:p>
          <w:p>
            <w:pPr>
              <w:pStyle w:val="25"/>
            </w:pPr>
            <w:r>
              <w:t>表3-</w:t>
            </w:r>
            <w:r>
              <w:rPr>
                <w:rFonts w:hint="eastAsia"/>
              </w:rPr>
              <w:t xml:space="preserve">8 </w:t>
            </w:r>
            <w:r>
              <w:t>《大气污染物综合排放标准》（GB16297-1996）</w:t>
            </w:r>
          </w:p>
          <w:tbl>
            <w:tblPr>
              <w:tblStyle w:val="17"/>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38"/>
              <w:gridCol w:w="3381"/>
              <w:gridCol w:w="223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1" w:type="pct"/>
                  <w:vMerge w:val="restart"/>
                  <w:tcBorders>
                    <w:tl2br w:val="nil"/>
                    <w:tr2bl w:val="nil"/>
                  </w:tcBorders>
                  <w:tcMar>
                    <w:left w:w="28" w:type="dxa"/>
                    <w:right w:w="28" w:type="dxa"/>
                  </w:tcMar>
                  <w:vAlign w:val="center"/>
                </w:tcPr>
                <w:p>
                  <w:pPr>
                    <w:pStyle w:val="39"/>
                    <w:jc w:val="center"/>
                    <w:rPr>
                      <w:b/>
                      <w:bCs/>
                    </w:rPr>
                  </w:pPr>
                  <w:r>
                    <w:rPr>
                      <w:b/>
                      <w:bCs/>
                    </w:rPr>
                    <w:t>污染物</w:t>
                  </w:r>
                </w:p>
              </w:tc>
              <w:tc>
                <w:tcPr>
                  <w:tcW w:w="3668" w:type="pct"/>
                  <w:gridSpan w:val="2"/>
                  <w:tcBorders>
                    <w:tl2br w:val="nil"/>
                    <w:tr2bl w:val="nil"/>
                  </w:tcBorders>
                  <w:tcMar>
                    <w:left w:w="28" w:type="dxa"/>
                    <w:right w:w="28" w:type="dxa"/>
                  </w:tcMar>
                  <w:vAlign w:val="center"/>
                </w:tcPr>
                <w:p>
                  <w:pPr>
                    <w:pStyle w:val="39"/>
                    <w:jc w:val="center"/>
                    <w:rPr>
                      <w:b/>
                      <w:bCs/>
                    </w:rPr>
                  </w:pPr>
                  <w:r>
                    <w:rPr>
                      <w:b/>
                      <w:bCs/>
                    </w:rPr>
                    <w:t>无组织排放监控浓度限值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1" w:type="pct"/>
                  <w:vMerge w:val="continue"/>
                  <w:tcBorders>
                    <w:tl2br w:val="nil"/>
                    <w:tr2bl w:val="nil"/>
                  </w:tcBorders>
                  <w:tcMar>
                    <w:left w:w="28" w:type="dxa"/>
                    <w:right w:w="28" w:type="dxa"/>
                  </w:tcMar>
                  <w:vAlign w:val="center"/>
                </w:tcPr>
                <w:p>
                  <w:pPr>
                    <w:pStyle w:val="39"/>
                    <w:jc w:val="center"/>
                    <w:rPr>
                      <w:b/>
                      <w:bCs/>
                    </w:rPr>
                  </w:pPr>
                </w:p>
              </w:tc>
              <w:tc>
                <w:tcPr>
                  <w:tcW w:w="2208" w:type="pct"/>
                  <w:tcBorders>
                    <w:tl2br w:val="nil"/>
                    <w:tr2bl w:val="nil"/>
                  </w:tcBorders>
                  <w:tcMar>
                    <w:left w:w="28" w:type="dxa"/>
                    <w:right w:w="28" w:type="dxa"/>
                  </w:tcMar>
                  <w:vAlign w:val="center"/>
                </w:tcPr>
                <w:p>
                  <w:pPr>
                    <w:pStyle w:val="39"/>
                    <w:jc w:val="center"/>
                    <w:rPr>
                      <w:b/>
                      <w:bCs/>
                    </w:rPr>
                  </w:pPr>
                  <w:r>
                    <w:rPr>
                      <w:b/>
                      <w:bCs/>
                    </w:rPr>
                    <w:t>监控点</w:t>
                  </w:r>
                </w:p>
              </w:tc>
              <w:tc>
                <w:tcPr>
                  <w:tcW w:w="1459" w:type="pct"/>
                  <w:tcBorders>
                    <w:tl2br w:val="nil"/>
                    <w:tr2bl w:val="nil"/>
                  </w:tcBorders>
                  <w:tcMar>
                    <w:left w:w="28" w:type="dxa"/>
                    <w:right w:w="28" w:type="dxa"/>
                  </w:tcMar>
                  <w:vAlign w:val="center"/>
                </w:tcPr>
                <w:p>
                  <w:pPr>
                    <w:pStyle w:val="39"/>
                    <w:jc w:val="center"/>
                    <w:rPr>
                      <w:b/>
                      <w:bCs/>
                    </w:rPr>
                  </w:pPr>
                  <w:r>
                    <w:rPr>
                      <w:b/>
                      <w:bCs/>
                    </w:rPr>
                    <w:t>浓度(mg/m</w:t>
                  </w:r>
                  <w:r>
                    <w:rPr>
                      <w:b/>
                      <w:bCs/>
                      <w:vertAlign w:val="superscript"/>
                    </w:rPr>
                    <w:t>3</w:t>
                  </w:r>
                  <w:r>
                    <w:rPr>
                      <w:b/>
                      <w:bCs/>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1" w:type="pct"/>
                  <w:tcBorders>
                    <w:tl2br w:val="nil"/>
                    <w:tr2bl w:val="nil"/>
                  </w:tcBorders>
                  <w:tcMar>
                    <w:left w:w="28" w:type="dxa"/>
                    <w:right w:w="28" w:type="dxa"/>
                  </w:tcMar>
                  <w:vAlign w:val="center"/>
                </w:tcPr>
                <w:p>
                  <w:pPr>
                    <w:pStyle w:val="39"/>
                    <w:jc w:val="center"/>
                  </w:pPr>
                  <w:r>
                    <w:t>颗粒物</w:t>
                  </w:r>
                </w:p>
              </w:tc>
              <w:tc>
                <w:tcPr>
                  <w:tcW w:w="2208" w:type="pct"/>
                  <w:tcBorders>
                    <w:tl2br w:val="nil"/>
                    <w:tr2bl w:val="nil"/>
                  </w:tcBorders>
                  <w:tcMar>
                    <w:left w:w="28" w:type="dxa"/>
                    <w:right w:w="28" w:type="dxa"/>
                  </w:tcMar>
                  <w:vAlign w:val="center"/>
                </w:tcPr>
                <w:p>
                  <w:pPr>
                    <w:pStyle w:val="39"/>
                    <w:jc w:val="center"/>
                  </w:pPr>
                  <w:r>
                    <w:t>周围外浓度最高点</w:t>
                  </w:r>
                </w:p>
              </w:tc>
              <w:tc>
                <w:tcPr>
                  <w:tcW w:w="1459" w:type="pct"/>
                  <w:tcBorders>
                    <w:tl2br w:val="nil"/>
                    <w:tr2bl w:val="nil"/>
                  </w:tcBorders>
                  <w:tcMar>
                    <w:left w:w="28" w:type="dxa"/>
                    <w:right w:w="28" w:type="dxa"/>
                  </w:tcMar>
                  <w:vAlign w:val="center"/>
                </w:tcPr>
                <w:p>
                  <w:pPr>
                    <w:pStyle w:val="39"/>
                    <w:jc w:val="center"/>
                  </w:pPr>
                  <w:r>
                    <w:t>1.0</w:t>
                  </w:r>
                </w:p>
              </w:tc>
            </w:tr>
          </w:tbl>
          <w:p>
            <w:pPr>
              <w:ind w:firstLine="482"/>
              <w:rPr>
                <w:b/>
                <w:bCs/>
              </w:rPr>
            </w:pPr>
            <w:r>
              <w:rPr>
                <w:rFonts w:hint="eastAsia"/>
                <w:b/>
                <w:bCs/>
              </w:rPr>
              <w:t>1.2</w:t>
            </w:r>
            <w:bookmarkStart w:id="18" w:name="_GoBack"/>
            <w:bookmarkEnd w:id="18"/>
            <w:r>
              <w:rPr>
                <w:rFonts w:hint="eastAsia"/>
                <w:b/>
                <w:bCs/>
              </w:rPr>
              <w:t>运营期</w:t>
            </w:r>
          </w:p>
          <w:p>
            <w:pPr>
              <w:ind w:firstLine="480"/>
            </w:pPr>
            <w:r>
              <w:t>废气有组织及无组织排放分别执行《水泥工业大气污染物排放标准》（GB4915-2013）中表1中及表3标准。</w:t>
            </w:r>
          </w:p>
          <w:p>
            <w:pPr>
              <w:pStyle w:val="25"/>
            </w:pPr>
            <w:r>
              <w:t>表3-</w:t>
            </w:r>
            <w:r>
              <w:rPr>
                <w:rFonts w:hint="eastAsia"/>
              </w:rPr>
              <w:t>9《水泥工业大气污染物排放标准》（GB4915-2013）</w:t>
            </w:r>
            <w:r>
              <w:rPr>
                <w:rFonts w:hint="eastAsia"/>
                <w:lang w:eastAsia="zh-CN"/>
              </w:rPr>
              <w:t>（</w:t>
            </w:r>
            <w:r>
              <w:rPr>
                <w:rFonts w:hint="eastAsia"/>
              </w:rPr>
              <w:t>单位：mg/m</w:t>
            </w:r>
            <w:r>
              <w:rPr>
                <w:rFonts w:hint="eastAsia"/>
                <w:vertAlign w:val="superscript"/>
              </w:rPr>
              <w:t>3</w:t>
            </w:r>
            <w:r>
              <w:rPr>
                <w:rFonts w:hint="eastAsia"/>
                <w:lang w:eastAsia="zh-CN"/>
              </w:rPr>
              <w:t>）</w:t>
            </w:r>
          </w:p>
          <w:tbl>
            <w:tblPr>
              <w:tblStyle w:val="17"/>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2957"/>
              <w:gridCol w:w="214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666" w:type="pct"/>
                  <w:vAlign w:val="center"/>
                </w:tcPr>
                <w:p>
                  <w:pPr>
                    <w:pStyle w:val="39"/>
                    <w:jc w:val="center"/>
                    <w:rPr>
                      <w:b/>
                      <w:bCs/>
                    </w:rPr>
                  </w:pPr>
                  <w:r>
                    <w:rPr>
                      <w:rFonts w:hint="eastAsia"/>
                      <w:b/>
                      <w:bCs/>
                    </w:rPr>
                    <w:t>生产过程</w:t>
                  </w:r>
                </w:p>
              </w:tc>
              <w:tc>
                <w:tcPr>
                  <w:tcW w:w="1931" w:type="pct"/>
                  <w:vAlign w:val="center"/>
                </w:tcPr>
                <w:p>
                  <w:pPr>
                    <w:pStyle w:val="39"/>
                    <w:jc w:val="center"/>
                    <w:rPr>
                      <w:b/>
                      <w:bCs/>
                    </w:rPr>
                  </w:pPr>
                  <w:r>
                    <w:rPr>
                      <w:rFonts w:hint="eastAsia"/>
                      <w:b/>
                      <w:bCs/>
                    </w:rPr>
                    <w:t>生产设备</w:t>
                  </w:r>
                </w:p>
              </w:tc>
              <w:tc>
                <w:tcPr>
                  <w:tcW w:w="1402" w:type="pct"/>
                  <w:vAlign w:val="center"/>
                </w:tcPr>
                <w:p>
                  <w:pPr>
                    <w:pStyle w:val="39"/>
                    <w:jc w:val="center"/>
                    <w:rPr>
                      <w:b/>
                      <w:bCs/>
                    </w:rPr>
                  </w:pPr>
                  <w:r>
                    <w:rPr>
                      <w:rFonts w:hint="eastAsia"/>
                      <w:b/>
                      <w:bCs/>
                    </w:rPr>
                    <w:t>颗粒物</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pPr>
                    <w:pStyle w:val="39"/>
                    <w:jc w:val="center"/>
                  </w:pPr>
                  <w:r>
                    <w:rPr>
                      <w:rFonts w:hint="eastAsia"/>
                    </w:rPr>
                    <w:t>散装水泥中转站及水泥制品生产</w:t>
                  </w:r>
                </w:p>
              </w:tc>
              <w:tc>
                <w:tcPr>
                  <w:tcW w:w="1931" w:type="pct"/>
                  <w:vAlign w:val="center"/>
                </w:tcPr>
                <w:p>
                  <w:pPr>
                    <w:pStyle w:val="39"/>
                    <w:jc w:val="center"/>
                  </w:pPr>
                  <w:r>
                    <w:rPr>
                      <w:rFonts w:hint="eastAsia"/>
                    </w:rPr>
                    <w:t>水泥仓及其他通风生产设备</w:t>
                  </w:r>
                </w:p>
              </w:tc>
              <w:tc>
                <w:tcPr>
                  <w:tcW w:w="1402" w:type="pct"/>
                  <w:vAlign w:val="center"/>
                </w:tcPr>
                <w:p>
                  <w:pPr>
                    <w:pStyle w:val="39"/>
                    <w:jc w:val="center"/>
                  </w:pPr>
                  <w:r>
                    <w:rPr>
                      <w:rFonts w:hint="eastAsia"/>
                    </w:rPr>
                    <w:t>20</w:t>
                  </w:r>
                </w:p>
              </w:tc>
            </w:tr>
          </w:tbl>
          <w:p>
            <w:pPr>
              <w:pStyle w:val="25"/>
              <w:rPr>
                <w:rFonts w:hint="eastAsia"/>
              </w:rPr>
            </w:pPr>
          </w:p>
          <w:p>
            <w:pPr>
              <w:pStyle w:val="25"/>
              <w:rPr>
                <w:vertAlign w:val="superscript"/>
              </w:rPr>
            </w:pPr>
            <w:r>
              <w:rPr>
                <w:rFonts w:hint="eastAsia"/>
              </w:rPr>
              <w:t>表3-10《水泥工业大气污染物排放标准》（GB4915-2013）</w:t>
            </w:r>
            <w:r>
              <w:rPr>
                <w:rFonts w:hint="eastAsia"/>
                <w:lang w:eastAsia="zh-CN"/>
              </w:rPr>
              <w:t>（</w:t>
            </w:r>
            <w:r>
              <w:rPr>
                <w:rFonts w:hint="eastAsia"/>
              </w:rPr>
              <w:t>单位：mg/m</w:t>
            </w:r>
            <w:r>
              <w:rPr>
                <w:rFonts w:hint="eastAsia"/>
                <w:vertAlign w:val="superscript"/>
              </w:rPr>
              <w:t>3</w:t>
            </w:r>
            <w:r>
              <w:rPr>
                <w:rFonts w:hint="eastAsia"/>
                <w:lang w:eastAsia="zh-CN"/>
              </w:rPr>
              <w:t>）</w:t>
            </w:r>
          </w:p>
          <w:tbl>
            <w:tblPr>
              <w:tblStyle w:val="17"/>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361"/>
              <w:gridCol w:w="738"/>
              <w:gridCol w:w="2643"/>
              <w:gridCol w:w="214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9" w:type="pct"/>
                  <w:vAlign w:val="center"/>
                </w:tcPr>
                <w:p>
                  <w:pPr>
                    <w:pStyle w:val="39"/>
                    <w:jc w:val="center"/>
                    <w:rPr>
                      <w:b/>
                      <w:bCs/>
                    </w:rPr>
                  </w:pPr>
                  <w:r>
                    <w:rPr>
                      <w:rFonts w:hint="eastAsia"/>
                      <w:b/>
                      <w:bCs/>
                    </w:rPr>
                    <w:t>序号</w:t>
                  </w:r>
                </w:p>
              </w:tc>
              <w:tc>
                <w:tcPr>
                  <w:tcW w:w="889" w:type="pct"/>
                  <w:vAlign w:val="center"/>
                </w:tcPr>
                <w:p>
                  <w:pPr>
                    <w:pStyle w:val="39"/>
                    <w:jc w:val="center"/>
                    <w:rPr>
                      <w:b/>
                      <w:bCs/>
                    </w:rPr>
                  </w:pPr>
                  <w:r>
                    <w:rPr>
                      <w:rFonts w:hint="eastAsia"/>
                      <w:b/>
                      <w:bCs/>
                    </w:rPr>
                    <w:t>污染物项目</w:t>
                  </w:r>
                </w:p>
              </w:tc>
              <w:tc>
                <w:tcPr>
                  <w:tcW w:w="482" w:type="pct"/>
                  <w:vAlign w:val="center"/>
                </w:tcPr>
                <w:p>
                  <w:pPr>
                    <w:pStyle w:val="39"/>
                    <w:jc w:val="center"/>
                    <w:rPr>
                      <w:b/>
                      <w:bCs/>
                    </w:rPr>
                  </w:pPr>
                  <w:r>
                    <w:rPr>
                      <w:rFonts w:hint="eastAsia"/>
                      <w:b/>
                      <w:bCs/>
                    </w:rPr>
                    <w:t>限值</w:t>
                  </w:r>
                </w:p>
              </w:tc>
              <w:tc>
                <w:tcPr>
                  <w:tcW w:w="1726" w:type="pct"/>
                  <w:vAlign w:val="center"/>
                </w:tcPr>
                <w:p>
                  <w:pPr>
                    <w:pStyle w:val="39"/>
                    <w:jc w:val="center"/>
                    <w:rPr>
                      <w:b/>
                      <w:bCs/>
                    </w:rPr>
                  </w:pPr>
                  <w:r>
                    <w:rPr>
                      <w:rFonts w:hint="eastAsia"/>
                      <w:b/>
                      <w:bCs/>
                    </w:rPr>
                    <w:t>含义</w:t>
                  </w:r>
                </w:p>
              </w:tc>
              <w:tc>
                <w:tcPr>
                  <w:tcW w:w="1402" w:type="pct"/>
                  <w:vAlign w:val="center"/>
                </w:tcPr>
                <w:p>
                  <w:pPr>
                    <w:pStyle w:val="39"/>
                    <w:jc w:val="center"/>
                    <w:rPr>
                      <w:b/>
                      <w:bCs/>
                    </w:rPr>
                  </w:pPr>
                  <w:r>
                    <w:rPr>
                      <w:rFonts w:hint="eastAsia"/>
                      <w:b/>
                      <w:bCs/>
                    </w:rPr>
                    <w:t>无组织排放监控位置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9" w:type="pct"/>
                  <w:vAlign w:val="center"/>
                </w:tcPr>
                <w:p>
                  <w:pPr>
                    <w:pStyle w:val="39"/>
                    <w:jc w:val="center"/>
                  </w:pPr>
                  <w:r>
                    <w:rPr>
                      <w:rFonts w:hint="eastAsia"/>
                    </w:rPr>
                    <w:t>1</w:t>
                  </w:r>
                </w:p>
              </w:tc>
              <w:tc>
                <w:tcPr>
                  <w:tcW w:w="889" w:type="pct"/>
                  <w:vAlign w:val="center"/>
                </w:tcPr>
                <w:p>
                  <w:pPr>
                    <w:pStyle w:val="39"/>
                    <w:jc w:val="center"/>
                  </w:pPr>
                  <w:r>
                    <w:rPr>
                      <w:rFonts w:hint="eastAsia"/>
                    </w:rPr>
                    <w:t>颗粒物</w:t>
                  </w:r>
                </w:p>
              </w:tc>
              <w:tc>
                <w:tcPr>
                  <w:tcW w:w="482" w:type="pct"/>
                  <w:vAlign w:val="center"/>
                </w:tcPr>
                <w:p>
                  <w:pPr>
                    <w:pStyle w:val="39"/>
                    <w:jc w:val="center"/>
                  </w:pPr>
                  <w:r>
                    <w:rPr>
                      <w:rFonts w:hint="eastAsia"/>
                    </w:rPr>
                    <w:t>0.5</w:t>
                  </w:r>
                </w:p>
              </w:tc>
              <w:tc>
                <w:tcPr>
                  <w:tcW w:w="1726" w:type="pct"/>
                  <w:vAlign w:val="center"/>
                </w:tcPr>
                <w:p>
                  <w:pPr>
                    <w:pStyle w:val="39"/>
                    <w:jc w:val="center"/>
                  </w:pPr>
                  <w:r>
                    <w:rPr>
                      <w:rFonts w:hint="eastAsia"/>
                    </w:rPr>
                    <w:t>监控点与参照点总悬浮颗粒物（TSP）1小时浓度值的差值</w:t>
                  </w:r>
                </w:p>
              </w:tc>
              <w:tc>
                <w:tcPr>
                  <w:tcW w:w="1402" w:type="pct"/>
                  <w:vAlign w:val="center"/>
                </w:tcPr>
                <w:p>
                  <w:pPr>
                    <w:pStyle w:val="39"/>
                    <w:jc w:val="center"/>
                  </w:pPr>
                  <w:r>
                    <w:rPr>
                      <w:rFonts w:hint="eastAsia"/>
                    </w:rPr>
                    <w:t>厂界外20m处上风向设参照点，下风向设监控点</w:t>
                  </w:r>
                </w:p>
              </w:tc>
            </w:tr>
          </w:tbl>
          <w:p>
            <w:pPr>
              <w:ind w:firstLine="482"/>
              <w:rPr>
                <w:b/>
                <w:bCs/>
              </w:rPr>
            </w:pPr>
            <w:r>
              <w:rPr>
                <w:b/>
                <w:bCs/>
              </w:rPr>
              <w:t>2</w:t>
            </w:r>
            <w:r>
              <w:rPr>
                <w:rFonts w:hint="eastAsia"/>
                <w:b/>
                <w:bCs/>
              </w:rPr>
              <w:t>.废水</w:t>
            </w:r>
          </w:p>
          <w:p>
            <w:pPr>
              <w:ind w:firstLine="480"/>
            </w:pPr>
            <w:r>
              <w:t>项目运营期主要为生活污水，生活污水经化粪池处理达到《污水综合排放标准》</w:t>
            </w:r>
            <w:r>
              <w:rPr>
                <w:rFonts w:hint="eastAsia"/>
              </w:rPr>
              <w:t>（</w:t>
            </w:r>
            <w:r>
              <w:t>GB8978－1996</w:t>
            </w:r>
            <w:r>
              <w:rPr>
                <w:rFonts w:hint="eastAsia"/>
              </w:rPr>
              <w:t>）</w:t>
            </w:r>
            <w:r>
              <w:t>表4中三级标准后，拉运至</w:t>
            </w:r>
            <w:r>
              <w:rPr>
                <w:rFonts w:hint="eastAsia"/>
              </w:rPr>
              <w:t>内蒙古皓淇环境卫生管理有限公司</w:t>
            </w:r>
            <w:r>
              <w:t>污水处理厂处理。</w:t>
            </w:r>
          </w:p>
          <w:p>
            <w:pPr>
              <w:pStyle w:val="25"/>
            </w:pPr>
            <w:r>
              <w:t>表</w:t>
            </w:r>
            <w:r>
              <w:rPr>
                <w:rFonts w:hint="eastAsia"/>
              </w:rPr>
              <w:t>3-11</w:t>
            </w:r>
            <w:r>
              <w:t>《污水综合排放标准》（GB8978-1996）（三级标准）</w:t>
            </w:r>
            <w:r>
              <w:rPr>
                <w:rFonts w:hint="eastAsia"/>
                <w:lang w:eastAsia="zh-CN"/>
              </w:rPr>
              <w:t>（</w:t>
            </w:r>
            <w:r>
              <w:rPr>
                <w:rFonts w:hint="eastAsia"/>
              </w:rPr>
              <w:t>单位：mg/L</w:t>
            </w:r>
            <w:r>
              <w:rPr>
                <w:rFonts w:hint="eastAsia"/>
                <w:lang w:eastAsia="zh-CN"/>
              </w:rPr>
              <w:t>）</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204"/>
              <w:gridCol w:w="967"/>
              <w:gridCol w:w="1155"/>
              <w:gridCol w:w="1441"/>
              <w:gridCol w:w="1300"/>
              <w:gridCol w:w="1589"/>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86" w:type="pct"/>
                  <w:tcMar>
                    <w:top w:w="0" w:type="dxa"/>
                    <w:left w:w="28" w:type="dxa"/>
                    <w:bottom w:w="0" w:type="dxa"/>
                    <w:right w:w="28" w:type="dxa"/>
                  </w:tcMar>
                  <w:vAlign w:val="center"/>
                </w:tcPr>
                <w:p>
                  <w:pPr>
                    <w:pStyle w:val="39"/>
                    <w:jc w:val="center"/>
                    <w:rPr>
                      <w:b/>
                      <w:bCs/>
                    </w:rPr>
                  </w:pPr>
                  <w:r>
                    <w:rPr>
                      <w:b/>
                      <w:bCs/>
                    </w:rPr>
                    <w:t>项目</w:t>
                  </w:r>
                </w:p>
              </w:tc>
              <w:tc>
                <w:tcPr>
                  <w:tcW w:w="631" w:type="pct"/>
                  <w:tcMar>
                    <w:top w:w="0" w:type="dxa"/>
                    <w:left w:w="28" w:type="dxa"/>
                    <w:bottom w:w="0" w:type="dxa"/>
                    <w:right w:w="28" w:type="dxa"/>
                  </w:tcMar>
                  <w:vAlign w:val="center"/>
                </w:tcPr>
                <w:p>
                  <w:pPr>
                    <w:pStyle w:val="39"/>
                    <w:jc w:val="center"/>
                    <w:rPr>
                      <w:b/>
                      <w:bCs/>
                    </w:rPr>
                  </w:pPr>
                  <w:r>
                    <w:rPr>
                      <w:b/>
                      <w:bCs/>
                    </w:rPr>
                    <w:t>PH</w:t>
                  </w:r>
                </w:p>
              </w:tc>
              <w:tc>
                <w:tcPr>
                  <w:tcW w:w="754" w:type="pct"/>
                  <w:tcMar>
                    <w:top w:w="0" w:type="dxa"/>
                    <w:left w:w="28" w:type="dxa"/>
                    <w:bottom w:w="0" w:type="dxa"/>
                    <w:right w:w="28" w:type="dxa"/>
                  </w:tcMar>
                  <w:vAlign w:val="center"/>
                </w:tcPr>
                <w:p>
                  <w:pPr>
                    <w:pStyle w:val="39"/>
                    <w:jc w:val="center"/>
                    <w:rPr>
                      <w:b/>
                      <w:bCs/>
                    </w:rPr>
                  </w:pPr>
                  <w:r>
                    <w:rPr>
                      <w:b/>
                      <w:bCs/>
                    </w:rPr>
                    <w:t>SS</w:t>
                  </w:r>
                </w:p>
              </w:tc>
              <w:tc>
                <w:tcPr>
                  <w:tcW w:w="940" w:type="pct"/>
                  <w:tcMar>
                    <w:top w:w="0" w:type="dxa"/>
                    <w:left w:w="28" w:type="dxa"/>
                    <w:bottom w:w="0" w:type="dxa"/>
                    <w:right w:w="28" w:type="dxa"/>
                  </w:tcMar>
                  <w:vAlign w:val="center"/>
                </w:tcPr>
                <w:p>
                  <w:pPr>
                    <w:pStyle w:val="39"/>
                    <w:jc w:val="center"/>
                    <w:rPr>
                      <w:b/>
                      <w:bCs/>
                    </w:rPr>
                  </w:pPr>
                  <w:r>
                    <w:rPr>
                      <w:b/>
                      <w:bCs/>
                    </w:rPr>
                    <w:t>COD</w:t>
                  </w:r>
                </w:p>
              </w:tc>
              <w:tc>
                <w:tcPr>
                  <w:tcW w:w="848" w:type="pct"/>
                  <w:tcMar>
                    <w:top w:w="0" w:type="dxa"/>
                    <w:left w:w="28" w:type="dxa"/>
                    <w:bottom w:w="0" w:type="dxa"/>
                    <w:right w:w="28" w:type="dxa"/>
                  </w:tcMar>
                  <w:vAlign w:val="center"/>
                </w:tcPr>
                <w:p>
                  <w:pPr>
                    <w:pStyle w:val="39"/>
                    <w:jc w:val="center"/>
                    <w:rPr>
                      <w:b/>
                      <w:bCs/>
                    </w:rPr>
                  </w:pPr>
                  <w:r>
                    <w:rPr>
                      <w:b/>
                      <w:bCs/>
                    </w:rPr>
                    <w:t>BOD</w:t>
                  </w:r>
                  <w:r>
                    <w:rPr>
                      <w:b/>
                      <w:bCs/>
                      <w:vertAlign w:val="subscript"/>
                    </w:rPr>
                    <w:t>5</w:t>
                  </w:r>
                </w:p>
              </w:tc>
              <w:tc>
                <w:tcPr>
                  <w:tcW w:w="1037" w:type="pct"/>
                  <w:tcMar>
                    <w:top w:w="0" w:type="dxa"/>
                    <w:left w:w="28" w:type="dxa"/>
                    <w:bottom w:w="0" w:type="dxa"/>
                    <w:right w:w="28" w:type="dxa"/>
                  </w:tcMar>
                  <w:vAlign w:val="center"/>
                </w:tcPr>
                <w:p>
                  <w:pPr>
                    <w:pStyle w:val="39"/>
                    <w:jc w:val="center"/>
                    <w:rPr>
                      <w:b/>
                      <w:bCs/>
                    </w:rPr>
                  </w:pPr>
                  <w:r>
                    <w:rPr>
                      <w:b/>
                      <w:bCs/>
                    </w:rPr>
                    <w:t>NH</w:t>
                  </w:r>
                  <w:r>
                    <w:rPr>
                      <w:b/>
                      <w:bCs/>
                      <w:vertAlign w:val="subscript"/>
                    </w:rPr>
                    <w:t>3</w:t>
                  </w:r>
                  <w:r>
                    <w:rPr>
                      <w:b/>
                      <w:bCs/>
                    </w:rPr>
                    <w:t>－N</w:t>
                  </w:r>
                </w:p>
              </w:tc>
            </w:tr>
            <w:tr>
              <w:tblPrEx>
                <w:tblCellMar>
                  <w:top w:w="0" w:type="dxa"/>
                  <w:left w:w="108" w:type="dxa"/>
                  <w:bottom w:w="0" w:type="dxa"/>
                  <w:right w:w="108" w:type="dxa"/>
                </w:tblCellMar>
              </w:tblPrEx>
              <w:trPr>
                <w:trHeight w:val="340" w:hRule="exact"/>
                <w:jc w:val="center"/>
              </w:trPr>
              <w:tc>
                <w:tcPr>
                  <w:tcW w:w="786" w:type="pct"/>
                  <w:tcMar>
                    <w:top w:w="0" w:type="dxa"/>
                    <w:left w:w="28" w:type="dxa"/>
                    <w:bottom w:w="0" w:type="dxa"/>
                    <w:right w:w="28" w:type="dxa"/>
                  </w:tcMar>
                  <w:vAlign w:val="center"/>
                </w:tcPr>
                <w:p>
                  <w:pPr>
                    <w:pStyle w:val="39"/>
                    <w:jc w:val="center"/>
                  </w:pPr>
                  <w:r>
                    <w:t>三级标准</w:t>
                  </w:r>
                </w:p>
              </w:tc>
              <w:tc>
                <w:tcPr>
                  <w:tcW w:w="631" w:type="pct"/>
                  <w:tcMar>
                    <w:top w:w="0" w:type="dxa"/>
                    <w:left w:w="28" w:type="dxa"/>
                    <w:bottom w:w="0" w:type="dxa"/>
                    <w:right w:w="28" w:type="dxa"/>
                  </w:tcMar>
                  <w:vAlign w:val="center"/>
                </w:tcPr>
                <w:p>
                  <w:pPr>
                    <w:pStyle w:val="39"/>
                    <w:jc w:val="center"/>
                  </w:pPr>
                  <w:r>
                    <w:t>6～9</w:t>
                  </w:r>
                </w:p>
              </w:tc>
              <w:tc>
                <w:tcPr>
                  <w:tcW w:w="754" w:type="pct"/>
                  <w:tcMar>
                    <w:top w:w="0" w:type="dxa"/>
                    <w:left w:w="28" w:type="dxa"/>
                    <w:bottom w:w="0" w:type="dxa"/>
                    <w:right w:w="28" w:type="dxa"/>
                  </w:tcMar>
                  <w:vAlign w:val="center"/>
                </w:tcPr>
                <w:p>
                  <w:pPr>
                    <w:pStyle w:val="39"/>
                    <w:jc w:val="center"/>
                  </w:pPr>
                  <w:r>
                    <w:t>400</w:t>
                  </w:r>
                </w:p>
              </w:tc>
              <w:tc>
                <w:tcPr>
                  <w:tcW w:w="940" w:type="pct"/>
                  <w:tcMar>
                    <w:top w:w="0" w:type="dxa"/>
                    <w:left w:w="28" w:type="dxa"/>
                    <w:bottom w:w="0" w:type="dxa"/>
                    <w:right w:w="28" w:type="dxa"/>
                  </w:tcMar>
                  <w:vAlign w:val="center"/>
                </w:tcPr>
                <w:p>
                  <w:pPr>
                    <w:pStyle w:val="39"/>
                    <w:jc w:val="center"/>
                  </w:pPr>
                  <w:r>
                    <w:t>500</w:t>
                  </w:r>
                </w:p>
              </w:tc>
              <w:tc>
                <w:tcPr>
                  <w:tcW w:w="848" w:type="pct"/>
                  <w:tcMar>
                    <w:top w:w="0" w:type="dxa"/>
                    <w:left w:w="28" w:type="dxa"/>
                    <w:bottom w:w="0" w:type="dxa"/>
                    <w:right w:w="28" w:type="dxa"/>
                  </w:tcMar>
                  <w:vAlign w:val="center"/>
                </w:tcPr>
                <w:p>
                  <w:pPr>
                    <w:pStyle w:val="39"/>
                    <w:jc w:val="center"/>
                  </w:pPr>
                  <w:r>
                    <w:t>300</w:t>
                  </w:r>
                </w:p>
              </w:tc>
              <w:tc>
                <w:tcPr>
                  <w:tcW w:w="1037" w:type="pct"/>
                  <w:tcMar>
                    <w:top w:w="0" w:type="dxa"/>
                    <w:left w:w="28" w:type="dxa"/>
                    <w:bottom w:w="0" w:type="dxa"/>
                    <w:right w:w="28" w:type="dxa"/>
                  </w:tcMar>
                  <w:vAlign w:val="center"/>
                </w:tcPr>
                <w:p>
                  <w:pPr>
                    <w:pStyle w:val="39"/>
                    <w:jc w:val="center"/>
                    <w:rPr>
                      <w:rFonts w:hint="eastAsia" w:eastAsia="宋体"/>
                      <w:lang w:eastAsia="zh-CN"/>
                    </w:rPr>
                  </w:pPr>
                  <w:r>
                    <w:rPr>
                      <w:rFonts w:hint="eastAsia"/>
                      <w:lang w:val="en-US" w:eastAsia="zh-CN"/>
                    </w:rPr>
                    <w:t>/</w:t>
                  </w:r>
                </w:p>
              </w:tc>
            </w:tr>
          </w:tbl>
          <w:p>
            <w:pPr>
              <w:ind w:firstLine="482"/>
              <w:rPr>
                <w:b/>
                <w:bCs/>
              </w:rPr>
            </w:pPr>
            <w:r>
              <w:rPr>
                <w:rFonts w:hint="eastAsia"/>
                <w:b/>
                <w:bCs/>
              </w:rPr>
              <w:t>3.</w:t>
            </w:r>
            <w:r>
              <w:rPr>
                <w:b/>
                <w:bCs/>
              </w:rPr>
              <w:t>噪声</w:t>
            </w:r>
          </w:p>
          <w:p>
            <w:pPr>
              <w:ind w:firstLine="480"/>
            </w:pPr>
            <w:r>
              <w:t>本项目施工期噪声排放执行《建筑施工场界环境噪声排放标准》（GB12523-2011），见表3-</w:t>
            </w:r>
            <w:r>
              <w:rPr>
                <w:rFonts w:hint="eastAsia"/>
              </w:rPr>
              <w:t>12</w:t>
            </w:r>
            <w:r>
              <w:t>。</w:t>
            </w:r>
          </w:p>
          <w:p>
            <w:pPr>
              <w:pStyle w:val="25"/>
            </w:pPr>
            <w:r>
              <w:t>表3-</w:t>
            </w:r>
            <w:r>
              <w:rPr>
                <w:rFonts w:hint="eastAsia"/>
              </w:rPr>
              <w:t>12</w:t>
            </w:r>
            <w:r>
              <w:t>《建筑施工场界环境噪声排放标准》（摘录）</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1292"/>
              <w:gridCol w:w="486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8" w:type="pct"/>
                  <w:vAlign w:val="center"/>
                </w:tcPr>
                <w:p>
                  <w:pPr>
                    <w:pStyle w:val="39"/>
                    <w:jc w:val="center"/>
                    <w:rPr>
                      <w:b/>
                      <w:bCs/>
                    </w:rPr>
                  </w:pPr>
                  <w:r>
                    <w:rPr>
                      <w:b/>
                      <w:bCs/>
                    </w:rPr>
                    <w:t>昼间限值</w:t>
                  </w:r>
                </w:p>
              </w:tc>
              <w:tc>
                <w:tcPr>
                  <w:tcW w:w="844" w:type="pct"/>
                  <w:vAlign w:val="center"/>
                </w:tcPr>
                <w:p>
                  <w:pPr>
                    <w:pStyle w:val="39"/>
                    <w:jc w:val="center"/>
                    <w:rPr>
                      <w:b/>
                      <w:bCs/>
                    </w:rPr>
                  </w:pPr>
                  <w:r>
                    <w:rPr>
                      <w:b/>
                      <w:bCs/>
                    </w:rPr>
                    <w:t>夜间限值</w:t>
                  </w:r>
                </w:p>
              </w:tc>
              <w:tc>
                <w:tcPr>
                  <w:tcW w:w="3177" w:type="pct"/>
                  <w:vAlign w:val="center"/>
                </w:tcPr>
                <w:p>
                  <w:pPr>
                    <w:pStyle w:val="39"/>
                    <w:jc w:val="center"/>
                    <w:rPr>
                      <w:b/>
                      <w:bCs/>
                    </w:rPr>
                  </w:pPr>
                  <w:r>
                    <w:rPr>
                      <w:b/>
                      <w:bCs/>
                    </w:rPr>
                    <w:t>标准来源</w:t>
                  </w:r>
                </w:p>
              </w:tc>
            </w:tr>
            <w:tr>
              <w:tblPrEx>
                <w:tblCellMar>
                  <w:top w:w="0" w:type="dxa"/>
                  <w:left w:w="108" w:type="dxa"/>
                  <w:bottom w:w="0" w:type="dxa"/>
                  <w:right w:w="108" w:type="dxa"/>
                </w:tblCellMar>
              </w:tblPrEx>
              <w:trPr>
                <w:trHeight w:val="340" w:hRule="atLeast"/>
                <w:jc w:val="center"/>
              </w:trPr>
              <w:tc>
                <w:tcPr>
                  <w:tcW w:w="978" w:type="pct"/>
                  <w:vAlign w:val="center"/>
                </w:tcPr>
                <w:p>
                  <w:pPr>
                    <w:pStyle w:val="39"/>
                    <w:jc w:val="center"/>
                  </w:pPr>
                  <w:r>
                    <w:t>70</w:t>
                  </w:r>
                </w:p>
              </w:tc>
              <w:tc>
                <w:tcPr>
                  <w:tcW w:w="844" w:type="pct"/>
                  <w:vAlign w:val="center"/>
                </w:tcPr>
                <w:p>
                  <w:pPr>
                    <w:pStyle w:val="39"/>
                    <w:jc w:val="center"/>
                  </w:pPr>
                  <w:r>
                    <w:t>55</w:t>
                  </w:r>
                </w:p>
              </w:tc>
              <w:tc>
                <w:tcPr>
                  <w:tcW w:w="3177" w:type="pct"/>
                  <w:vAlign w:val="center"/>
                </w:tcPr>
                <w:p>
                  <w:pPr>
                    <w:pStyle w:val="39"/>
                    <w:jc w:val="center"/>
                  </w:pPr>
                  <w:r>
                    <w:t>《建筑施工场界环境噪声排放标准》（GB12523-2011）</w:t>
                  </w:r>
                </w:p>
              </w:tc>
            </w:tr>
          </w:tbl>
          <w:p>
            <w:pPr>
              <w:ind w:firstLine="480"/>
            </w:pPr>
            <w:r>
              <w:t>本项目运营期噪声主要为生产设备运行噪声，厂界四周噪声值执行《工业企业厂界环境噪声排放标准》（GB12348-2008）表1工业企业厂界环境噪声排放限值，标准值见表3</w:t>
            </w:r>
            <w:r>
              <w:rPr>
                <w:rFonts w:hint="eastAsia"/>
              </w:rPr>
              <w:t>-13</w:t>
            </w:r>
            <w:r>
              <w:t>。</w:t>
            </w:r>
          </w:p>
          <w:p>
            <w:pPr>
              <w:pStyle w:val="25"/>
            </w:pPr>
            <w:r>
              <w:t>表3-</w:t>
            </w:r>
            <w:r>
              <w:rPr>
                <w:rFonts w:hint="eastAsia"/>
              </w:rPr>
              <w:t>13</w:t>
            </w:r>
            <w:r>
              <w:t>《工业企业厂界环境噪声排放标准》（GB12348-2008）</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774"/>
              <w:gridCol w:w="2217"/>
              <w:gridCol w:w="266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2" w:type="pct"/>
                  <w:tcBorders>
                    <w:tl2br w:val="nil"/>
                    <w:tr2bl w:val="nil"/>
                  </w:tcBorders>
                  <w:tcMar>
                    <w:left w:w="28" w:type="dxa"/>
                    <w:right w:w="28" w:type="dxa"/>
                  </w:tcMar>
                  <w:vAlign w:val="center"/>
                </w:tcPr>
                <w:p>
                  <w:pPr>
                    <w:pStyle w:val="39"/>
                    <w:jc w:val="center"/>
                    <w:rPr>
                      <w:b/>
                      <w:bCs/>
                    </w:rPr>
                  </w:pPr>
                  <w:r>
                    <w:rPr>
                      <w:b/>
                      <w:bCs/>
                    </w:rPr>
                    <w:t>类别</w:t>
                  </w:r>
                </w:p>
              </w:tc>
              <w:tc>
                <w:tcPr>
                  <w:tcW w:w="1448" w:type="pct"/>
                  <w:tcBorders>
                    <w:tl2br w:val="nil"/>
                    <w:tr2bl w:val="nil"/>
                  </w:tcBorders>
                  <w:tcMar>
                    <w:left w:w="28" w:type="dxa"/>
                    <w:right w:w="28" w:type="dxa"/>
                  </w:tcMar>
                  <w:vAlign w:val="center"/>
                </w:tcPr>
                <w:p>
                  <w:pPr>
                    <w:pStyle w:val="39"/>
                    <w:jc w:val="center"/>
                    <w:rPr>
                      <w:b/>
                      <w:bCs/>
                    </w:rPr>
                  </w:pPr>
                  <w:r>
                    <w:rPr>
                      <w:b/>
                      <w:bCs/>
                    </w:rPr>
                    <w:t>昼间</w:t>
                  </w:r>
                </w:p>
              </w:tc>
              <w:tc>
                <w:tcPr>
                  <w:tcW w:w="1738" w:type="pct"/>
                  <w:tcBorders>
                    <w:tl2br w:val="nil"/>
                    <w:tr2bl w:val="nil"/>
                  </w:tcBorders>
                  <w:tcMar>
                    <w:left w:w="28" w:type="dxa"/>
                    <w:right w:w="28" w:type="dxa"/>
                  </w:tcMar>
                  <w:vAlign w:val="center"/>
                </w:tcPr>
                <w:p>
                  <w:pPr>
                    <w:pStyle w:val="39"/>
                    <w:jc w:val="center"/>
                    <w:rPr>
                      <w:b/>
                      <w:bCs/>
                    </w:rPr>
                  </w:pPr>
                  <w:r>
                    <w:rPr>
                      <w:b/>
                      <w:bCs/>
                    </w:rPr>
                    <w:t>夜间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2" w:type="pct"/>
                  <w:tcBorders>
                    <w:tl2br w:val="nil"/>
                    <w:tr2bl w:val="nil"/>
                  </w:tcBorders>
                  <w:tcMar>
                    <w:left w:w="28" w:type="dxa"/>
                    <w:right w:w="28" w:type="dxa"/>
                  </w:tcMar>
                  <w:vAlign w:val="center"/>
                </w:tcPr>
                <w:p>
                  <w:pPr>
                    <w:pStyle w:val="39"/>
                    <w:jc w:val="center"/>
                  </w:pPr>
                  <w:r>
                    <w:rPr>
                      <w:rFonts w:hint="eastAsia"/>
                    </w:rPr>
                    <w:t>1</w:t>
                  </w:r>
                  <w:r>
                    <w:t>类声环境功能区</w:t>
                  </w:r>
                </w:p>
              </w:tc>
              <w:tc>
                <w:tcPr>
                  <w:tcW w:w="1448" w:type="pct"/>
                  <w:tcBorders>
                    <w:tl2br w:val="nil"/>
                    <w:tr2bl w:val="nil"/>
                  </w:tcBorders>
                  <w:tcMar>
                    <w:left w:w="28" w:type="dxa"/>
                    <w:right w:w="28" w:type="dxa"/>
                  </w:tcMar>
                  <w:vAlign w:val="center"/>
                </w:tcPr>
                <w:p>
                  <w:pPr>
                    <w:pStyle w:val="39"/>
                    <w:jc w:val="center"/>
                  </w:pPr>
                  <w:r>
                    <w:rPr>
                      <w:rFonts w:hint="eastAsia"/>
                    </w:rPr>
                    <w:t>55</w:t>
                  </w:r>
                  <w:r>
                    <w:t>d(A)</w:t>
                  </w:r>
                </w:p>
              </w:tc>
              <w:tc>
                <w:tcPr>
                  <w:tcW w:w="1738" w:type="pct"/>
                  <w:tcBorders>
                    <w:tl2br w:val="nil"/>
                    <w:tr2bl w:val="nil"/>
                  </w:tcBorders>
                  <w:tcMar>
                    <w:left w:w="28" w:type="dxa"/>
                    <w:right w:w="28" w:type="dxa"/>
                  </w:tcMar>
                  <w:vAlign w:val="center"/>
                </w:tcPr>
                <w:p>
                  <w:pPr>
                    <w:pStyle w:val="39"/>
                    <w:jc w:val="center"/>
                  </w:pPr>
                  <w:r>
                    <w:rPr>
                      <w:rFonts w:hint="eastAsia"/>
                    </w:rPr>
                    <w:t>45</w:t>
                  </w:r>
                  <w:r>
                    <w:t>dB(A)</w:t>
                  </w:r>
                </w:p>
              </w:tc>
            </w:tr>
          </w:tbl>
          <w:p>
            <w:pPr>
              <w:ind w:firstLine="482"/>
              <w:rPr>
                <w:b/>
              </w:rPr>
            </w:pPr>
            <w:r>
              <w:rPr>
                <w:rFonts w:hint="eastAsia"/>
                <w:b/>
              </w:rPr>
              <w:t>4.</w:t>
            </w:r>
            <w:r>
              <w:rPr>
                <w:b/>
              </w:rPr>
              <w:t>固体废物控制标准</w:t>
            </w:r>
          </w:p>
          <w:p>
            <w:pPr>
              <w:ind w:firstLine="480"/>
            </w:pPr>
            <w:r>
              <w:rPr>
                <w:rFonts w:hint="eastAsia" w:ascii="宋体" w:hAnsi="宋体" w:cs="宋体"/>
                <w:color w:val="000000" w:themeColor="text1"/>
                <w:lang w:bidi="ar"/>
                <w14:textFill>
                  <w14:solidFill>
                    <w14:schemeClr w14:val="tx1"/>
                  </w14:solidFill>
                </w14:textFill>
              </w:rPr>
              <w:t>一般工业固体废物执行《一般工业固体废物贮存和填埋污染控制标准》</w:t>
            </w:r>
            <w:r>
              <w:rPr>
                <w:color w:val="000000" w:themeColor="text1"/>
                <w:lang w:bidi="ar"/>
                <w14:textFill>
                  <w14:solidFill>
                    <w14:schemeClr w14:val="tx1"/>
                  </w14:solidFill>
                </w14:textFill>
              </w:rPr>
              <w:t>（GB18599-2020）</w:t>
            </w:r>
            <w:r>
              <w:t>中的相关规定。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675" w:type="dxa"/>
            <w:vAlign w:val="center"/>
          </w:tcPr>
          <w:p>
            <w:pPr>
              <w:ind w:firstLine="0" w:firstLineChars="0"/>
            </w:pPr>
            <w:r>
              <w:rPr>
                <w:rFonts w:hint="eastAsia"/>
              </w:rPr>
              <w:t>总量控制指标</w:t>
            </w:r>
          </w:p>
        </w:tc>
        <w:tc>
          <w:tcPr>
            <w:tcW w:w="7872" w:type="dxa"/>
            <w:vAlign w:val="center"/>
          </w:tcPr>
          <w:p>
            <w:pPr>
              <w:ind w:firstLine="480"/>
            </w:pPr>
            <w:r>
              <w:t>根据《内蒙古自治区“十四五”生态环境保护规划》中规定，现阶段实施污染物总量控制的指标为挥发性有机物、NOx、COD和NH</w:t>
            </w:r>
            <w:r>
              <w:rPr>
                <w:vertAlign w:val="subscript"/>
              </w:rPr>
              <w:t>3</w:t>
            </w:r>
            <w:r>
              <w:t>-N。</w:t>
            </w:r>
            <w:r>
              <w:rPr>
                <w:rFonts w:hint="eastAsia"/>
              </w:rPr>
              <w:t>本项目产生的大气污染物主要为TSP；</w:t>
            </w:r>
            <w:r>
              <w:t>生活污水最终进入</w:t>
            </w:r>
            <w:r>
              <w:rPr>
                <w:rFonts w:hint="eastAsia"/>
              </w:rPr>
              <w:t>内蒙古皓淇环境卫生管理有限公司</w:t>
            </w:r>
            <w:r>
              <w:t>污水处理厂，因此无需申请总量。</w:t>
            </w:r>
          </w:p>
        </w:tc>
      </w:tr>
    </w:tbl>
    <w:p>
      <w:pPr>
        <w:pStyle w:val="2"/>
        <w:ind w:firstLine="640"/>
        <w:rPr>
          <w:snapToGrid w:val="0"/>
        </w:rPr>
        <w:sectPr>
          <w:pgSz w:w="11906" w:h="16838"/>
          <w:pgMar w:top="1440" w:right="1800" w:bottom="1440" w:left="1800" w:header="992" w:footer="992" w:gutter="0"/>
          <w:cols w:space="425" w:num="1"/>
          <w:docGrid w:type="lines" w:linePitch="312" w:charSpace="0"/>
        </w:sectPr>
      </w:pPr>
    </w:p>
    <w:p>
      <w:pPr>
        <w:pStyle w:val="2"/>
        <w:ind w:firstLine="640"/>
        <w:jc w:val="center"/>
      </w:pPr>
      <w:bookmarkStart w:id="8" w:name="_Toc144507128"/>
      <w:r>
        <w:rPr>
          <w:rFonts w:hint="eastAsia"/>
          <w:snapToGrid w:val="0"/>
        </w:rPr>
        <w:t>四、主要</w:t>
      </w:r>
      <w:r>
        <w:rPr>
          <w:rFonts w:hint="eastAsia"/>
          <w:snapToGrid w:val="0"/>
          <w:lang w:eastAsia="zh-CN"/>
        </w:rPr>
        <w:t>的</w:t>
      </w:r>
      <w:r>
        <w:rPr>
          <w:rFonts w:hint="eastAsia"/>
          <w:snapToGrid w:val="0"/>
        </w:rPr>
        <w:t>环境影响和保护措施</w:t>
      </w:r>
      <w:bookmarkEnd w:id="8"/>
    </w:p>
    <w:tbl>
      <w:tblPr>
        <w:tblStyle w:val="17"/>
        <w:tblW w:w="86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69"/>
        <w:gridCol w:w="803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69" w:type="dxa"/>
            <w:tcMar>
              <w:left w:w="28" w:type="dxa"/>
              <w:right w:w="28" w:type="dxa"/>
            </w:tcMar>
            <w:vAlign w:val="center"/>
          </w:tcPr>
          <w:p>
            <w:pPr>
              <w:ind w:firstLine="0" w:firstLineChars="0"/>
              <w:jc w:val="center"/>
              <w:rPr>
                <w:rFonts w:ascii="宋体" w:hAnsi="宋体" w:cs="宋体"/>
                <w:bCs/>
                <w:color w:val="auto"/>
                <w:szCs w:val="21"/>
              </w:rPr>
            </w:pPr>
            <w:r>
              <w:rPr>
                <w:rFonts w:hint="eastAsia" w:ascii="宋体" w:hAnsi="宋体" w:cs="宋体"/>
                <w:color w:val="auto"/>
                <w:szCs w:val="21"/>
              </w:rPr>
              <w:t>施工期环境保护措施</w:t>
            </w:r>
          </w:p>
        </w:tc>
        <w:tc>
          <w:tcPr>
            <w:tcW w:w="8032" w:type="dxa"/>
            <w:vAlign w:val="center"/>
          </w:tcPr>
          <w:p>
            <w:pPr>
              <w:ind w:firstLine="482" w:firstLineChars="200"/>
              <w:rPr>
                <w:b/>
                <w:bCs/>
                <w:color w:val="auto"/>
              </w:rPr>
            </w:pPr>
            <w:r>
              <w:rPr>
                <w:rFonts w:hint="eastAsia"/>
                <w:b/>
                <w:bCs/>
                <w:color w:val="auto"/>
              </w:rPr>
              <w:t>1.废气</w:t>
            </w:r>
          </w:p>
          <w:p>
            <w:pPr>
              <w:ind w:firstLine="480"/>
              <w:rPr>
                <w:color w:val="auto"/>
              </w:rPr>
            </w:pPr>
            <w:r>
              <w:rPr>
                <w:color w:val="auto"/>
              </w:rPr>
              <w:t>为把建设项目施工期的扬尘污染降到最低，针对施工阶段提出如下防治措施：</w:t>
            </w:r>
          </w:p>
          <w:p>
            <w:pPr>
              <w:ind w:firstLine="480"/>
              <w:rPr>
                <w:color w:val="auto"/>
              </w:rPr>
            </w:pPr>
            <w:r>
              <w:rPr>
                <w:rFonts w:hint="eastAsia" w:ascii="宋体" w:hAnsi="宋体" w:cs="宋体"/>
                <w:color w:val="auto"/>
              </w:rPr>
              <w:t>①</w:t>
            </w:r>
            <w:r>
              <w:rPr>
                <w:color w:val="auto"/>
              </w:rPr>
              <w:t>严格控制施工作业范围，施工车辆必须行驶在规定道路范围内；</w:t>
            </w:r>
          </w:p>
          <w:p>
            <w:pPr>
              <w:ind w:firstLine="480"/>
              <w:rPr>
                <w:color w:val="auto"/>
              </w:rPr>
            </w:pPr>
            <w:r>
              <w:rPr>
                <w:rFonts w:hint="eastAsia" w:ascii="宋体" w:hAnsi="宋体" w:cs="宋体"/>
                <w:color w:val="auto"/>
              </w:rPr>
              <w:t>②</w:t>
            </w:r>
            <w:r>
              <w:rPr>
                <w:color w:val="auto"/>
              </w:rPr>
              <w:t>施工过程中通过洒水车运水至场地运输通道，及时洒水以减少汽车行驶扬尘；</w:t>
            </w:r>
          </w:p>
          <w:p>
            <w:pPr>
              <w:ind w:firstLine="480"/>
              <w:rPr>
                <w:color w:val="auto"/>
              </w:rPr>
            </w:pPr>
            <w:r>
              <w:rPr>
                <w:rFonts w:hint="eastAsia" w:ascii="宋体" w:hAnsi="宋体" w:cs="宋体"/>
                <w:color w:val="auto"/>
              </w:rPr>
              <w:t>③</w:t>
            </w:r>
            <w:r>
              <w:rPr>
                <w:color w:val="auto"/>
              </w:rPr>
              <w:t>限制运输车辆的行驶速度，场地内行车速度不得超过15km/h；</w:t>
            </w:r>
          </w:p>
          <w:p>
            <w:pPr>
              <w:ind w:firstLine="480"/>
              <w:rPr>
                <w:color w:val="auto"/>
              </w:rPr>
            </w:pPr>
            <w:r>
              <w:rPr>
                <w:rFonts w:hint="eastAsia" w:ascii="宋体" w:hAnsi="宋体" w:cs="宋体"/>
                <w:color w:val="auto"/>
              </w:rPr>
              <w:t>④</w:t>
            </w:r>
            <w:r>
              <w:rPr>
                <w:color w:val="auto"/>
              </w:rPr>
              <w:t>建筑材料堆放过程</w:t>
            </w:r>
            <w:r>
              <w:rPr>
                <w:rFonts w:hint="eastAsia"/>
                <w:color w:val="auto"/>
                <w:lang w:eastAsia="zh-CN"/>
              </w:rPr>
              <w:t>中采取</w:t>
            </w:r>
            <w:r>
              <w:rPr>
                <w:color w:val="auto"/>
              </w:rPr>
              <w:t>覆盖苫布</w:t>
            </w:r>
            <w:r>
              <w:rPr>
                <w:rFonts w:hint="eastAsia"/>
                <w:color w:val="auto"/>
                <w:lang w:eastAsia="zh-CN"/>
              </w:rPr>
              <w:t>、</w:t>
            </w:r>
            <w:r>
              <w:rPr>
                <w:color w:val="auto"/>
              </w:rPr>
              <w:t>对堆场进行洒水</w:t>
            </w:r>
            <w:r>
              <w:rPr>
                <w:rFonts w:hint="eastAsia"/>
                <w:color w:val="auto"/>
                <w:lang w:eastAsia="zh-CN"/>
              </w:rPr>
              <w:t>措施</w:t>
            </w:r>
            <w:r>
              <w:rPr>
                <w:color w:val="auto"/>
              </w:rPr>
              <w:t>；</w:t>
            </w:r>
          </w:p>
          <w:p>
            <w:pPr>
              <w:ind w:firstLine="480"/>
              <w:rPr>
                <w:color w:val="auto"/>
              </w:rPr>
            </w:pPr>
            <w:r>
              <w:rPr>
                <w:rFonts w:hint="eastAsia"/>
                <w:color w:val="auto"/>
              </w:rPr>
              <w:t>⑤</w:t>
            </w:r>
            <w:r>
              <w:rPr>
                <w:color w:val="auto"/>
              </w:rPr>
              <w:t>土建工程基坑开挖场地在施工前进行洒水降尘，并在四周设置围挡</w:t>
            </w:r>
          </w:p>
          <w:p>
            <w:pPr>
              <w:ind w:firstLine="480"/>
              <w:rPr>
                <w:color w:val="auto"/>
              </w:rPr>
            </w:pPr>
            <w:r>
              <w:rPr>
                <w:rFonts w:hint="eastAsia"/>
                <w:color w:val="auto"/>
              </w:rPr>
              <w:t>⑥</w:t>
            </w:r>
            <w:r>
              <w:rPr>
                <w:color w:val="auto"/>
              </w:rPr>
              <w:t>开挖土方堆放过程</w:t>
            </w:r>
            <w:r>
              <w:rPr>
                <w:rFonts w:hint="eastAsia"/>
                <w:color w:val="auto"/>
                <w:lang w:eastAsia="zh-CN"/>
              </w:rPr>
              <w:t>中采取</w:t>
            </w:r>
            <w:r>
              <w:rPr>
                <w:color w:val="auto"/>
              </w:rPr>
              <w:t>覆盖苫布</w:t>
            </w:r>
            <w:r>
              <w:rPr>
                <w:rFonts w:hint="eastAsia"/>
                <w:color w:val="auto"/>
                <w:lang w:eastAsia="zh-CN"/>
              </w:rPr>
              <w:t>、</w:t>
            </w:r>
            <w:r>
              <w:rPr>
                <w:color w:val="auto"/>
              </w:rPr>
              <w:t>对堆场进行洒水</w:t>
            </w:r>
            <w:r>
              <w:rPr>
                <w:rFonts w:hint="eastAsia"/>
                <w:color w:val="auto"/>
                <w:lang w:eastAsia="zh-CN"/>
              </w:rPr>
              <w:t>措施。</w:t>
            </w:r>
          </w:p>
          <w:p>
            <w:pPr>
              <w:ind w:firstLine="480"/>
              <w:rPr>
                <w:color w:val="auto"/>
              </w:rPr>
            </w:pPr>
            <w:r>
              <w:rPr>
                <w:color w:val="auto"/>
              </w:rPr>
              <w:t>通过采取以上措施后，工地扬尘量可减少70%～80%，可大幅度降低施工造成的大气污染，施工期扬尘基本控制在施工现场范围内，可满足《大气污染物综合排放标准》（GB16297-1996）表2无组织排放标准的要求。另外，施工产生的扬尘属短期污染，其影响将随施工行为的结束而结束。因此在采取严格的防尘措施后，施工期扬尘的影响将大大地降低，其对环境的影响也将随着施工的结束而消失。</w:t>
            </w:r>
          </w:p>
          <w:p>
            <w:pPr>
              <w:ind w:firstLine="482" w:firstLineChars="200"/>
              <w:rPr>
                <w:b/>
                <w:bCs/>
                <w:color w:val="auto"/>
              </w:rPr>
            </w:pPr>
            <w:r>
              <w:rPr>
                <w:rFonts w:hint="eastAsia"/>
                <w:b/>
                <w:bCs/>
                <w:color w:val="auto"/>
              </w:rPr>
              <w:t>2.废水</w:t>
            </w:r>
          </w:p>
          <w:p>
            <w:pPr>
              <w:ind w:firstLine="480"/>
              <w:rPr>
                <w:color w:val="auto"/>
              </w:rPr>
            </w:pPr>
            <w:r>
              <w:rPr>
                <w:color w:val="auto"/>
              </w:rPr>
              <w:t>施工期废水来源主要为施工泥浆水、机械设备清洗水</w:t>
            </w:r>
            <w:r>
              <w:rPr>
                <w:rFonts w:hint="eastAsia"/>
                <w:color w:val="auto"/>
                <w:lang w:eastAsia="zh-CN"/>
              </w:rPr>
              <w:t>等</w:t>
            </w:r>
            <w:r>
              <w:rPr>
                <w:color w:val="auto"/>
              </w:rPr>
              <w:t>。本项目施工期施工人员借住周边居民住房，项目施工期不设施工营地，不设食堂，施工</w:t>
            </w:r>
            <w:r>
              <w:rPr>
                <w:rFonts w:hint="eastAsia"/>
                <w:color w:val="auto"/>
              </w:rPr>
              <w:t>雇用</w:t>
            </w:r>
            <w:r>
              <w:rPr>
                <w:color w:val="auto"/>
              </w:rPr>
              <w:t>当地民工作业，施工人员均不在现场住宿。生活污水依托周边居民居住区旱厕，生活污水可以得到有效处理，不另建施工人员生活污水处理设施。</w:t>
            </w:r>
          </w:p>
          <w:p>
            <w:pPr>
              <w:ind w:firstLine="480"/>
              <w:rPr>
                <w:color w:val="auto"/>
              </w:rPr>
            </w:pPr>
            <w:r>
              <w:rPr>
                <w:color w:val="auto"/>
              </w:rPr>
              <w:t>施工过程中废水主要包括施工泥浆水、机械设备清洗水</w:t>
            </w:r>
            <w:r>
              <w:rPr>
                <w:rFonts w:hint="eastAsia"/>
                <w:color w:val="auto"/>
                <w:lang w:eastAsia="zh-CN"/>
              </w:rPr>
              <w:t>等</w:t>
            </w:r>
            <w:r>
              <w:rPr>
                <w:rFonts w:hint="eastAsia"/>
                <w:color w:val="auto"/>
              </w:rPr>
              <w:t>。</w:t>
            </w:r>
            <w:r>
              <w:rPr>
                <w:color w:val="auto"/>
              </w:rPr>
              <w:t>施工废水</w:t>
            </w:r>
            <w:r>
              <w:rPr>
                <w:rFonts w:hint="eastAsia"/>
                <w:color w:val="auto"/>
                <w:lang w:eastAsia="zh-CN"/>
              </w:rPr>
              <w:t>中</w:t>
            </w:r>
            <w:r>
              <w:rPr>
                <w:color w:val="auto"/>
              </w:rPr>
              <w:t>主要含有悬浮物。建设过程中对于机械清洗应设固定清洗位置</w:t>
            </w:r>
            <w:r>
              <w:rPr>
                <w:rFonts w:hint="eastAsia"/>
                <w:color w:val="auto"/>
              </w:rPr>
              <w:t>。</w:t>
            </w:r>
            <w:r>
              <w:rPr>
                <w:color w:val="auto"/>
              </w:rPr>
              <w:t>对清洗废水和泥浆水用收集池收集沉淀，可循环利用，对周边水环境没有影响。</w:t>
            </w:r>
          </w:p>
          <w:p>
            <w:pPr>
              <w:ind w:firstLine="482" w:firstLineChars="200"/>
              <w:jc w:val="left"/>
              <w:rPr>
                <w:b/>
                <w:bCs/>
                <w:color w:val="auto"/>
              </w:rPr>
            </w:pPr>
            <w:r>
              <w:rPr>
                <w:rFonts w:hint="eastAsia"/>
                <w:b/>
                <w:bCs/>
                <w:color w:val="auto"/>
              </w:rPr>
              <w:t>3.噪声</w:t>
            </w:r>
          </w:p>
          <w:p>
            <w:pPr>
              <w:adjustRightInd w:val="0"/>
              <w:snapToGrid w:val="0"/>
              <w:ind w:firstLine="480"/>
              <w:rPr>
                <w:color w:val="auto"/>
                <w:szCs w:val="21"/>
              </w:rPr>
            </w:pPr>
            <w:r>
              <w:rPr>
                <w:color w:val="auto"/>
              </w:rPr>
              <w:t>施工期环境影响主要来源于施工现场机械噪声，施工中常用的施工机械主要有推土机、挖掘机、打桩机、混凝土搅拌机、振捣棒、运输车辆等，这些设备都将产生噪声，其噪声源强度可达80-100dB(A)。</w:t>
            </w:r>
            <w:r>
              <w:rPr>
                <w:color w:val="auto"/>
                <w:szCs w:val="21"/>
              </w:rPr>
              <w:t>因此，施工过程应注重采取相应的控制措施，严格遵照施工噪声管理的时限规定，防止噪声影响周围环境。具体要求如下：</w:t>
            </w:r>
          </w:p>
          <w:p>
            <w:pPr>
              <w:adjustRightInd w:val="0"/>
              <w:snapToGrid w:val="0"/>
              <w:ind w:firstLine="480"/>
              <w:rPr>
                <w:color w:val="auto"/>
                <w:szCs w:val="21"/>
              </w:rPr>
            </w:pPr>
            <w:r>
              <w:rPr>
                <w:rFonts w:hint="eastAsia"/>
                <w:color w:val="auto"/>
                <w:szCs w:val="21"/>
              </w:rPr>
              <w:t>①</w:t>
            </w:r>
            <w:r>
              <w:rPr>
                <w:color w:val="auto"/>
                <w:szCs w:val="21"/>
              </w:rPr>
              <w:t>合理安排施工计划和施工机械设备组合以及施工时间，禁止在中午（12:00-14:00）施工，避免在同一时间集中使用大量的动力机械设备；</w:t>
            </w:r>
          </w:p>
          <w:p>
            <w:pPr>
              <w:adjustRightInd w:val="0"/>
              <w:snapToGrid w:val="0"/>
              <w:ind w:firstLine="480"/>
              <w:rPr>
                <w:color w:val="auto"/>
                <w:szCs w:val="21"/>
              </w:rPr>
            </w:pPr>
            <w:r>
              <w:rPr>
                <w:rFonts w:hint="eastAsia"/>
                <w:color w:val="auto"/>
                <w:szCs w:val="21"/>
              </w:rPr>
              <w:t>②</w:t>
            </w:r>
            <w:r>
              <w:rPr>
                <w:color w:val="auto"/>
                <w:szCs w:val="21"/>
              </w:rPr>
              <w:t>选择低噪声的机械设备；</w:t>
            </w:r>
          </w:p>
          <w:p>
            <w:pPr>
              <w:adjustRightInd w:val="0"/>
              <w:snapToGrid w:val="0"/>
              <w:ind w:firstLine="480"/>
              <w:rPr>
                <w:color w:val="auto"/>
                <w:szCs w:val="21"/>
              </w:rPr>
            </w:pPr>
            <w:r>
              <w:rPr>
                <w:rFonts w:hint="eastAsia"/>
                <w:color w:val="auto"/>
                <w:szCs w:val="21"/>
              </w:rPr>
              <w:t>③</w:t>
            </w:r>
            <w:r>
              <w:rPr>
                <w:color w:val="auto"/>
                <w:szCs w:val="21"/>
              </w:rPr>
              <w:t>控制噪声传播：将各种噪声比较大的机械设备远离敏感点，并进行一定的隔离和防护消声处理；</w:t>
            </w:r>
          </w:p>
          <w:p>
            <w:pPr>
              <w:adjustRightInd w:val="0"/>
              <w:snapToGrid w:val="0"/>
              <w:ind w:firstLine="480"/>
              <w:rPr>
                <w:color w:val="auto"/>
                <w:szCs w:val="21"/>
              </w:rPr>
            </w:pPr>
            <w:r>
              <w:rPr>
                <w:rFonts w:hint="eastAsia"/>
                <w:color w:val="auto"/>
                <w:szCs w:val="21"/>
              </w:rPr>
              <w:t>④</w:t>
            </w:r>
            <w:r>
              <w:rPr>
                <w:color w:val="auto"/>
                <w:szCs w:val="21"/>
              </w:rPr>
              <w:t>加强现场运输管理：对施工车辆造成的噪声影响要加强管理，运输车辆尽量采用较低声级的喇叭，并在所经过的道路禁止鸣笛。</w:t>
            </w:r>
          </w:p>
          <w:p>
            <w:pPr>
              <w:adjustRightInd w:val="0"/>
              <w:snapToGrid w:val="0"/>
              <w:ind w:firstLine="480"/>
              <w:rPr>
                <w:color w:val="auto"/>
                <w:szCs w:val="21"/>
              </w:rPr>
            </w:pPr>
            <w:r>
              <w:rPr>
                <w:rFonts w:hint="eastAsia"/>
                <w:color w:val="auto"/>
                <w:szCs w:val="21"/>
              </w:rPr>
              <w:t>⑤</w:t>
            </w:r>
            <w:r>
              <w:rPr>
                <w:color w:val="auto"/>
                <w:szCs w:val="21"/>
              </w:rPr>
              <w:t>建筑施工需要限制夜间22：00至6：00进行机械施工，并严格控制噪声影响强的机械设备在夜间作业。如果需要连续昼夜施工，必须经过相关部门审批同意后方可施工。</w:t>
            </w:r>
          </w:p>
          <w:p>
            <w:pPr>
              <w:adjustRightInd w:val="0"/>
              <w:snapToGrid w:val="0"/>
              <w:ind w:firstLine="480"/>
              <w:rPr>
                <w:color w:val="auto"/>
                <w:szCs w:val="21"/>
              </w:rPr>
            </w:pPr>
            <w:r>
              <w:rPr>
                <w:color w:val="auto"/>
                <w:szCs w:val="21"/>
              </w:rPr>
              <w:t>施工噪声具有时段性的特点，因此它的影响只限于施工期，施工结束后</w:t>
            </w:r>
            <w:r>
              <w:rPr>
                <w:rFonts w:hint="eastAsia"/>
                <w:color w:val="auto"/>
                <w:szCs w:val="21"/>
                <w:lang w:eastAsia="zh-CN"/>
              </w:rPr>
              <w:t>即</w:t>
            </w:r>
            <w:r>
              <w:rPr>
                <w:color w:val="auto"/>
                <w:szCs w:val="21"/>
              </w:rPr>
              <w:t>消失。日常必须加强对施工人员的管理，减少人为原因产生的高噪</w:t>
            </w:r>
            <w:r>
              <w:rPr>
                <w:rFonts w:hint="eastAsia"/>
                <w:color w:val="auto"/>
                <w:szCs w:val="21"/>
                <w:lang w:eastAsia="zh-CN"/>
              </w:rPr>
              <w:t>音</w:t>
            </w:r>
            <w:r>
              <w:rPr>
                <w:color w:val="auto"/>
                <w:szCs w:val="21"/>
              </w:rPr>
              <w:t>；注意保养机械设备，合理操作，尽量使机械维护</w:t>
            </w:r>
            <w:r>
              <w:rPr>
                <w:rFonts w:hint="eastAsia"/>
                <w:color w:val="auto"/>
                <w:szCs w:val="21"/>
                <w:lang w:eastAsia="zh-CN"/>
              </w:rPr>
              <w:t>保持</w:t>
            </w:r>
            <w:r>
              <w:rPr>
                <w:color w:val="auto"/>
                <w:szCs w:val="21"/>
              </w:rPr>
              <w:t>在最低噪声级水平。由于施工噪声具有时段性的特点，施工结束后</w:t>
            </w:r>
            <w:r>
              <w:rPr>
                <w:rFonts w:hint="eastAsia"/>
                <w:color w:val="auto"/>
                <w:szCs w:val="21"/>
                <w:lang w:eastAsia="zh-CN"/>
              </w:rPr>
              <w:t>立即</w:t>
            </w:r>
            <w:r>
              <w:rPr>
                <w:color w:val="auto"/>
                <w:szCs w:val="21"/>
              </w:rPr>
              <w:t>消失。</w:t>
            </w:r>
          </w:p>
          <w:p>
            <w:pPr>
              <w:ind w:firstLine="482" w:firstLineChars="200"/>
              <w:rPr>
                <w:b/>
                <w:bCs/>
                <w:color w:val="auto"/>
              </w:rPr>
            </w:pPr>
            <w:r>
              <w:rPr>
                <w:rFonts w:hint="eastAsia"/>
                <w:b/>
                <w:bCs/>
                <w:color w:val="auto"/>
              </w:rPr>
              <w:t>4.固体废物</w:t>
            </w:r>
          </w:p>
          <w:p>
            <w:pPr>
              <w:ind w:firstLine="480"/>
              <w:rPr>
                <w:color w:val="auto"/>
              </w:rPr>
            </w:pPr>
            <w:r>
              <w:rPr>
                <w:rFonts w:hint="eastAsia"/>
                <w:color w:val="auto"/>
              </w:rPr>
              <w:t>施工期产生的固体废物主要为建筑施工垃圾和生活垃圾。施工过程产生的建筑废物主要为新建过程中产生的多余土方及建设过程中产生的建筑垃圾；项目施工期施工人员约20人，生活垃圾产生量按1.0kg/人•天计算，则施工期生活垃圾产生量为20kg/d。</w:t>
            </w:r>
            <w:r>
              <w:rPr>
                <w:color w:val="auto"/>
              </w:rPr>
              <w:t>项目施工期约为</w:t>
            </w:r>
            <w:r>
              <w:rPr>
                <w:rFonts w:hint="eastAsia"/>
                <w:color w:val="auto"/>
              </w:rPr>
              <w:t>6</w:t>
            </w:r>
            <w:r>
              <w:rPr>
                <w:color w:val="auto"/>
              </w:rPr>
              <w:t>个月，则生活垃圾产生量为</w:t>
            </w:r>
            <w:r>
              <w:rPr>
                <w:rFonts w:hint="eastAsia"/>
                <w:color w:val="auto"/>
              </w:rPr>
              <w:t>3.6</w:t>
            </w:r>
            <w:r>
              <w:rPr>
                <w:color w:val="auto"/>
              </w:rPr>
              <w:t>t/a</w:t>
            </w:r>
            <w:r>
              <w:rPr>
                <w:rFonts w:hint="eastAsia"/>
                <w:color w:val="auto"/>
              </w:rPr>
              <w:t>，全部投放至厂内封闭式垃圾桶内，由市政环卫部门定时清运。</w:t>
            </w:r>
          </w:p>
          <w:p>
            <w:pPr>
              <w:ind w:firstLine="480"/>
              <w:rPr>
                <w:color w:val="auto"/>
              </w:rPr>
            </w:pPr>
            <w:r>
              <w:rPr>
                <w:rFonts w:hint="eastAsia"/>
                <w:color w:val="auto"/>
              </w:rPr>
              <w:t>对施工过程产生的弃土及时回填，多余的土方和建筑垃圾等废物分类回收，不能回收处理的应及时清运至当地执法部门指定地点进行合理处置。为防止运输过程中垃圾遗撒，运输时应采用封盖、</w:t>
            </w:r>
            <w:r>
              <w:rPr>
                <w:rFonts w:hint="eastAsia"/>
                <w:color w:val="auto"/>
                <w:lang w:eastAsia="zh-CN"/>
              </w:rPr>
              <w:t>抑</w:t>
            </w:r>
            <w:r>
              <w:rPr>
                <w:rFonts w:hint="eastAsia"/>
                <w:color w:val="auto"/>
              </w:rPr>
              <w:t>尘措施。施工人员的生活垃圾通过设置临时垃圾箱进行集中收集，并定期送至当地环卫部门指定地点进行合理处置。经以上措施，本项目施工期固体废物对周边环境的影响较小。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72" w:hRule="atLeast"/>
          <w:jc w:val="center"/>
        </w:trPr>
        <w:tc>
          <w:tcPr>
            <w:tcW w:w="569" w:type="dxa"/>
            <w:tcMar>
              <w:left w:w="28" w:type="dxa"/>
              <w:right w:w="28" w:type="dxa"/>
            </w:tcMar>
            <w:vAlign w:val="center"/>
          </w:tcPr>
          <w:p>
            <w:pPr>
              <w:ind w:firstLine="0" w:firstLineChars="0"/>
              <w:jc w:val="center"/>
              <w:rPr>
                <w:rFonts w:ascii="宋体" w:hAnsi="宋体" w:cs="宋体"/>
                <w:color w:val="auto"/>
                <w:szCs w:val="21"/>
              </w:rPr>
            </w:pPr>
            <w:bookmarkStart w:id="9" w:name="_Hlk78365085"/>
            <w:r>
              <w:rPr>
                <w:rFonts w:hint="eastAsia" w:ascii="宋体" w:hAnsi="宋体" w:cs="宋体"/>
                <w:bCs/>
                <w:color w:val="auto"/>
                <w:szCs w:val="21"/>
              </w:rPr>
              <w:t>运营期环境影响和保护措施</w:t>
            </w:r>
          </w:p>
        </w:tc>
        <w:tc>
          <w:tcPr>
            <w:tcW w:w="8032" w:type="dxa"/>
            <w:vAlign w:val="center"/>
          </w:tcPr>
          <w:p>
            <w:pPr>
              <w:ind w:firstLine="482" w:firstLineChars="200"/>
              <w:rPr>
                <w:b/>
                <w:bCs/>
                <w:color w:val="auto"/>
              </w:rPr>
            </w:pPr>
            <w:bookmarkStart w:id="10" w:name="_Hlk78373195"/>
            <w:bookmarkStart w:id="11" w:name="_Hlk78372578"/>
            <w:r>
              <w:rPr>
                <w:rFonts w:hint="eastAsia"/>
                <w:b/>
                <w:bCs/>
                <w:color w:val="auto"/>
              </w:rPr>
              <w:t>一、大气环境影响分析</w:t>
            </w:r>
          </w:p>
          <w:p>
            <w:pPr>
              <w:ind w:firstLine="480"/>
              <w:rPr>
                <w:color w:val="auto"/>
              </w:rPr>
            </w:pPr>
            <w:r>
              <w:rPr>
                <w:color w:val="auto"/>
              </w:rPr>
              <w:t>本项目运营期大气污染物主要为粉尘，运输车辆产生的扬尘；混凝土生产线（筒仓呼吸孔及库底粉尘、搅拌粉尘）；砂石库料（砂石卸料车扬尘、砂石配料、投料、皮带输送产生的粉尘）。</w:t>
            </w:r>
          </w:p>
          <w:p>
            <w:pPr>
              <w:ind w:firstLine="482"/>
              <w:rPr>
                <w:b/>
                <w:bCs/>
                <w:color w:val="auto"/>
              </w:rPr>
            </w:pPr>
            <w:r>
              <w:rPr>
                <w:rFonts w:hint="eastAsia"/>
                <w:b/>
                <w:bCs/>
                <w:color w:val="auto"/>
              </w:rPr>
              <w:t>1.</w:t>
            </w:r>
            <w:r>
              <w:rPr>
                <w:b/>
                <w:bCs/>
                <w:color w:val="auto"/>
              </w:rPr>
              <w:t>运输车辆产生的扬尘</w:t>
            </w:r>
          </w:p>
          <w:p>
            <w:pPr>
              <w:ind w:firstLine="480"/>
              <w:rPr>
                <w:color w:val="auto"/>
              </w:rPr>
            </w:pPr>
            <w:r>
              <w:rPr>
                <w:color w:val="auto"/>
              </w:rPr>
              <w:t>车辆行驶产生的扬尘，在道路完全干燥的情况下，可按照下列经验公式计算：</w:t>
            </w:r>
          </w:p>
          <w:p>
            <w:pPr>
              <w:ind w:firstLine="0" w:firstLineChars="0"/>
              <w:jc w:val="center"/>
              <w:rPr>
                <w:color w:val="auto"/>
              </w:rPr>
            </w:pPr>
            <w:r>
              <w:rPr>
                <w:color w:val="auto"/>
                <w:szCs w:val="21"/>
              </w:rPr>
              <w:drawing>
                <wp:inline distT="0" distB="0" distL="114300" distR="114300">
                  <wp:extent cx="3158490" cy="1555750"/>
                  <wp:effectExtent l="0" t="0" r="3810" b="6350"/>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20"/>
                          <a:stretch>
                            <a:fillRect/>
                          </a:stretch>
                        </pic:blipFill>
                        <pic:spPr>
                          <a:xfrm>
                            <a:off x="0" y="0"/>
                            <a:ext cx="3158490" cy="1555750"/>
                          </a:xfrm>
                          <a:prstGeom prst="rect">
                            <a:avLst/>
                          </a:prstGeom>
                          <a:noFill/>
                          <a:ln>
                            <a:noFill/>
                          </a:ln>
                        </pic:spPr>
                      </pic:pic>
                    </a:graphicData>
                  </a:graphic>
                </wp:inline>
              </w:drawing>
            </w:r>
          </w:p>
          <w:p>
            <w:pPr>
              <w:ind w:firstLine="480"/>
              <w:rPr>
                <w:color w:val="auto"/>
              </w:rPr>
            </w:pPr>
            <w:r>
              <w:rPr>
                <w:color w:val="auto"/>
              </w:rPr>
              <w:t>本项目车辆在厂区内行驶距离按</w:t>
            </w:r>
            <w:r>
              <w:rPr>
                <w:rFonts w:hint="eastAsia"/>
                <w:color w:val="auto"/>
              </w:rPr>
              <w:t>2</w:t>
            </w:r>
            <w:r>
              <w:rPr>
                <w:color w:val="auto"/>
              </w:rPr>
              <w:t>00m计，平均每天发车空、重载各4辆•次，空车重约10t，重车重约40t，以速度20km/h行驶，其在不同路面清洁情况下的扬尘量见表4-1所示：</w:t>
            </w:r>
          </w:p>
          <w:p>
            <w:pPr>
              <w:pStyle w:val="25"/>
              <w:rPr>
                <w:color w:val="auto"/>
              </w:rPr>
            </w:pPr>
            <w:r>
              <w:rPr>
                <w:color w:val="auto"/>
              </w:rPr>
              <w:t>表4-1车辆行驶扬尘量</w:t>
            </w:r>
            <w:r>
              <w:rPr>
                <w:rFonts w:hint="eastAsia"/>
                <w:color w:val="auto"/>
                <w:lang w:eastAsia="zh-CN"/>
              </w:rPr>
              <w:t>（</w:t>
            </w:r>
            <w:r>
              <w:rPr>
                <w:color w:val="auto"/>
              </w:rPr>
              <w:t>单位：kg/d</w:t>
            </w:r>
            <w:r>
              <w:rPr>
                <w:rFonts w:hint="eastAsia"/>
                <w:color w:val="auto"/>
                <w:lang w:eastAsia="zh-CN"/>
              </w:rPr>
              <w:t>）</w:t>
            </w:r>
          </w:p>
          <w:tbl>
            <w:tblPr>
              <w:tblStyle w:val="17"/>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080"/>
              <w:gridCol w:w="1130"/>
              <w:gridCol w:w="1128"/>
              <w:gridCol w:w="1069"/>
              <w:gridCol w:w="1154"/>
              <w:gridCol w:w="114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05" w:type="pct"/>
                  <w:vAlign w:val="center"/>
                </w:tcPr>
                <w:p>
                  <w:pPr>
                    <w:pStyle w:val="39"/>
                    <w:jc w:val="center"/>
                    <w:rPr>
                      <w:b/>
                      <w:bCs/>
                      <w:color w:val="auto"/>
                    </w:rPr>
                  </w:pPr>
                  <w:r>
                    <w:rPr>
                      <w:color w:val="auto"/>
                    </w:rPr>
                    <mc:AlternateContent>
                      <mc:Choice Requires="wps">
                        <w:drawing>
                          <wp:anchor distT="0" distB="0" distL="114300" distR="114300" simplePos="0" relativeHeight="251661312" behindDoc="0" locked="0" layoutInCell="1" allowOverlap="1">
                            <wp:simplePos x="0" y="0"/>
                            <wp:positionH relativeFrom="column">
                              <wp:posOffset>-58420</wp:posOffset>
                            </wp:positionH>
                            <wp:positionV relativeFrom="paragraph">
                              <wp:posOffset>-3175</wp:posOffset>
                            </wp:positionV>
                            <wp:extent cx="779145" cy="372110"/>
                            <wp:effectExtent l="2540" t="5715" r="18415" b="22225"/>
                            <wp:wrapNone/>
                            <wp:docPr id="8" name="直接连接符 8"/>
                            <wp:cNvGraphicFramePr/>
                            <a:graphic xmlns:a="http://schemas.openxmlformats.org/drawingml/2006/main">
                              <a:graphicData uri="http://schemas.microsoft.com/office/word/2010/wordprocessingShape">
                                <wps:wsp>
                                  <wps:cNvCnPr/>
                                  <wps:spPr>
                                    <a:xfrm>
                                      <a:off x="1197610" y="2026285"/>
                                      <a:ext cx="779145" cy="372110"/>
                                    </a:xfrm>
                                    <a:prstGeom prst="line">
                                      <a:avLst/>
                                    </a:prstGeom>
                                  </wps:spPr>
                                  <wps:style>
                                    <a:lnRef idx="2">
                                      <a:prstClr val="black"/>
                                    </a:lnRef>
                                    <a:fillRef idx="0">
                                      <a:prstClr val="black"/>
                                    </a:fillRef>
                                    <a:effectRef idx="1">
                                      <a:prstClr val="black"/>
                                    </a:effectRef>
                                    <a:fontRef idx="minor">
                                      <a:schemeClr val="tx1"/>
                                    </a:fontRef>
                                  </wps:style>
                                  <wps:bodyPr/>
                                </wps:wsp>
                              </a:graphicData>
                            </a:graphic>
                          </wp:anchor>
                        </w:drawing>
                      </mc:Choice>
                      <mc:Fallback>
                        <w:pict>
                          <v:line id="_x0000_s1026" o:spid="_x0000_s1026" o:spt="20" style="position:absolute;left:0pt;margin-left:-4.6pt;margin-top:-0.25pt;height:29.3pt;width:61.35pt;z-index:251661312;mso-width-relative:page;mso-height-relative:page;" filled="f" stroked="t" coordsize="21600,21600" o:gfxdata="UEsDBAoAAAAAAIdO4kAAAAAAAAAAAAAAAAAEAAAAZHJzL1BLAwQUAAAACACHTuJAk1pSxNcAAAAH&#10;AQAADwAAAGRycy9kb3ducmV2LnhtbE2OwU7DMBBE70j8g7VI3FonDYUS4lQIVHHg1FK1HN14SaLG&#10;68h208DXsz3BaXY0o9lXLEfbiQF9aB0pSKcJCKTKmZZqBduP1WQBIkRNRneOUME3BliW11eFzo07&#10;0xqHTawFj1DItYImxj6XMlQNWh2mrkfi7Mt5qyNbX0vj9ZnHbSdnSXIvrW6JPzS6x5cGq+PmZBXs&#10;nh+O2fj2ereK6+2nd0P2jj97pW5v0uQJRMQx/pXhgs/oUDLTwZ3IBNEpmDzOuMk6B3GJ04yPg4L5&#10;IgVZFvI/f/kLUEsDBBQAAAAIAIdO4kD6Fu7T9QEAAMEDAAAOAAAAZHJzL2Uyb0RvYy54bWytU81u&#10;EzEQviPxDpbvZH+gSbrKpodG5YIgEvAAE683a+E/edxs8hK8ABI3OHHk3rehPAbj3aVF7aUH9uAd&#10;2998nu/zeHVxNJodZEDlbM2LWc6ZtMI1yu5r/vHD1YslZxjBNqCdlTU/SeQX6+fPVr2vZOk6pxsZ&#10;GJFYrHpf8y5GX2UZik4awJnz0tJm64KBSNOwz5oAPbEbnZV5Ps96FxofnJCItLoZN/nEGJ5C6NpW&#10;Cblx4tpIG0fWIDVEkoSd8sjXQ7VtK0V817YoI9M1J6VxGOkQindpzNYrqPYBfKfEVAI8pYQHmgwo&#10;S4feUW0gArsO6hGVUSI4dG2cCWeyUcjgCKko8gfevO/Ay0ELWY3+znT8f7Ti7WEbmGpqTtduwdCF&#10;3375+evzt983X2m8/fGdLZNJvceKsJd2G6YZ+m1Iio9tMOlPWtiRGqo4X8wLsvdU8zIv5+XybDRZ&#10;HiMTBFgszotXZ5wJArxclAVhiTG7J/IB42vpDEtBzbWyyQOo4PAG4wj9C0nL1l0prWkdKm1ZTxWU&#10;i5zOF0DN2VJTUGg8CUS75wz0nrpexDBQotOqSekpO5Fe6sAOQL2y0yA+TYU9Qm0AuxE2bI36jIr0&#10;LrQyZGWevilbW1KX7BsNS9HONafBx2GdbnbQP3Vhap1/50P2/ctb/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TWlLE1wAAAAcBAAAPAAAAAAAAAAEAIAAAACIAAABkcnMvZG93bnJldi54bWxQSwEC&#10;FAAUAAAACACHTuJA+hbu0/UBAADBAwAADgAAAAAAAAABACAAAAAmAQAAZHJzL2Uyb0RvYy54bWxQ&#10;SwUGAAAAAAYABgBZAQAAjQUAAAAA&#10;">
                            <v:fill on="f" focussize="0,0"/>
                            <v:stroke weight="1pt" color="#000000" miterlimit="8" joinstyle="miter"/>
                            <v:imagedata o:title=""/>
                            <o:lock v:ext="edit" aspectratio="f"/>
                          </v:line>
                        </w:pict>
                      </mc:Fallback>
                    </mc:AlternateContent>
                  </w:r>
                  <w:r>
                    <w:rPr>
                      <w:rFonts w:hint="eastAsia"/>
                      <w:b/>
                      <w:bCs/>
                      <w:color w:val="auto"/>
                    </w:rPr>
                    <w:t xml:space="preserve">   </w:t>
                  </w:r>
                  <w:r>
                    <w:rPr>
                      <w:b/>
                      <w:bCs/>
                      <w:color w:val="auto"/>
                    </w:rPr>
                    <w:t>路况</w:t>
                  </w:r>
                </w:p>
                <w:p>
                  <w:pPr>
                    <w:pStyle w:val="39"/>
                    <w:rPr>
                      <w:b/>
                      <w:bCs/>
                      <w:color w:val="auto"/>
                    </w:rPr>
                  </w:pPr>
                  <w:r>
                    <w:rPr>
                      <w:b/>
                      <w:bCs/>
                      <w:color w:val="auto"/>
                    </w:rPr>
                    <w:t>车况</w:t>
                  </w:r>
                </w:p>
              </w:tc>
              <w:tc>
                <w:tcPr>
                  <w:tcW w:w="691" w:type="pct"/>
                  <w:vAlign w:val="center"/>
                </w:tcPr>
                <w:p>
                  <w:pPr>
                    <w:pStyle w:val="39"/>
                    <w:jc w:val="center"/>
                    <w:rPr>
                      <w:b/>
                      <w:bCs/>
                      <w:color w:val="auto"/>
                    </w:rPr>
                  </w:pPr>
                  <w:r>
                    <w:rPr>
                      <w:b/>
                      <w:bCs/>
                      <w:color w:val="auto"/>
                    </w:rPr>
                    <w:t>0.1</w:t>
                  </w:r>
                </w:p>
                <w:p>
                  <w:pPr>
                    <w:pStyle w:val="39"/>
                    <w:jc w:val="center"/>
                    <w:rPr>
                      <w:b/>
                      <w:bCs/>
                      <w:color w:val="auto"/>
                    </w:rPr>
                  </w:pPr>
                  <w:r>
                    <w:rPr>
                      <w:b/>
                      <w:bCs/>
                      <w:color w:val="auto"/>
                    </w:rPr>
                    <w:t>（kg/m</w:t>
                  </w:r>
                  <w:r>
                    <w:rPr>
                      <w:b/>
                      <w:bCs/>
                      <w:color w:val="auto"/>
                      <w:vertAlign w:val="superscript"/>
                    </w:rPr>
                    <w:t>2</w:t>
                  </w:r>
                  <w:r>
                    <w:rPr>
                      <w:b/>
                      <w:bCs/>
                      <w:color w:val="auto"/>
                    </w:rPr>
                    <w:t>）</w:t>
                  </w:r>
                </w:p>
              </w:tc>
              <w:tc>
                <w:tcPr>
                  <w:tcW w:w="723" w:type="pct"/>
                  <w:vAlign w:val="center"/>
                </w:tcPr>
                <w:p>
                  <w:pPr>
                    <w:pStyle w:val="39"/>
                    <w:jc w:val="center"/>
                    <w:rPr>
                      <w:b/>
                      <w:bCs/>
                      <w:color w:val="auto"/>
                    </w:rPr>
                  </w:pPr>
                  <w:r>
                    <w:rPr>
                      <w:b/>
                      <w:bCs/>
                      <w:color w:val="auto"/>
                    </w:rPr>
                    <w:t>0.2</w:t>
                  </w:r>
                </w:p>
                <w:p>
                  <w:pPr>
                    <w:pStyle w:val="39"/>
                    <w:jc w:val="center"/>
                    <w:rPr>
                      <w:b/>
                      <w:bCs/>
                      <w:color w:val="auto"/>
                    </w:rPr>
                  </w:pPr>
                  <w:r>
                    <w:rPr>
                      <w:b/>
                      <w:bCs/>
                      <w:color w:val="auto"/>
                    </w:rPr>
                    <w:t>（kg/m</w:t>
                  </w:r>
                  <w:r>
                    <w:rPr>
                      <w:b/>
                      <w:bCs/>
                      <w:color w:val="auto"/>
                      <w:vertAlign w:val="superscript"/>
                    </w:rPr>
                    <w:t>2</w:t>
                  </w:r>
                  <w:r>
                    <w:rPr>
                      <w:b/>
                      <w:bCs/>
                      <w:color w:val="auto"/>
                    </w:rPr>
                    <w:t>）</w:t>
                  </w:r>
                </w:p>
              </w:tc>
              <w:tc>
                <w:tcPr>
                  <w:tcW w:w="722" w:type="pct"/>
                  <w:vAlign w:val="center"/>
                </w:tcPr>
                <w:p>
                  <w:pPr>
                    <w:pStyle w:val="39"/>
                    <w:jc w:val="center"/>
                    <w:rPr>
                      <w:b/>
                      <w:bCs/>
                      <w:color w:val="auto"/>
                    </w:rPr>
                  </w:pPr>
                  <w:r>
                    <w:rPr>
                      <w:b/>
                      <w:bCs/>
                      <w:color w:val="auto"/>
                    </w:rPr>
                    <w:t>0.3</w:t>
                  </w:r>
                </w:p>
                <w:p>
                  <w:pPr>
                    <w:pStyle w:val="39"/>
                    <w:jc w:val="center"/>
                    <w:rPr>
                      <w:b/>
                      <w:bCs/>
                      <w:color w:val="auto"/>
                    </w:rPr>
                  </w:pPr>
                  <w:r>
                    <w:rPr>
                      <w:b/>
                      <w:bCs/>
                      <w:color w:val="auto"/>
                    </w:rPr>
                    <w:t>（kg/m</w:t>
                  </w:r>
                  <w:r>
                    <w:rPr>
                      <w:b/>
                      <w:bCs/>
                      <w:color w:val="auto"/>
                      <w:vertAlign w:val="superscript"/>
                    </w:rPr>
                    <w:t>2</w:t>
                  </w:r>
                  <w:r>
                    <w:rPr>
                      <w:b/>
                      <w:bCs/>
                      <w:color w:val="auto"/>
                    </w:rPr>
                    <w:t>）</w:t>
                  </w:r>
                </w:p>
              </w:tc>
              <w:tc>
                <w:tcPr>
                  <w:tcW w:w="684" w:type="pct"/>
                  <w:vAlign w:val="center"/>
                </w:tcPr>
                <w:p>
                  <w:pPr>
                    <w:pStyle w:val="39"/>
                    <w:jc w:val="center"/>
                    <w:rPr>
                      <w:b/>
                      <w:bCs/>
                      <w:color w:val="auto"/>
                    </w:rPr>
                  </w:pPr>
                  <w:r>
                    <w:rPr>
                      <w:b/>
                      <w:bCs/>
                      <w:color w:val="auto"/>
                    </w:rPr>
                    <w:t>0.4</w:t>
                  </w:r>
                </w:p>
                <w:p>
                  <w:pPr>
                    <w:pStyle w:val="39"/>
                    <w:jc w:val="center"/>
                    <w:rPr>
                      <w:b/>
                      <w:bCs/>
                      <w:color w:val="auto"/>
                    </w:rPr>
                  </w:pPr>
                  <w:r>
                    <w:rPr>
                      <w:b/>
                      <w:bCs/>
                      <w:color w:val="auto"/>
                    </w:rPr>
                    <w:t>（kg/m</w:t>
                  </w:r>
                  <w:r>
                    <w:rPr>
                      <w:b/>
                      <w:bCs/>
                      <w:color w:val="auto"/>
                      <w:vertAlign w:val="superscript"/>
                    </w:rPr>
                    <w:t>2</w:t>
                  </w:r>
                  <w:r>
                    <w:rPr>
                      <w:b/>
                      <w:bCs/>
                      <w:color w:val="auto"/>
                    </w:rPr>
                    <w:t>）</w:t>
                  </w:r>
                </w:p>
              </w:tc>
              <w:tc>
                <w:tcPr>
                  <w:tcW w:w="738" w:type="pct"/>
                  <w:vAlign w:val="center"/>
                </w:tcPr>
                <w:p>
                  <w:pPr>
                    <w:pStyle w:val="39"/>
                    <w:jc w:val="center"/>
                    <w:rPr>
                      <w:b/>
                      <w:bCs/>
                      <w:color w:val="auto"/>
                    </w:rPr>
                  </w:pPr>
                  <w:r>
                    <w:rPr>
                      <w:b/>
                      <w:bCs/>
                      <w:color w:val="auto"/>
                    </w:rPr>
                    <w:t>0.5</w:t>
                  </w:r>
                </w:p>
                <w:p>
                  <w:pPr>
                    <w:pStyle w:val="39"/>
                    <w:jc w:val="center"/>
                    <w:rPr>
                      <w:b/>
                      <w:bCs/>
                      <w:color w:val="auto"/>
                    </w:rPr>
                  </w:pPr>
                  <w:r>
                    <w:rPr>
                      <w:b/>
                      <w:bCs/>
                      <w:color w:val="auto"/>
                    </w:rPr>
                    <w:t>（kg/m</w:t>
                  </w:r>
                  <w:r>
                    <w:rPr>
                      <w:b/>
                      <w:bCs/>
                      <w:color w:val="auto"/>
                      <w:vertAlign w:val="superscript"/>
                    </w:rPr>
                    <w:t>2</w:t>
                  </w:r>
                  <w:r>
                    <w:rPr>
                      <w:b/>
                      <w:bCs/>
                      <w:color w:val="auto"/>
                    </w:rPr>
                    <w:t>）</w:t>
                  </w:r>
                </w:p>
              </w:tc>
              <w:tc>
                <w:tcPr>
                  <w:tcW w:w="733" w:type="pct"/>
                  <w:vAlign w:val="center"/>
                </w:tcPr>
                <w:p>
                  <w:pPr>
                    <w:pStyle w:val="39"/>
                    <w:jc w:val="center"/>
                    <w:rPr>
                      <w:b/>
                      <w:bCs/>
                      <w:color w:val="auto"/>
                    </w:rPr>
                  </w:pPr>
                  <w:r>
                    <w:rPr>
                      <w:b/>
                      <w:bCs/>
                      <w:color w:val="auto"/>
                    </w:rPr>
                    <w:t>0.6</w:t>
                  </w:r>
                </w:p>
                <w:p>
                  <w:pPr>
                    <w:pStyle w:val="39"/>
                    <w:jc w:val="center"/>
                    <w:rPr>
                      <w:b/>
                      <w:bCs/>
                      <w:color w:val="auto"/>
                    </w:rPr>
                  </w:pPr>
                  <w:r>
                    <w:rPr>
                      <w:b/>
                      <w:bCs/>
                      <w:color w:val="auto"/>
                    </w:rPr>
                    <w:t>（kg/m</w:t>
                  </w:r>
                  <w:r>
                    <w:rPr>
                      <w:b/>
                      <w:bCs/>
                      <w:color w:val="auto"/>
                      <w:vertAlign w:val="superscript"/>
                    </w:rPr>
                    <w:t>2</w:t>
                  </w:r>
                  <w:r>
                    <w:rPr>
                      <w:b/>
                      <w:bCs/>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705" w:type="pct"/>
                  <w:vAlign w:val="center"/>
                </w:tcPr>
                <w:p>
                  <w:pPr>
                    <w:pStyle w:val="39"/>
                    <w:jc w:val="center"/>
                    <w:rPr>
                      <w:color w:val="auto"/>
                    </w:rPr>
                  </w:pPr>
                  <w:r>
                    <w:rPr>
                      <w:color w:val="auto"/>
                    </w:rPr>
                    <w:t>空车</w:t>
                  </w:r>
                </w:p>
              </w:tc>
              <w:tc>
                <w:tcPr>
                  <w:tcW w:w="691" w:type="pct"/>
                  <w:vAlign w:val="center"/>
                </w:tcPr>
                <w:p>
                  <w:pPr>
                    <w:pStyle w:val="39"/>
                    <w:jc w:val="center"/>
                    <w:rPr>
                      <w:color w:val="auto"/>
                    </w:rPr>
                  </w:pPr>
                  <w:r>
                    <w:rPr>
                      <w:color w:val="auto"/>
                    </w:rPr>
                    <w:t>0.20</w:t>
                  </w:r>
                </w:p>
              </w:tc>
              <w:tc>
                <w:tcPr>
                  <w:tcW w:w="723" w:type="pct"/>
                  <w:vAlign w:val="center"/>
                </w:tcPr>
                <w:p>
                  <w:pPr>
                    <w:pStyle w:val="39"/>
                    <w:jc w:val="center"/>
                    <w:rPr>
                      <w:color w:val="auto"/>
                    </w:rPr>
                  </w:pPr>
                  <w:r>
                    <w:rPr>
                      <w:color w:val="auto"/>
                    </w:rPr>
                    <w:t>0.34</w:t>
                  </w:r>
                </w:p>
              </w:tc>
              <w:tc>
                <w:tcPr>
                  <w:tcW w:w="722" w:type="pct"/>
                  <w:vAlign w:val="center"/>
                </w:tcPr>
                <w:p>
                  <w:pPr>
                    <w:pStyle w:val="39"/>
                    <w:jc w:val="center"/>
                    <w:rPr>
                      <w:color w:val="auto"/>
                    </w:rPr>
                  </w:pPr>
                  <w:r>
                    <w:rPr>
                      <w:color w:val="auto"/>
                    </w:rPr>
                    <w:t>0.47</w:t>
                  </w:r>
                </w:p>
              </w:tc>
              <w:tc>
                <w:tcPr>
                  <w:tcW w:w="684" w:type="pct"/>
                  <w:vAlign w:val="center"/>
                </w:tcPr>
                <w:p>
                  <w:pPr>
                    <w:pStyle w:val="39"/>
                    <w:jc w:val="center"/>
                    <w:rPr>
                      <w:color w:val="auto"/>
                    </w:rPr>
                  </w:pPr>
                  <w:r>
                    <w:rPr>
                      <w:color w:val="auto"/>
                    </w:rPr>
                    <w:t>0.58</w:t>
                  </w:r>
                </w:p>
              </w:tc>
              <w:tc>
                <w:tcPr>
                  <w:tcW w:w="738" w:type="pct"/>
                  <w:vAlign w:val="center"/>
                </w:tcPr>
                <w:p>
                  <w:pPr>
                    <w:pStyle w:val="39"/>
                    <w:jc w:val="center"/>
                    <w:rPr>
                      <w:color w:val="auto"/>
                    </w:rPr>
                  </w:pPr>
                  <w:r>
                    <w:rPr>
                      <w:color w:val="auto"/>
                    </w:rPr>
                    <w:t>0.68</w:t>
                  </w:r>
                </w:p>
              </w:tc>
              <w:tc>
                <w:tcPr>
                  <w:tcW w:w="733" w:type="pct"/>
                  <w:vAlign w:val="center"/>
                </w:tcPr>
                <w:p>
                  <w:pPr>
                    <w:pStyle w:val="39"/>
                    <w:jc w:val="center"/>
                    <w:rPr>
                      <w:color w:val="auto"/>
                    </w:rPr>
                  </w:pPr>
                  <w:r>
                    <w:rPr>
                      <w:color w:val="auto"/>
                    </w:rPr>
                    <w:t>0.78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705" w:type="pct"/>
                  <w:vAlign w:val="center"/>
                </w:tcPr>
                <w:p>
                  <w:pPr>
                    <w:pStyle w:val="39"/>
                    <w:jc w:val="center"/>
                    <w:rPr>
                      <w:color w:val="auto"/>
                    </w:rPr>
                  </w:pPr>
                  <w:r>
                    <w:rPr>
                      <w:color w:val="auto"/>
                    </w:rPr>
                    <w:t>重车</w:t>
                  </w:r>
                </w:p>
              </w:tc>
              <w:tc>
                <w:tcPr>
                  <w:tcW w:w="691" w:type="pct"/>
                  <w:vAlign w:val="center"/>
                </w:tcPr>
                <w:p>
                  <w:pPr>
                    <w:pStyle w:val="39"/>
                    <w:jc w:val="center"/>
                    <w:rPr>
                      <w:color w:val="auto"/>
                    </w:rPr>
                  </w:pPr>
                  <w:r>
                    <w:rPr>
                      <w:color w:val="auto"/>
                    </w:rPr>
                    <w:t>0</w:t>
                  </w:r>
                  <w:r>
                    <w:rPr>
                      <w:rFonts w:hint="eastAsia"/>
                      <w:color w:val="auto"/>
                    </w:rPr>
                    <w:t>.66</w:t>
                  </w:r>
                </w:p>
              </w:tc>
              <w:tc>
                <w:tcPr>
                  <w:tcW w:w="723" w:type="pct"/>
                  <w:vAlign w:val="center"/>
                </w:tcPr>
                <w:p>
                  <w:pPr>
                    <w:pStyle w:val="39"/>
                    <w:jc w:val="center"/>
                    <w:rPr>
                      <w:color w:val="auto"/>
                    </w:rPr>
                  </w:pPr>
                  <w:r>
                    <w:rPr>
                      <w:rFonts w:hint="eastAsia"/>
                      <w:color w:val="auto"/>
                    </w:rPr>
                    <w:t>1.12</w:t>
                  </w:r>
                </w:p>
              </w:tc>
              <w:tc>
                <w:tcPr>
                  <w:tcW w:w="722" w:type="pct"/>
                  <w:vAlign w:val="center"/>
                </w:tcPr>
                <w:p>
                  <w:pPr>
                    <w:pStyle w:val="39"/>
                    <w:jc w:val="center"/>
                    <w:rPr>
                      <w:color w:val="auto"/>
                    </w:rPr>
                  </w:pPr>
                  <w:r>
                    <w:rPr>
                      <w:rFonts w:hint="eastAsia"/>
                      <w:color w:val="auto"/>
                    </w:rPr>
                    <w:t>1.51</w:t>
                  </w:r>
                </w:p>
              </w:tc>
              <w:tc>
                <w:tcPr>
                  <w:tcW w:w="684" w:type="pct"/>
                  <w:vAlign w:val="center"/>
                </w:tcPr>
                <w:p>
                  <w:pPr>
                    <w:pStyle w:val="39"/>
                    <w:jc w:val="center"/>
                    <w:rPr>
                      <w:color w:val="auto"/>
                    </w:rPr>
                  </w:pPr>
                  <w:r>
                    <w:rPr>
                      <w:rFonts w:hint="eastAsia"/>
                      <w:color w:val="auto"/>
                    </w:rPr>
                    <w:t>1.88</w:t>
                  </w:r>
                </w:p>
              </w:tc>
              <w:tc>
                <w:tcPr>
                  <w:tcW w:w="738" w:type="pct"/>
                  <w:vAlign w:val="center"/>
                </w:tcPr>
                <w:p>
                  <w:pPr>
                    <w:pStyle w:val="39"/>
                    <w:jc w:val="center"/>
                    <w:rPr>
                      <w:color w:val="auto"/>
                    </w:rPr>
                  </w:pPr>
                  <w:r>
                    <w:rPr>
                      <w:rFonts w:hint="eastAsia"/>
                      <w:color w:val="auto"/>
                    </w:rPr>
                    <w:t>2.22</w:t>
                  </w:r>
                </w:p>
              </w:tc>
              <w:tc>
                <w:tcPr>
                  <w:tcW w:w="733" w:type="pct"/>
                  <w:vAlign w:val="center"/>
                </w:tcPr>
                <w:p>
                  <w:pPr>
                    <w:pStyle w:val="39"/>
                    <w:jc w:val="center"/>
                    <w:rPr>
                      <w:color w:val="auto"/>
                    </w:rPr>
                  </w:pPr>
                  <w:r>
                    <w:rPr>
                      <w:rFonts w:hint="eastAsia"/>
                      <w:color w:val="auto"/>
                    </w:rPr>
                    <w:t>2.54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05" w:type="pct"/>
                  <w:vAlign w:val="center"/>
                </w:tcPr>
                <w:p>
                  <w:pPr>
                    <w:pStyle w:val="39"/>
                    <w:jc w:val="center"/>
                    <w:rPr>
                      <w:color w:val="auto"/>
                    </w:rPr>
                  </w:pPr>
                  <w:r>
                    <w:rPr>
                      <w:color w:val="auto"/>
                    </w:rPr>
                    <w:t>合计</w:t>
                  </w:r>
                </w:p>
              </w:tc>
              <w:tc>
                <w:tcPr>
                  <w:tcW w:w="691" w:type="pct"/>
                  <w:vAlign w:val="center"/>
                </w:tcPr>
                <w:p>
                  <w:pPr>
                    <w:pStyle w:val="39"/>
                    <w:jc w:val="center"/>
                    <w:rPr>
                      <w:rFonts w:hint="eastAsia" w:eastAsia="宋体"/>
                      <w:color w:val="auto"/>
                      <w:lang w:eastAsia="zh-CN"/>
                    </w:rPr>
                  </w:pPr>
                  <w:r>
                    <w:rPr>
                      <w:color w:val="auto"/>
                    </w:rPr>
                    <w:t>0</w:t>
                  </w:r>
                  <w:r>
                    <w:rPr>
                      <w:rFonts w:hint="eastAsia"/>
                      <w:color w:val="auto"/>
                    </w:rPr>
                    <w:t>.8</w:t>
                  </w:r>
                  <w:r>
                    <w:rPr>
                      <w:rFonts w:hint="eastAsia"/>
                      <w:color w:val="auto"/>
                      <w:lang w:val="en-US" w:eastAsia="zh-CN"/>
                    </w:rPr>
                    <w:t>6</w:t>
                  </w:r>
                </w:p>
              </w:tc>
              <w:tc>
                <w:tcPr>
                  <w:tcW w:w="723" w:type="pct"/>
                  <w:vAlign w:val="center"/>
                </w:tcPr>
                <w:p>
                  <w:pPr>
                    <w:pStyle w:val="39"/>
                    <w:jc w:val="center"/>
                    <w:rPr>
                      <w:color w:val="auto"/>
                    </w:rPr>
                  </w:pPr>
                  <w:r>
                    <w:rPr>
                      <w:rFonts w:hint="eastAsia"/>
                      <w:color w:val="auto"/>
                    </w:rPr>
                    <w:t>1.46</w:t>
                  </w:r>
                </w:p>
              </w:tc>
              <w:tc>
                <w:tcPr>
                  <w:tcW w:w="722" w:type="pct"/>
                  <w:vAlign w:val="center"/>
                </w:tcPr>
                <w:p>
                  <w:pPr>
                    <w:pStyle w:val="39"/>
                    <w:jc w:val="center"/>
                    <w:rPr>
                      <w:color w:val="auto"/>
                    </w:rPr>
                  </w:pPr>
                  <w:r>
                    <w:rPr>
                      <w:rFonts w:hint="eastAsia"/>
                      <w:color w:val="auto"/>
                    </w:rPr>
                    <w:t>1.98</w:t>
                  </w:r>
                </w:p>
              </w:tc>
              <w:tc>
                <w:tcPr>
                  <w:tcW w:w="684" w:type="pct"/>
                  <w:vAlign w:val="center"/>
                </w:tcPr>
                <w:p>
                  <w:pPr>
                    <w:pStyle w:val="39"/>
                    <w:jc w:val="center"/>
                    <w:rPr>
                      <w:rFonts w:hint="eastAsia" w:eastAsia="宋体"/>
                      <w:color w:val="auto"/>
                      <w:lang w:eastAsia="zh-CN"/>
                    </w:rPr>
                  </w:pPr>
                  <w:r>
                    <w:rPr>
                      <w:rFonts w:hint="eastAsia"/>
                      <w:color w:val="auto"/>
                    </w:rPr>
                    <w:t>2.4</w:t>
                  </w:r>
                  <w:r>
                    <w:rPr>
                      <w:rFonts w:hint="eastAsia"/>
                      <w:color w:val="auto"/>
                      <w:lang w:val="en-US" w:eastAsia="zh-CN"/>
                    </w:rPr>
                    <w:t>6</w:t>
                  </w:r>
                </w:p>
              </w:tc>
              <w:tc>
                <w:tcPr>
                  <w:tcW w:w="738" w:type="pct"/>
                  <w:vAlign w:val="center"/>
                </w:tcPr>
                <w:p>
                  <w:pPr>
                    <w:pStyle w:val="39"/>
                    <w:jc w:val="center"/>
                    <w:rPr>
                      <w:color w:val="auto"/>
                    </w:rPr>
                  </w:pPr>
                  <w:r>
                    <w:rPr>
                      <w:rFonts w:hint="eastAsia"/>
                      <w:color w:val="auto"/>
                    </w:rPr>
                    <w:t>2.90</w:t>
                  </w:r>
                </w:p>
              </w:tc>
              <w:tc>
                <w:tcPr>
                  <w:tcW w:w="733" w:type="pct"/>
                  <w:vAlign w:val="center"/>
                </w:tcPr>
                <w:p>
                  <w:pPr>
                    <w:pStyle w:val="39"/>
                    <w:jc w:val="center"/>
                    <w:rPr>
                      <w:rFonts w:hint="eastAsia" w:eastAsia="宋体"/>
                      <w:color w:val="auto"/>
                      <w:lang w:eastAsia="zh-CN"/>
                    </w:rPr>
                  </w:pPr>
                  <w:r>
                    <w:rPr>
                      <w:rFonts w:hint="eastAsia"/>
                      <w:color w:val="auto"/>
                    </w:rPr>
                    <w:t>3.3</w:t>
                  </w:r>
                  <w:r>
                    <w:rPr>
                      <w:rFonts w:hint="eastAsia"/>
                      <w:color w:val="auto"/>
                      <w:lang w:val="en-US" w:eastAsia="zh-CN"/>
                    </w:rPr>
                    <w:t>2</w:t>
                  </w:r>
                </w:p>
              </w:tc>
            </w:tr>
          </w:tbl>
          <w:p>
            <w:pPr>
              <w:ind w:firstLine="480"/>
              <w:rPr>
                <w:color w:val="auto"/>
                <w:szCs w:val="21"/>
              </w:rPr>
            </w:pPr>
            <w:r>
              <w:rPr>
                <w:color w:val="auto"/>
                <w:szCs w:val="21"/>
              </w:rPr>
              <w:t>根据现场勘查，项目建设方对厂区内地面定期派专人进行路面清扫、洒水，以减道路扬尘。基于这种情况，本环评对道路路况进行了0.2kg/m2的计算。经过计算，项目汽车动力起尘量为0.18t/a。</w:t>
            </w:r>
          </w:p>
          <w:p>
            <w:pPr>
              <w:ind w:firstLine="482"/>
              <w:rPr>
                <w:b/>
                <w:bCs/>
                <w:color w:val="auto"/>
              </w:rPr>
            </w:pPr>
            <w:r>
              <w:rPr>
                <w:rFonts w:hint="eastAsia"/>
                <w:b/>
                <w:bCs/>
                <w:color w:val="auto"/>
              </w:rPr>
              <w:t>2.</w:t>
            </w:r>
            <w:r>
              <w:rPr>
                <w:b/>
                <w:bCs/>
                <w:color w:val="auto"/>
              </w:rPr>
              <w:t>砂石料库</w:t>
            </w:r>
          </w:p>
          <w:p>
            <w:pPr>
              <w:ind w:firstLine="480"/>
              <w:rPr>
                <w:color w:val="auto"/>
              </w:rPr>
            </w:pPr>
            <w:r>
              <w:rPr>
                <w:rFonts w:hint="eastAsia"/>
                <w:color w:val="auto"/>
              </w:rPr>
              <w:t>①</w:t>
            </w:r>
            <w:r>
              <w:rPr>
                <w:color w:val="auto"/>
              </w:rPr>
              <w:t>砂石装卸、堆放产生扬尘</w:t>
            </w:r>
          </w:p>
          <w:p>
            <w:pPr>
              <w:ind w:firstLine="480"/>
              <w:rPr>
                <w:color w:val="auto"/>
              </w:rPr>
            </w:pPr>
            <w:r>
              <w:rPr>
                <w:rFonts w:hint="eastAsia"/>
                <w:color w:val="auto"/>
              </w:rPr>
              <w:t>本项目砂石料装卸采用卡车装卸，根据《排放源统计调查产排污核算方法和系数手册》附表2 工业源固体物料堆场颗粒物核算系数手册，颗粒物产生量核算公式如下：</w:t>
            </w:r>
          </w:p>
          <w:p>
            <w:pPr>
              <w:ind w:firstLine="480"/>
              <w:jc w:val="center"/>
              <w:rPr>
                <w:color w:val="auto"/>
              </w:rPr>
            </w:pPr>
            <w:r>
              <w:rPr>
                <w:rFonts w:hint="eastAsia"/>
                <w:color w:val="auto"/>
                <w:position w:val="-14"/>
              </w:rPr>
              <w:object>
                <v:shape id="_x0000_i1028" o:spt="75" type="#_x0000_t75" style="height:20.15pt;width:251.3pt;" o:ole="t" filled="f" o:preferrelative="t" stroked="f" coordsize="21600,21600">
                  <v:path/>
                  <v:fill on="f" focussize="0,0"/>
                  <v:stroke on="f" joinstyle="miter"/>
                  <v:imagedata r:id="rId22" o:title=""/>
                  <o:lock v:ext="edit" aspectratio="t"/>
                  <w10:wrap type="none"/>
                  <w10:anchorlock/>
                </v:shape>
                <o:OLEObject Type="Embed" ProgID="Equation.KSEE3" ShapeID="_x0000_i1028" DrawAspect="Content" ObjectID="_1468075727" r:id="rId21">
                  <o:LockedField>false</o:LockedField>
                </o:OLEObject>
              </w:object>
            </w:r>
          </w:p>
          <w:p>
            <w:pPr>
              <w:ind w:firstLine="480"/>
              <w:rPr>
                <w:color w:val="auto"/>
              </w:rPr>
            </w:pPr>
            <w:r>
              <w:rPr>
                <w:rFonts w:hint="eastAsia"/>
                <w:color w:val="auto"/>
              </w:rPr>
              <w:t>式中：</w:t>
            </w:r>
            <w:r>
              <w:rPr>
                <w:rFonts w:hint="eastAsia"/>
                <w:color w:val="auto"/>
                <w:position w:val="-4"/>
              </w:rPr>
              <w:object>
                <v:shape id="_x0000_i1029" o:spt="75" type="#_x0000_t75" style="height:12.95pt;width:12.25pt;" o:ole="t" filled="f" o:preferrelative="t" stroked="f" coordsize="21600,21600">
                  <v:path/>
                  <v:fill on="f" focussize="0,0"/>
                  <v:stroke on="f" joinstyle="miter"/>
                  <v:imagedata r:id="rId24" o:title=""/>
                  <o:lock v:ext="edit" aspectratio="t"/>
                  <w10:wrap type="none"/>
                  <w10:anchorlock/>
                </v:shape>
                <o:OLEObject Type="Embed" ProgID="Equation.KSEE3" ShapeID="_x0000_i1029" DrawAspect="Content" ObjectID="_1468075728" r:id="rId23">
                  <o:LockedField>false</o:LockedField>
                </o:OLEObject>
              </w:object>
            </w:r>
            <w:r>
              <w:rPr>
                <w:rFonts w:hint="eastAsia"/>
                <w:color w:val="auto"/>
              </w:rPr>
              <w:t>指颗粒物产生量</w:t>
            </w:r>
            <w:r>
              <w:rPr>
                <w:rFonts w:hint="eastAsia"/>
                <w:color w:val="auto"/>
                <w:lang w:eastAsia="zh-CN"/>
              </w:rPr>
              <w:t>（</w:t>
            </w:r>
            <w:r>
              <w:rPr>
                <w:rFonts w:hint="eastAsia"/>
                <w:color w:val="auto"/>
              </w:rPr>
              <w:t>单位：吨</w:t>
            </w:r>
            <w:r>
              <w:rPr>
                <w:rFonts w:hint="eastAsia"/>
                <w:color w:val="auto"/>
                <w:lang w:eastAsia="zh-CN"/>
              </w:rPr>
              <w:t>）</w:t>
            </w:r>
            <w:r>
              <w:rPr>
                <w:rFonts w:hint="eastAsia"/>
                <w:color w:val="auto"/>
              </w:rPr>
              <w:t>；</w:t>
            </w:r>
          </w:p>
          <w:p>
            <w:pPr>
              <w:ind w:firstLine="1200" w:firstLineChars="500"/>
              <w:rPr>
                <w:color w:val="auto"/>
              </w:rPr>
            </w:pPr>
            <w:r>
              <w:rPr>
                <w:rFonts w:hint="eastAsia"/>
                <w:color w:val="auto"/>
                <w:position w:val="-10"/>
              </w:rPr>
              <w:object>
                <v:shape id="_x0000_i1030" o:spt="75" type="#_x0000_t75" style="height:15.85pt;width:25.2pt;" o:ole="t" filled="f" o:preferrelative="t" stroked="f" coordsize="21600,21600">
                  <v:path/>
                  <v:fill on="f" focussize="0,0"/>
                  <v:stroke on="f" joinstyle="miter"/>
                  <v:imagedata r:id="rId26" o:title=""/>
                  <o:lock v:ext="edit" aspectratio="t"/>
                  <w10:wrap type="none"/>
                  <w10:anchorlock/>
                </v:shape>
                <o:OLEObject Type="Embed" ProgID="Equation.KSEE3" ShapeID="_x0000_i1030" DrawAspect="Content" ObjectID="_1468075729" r:id="rId25">
                  <o:LockedField>false</o:LockedField>
                </o:OLEObject>
              </w:object>
            </w:r>
            <w:r>
              <w:rPr>
                <w:rFonts w:hint="eastAsia"/>
                <w:color w:val="auto"/>
              </w:rPr>
              <w:t>指装卸扬尘产生量</w:t>
            </w:r>
            <w:r>
              <w:rPr>
                <w:rFonts w:hint="eastAsia"/>
                <w:color w:val="auto"/>
                <w:lang w:eastAsia="zh-CN"/>
              </w:rPr>
              <w:t>（</w:t>
            </w:r>
            <w:r>
              <w:rPr>
                <w:rFonts w:hint="eastAsia"/>
                <w:color w:val="auto"/>
              </w:rPr>
              <w:t>单位：吨</w:t>
            </w:r>
            <w:r>
              <w:rPr>
                <w:rFonts w:hint="eastAsia"/>
                <w:color w:val="auto"/>
                <w:lang w:eastAsia="zh-CN"/>
              </w:rPr>
              <w:t>）</w:t>
            </w:r>
          </w:p>
          <w:p>
            <w:pPr>
              <w:ind w:firstLine="1200" w:firstLineChars="500"/>
              <w:rPr>
                <w:color w:val="auto"/>
              </w:rPr>
            </w:pPr>
            <w:r>
              <w:rPr>
                <w:rFonts w:hint="eastAsia"/>
                <w:color w:val="auto"/>
                <w:position w:val="-10"/>
              </w:rPr>
              <w:object>
                <v:shape id="_x0000_i1031" o:spt="75" type="#_x0000_t75" style="height:15.85pt;width:25.2pt;" o:ole="t" filled="f" o:preferrelative="t" stroked="f" coordsize="21600,21600">
                  <v:path/>
                  <v:fill on="f" focussize="0,0"/>
                  <v:stroke on="f" joinstyle="miter"/>
                  <v:imagedata r:id="rId28" o:title=""/>
                  <o:lock v:ext="edit" aspectratio="t"/>
                  <w10:wrap type="none"/>
                  <w10:anchorlock/>
                </v:shape>
                <o:OLEObject Type="Embed" ProgID="Equation.KSEE3" ShapeID="_x0000_i1031" DrawAspect="Content" ObjectID="_1468075730" r:id="rId27">
                  <o:LockedField>false</o:LockedField>
                </o:OLEObject>
              </w:object>
            </w:r>
            <w:r>
              <w:rPr>
                <w:rFonts w:hint="eastAsia"/>
                <w:color w:val="auto"/>
              </w:rPr>
              <w:t>指风蚀扬尘产生量（单位：吨）</w:t>
            </w:r>
          </w:p>
          <w:p>
            <w:pPr>
              <w:ind w:firstLine="1200" w:firstLineChars="500"/>
              <w:rPr>
                <w:color w:val="auto"/>
              </w:rPr>
            </w:pPr>
            <w:r>
              <w:rPr>
                <w:rFonts w:hint="eastAsia"/>
                <w:color w:val="auto"/>
                <w:position w:val="-6"/>
              </w:rPr>
              <w:object>
                <v:shape id="_x0000_i1032" o:spt="75" type="#_x0000_t75" style="height:13.7pt;width:18pt;" o:ole="t" filled="f" o:preferrelative="t" stroked="f" coordsize="21600,21600">
                  <v:path/>
                  <v:fill on="f" focussize="0,0"/>
                  <v:stroke on="f" joinstyle="miter"/>
                  <v:imagedata r:id="rId30" o:title=""/>
                  <o:lock v:ext="edit" aspectratio="t"/>
                  <w10:wrap type="none"/>
                  <w10:anchorlock/>
                </v:shape>
                <o:OLEObject Type="Embed" ProgID="Equation.KSEE3" ShapeID="_x0000_i1032" DrawAspect="Content" ObjectID="_1468075731" r:id="rId29">
                  <o:LockedField>false</o:LockedField>
                </o:OLEObject>
              </w:object>
            </w:r>
            <w:r>
              <w:rPr>
                <w:rFonts w:hint="eastAsia"/>
                <w:color w:val="auto"/>
              </w:rPr>
              <w:t>指年物料运载车次（单位：车），本项目年运载约900车；</w:t>
            </w:r>
          </w:p>
          <w:p>
            <w:pPr>
              <w:ind w:firstLine="1200" w:firstLineChars="500"/>
              <w:rPr>
                <w:color w:val="auto"/>
              </w:rPr>
            </w:pPr>
            <w:r>
              <w:rPr>
                <w:rFonts w:hint="eastAsia"/>
                <w:color w:val="auto"/>
                <w:position w:val="-4"/>
              </w:rPr>
              <w:object>
                <v:shape id="_x0000_i1033" o:spt="75" type="#_x0000_t75" style="height:12.95pt;width:12.95pt;" o:ole="t" filled="f" o:preferrelative="t" stroked="f" coordsize="21600,21600">
                  <v:path/>
                  <v:fill on="f" focussize="0,0"/>
                  <v:stroke on="f" joinstyle="miter"/>
                  <v:imagedata r:id="rId32" o:title=""/>
                  <o:lock v:ext="edit" aspectratio="t"/>
                  <w10:wrap type="none"/>
                  <w10:anchorlock/>
                </v:shape>
                <o:OLEObject Type="Embed" ProgID="Equation.KSEE3" ShapeID="_x0000_i1033" DrawAspect="Content" ObjectID="_1468075732" r:id="rId31">
                  <o:LockedField>false</o:LockedField>
                </o:OLEObject>
              </w:object>
            </w:r>
            <w:r>
              <w:rPr>
                <w:rFonts w:hint="eastAsia"/>
                <w:color w:val="auto"/>
              </w:rPr>
              <w:t>指单车平均运载量（单位：吨/车），本项目为40t/车；</w:t>
            </w:r>
          </w:p>
          <w:p>
            <w:pPr>
              <w:ind w:firstLine="1200" w:firstLineChars="500"/>
              <w:rPr>
                <w:color w:val="auto"/>
              </w:rPr>
            </w:pPr>
            <w:r>
              <w:rPr>
                <w:rFonts w:hint="eastAsia"/>
                <w:color w:val="auto"/>
                <w:position w:val="-10"/>
              </w:rPr>
              <w:object>
                <v:shape id="_x0000_i1034" o:spt="75" type="#_x0000_t75" style="height:17.3pt;width:30.25pt;" o:ole="t" filled="f" o:preferrelative="t" stroked="f" coordsize="21600,21600">
                  <v:path/>
                  <v:fill on="f" focussize="0,0"/>
                  <v:stroke on="f" joinstyle="miter"/>
                  <v:imagedata r:id="rId34" o:title=""/>
                  <o:lock v:ext="edit" aspectratio="t"/>
                  <w10:wrap type="none"/>
                  <w10:anchorlock/>
                </v:shape>
                <o:OLEObject Type="Embed" ProgID="Equation.KSEE3" ShapeID="_x0000_i1034" DrawAspect="Content" ObjectID="_1468075733" r:id="rId33">
                  <o:LockedField>false</o:LockedField>
                </o:OLEObject>
              </w:object>
            </w:r>
            <w:r>
              <w:rPr>
                <w:rFonts w:hint="eastAsia"/>
                <w:color w:val="auto"/>
              </w:rPr>
              <w:t>指装卸扬尘概化系数（单位：千克/吨），</w:t>
            </w:r>
            <w:r>
              <w:rPr>
                <w:rFonts w:hint="eastAsia"/>
                <w:color w:val="auto"/>
                <w:position w:val="-6"/>
              </w:rPr>
              <w:object>
                <v:shape id="_x0000_i1035" o:spt="75" type="#_x0000_t75" style="height:10.8pt;width:10.1pt;" o:ole="t" filled="f" o:preferrelative="t" stroked="f" coordsize="21600,21600">
                  <v:path/>
                  <v:fill on="f" focussize="0,0"/>
                  <v:stroke on="f" joinstyle="miter"/>
                  <v:imagedata r:id="rId36" o:title=""/>
                  <o:lock v:ext="edit" aspectratio="t"/>
                  <w10:wrap type="none"/>
                  <w10:anchorlock/>
                </v:shape>
                <o:OLEObject Type="Embed" ProgID="Equation.KSEE3" ShapeID="_x0000_i1035" DrawAspect="Content" ObjectID="_1468075734" r:id="rId35">
                  <o:LockedField>false</o:LockedField>
                </o:OLEObject>
              </w:object>
            </w:r>
            <w:r>
              <w:rPr>
                <w:rFonts w:hint="eastAsia"/>
                <w:color w:val="auto"/>
              </w:rPr>
              <w:t>指各省风速概化系数，见附录1，本项目取0.0017，</w:t>
            </w:r>
            <w:r>
              <w:rPr>
                <w:rFonts w:hint="eastAsia"/>
                <w:color w:val="auto"/>
                <w:position w:val="-6"/>
              </w:rPr>
              <w:object>
                <v:shape id="_x0000_i1036" o:spt="75" type="#_x0000_t75" style="height:13.7pt;width:10.1pt;" o:ole="t" filled="f" o:preferrelative="t" stroked="f" coordsize="21600,21600">
                  <v:path/>
                  <v:fill on="f" focussize="0,0"/>
                  <v:stroke on="f" joinstyle="miter"/>
                  <v:imagedata r:id="rId38" o:title=""/>
                  <o:lock v:ext="edit" aspectratio="t"/>
                  <w10:wrap type="none"/>
                  <w10:anchorlock/>
                </v:shape>
                <o:OLEObject Type="Embed" ProgID="Equation.KSEE3" ShapeID="_x0000_i1036" DrawAspect="Content" ObjectID="_1468075735" r:id="rId37">
                  <o:LockedField>false</o:LockedField>
                </o:OLEObject>
              </w:object>
            </w:r>
            <w:r>
              <w:rPr>
                <w:rFonts w:hint="eastAsia"/>
                <w:color w:val="auto"/>
              </w:rPr>
              <w:t>指物料含水率概化系数，见附录2，本项目取0.0017；</w:t>
            </w:r>
          </w:p>
          <w:p>
            <w:pPr>
              <w:ind w:firstLine="1200" w:firstLineChars="500"/>
              <w:rPr>
                <w:color w:val="auto"/>
              </w:rPr>
            </w:pPr>
            <w:r>
              <w:rPr>
                <w:rFonts w:hint="eastAsia"/>
                <w:color w:val="auto"/>
                <w:position w:val="-14"/>
              </w:rPr>
              <w:object>
                <v:shape id="_x0000_i1037" o:spt="75" type="#_x0000_t75" style="height:18.7pt;width:17.3pt;" o:ole="t" filled="f" o:preferrelative="t" stroked="f" coordsize="21600,21600">
                  <v:path/>
                  <v:fill on="f" focussize="0,0"/>
                  <v:stroke on="f" joinstyle="miter"/>
                  <v:imagedata r:id="rId40" o:title=""/>
                  <o:lock v:ext="edit" aspectratio="t"/>
                  <w10:wrap type="none"/>
                  <w10:anchorlock/>
                </v:shape>
                <o:OLEObject Type="Embed" ProgID="Equation.KSEE3" ShapeID="_x0000_i1037" DrawAspect="Content" ObjectID="_1468075736" r:id="rId39">
                  <o:LockedField>false</o:LockedField>
                </o:OLEObject>
              </w:object>
            </w:r>
            <w:r>
              <w:rPr>
                <w:rFonts w:hint="eastAsia"/>
                <w:color w:val="auto"/>
              </w:rPr>
              <w:t>指堆场风蚀扬尘概化系数，见附录 3（单位：千克/平方米），本项目取3.6062kg/m</w:t>
            </w:r>
            <w:r>
              <w:rPr>
                <w:rFonts w:hint="eastAsia"/>
                <w:color w:val="auto"/>
                <w:vertAlign w:val="superscript"/>
              </w:rPr>
              <w:t>2</w:t>
            </w:r>
            <w:r>
              <w:rPr>
                <w:rFonts w:hint="eastAsia"/>
                <w:color w:val="auto"/>
              </w:rPr>
              <w:t>；</w:t>
            </w:r>
          </w:p>
          <w:p>
            <w:pPr>
              <w:ind w:firstLine="1200" w:firstLineChars="500"/>
              <w:rPr>
                <w:color w:val="auto"/>
              </w:rPr>
            </w:pPr>
            <w:r>
              <w:rPr>
                <w:rFonts w:hint="eastAsia"/>
                <w:color w:val="auto"/>
                <w:position w:val="-6"/>
              </w:rPr>
              <w:object>
                <v:shape id="_x0000_i1038" o:spt="75" type="#_x0000_t75" style="height:13.7pt;width:10.8pt;" o:ole="t" filled="f" o:preferrelative="t" stroked="f" coordsize="21600,21600">
                  <v:path/>
                  <v:fill on="f" focussize="0,0"/>
                  <v:stroke on="f" joinstyle="miter"/>
                  <v:imagedata r:id="rId42" o:title=""/>
                  <o:lock v:ext="edit" aspectratio="t"/>
                  <w10:wrap type="none"/>
                  <w10:anchorlock/>
                </v:shape>
                <o:OLEObject Type="Embed" ProgID="Equation.KSEE3" ShapeID="_x0000_i1038" DrawAspect="Content" ObjectID="_1468075737" r:id="rId41">
                  <o:LockedField>false</o:LockedField>
                </o:OLEObject>
              </w:object>
            </w:r>
            <w:r>
              <w:rPr>
                <w:rFonts w:hint="eastAsia"/>
                <w:color w:val="auto"/>
              </w:rPr>
              <w:t>指堆场占地面积（单位：平方米）本项目砂石料库占地面积为600m</w:t>
            </w:r>
            <w:r>
              <w:rPr>
                <w:rFonts w:hint="eastAsia"/>
                <w:color w:val="auto"/>
                <w:vertAlign w:val="superscript"/>
              </w:rPr>
              <w:t>2</w:t>
            </w:r>
            <w:r>
              <w:rPr>
                <w:rFonts w:hint="eastAsia"/>
                <w:color w:val="auto"/>
              </w:rPr>
              <w:t>。</w:t>
            </w:r>
          </w:p>
          <w:p>
            <w:pPr>
              <w:ind w:firstLine="480"/>
              <w:rPr>
                <w:color w:val="auto"/>
              </w:rPr>
            </w:pPr>
            <w:r>
              <w:rPr>
                <w:rFonts w:hint="eastAsia"/>
                <w:color w:val="auto"/>
              </w:rPr>
              <w:t>综上，</w:t>
            </w:r>
            <w:r>
              <w:rPr>
                <w:color w:val="auto"/>
              </w:rPr>
              <w:t>砂石装卸、堆放</w:t>
            </w:r>
            <w:r>
              <w:rPr>
                <w:rFonts w:hint="eastAsia"/>
                <w:color w:val="auto"/>
              </w:rPr>
              <w:t>产生的扬尘计算结果为：</w:t>
            </w:r>
          </w:p>
          <w:p>
            <w:pPr>
              <w:ind w:firstLine="480"/>
              <w:jc w:val="center"/>
              <w:rPr>
                <w:color w:val="auto"/>
              </w:rPr>
            </w:pPr>
            <w:r>
              <w:rPr>
                <w:rFonts w:hint="eastAsia"/>
                <w:color w:val="auto"/>
                <w:position w:val="-10"/>
              </w:rPr>
              <w:object>
                <v:shape id="_x0000_i1039" o:spt="75" type="#_x0000_t75" style="height:18pt;width:275.75pt;" o:ole="t" filled="f" o:preferrelative="t" stroked="f" coordsize="21600,21600">
                  <v:path/>
                  <v:fill on="f" focussize="0,0"/>
                  <v:stroke on="f" joinstyle="miter"/>
                  <v:imagedata r:id="rId44" o:title=""/>
                  <o:lock v:ext="edit" aspectratio="t"/>
                  <w10:wrap type="none"/>
                  <w10:anchorlock/>
                </v:shape>
                <o:OLEObject Type="Embed" ProgID="Equation.KSEE3" ShapeID="_x0000_i1039" DrawAspect="Content" ObjectID="_1468075738" r:id="rId43">
                  <o:LockedField>false</o:LockedField>
                </o:OLEObject>
              </w:object>
            </w:r>
          </w:p>
          <w:p>
            <w:pPr>
              <w:ind w:firstLine="2160" w:firstLineChars="900"/>
              <w:rPr>
                <w:color w:val="auto"/>
              </w:rPr>
            </w:pPr>
            <w:r>
              <w:rPr>
                <w:rFonts w:hint="eastAsia"/>
                <w:color w:val="auto"/>
                <w:position w:val="-10"/>
              </w:rPr>
              <w:object>
                <v:shape id="_x0000_i1040" o:spt="75" type="#_x0000_t75" style="height:17.3pt;width:115.9pt;" o:ole="t" filled="f" o:preferrelative="t" stroked="f" coordsize="21600,21600">
                  <v:path/>
                  <v:fill on="f" focussize="0,0"/>
                  <v:stroke on="f" joinstyle="miter"/>
                  <v:imagedata r:id="rId46" o:title=""/>
                  <o:lock v:ext="edit" aspectratio="t"/>
                  <w10:wrap type="none"/>
                  <w10:anchorlock/>
                </v:shape>
                <o:OLEObject Type="Embed" ProgID="Equation.KSEE3" ShapeID="_x0000_i1040" DrawAspect="Content" ObjectID="_1468075739" r:id="rId45">
                  <o:LockedField>false</o:LockedField>
                </o:OLEObject>
              </w:object>
            </w:r>
          </w:p>
          <w:p>
            <w:pPr>
              <w:ind w:firstLine="480"/>
              <w:rPr>
                <w:color w:val="auto"/>
              </w:rPr>
            </w:pPr>
            <w:r>
              <w:rPr>
                <w:rFonts w:hint="eastAsia"/>
                <w:color w:val="auto"/>
              </w:rPr>
              <w:t>颗粒物排放量核算公式如下：</w:t>
            </w:r>
          </w:p>
          <w:p>
            <w:pPr>
              <w:ind w:firstLine="480"/>
              <w:jc w:val="center"/>
              <w:rPr>
                <w:color w:val="auto"/>
              </w:rPr>
            </w:pPr>
            <w:r>
              <w:rPr>
                <w:color w:val="auto"/>
                <w:position w:val="-12"/>
              </w:rPr>
              <w:object>
                <v:shape id="_x0000_i1041" o:spt="75" type="#_x0000_t75" style="height:18pt;width:126pt;" o:ole="t" filled="f" o:preferrelative="t" stroked="f" coordsize="21600,21600">
                  <v:path/>
                  <v:fill on="f" focussize="0,0"/>
                  <v:stroke on="f" joinstyle="miter"/>
                  <v:imagedata r:id="rId48" o:title=""/>
                  <o:lock v:ext="edit" aspectratio="t"/>
                  <w10:wrap type="none"/>
                  <w10:anchorlock/>
                </v:shape>
                <o:OLEObject Type="Embed" ProgID="Equation.KSEE3" ShapeID="_x0000_i1041" DrawAspect="Content" ObjectID="_1468075740" r:id="rId47">
                  <o:LockedField>false</o:LockedField>
                </o:OLEObject>
              </w:object>
            </w:r>
          </w:p>
          <w:p>
            <w:pPr>
              <w:ind w:firstLine="480"/>
              <w:rPr>
                <w:color w:val="auto"/>
              </w:rPr>
            </w:pPr>
            <w:r>
              <w:rPr>
                <w:rFonts w:hint="eastAsia"/>
                <w:color w:val="auto"/>
              </w:rPr>
              <w:t>式中：</w:t>
            </w:r>
            <w:r>
              <w:rPr>
                <w:color w:val="auto"/>
                <w:position w:val="-4"/>
              </w:rPr>
              <w:object>
                <v:shape id="_x0000_i1042" o:spt="75" type="#_x0000_t75" style="height:12.95pt;width:12.25pt;" o:ole="t" filled="f" o:preferrelative="t" stroked="f" coordsize="21600,21600">
                  <v:path/>
                  <v:fill on="f" focussize="0,0"/>
                  <v:stroke on="f" joinstyle="miter"/>
                  <v:imagedata r:id="rId50" o:title=""/>
                  <o:lock v:ext="edit" aspectratio="t"/>
                  <w10:wrap type="none"/>
                  <w10:anchorlock/>
                </v:shape>
                <o:OLEObject Type="Embed" ProgID="Equation.KSEE3" ShapeID="_x0000_i1042" DrawAspect="Content" ObjectID="_1468075741" r:id="rId49">
                  <o:LockedField>false</o:LockedField>
                </o:OLEObject>
              </w:object>
            </w:r>
            <w:r>
              <w:rPr>
                <w:rFonts w:hint="eastAsia"/>
                <w:color w:val="auto"/>
              </w:rPr>
              <w:t>指颗粒物产生量（单位：吨）；</w:t>
            </w:r>
          </w:p>
          <w:p>
            <w:pPr>
              <w:ind w:firstLine="1200" w:firstLineChars="500"/>
              <w:rPr>
                <w:color w:val="auto"/>
              </w:rPr>
            </w:pPr>
            <w:r>
              <w:rPr>
                <w:color w:val="auto"/>
                <w:position w:val="-12"/>
              </w:rPr>
              <w:object>
                <v:shape id="_x0000_i1043" o:spt="75" type="#_x0000_t75" style="height:18pt;width:18pt;" o:ole="t" filled="f" o:preferrelative="t" stroked="f" coordsize="21600,21600">
                  <v:path/>
                  <v:fill on="f" focussize="0,0"/>
                  <v:stroke on="f" joinstyle="miter"/>
                  <v:imagedata r:id="rId52" o:title=""/>
                  <o:lock v:ext="edit" aspectratio="t"/>
                  <w10:wrap type="none"/>
                  <w10:anchorlock/>
                </v:shape>
                <o:OLEObject Type="Embed" ProgID="Equation.KSEE3" ShapeID="_x0000_i1043" DrawAspect="Content" ObjectID="_1468075742" r:id="rId51">
                  <o:LockedField>false</o:LockedField>
                </o:OLEObject>
              </w:object>
            </w:r>
            <w:r>
              <w:rPr>
                <w:rFonts w:hint="eastAsia"/>
                <w:color w:val="auto"/>
              </w:rPr>
              <w:t>指颗粒物排放量</w:t>
            </w:r>
            <w:r>
              <w:rPr>
                <w:rFonts w:hint="eastAsia"/>
                <w:color w:val="auto"/>
                <w:lang w:eastAsia="zh-CN"/>
              </w:rPr>
              <w:t>（</w:t>
            </w:r>
            <w:r>
              <w:rPr>
                <w:rFonts w:hint="eastAsia"/>
                <w:color w:val="auto"/>
              </w:rPr>
              <w:t>单位：吨</w:t>
            </w:r>
            <w:r>
              <w:rPr>
                <w:rFonts w:hint="eastAsia"/>
                <w:color w:val="auto"/>
                <w:lang w:eastAsia="zh-CN"/>
              </w:rPr>
              <w:t>）</w:t>
            </w:r>
            <w:r>
              <w:rPr>
                <w:rFonts w:hint="eastAsia"/>
                <w:color w:val="auto"/>
              </w:rPr>
              <w:t>；</w:t>
            </w:r>
          </w:p>
          <w:p>
            <w:pPr>
              <w:ind w:firstLine="1200" w:firstLineChars="500"/>
              <w:rPr>
                <w:color w:val="auto"/>
              </w:rPr>
            </w:pPr>
            <w:r>
              <w:rPr>
                <w:color w:val="auto"/>
                <w:position w:val="-12"/>
              </w:rPr>
              <w:object>
                <v:shape id="_x0000_i1044" o:spt="75" type="#_x0000_t75" style="height:18pt;width:17.3pt;" o:ole="t" filled="f" o:preferrelative="t" stroked="f" coordsize="21600,21600">
                  <v:path/>
                  <v:fill on="f" focussize="0,0"/>
                  <v:stroke on="f" joinstyle="miter"/>
                  <v:imagedata r:id="rId54" o:title=""/>
                  <o:lock v:ext="edit" aspectratio="t"/>
                  <w10:wrap type="none"/>
                  <w10:anchorlock/>
                </v:shape>
                <o:OLEObject Type="Embed" ProgID="Equation.KSEE3" ShapeID="_x0000_i1044" DrawAspect="Content" ObjectID="_1468075743" r:id="rId53">
                  <o:LockedField>false</o:LockedField>
                </o:OLEObject>
              </w:object>
            </w:r>
            <w:r>
              <w:rPr>
                <w:rFonts w:hint="eastAsia"/>
                <w:color w:val="auto"/>
              </w:rPr>
              <w:t>指颗粒物控制措施效率（单位：%），见附录</w:t>
            </w:r>
            <w:r>
              <w:rPr>
                <w:rFonts w:hint="eastAsia"/>
                <w:color w:val="auto"/>
                <w:lang w:val="en-US" w:eastAsia="zh-CN"/>
              </w:rPr>
              <w:t>4；</w:t>
            </w:r>
            <w:r>
              <w:rPr>
                <w:rFonts w:hint="eastAsia"/>
                <w:color w:val="auto"/>
              </w:rPr>
              <w:t>本项目采用洒水抑尘，</w:t>
            </w:r>
            <w:r>
              <w:rPr>
                <w:rFonts w:hint="eastAsia"/>
                <w:color w:val="auto"/>
                <w:lang w:eastAsia="zh-CN"/>
              </w:rPr>
              <w:t>降尘量达</w:t>
            </w:r>
            <w:r>
              <w:rPr>
                <w:rFonts w:hint="eastAsia"/>
                <w:color w:val="auto"/>
              </w:rPr>
              <w:t>74%；</w:t>
            </w:r>
          </w:p>
          <w:p>
            <w:pPr>
              <w:ind w:firstLine="1200" w:firstLineChars="500"/>
              <w:rPr>
                <w:color w:val="auto"/>
              </w:rPr>
            </w:pPr>
            <w:r>
              <w:rPr>
                <w:color w:val="auto"/>
                <w:position w:val="-12"/>
              </w:rPr>
              <w:object>
                <v:shape id="_x0000_i1045" o:spt="75" type="#_x0000_t75" style="height:18pt;width:15.1pt;" o:ole="t" filled="f" o:preferrelative="t" stroked="f" coordsize="21600,21600">
                  <v:path/>
                  <v:fill on="f" focussize="0,0"/>
                  <v:stroke on="f" joinstyle="miter"/>
                  <v:imagedata r:id="rId56" o:title=""/>
                  <o:lock v:ext="edit" aspectratio="t"/>
                  <w10:wrap type="none"/>
                  <w10:anchorlock/>
                </v:shape>
                <o:OLEObject Type="Embed" ProgID="Equation.KSEE3" ShapeID="_x0000_i1045" DrawAspect="Content" ObjectID="_1468075744" r:id="rId55">
                  <o:LockedField>false</o:LockedField>
                </o:OLEObject>
              </w:object>
            </w:r>
            <w:r>
              <w:rPr>
                <w:rFonts w:hint="eastAsia"/>
                <w:color w:val="auto"/>
              </w:rPr>
              <w:t>指堆场类型控制效率（单位：%），见附录5</w:t>
            </w:r>
            <w:r>
              <w:rPr>
                <w:rFonts w:hint="eastAsia"/>
                <w:color w:val="auto"/>
                <w:lang w:eastAsia="zh-CN"/>
              </w:rPr>
              <w:t>；</w:t>
            </w:r>
            <w:r>
              <w:rPr>
                <w:rFonts w:hint="eastAsia"/>
                <w:color w:val="auto"/>
              </w:rPr>
              <w:t>本项目为全封闭堆场，取90%。</w:t>
            </w:r>
          </w:p>
          <w:p>
            <w:pPr>
              <w:ind w:firstLine="480"/>
              <w:rPr>
                <w:color w:val="auto"/>
              </w:rPr>
            </w:pPr>
            <w:r>
              <w:rPr>
                <w:rFonts w:hint="eastAsia"/>
                <w:color w:val="auto"/>
              </w:rPr>
              <w:t>综上，</w:t>
            </w:r>
            <w:r>
              <w:rPr>
                <w:color w:val="auto"/>
              </w:rPr>
              <w:t>砂石装卸、堆放</w:t>
            </w:r>
            <w:r>
              <w:rPr>
                <w:rFonts w:hint="eastAsia"/>
                <w:color w:val="auto"/>
              </w:rPr>
              <w:t>扬尘排放量计算结果为：</w:t>
            </w:r>
          </w:p>
          <w:p>
            <w:pPr>
              <w:ind w:firstLine="1200" w:firstLineChars="500"/>
              <w:rPr>
                <w:color w:val="auto"/>
              </w:rPr>
            </w:pPr>
            <w:r>
              <w:rPr>
                <w:color w:val="auto"/>
                <w:position w:val="-12"/>
              </w:rPr>
              <w:object>
                <v:shape id="_x0000_i1046" o:spt="75" type="#_x0000_t75" style="height:18pt;width:264.95pt;" o:ole="t" filled="f" o:preferrelative="t" stroked="f" coordsize="21600,21600">
                  <v:path/>
                  <v:fill on="f" focussize="0,0"/>
                  <v:stroke on="f" joinstyle="miter"/>
                  <v:imagedata r:id="rId58" o:title=""/>
                  <o:lock v:ext="edit" aspectratio="t"/>
                  <w10:wrap type="none"/>
                  <w10:anchorlock/>
                </v:shape>
                <o:OLEObject Type="Embed" ProgID="Equation.KSEE3" ShapeID="_x0000_i1046" DrawAspect="Content" ObjectID="_1468075745" r:id="rId57">
                  <o:LockedField>false</o:LockedField>
                </o:OLEObject>
              </w:object>
            </w:r>
          </w:p>
          <w:p>
            <w:pPr>
              <w:ind w:firstLine="480"/>
              <w:rPr>
                <w:rFonts w:hint="eastAsia"/>
                <w:color w:val="auto"/>
              </w:rPr>
            </w:pPr>
            <w:r>
              <w:rPr>
                <w:rFonts w:hint="eastAsia"/>
                <w:color w:val="auto"/>
              </w:rPr>
              <w:t>根据以上计算，</w:t>
            </w:r>
            <w:r>
              <w:rPr>
                <w:color w:val="auto"/>
              </w:rPr>
              <w:t>砂石装卸、堆放扬尘产生</w:t>
            </w:r>
            <w:r>
              <w:rPr>
                <w:rFonts w:hint="eastAsia"/>
                <w:color w:val="auto"/>
              </w:rPr>
              <w:t>量为40.33t/a，产生速率为33.61kg/h；本项目砂石料库采用全封闭措施，并定期进行洒水抑尘。这样，砂石装卸和堆放的扬尘排放量为1.05t/a，排放速率为0.87kg/h。</w:t>
            </w:r>
          </w:p>
          <w:p>
            <w:pPr>
              <w:ind w:firstLine="480"/>
              <w:rPr>
                <w:color w:val="auto"/>
              </w:rPr>
            </w:pPr>
            <w:r>
              <w:rPr>
                <w:rFonts w:hint="eastAsia"/>
                <w:color w:val="auto"/>
              </w:rPr>
              <w:t>②砂石配料、投料和皮带输送都会产生无组织粉尘</w:t>
            </w:r>
          </w:p>
          <w:p>
            <w:pPr>
              <w:ind w:firstLine="480"/>
              <w:rPr>
                <w:rFonts w:hint="eastAsia"/>
                <w:color w:val="auto"/>
              </w:rPr>
            </w:pPr>
            <w:r>
              <w:rPr>
                <w:rFonts w:hint="eastAsia"/>
                <w:color w:val="auto"/>
              </w:rPr>
              <w:t>本项目的砂石提升采用搅拌站配套的皮带输送方式，而水泥和粉煤灰则通过压缩空气吹入散装水泥和粉煤灰筒仓。此外，螺旋输送机还为粉料计量仓（又称粉料进料仓)提供供料，本项目所有生产工序均采用电脑集中控制，各工序之间的连锁、联动协调性和安全性非常强。</w:t>
            </w:r>
          </w:p>
          <w:p>
            <w:pPr>
              <w:ind w:firstLine="480"/>
              <w:rPr>
                <w:color w:val="auto"/>
              </w:rPr>
            </w:pPr>
            <w:r>
              <w:rPr>
                <w:color w:val="auto"/>
              </w:rPr>
              <w:t>本项目粉料设置于密闭的仓筒内，粉料卸料过程中产生的少量粉尘全部密封在仓筒内，由于仓筒顶部设置除尘器，因此收集后的粉尘又逐渐沉降至仓筒内；砂石材料配料斗、投料斗均为</w:t>
            </w:r>
            <w:r>
              <w:rPr>
                <w:rFonts w:hint="eastAsia"/>
                <w:color w:val="auto"/>
              </w:rPr>
              <w:t>全</w:t>
            </w:r>
            <w:r>
              <w:rPr>
                <w:color w:val="auto"/>
              </w:rPr>
              <w:t>密闭</w:t>
            </w:r>
            <w:r>
              <w:rPr>
                <w:rFonts w:hint="eastAsia"/>
                <w:color w:val="auto"/>
              </w:rPr>
              <w:t>并设有1台雾炮，用于洒水抑尘，</w:t>
            </w:r>
            <w:r>
              <w:rPr>
                <w:color w:val="auto"/>
              </w:rPr>
              <w:t>在配料仓的料斗上方设置彩钢板遮挡，</w:t>
            </w:r>
            <w:r>
              <w:rPr>
                <w:rFonts w:hint="eastAsia"/>
                <w:color w:val="auto"/>
              </w:rPr>
              <w:t>抑尘效率可达到80%</w:t>
            </w:r>
            <w:r>
              <w:rPr>
                <w:color w:val="auto"/>
              </w:rPr>
              <w:t>，最后经</w:t>
            </w:r>
            <w:r>
              <w:rPr>
                <w:rFonts w:hint="eastAsia"/>
                <w:color w:val="auto"/>
              </w:rPr>
              <w:t>全封闭</w:t>
            </w:r>
            <w:r>
              <w:rPr>
                <w:color w:val="auto"/>
              </w:rPr>
              <w:t>皮带输送至搅拌站主机仓内。</w:t>
            </w:r>
          </w:p>
          <w:p>
            <w:pPr>
              <w:ind w:firstLine="480"/>
              <w:rPr>
                <w:color w:val="auto"/>
              </w:rPr>
            </w:pPr>
            <w:r>
              <w:rPr>
                <w:rFonts w:hint="eastAsia"/>
                <w:color w:val="auto"/>
              </w:rPr>
              <w:t>项目进料物料主要为砂子和碎石，进料量约为36000t/a，根据《排放源统计调查产排污核算方法和系数手册》302</w:t>
            </w:r>
            <w:r>
              <w:rPr>
                <w:rFonts w:hint="eastAsia"/>
                <w:color w:val="auto"/>
                <w:lang w:val="en-US" w:eastAsia="zh-CN"/>
              </w:rPr>
              <w:t>1</w:t>
            </w:r>
            <w:r>
              <w:rPr>
                <w:rFonts w:hint="eastAsia"/>
                <w:color w:val="auto"/>
              </w:rPr>
              <w:t>水泥制品制造（含3022砼结构构件、3029其他水泥类似制品制造）行业，物料输送储存颗粒物产污系数为0.12kg/t-产品</w:t>
            </w:r>
            <w:r>
              <w:rPr>
                <w:rFonts w:hint="eastAsia"/>
                <w:color w:val="auto"/>
                <w:lang w:eastAsia="zh-CN"/>
              </w:rPr>
              <w:t>。</w:t>
            </w:r>
            <w:r>
              <w:rPr>
                <w:rFonts w:hint="eastAsia"/>
                <w:color w:val="auto"/>
              </w:rPr>
              <w:t>则项目</w:t>
            </w:r>
            <w:r>
              <w:rPr>
                <w:color w:val="auto"/>
              </w:rPr>
              <w:t>砂石配料、投料、皮带输送</w:t>
            </w:r>
            <w:r>
              <w:rPr>
                <w:rFonts w:hint="eastAsia"/>
                <w:color w:val="auto"/>
              </w:rPr>
              <w:t>产生的</w:t>
            </w:r>
            <w:r>
              <w:rPr>
                <w:color w:val="auto"/>
              </w:rPr>
              <w:t>无组织粉尘</w:t>
            </w:r>
            <w:r>
              <w:rPr>
                <w:rFonts w:hint="eastAsia"/>
                <w:color w:val="auto"/>
              </w:rPr>
              <w:t>产生量约为4.32t/a，产生速率为3.6kg/h</w:t>
            </w:r>
            <w:r>
              <w:rPr>
                <w:rFonts w:hint="eastAsia"/>
                <w:color w:val="auto"/>
                <w:lang w:eastAsia="zh-CN"/>
              </w:rPr>
              <w:t>，</w:t>
            </w:r>
            <w:r>
              <w:rPr>
                <w:rFonts w:hint="eastAsia"/>
                <w:color w:val="auto"/>
              </w:rPr>
              <w:t>粉尘排放量为0.86t/a，排放速率为0.72kg/h。</w:t>
            </w:r>
          </w:p>
          <w:p>
            <w:pPr>
              <w:pStyle w:val="25"/>
              <w:rPr>
                <w:color w:val="auto"/>
              </w:rPr>
            </w:pPr>
            <w:r>
              <w:rPr>
                <w:rFonts w:hint="eastAsia"/>
                <w:color w:val="auto"/>
              </w:rPr>
              <w:t>表4-</w:t>
            </w:r>
            <w:r>
              <w:rPr>
                <w:rFonts w:hint="eastAsia"/>
                <w:color w:val="auto"/>
                <w:lang w:val="en-US" w:eastAsia="zh-CN"/>
              </w:rPr>
              <w:t>2</w:t>
            </w:r>
            <w:r>
              <w:rPr>
                <w:color w:val="auto"/>
              </w:rPr>
              <w:t>砂石配料、投料、皮带输送</w:t>
            </w:r>
            <w:r>
              <w:rPr>
                <w:rFonts w:hint="eastAsia"/>
                <w:color w:val="auto"/>
              </w:rPr>
              <w:t>污染物产排情况一览表</w:t>
            </w:r>
          </w:p>
          <w:tbl>
            <w:tblPr>
              <w:tblStyle w:val="17"/>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973"/>
              <w:gridCol w:w="974"/>
              <w:gridCol w:w="917"/>
              <w:gridCol w:w="955"/>
              <w:gridCol w:w="1201"/>
              <w:gridCol w:w="859"/>
              <w:gridCol w:w="92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pPr>
                    <w:pStyle w:val="39"/>
                    <w:jc w:val="center"/>
                    <w:rPr>
                      <w:b/>
                      <w:bCs/>
                      <w:color w:val="auto"/>
                    </w:rPr>
                  </w:pPr>
                  <w:r>
                    <w:rPr>
                      <w:b/>
                      <w:bCs/>
                      <w:color w:val="auto"/>
                    </w:rPr>
                    <w:t>物料</w:t>
                  </w:r>
                </w:p>
              </w:tc>
              <w:tc>
                <w:tcPr>
                  <w:tcW w:w="622" w:type="pct"/>
                  <w:vAlign w:val="center"/>
                </w:tcPr>
                <w:p>
                  <w:pPr>
                    <w:pStyle w:val="39"/>
                    <w:jc w:val="center"/>
                    <w:rPr>
                      <w:b/>
                      <w:bCs/>
                      <w:color w:val="auto"/>
                    </w:rPr>
                  </w:pPr>
                  <w:r>
                    <w:rPr>
                      <w:b/>
                      <w:bCs/>
                      <w:color w:val="auto"/>
                    </w:rPr>
                    <w:t>产尘系数</w:t>
                  </w:r>
                </w:p>
              </w:tc>
              <w:tc>
                <w:tcPr>
                  <w:tcW w:w="623" w:type="pct"/>
                  <w:vAlign w:val="center"/>
                </w:tcPr>
                <w:p>
                  <w:pPr>
                    <w:pStyle w:val="39"/>
                    <w:jc w:val="center"/>
                    <w:rPr>
                      <w:b/>
                      <w:bCs/>
                      <w:color w:val="auto"/>
                    </w:rPr>
                  </w:pPr>
                  <w:r>
                    <w:rPr>
                      <w:b/>
                      <w:bCs/>
                      <w:color w:val="auto"/>
                    </w:rPr>
                    <w:t>时间</w:t>
                  </w:r>
                </w:p>
              </w:tc>
              <w:tc>
                <w:tcPr>
                  <w:tcW w:w="1198" w:type="pct"/>
                  <w:gridSpan w:val="2"/>
                  <w:vAlign w:val="center"/>
                </w:tcPr>
                <w:p>
                  <w:pPr>
                    <w:pStyle w:val="39"/>
                    <w:jc w:val="center"/>
                    <w:rPr>
                      <w:b/>
                      <w:bCs/>
                      <w:color w:val="auto"/>
                    </w:rPr>
                  </w:pPr>
                  <w:r>
                    <w:rPr>
                      <w:b/>
                      <w:bCs/>
                      <w:color w:val="auto"/>
                    </w:rPr>
                    <w:t>产生量</w:t>
                  </w:r>
                </w:p>
              </w:tc>
              <w:tc>
                <w:tcPr>
                  <w:tcW w:w="769" w:type="pct"/>
                  <w:vAlign w:val="center"/>
                </w:tcPr>
                <w:p>
                  <w:pPr>
                    <w:pStyle w:val="39"/>
                    <w:jc w:val="center"/>
                    <w:rPr>
                      <w:b/>
                      <w:bCs/>
                      <w:color w:val="auto"/>
                    </w:rPr>
                  </w:pPr>
                  <w:r>
                    <w:rPr>
                      <w:b/>
                      <w:bCs/>
                      <w:color w:val="auto"/>
                    </w:rPr>
                    <w:t>炮雾抑尘率</w:t>
                  </w:r>
                </w:p>
              </w:tc>
              <w:tc>
                <w:tcPr>
                  <w:tcW w:w="1141" w:type="pct"/>
                  <w:gridSpan w:val="2"/>
                  <w:vAlign w:val="center"/>
                </w:tcPr>
                <w:p>
                  <w:pPr>
                    <w:pStyle w:val="39"/>
                    <w:jc w:val="center"/>
                    <w:rPr>
                      <w:b/>
                      <w:bCs/>
                      <w:color w:val="auto"/>
                    </w:rPr>
                  </w:pPr>
                  <w:r>
                    <w:rPr>
                      <w:b/>
                      <w:bCs/>
                      <w:color w:val="auto"/>
                    </w:rPr>
                    <w:t>排放量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pPr>
                    <w:pStyle w:val="39"/>
                    <w:jc w:val="center"/>
                    <w:rPr>
                      <w:color w:val="auto"/>
                    </w:rPr>
                  </w:pPr>
                  <w:r>
                    <w:rPr>
                      <w:color w:val="auto"/>
                    </w:rPr>
                    <w:t>t/a</w:t>
                  </w:r>
                </w:p>
              </w:tc>
              <w:tc>
                <w:tcPr>
                  <w:tcW w:w="622" w:type="pct"/>
                  <w:vAlign w:val="center"/>
                </w:tcPr>
                <w:p>
                  <w:pPr>
                    <w:pStyle w:val="39"/>
                    <w:jc w:val="center"/>
                    <w:rPr>
                      <w:color w:val="auto"/>
                    </w:rPr>
                  </w:pPr>
                  <w:r>
                    <w:rPr>
                      <w:color w:val="auto"/>
                    </w:rPr>
                    <w:t>kg/t</w:t>
                  </w:r>
                </w:p>
              </w:tc>
              <w:tc>
                <w:tcPr>
                  <w:tcW w:w="623" w:type="pct"/>
                  <w:vAlign w:val="center"/>
                </w:tcPr>
                <w:p>
                  <w:pPr>
                    <w:pStyle w:val="39"/>
                    <w:jc w:val="center"/>
                    <w:rPr>
                      <w:color w:val="auto"/>
                    </w:rPr>
                  </w:pPr>
                  <w:r>
                    <w:rPr>
                      <w:color w:val="auto"/>
                    </w:rPr>
                    <w:t>h</w:t>
                  </w:r>
                </w:p>
              </w:tc>
              <w:tc>
                <w:tcPr>
                  <w:tcW w:w="587" w:type="pct"/>
                  <w:vAlign w:val="center"/>
                </w:tcPr>
                <w:p>
                  <w:pPr>
                    <w:pStyle w:val="39"/>
                    <w:jc w:val="center"/>
                    <w:rPr>
                      <w:color w:val="auto"/>
                    </w:rPr>
                  </w:pPr>
                  <w:r>
                    <w:rPr>
                      <w:color w:val="auto"/>
                    </w:rPr>
                    <w:t>t/a</w:t>
                  </w:r>
                </w:p>
              </w:tc>
              <w:tc>
                <w:tcPr>
                  <w:tcW w:w="611" w:type="pct"/>
                  <w:vAlign w:val="center"/>
                </w:tcPr>
                <w:p>
                  <w:pPr>
                    <w:pStyle w:val="39"/>
                    <w:jc w:val="center"/>
                    <w:rPr>
                      <w:color w:val="auto"/>
                    </w:rPr>
                  </w:pPr>
                  <w:r>
                    <w:rPr>
                      <w:color w:val="auto"/>
                    </w:rPr>
                    <w:t>kg/h</w:t>
                  </w:r>
                </w:p>
              </w:tc>
              <w:tc>
                <w:tcPr>
                  <w:tcW w:w="769" w:type="pct"/>
                  <w:vAlign w:val="center"/>
                </w:tcPr>
                <w:p>
                  <w:pPr>
                    <w:pStyle w:val="39"/>
                    <w:jc w:val="center"/>
                    <w:rPr>
                      <w:color w:val="auto"/>
                    </w:rPr>
                  </w:pPr>
                  <w:r>
                    <w:rPr>
                      <w:color w:val="auto"/>
                    </w:rPr>
                    <w:t>%</w:t>
                  </w:r>
                </w:p>
              </w:tc>
              <w:tc>
                <w:tcPr>
                  <w:tcW w:w="550" w:type="pct"/>
                  <w:vAlign w:val="center"/>
                </w:tcPr>
                <w:p>
                  <w:pPr>
                    <w:pStyle w:val="39"/>
                    <w:jc w:val="center"/>
                    <w:rPr>
                      <w:color w:val="auto"/>
                    </w:rPr>
                  </w:pPr>
                  <w:r>
                    <w:rPr>
                      <w:color w:val="auto"/>
                    </w:rPr>
                    <w:t>t/a</w:t>
                  </w:r>
                </w:p>
              </w:tc>
              <w:tc>
                <w:tcPr>
                  <w:tcW w:w="590" w:type="pct"/>
                  <w:vAlign w:val="center"/>
                </w:tcPr>
                <w:p>
                  <w:pPr>
                    <w:pStyle w:val="39"/>
                    <w:jc w:val="center"/>
                    <w:rPr>
                      <w:color w:val="auto"/>
                    </w:rPr>
                  </w:pPr>
                  <w:r>
                    <w:rPr>
                      <w:color w:val="auto"/>
                    </w:rPr>
                    <w:t>kg/h</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pPr>
                    <w:pStyle w:val="39"/>
                    <w:jc w:val="center"/>
                    <w:rPr>
                      <w:color w:val="auto"/>
                    </w:rPr>
                  </w:pPr>
                  <w:r>
                    <w:rPr>
                      <w:rFonts w:hint="eastAsia"/>
                      <w:color w:val="auto"/>
                    </w:rPr>
                    <w:t>36000</w:t>
                  </w:r>
                </w:p>
              </w:tc>
              <w:tc>
                <w:tcPr>
                  <w:tcW w:w="622" w:type="pct"/>
                  <w:vAlign w:val="center"/>
                </w:tcPr>
                <w:p>
                  <w:pPr>
                    <w:pStyle w:val="39"/>
                    <w:jc w:val="center"/>
                    <w:rPr>
                      <w:color w:val="auto"/>
                    </w:rPr>
                  </w:pPr>
                  <w:r>
                    <w:rPr>
                      <w:rFonts w:hint="eastAsia"/>
                      <w:color w:val="auto"/>
                    </w:rPr>
                    <w:t>0.12</w:t>
                  </w:r>
                </w:p>
              </w:tc>
              <w:tc>
                <w:tcPr>
                  <w:tcW w:w="623" w:type="pct"/>
                  <w:vAlign w:val="center"/>
                </w:tcPr>
                <w:p>
                  <w:pPr>
                    <w:pStyle w:val="39"/>
                    <w:jc w:val="center"/>
                    <w:rPr>
                      <w:color w:val="auto"/>
                    </w:rPr>
                  </w:pPr>
                  <w:r>
                    <w:rPr>
                      <w:rFonts w:hint="eastAsia"/>
                      <w:color w:val="auto"/>
                    </w:rPr>
                    <w:t>1200</w:t>
                  </w:r>
                </w:p>
              </w:tc>
              <w:tc>
                <w:tcPr>
                  <w:tcW w:w="587" w:type="pct"/>
                  <w:vAlign w:val="center"/>
                </w:tcPr>
                <w:p>
                  <w:pPr>
                    <w:pStyle w:val="39"/>
                    <w:jc w:val="center"/>
                    <w:rPr>
                      <w:color w:val="auto"/>
                    </w:rPr>
                  </w:pPr>
                  <w:r>
                    <w:rPr>
                      <w:rFonts w:hint="eastAsia"/>
                      <w:color w:val="auto"/>
                    </w:rPr>
                    <w:t>4.32</w:t>
                  </w:r>
                </w:p>
              </w:tc>
              <w:tc>
                <w:tcPr>
                  <w:tcW w:w="611" w:type="pct"/>
                  <w:vAlign w:val="center"/>
                </w:tcPr>
                <w:p>
                  <w:pPr>
                    <w:pStyle w:val="39"/>
                    <w:jc w:val="center"/>
                    <w:rPr>
                      <w:color w:val="auto"/>
                    </w:rPr>
                  </w:pPr>
                  <w:r>
                    <w:rPr>
                      <w:rFonts w:hint="eastAsia"/>
                      <w:color w:val="auto"/>
                    </w:rPr>
                    <w:t>3.6</w:t>
                  </w:r>
                </w:p>
              </w:tc>
              <w:tc>
                <w:tcPr>
                  <w:tcW w:w="769" w:type="pct"/>
                  <w:vAlign w:val="center"/>
                </w:tcPr>
                <w:p>
                  <w:pPr>
                    <w:pStyle w:val="39"/>
                    <w:jc w:val="center"/>
                    <w:rPr>
                      <w:color w:val="auto"/>
                    </w:rPr>
                  </w:pPr>
                  <w:r>
                    <w:rPr>
                      <w:color w:val="auto"/>
                    </w:rPr>
                    <w:t>80</w:t>
                  </w:r>
                </w:p>
              </w:tc>
              <w:tc>
                <w:tcPr>
                  <w:tcW w:w="550" w:type="pct"/>
                  <w:vAlign w:val="center"/>
                </w:tcPr>
                <w:p>
                  <w:pPr>
                    <w:pStyle w:val="39"/>
                    <w:jc w:val="center"/>
                    <w:rPr>
                      <w:color w:val="auto"/>
                    </w:rPr>
                  </w:pPr>
                  <w:r>
                    <w:rPr>
                      <w:rFonts w:hint="eastAsia"/>
                      <w:color w:val="auto"/>
                    </w:rPr>
                    <w:t>0.86</w:t>
                  </w:r>
                </w:p>
              </w:tc>
              <w:tc>
                <w:tcPr>
                  <w:tcW w:w="590" w:type="pct"/>
                  <w:vAlign w:val="center"/>
                </w:tcPr>
                <w:p>
                  <w:pPr>
                    <w:pStyle w:val="39"/>
                    <w:jc w:val="center"/>
                    <w:rPr>
                      <w:color w:val="auto"/>
                    </w:rPr>
                  </w:pPr>
                  <w:r>
                    <w:rPr>
                      <w:rFonts w:hint="eastAsia"/>
                      <w:color w:val="auto"/>
                    </w:rPr>
                    <w:t>0.72</w:t>
                  </w:r>
                </w:p>
              </w:tc>
            </w:tr>
          </w:tbl>
          <w:p>
            <w:pPr>
              <w:ind w:firstLine="480"/>
              <w:rPr>
                <w:color w:val="auto"/>
              </w:rPr>
            </w:pPr>
            <w:r>
              <w:rPr>
                <w:color w:val="auto"/>
              </w:rPr>
              <w:t>原料备料过程设置封闭运输皮带来减少输送过程产生的粉尘。项目储存库为封闭设计，用来储存碎石和砂子，粉状物料不得堆放在储存库，储存库地面要求硬化，并对厂区内地面定期进行路面清扫、洒水，洒水后可有效降低运输扬尘</w:t>
            </w:r>
            <w:r>
              <w:rPr>
                <w:rFonts w:hint="eastAsia"/>
                <w:color w:val="auto"/>
              </w:rPr>
              <w:t>。</w:t>
            </w:r>
            <w:r>
              <w:rPr>
                <w:color w:val="auto"/>
              </w:rPr>
              <w:t>无组织排放满足《水泥工业大气污染物排放标准》（GB4915-2013）表3无组织排放限值要求，对环境空气影响较小。</w:t>
            </w:r>
          </w:p>
          <w:p>
            <w:pPr>
              <w:ind w:firstLine="482"/>
              <w:rPr>
                <w:b/>
                <w:bCs/>
                <w:color w:val="auto"/>
              </w:rPr>
            </w:pPr>
            <w:r>
              <w:rPr>
                <w:rFonts w:hint="eastAsia"/>
                <w:b/>
                <w:bCs/>
                <w:color w:val="auto"/>
              </w:rPr>
              <w:t>3</w:t>
            </w:r>
            <w:r>
              <w:rPr>
                <w:rFonts w:hint="eastAsia"/>
                <w:b/>
                <w:bCs/>
                <w:color w:val="auto"/>
                <w:lang w:val="en-US" w:eastAsia="zh-CN"/>
              </w:rPr>
              <w:t>.</w:t>
            </w:r>
            <w:r>
              <w:rPr>
                <w:b/>
                <w:bCs/>
                <w:color w:val="auto"/>
              </w:rPr>
              <w:t>混凝土生产线</w:t>
            </w:r>
          </w:p>
          <w:p>
            <w:pPr>
              <w:ind w:firstLine="480"/>
              <w:rPr>
                <w:color w:val="auto"/>
              </w:rPr>
            </w:pPr>
            <w:r>
              <w:rPr>
                <w:rFonts w:hint="eastAsia"/>
                <w:color w:val="auto"/>
              </w:rPr>
              <w:t>根据《排放源统计调查产排污核算方法和系数手册》中3021、3022、3029水泥制品制造行业系数手册，参考混凝土制品废气产排系数，项目</w:t>
            </w:r>
            <w:r>
              <w:rPr>
                <w:color w:val="auto"/>
              </w:rPr>
              <w:t>筒仓呼吸孔及库底粉尘</w:t>
            </w:r>
            <w:r>
              <w:rPr>
                <w:rFonts w:hint="eastAsia"/>
                <w:color w:val="auto"/>
              </w:rPr>
              <w:t>及搅拌粉尘产生系数详见下表。</w:t>
            </w:r>
          </w:p>
          <w:p>
            <w:pPr>
              <w:pStyle w:val="25"/>
              <w:rPr>
                <w:color w:val="auto"/>
              </w:rPr>
            </w:pPr>
            <w:r>
              <w:rPr>
                <w:rFonts w:hint="eastAsia"/>
                <w:color w:val="auto"/>
              </w:rPr>
              <w:t>表4-3项目</w:t>
            </w:r>
            <w:r>
              <w:rPr>
                <w:color w:val="auto"/>
              </w:rPr>
              <w:t>筒仓呼吸孔及库底粉尘</w:t>
            </w:r>
            <w:r>
              <w:rPr>
                <w:rFonts w:hint="eastAsia"/>
                <w:color w:val="auto"/>
              </w:rPr>
              <w:t>及搅拌粉尘产生系数一览表</w:t>
            </w:r>
          </w:p>
          <w:tbl>
            <w:tblPr>
              <w:tblStyle w:val="17"/>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7"/>
              <w:gridCol w:w="807"/>
              <w:gridCol w:w="775"/>
              <w:gridCol w:w="872"/>
              <w:gridCol w:w="1640"/>
              <w:gridCol w:w="895"/>
              <w:gridCol w:w="1078"/>
              <w:gridCol w:w="106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433" w:type="pct"/>
                  <w:vAlign w:val="center"/>
                </w:tcPr>
                <w:p>
                  <w:pPr>
                    <w:pStyle w:val="39"/>
                    <w:jc w:val="center"/>
                    <w:rPr>
                      <w:b/>
                      <w:bCs/>
                      <w:color w:val="auto"/>
                    </w:rPr>
                  </w:pPr>
                  <w:r>
                    <w:rPr>
                      <w:b/>
                      <w:bCs/>
                      <w:color w:val="auto"/>
                    </w:rPr>
                    <w:t>产品名称</w:t>
                  </w:r>
                </w:p>
              </w:tc>
              <w:tc>
                <w:tcPr>
                  <w:tcW w:w="516" w:type="pct"/>
                  <w:vAlign w:val="center"/>
                </w:tcPr>
                <w:p>
                  <w:pPr>
                    <w:pStyle w:val="39"/>
                    <w:jc w:val="center"/>
                    <w:rPr>
                      <w:b/>
                      <w:bCs/>
                      <w:color w:val="auto"/>
                    </w:rPr>
                  </w:pPr>
                  <w:r>
                    <w:rPr>
                      <w:b/>
                      <w:bCs/>
                      <w:color w:val="auto"/>
                    </w:rPr>
                    <w:t>原料名称</w:t>
                  </w:r>
                </w:p>
              </w:tc>
              <w:tc>
                <w:tcPr>
                  <w:tcW w:w="496" w:type="pct"/>
                  <w:vAlign w:val="center"/>
                </w:tcPr>
                <w:p>
                  <w:pPr>
                    <w:pStyle w:val="39"/>
                    <w:jc w:val="center"/>
                    <w:rPr>
                      <w:b/>
                      <w:bCs/>
                      <w:color w:val="auto"/>
                    </w:rPr>
                  </w:pPr>
                  <w:r>
                    <w:rPr>
                      <w:b/>
                      <w:bCs/>
                      <w:color w:val="auto"/>
                    </w:rPr>
                    <w:t>工艺名称</w:t>
                  </w:r>
                </w:p>
              </w:tc>
              <w:tc>
                <w:tcPr>
                  <w:tcW w:w="557" w:type="pct"/>
                  <w:vAlign w:val="center"/>
                </w:tcPr>
                <w:p>
                  <w:pPr>
                    <w:pStyle w:val="39"/>
                    <w:jc w:val="center"/>
                    <w:rPr>
                      <w:b/>
                      <w:bCs/>
                      <w:color w:val="auto"/>
                    </w:rPr>
                  </w:pPr>
                  <w:r>
                    <w:rPr>
                      <w:b/>
                      <w:bCs/>
                      <w:color w:val="auto"/>
                    </w:rPr>
                    <w:t>污染物指标</w:t>
                  </w:r>
                </w:p>
              </w:tc>
              <w:tc>
                <w:tcPr>
                  <w:tcW w:w="1049" w:type="pct"/>
                  <w:vAlign w:val="center"/>
                </w:tcPr>
                <w:p>
                  <w:pPr>
                    <w:pStyle w:val="39"/>
                    <w:jc w:val="center"/>
                    <w:rPr>
                      <w:b/>
                      <w:bCs/>
                      <w:color w:val="auto"/>
                    </w:rPr>
                  </w:pPr>
                  <w:r>
                    <w:rPr>
                      <w:b/>
                      <w:bCs/>
                      <w:color w:val="auto"/>
                    </w:rPr>
                    <w:t>系数单位</w:t>
                  </w:r>
                </w:p>
              </w:tc>
              <w:tc>
                <w:tcPr>
                  <w:tcW w:w="572" w:type="pct"/>
                  <w:vAlign w:val="center"/>
                </w:tcPr>
                <w:p>
                  <w:pPr>
                    <w:pStyle w:val="39"/>
                    <w:jc w:val="center"/>
                    <w:rPr>
                      <w:b/>
                      <w:bCs/>
                      <w:color w:val="auto"/>
                    </w:rPr>
                  </w:pPr>
                  <w:r>
                    <w:rPr>
                      <w:b/>
                      <w:bCs/>
                      <w:color w:val="auto"/>
                    </w:rPr>
                    <w:t>产污系数</w:t>
                  </w:r>
                </w:p>
              </w:tc>
              <w:tc>
                <w:tcPr>
                  <w:tcW w:w="689" w:type="pct"/>
                  <w:vAlign w:val="center"/>
                </w:tcPr>
                <w:p>
                  <w:pPr>
                    <w:pStyle w:val="39"/>
                    <w:jc w:val="center"/>
                    <w:rPr>
                      <w:b/>
                      <w:bCs/>
                      <w:color w:val="auto"/>
                    </w:rPr>
                  </w:pPr>
                  <w:r>
                    <w:rPr>
                      <w:b/>
                      <w:bCs/>
                      <w:color w:val="auto"/>
                    </w:rPr>
                    <w:t>末端治理技术名称</w:t>
                  </w:r>
                </w:p>
              </w:tc>
              <w:tc>
                <w:tcPr>
                  <w:tcW w:w="682" w:type="pct"/>
                  <w:vAlign w:val="center"/>
                </w:tcPr>
                <w:p>
                  <w:pPr>
                    <w:pStyle w:val="39"/>
                    <w:jc w:val="center"/>
                    <w:rPr>
                      <w:b/>
                      <w:bCs/>
                      <w:color w:val="auto"/>
                    </w:rPr>
                  </w:pPr>
                  <w:r>
                    <w:rPr>
                      <w:b/>
                      <w:bCs/>
                      <w:color w:val="auto"/>
                    </w:rPr>
                    <w:t>治理效率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433" w:type="pct"/>
                  <w:vMerge w:val="restart"/>
                  <w:vAlign w:val="center"/>
                </w:tcPr>
                <w:p>
                  <w:pPr>
                    <w:pStyle w:val="39"/>
                    <w:jc w:val="center"/>
                    <w:rPr>
                      <w:color w:val="auto"/>
                    </w:rPr>
                  </w:pPr>
                  <w:r>
                    <w:rPr>
                      <w:rFonts w:hint="eastAsia"/>
                      <w:color w:val="auto"/>
                    </w:rPr>
                    <w:t>混凝土</w:t>
                  </w:r>
                  <w:r>
                    <w:rPr>
                      <w:color w:val="auto"/>
                    </w:rPr>
                    <w:t>制品</w:t>
                  </w:r>
                </w:p>
              </w:tc>
              <w:tc>
                <w:tcPr>
                  <w:tcW w:w="516" w:type="pct"/>
                  <w:vMerge w:val="restart"/>
                  <w:vAlign w:val="center"/>
                </w:tcPr>
                <w:p>
                  <w:pPr>
                    <w:pStyle w:val="39"/>
                    <w:jc w:val="center"/>
                    <w:rPr>
                      <w:color w:val="auto"/>
                    </w:rPr>
                  </w:pPr>
                  <w:r>
                    <w:rPr>
                      <w:color w:val="auto"/>
                    </w:rPr>
                    <w:t>水泥、砂子、石子等</w:t>
                  </w:r>
                </w:p>
              </w:tc>
              <w:tc>
                <w:tcPr>
                  <w:tcW w:w="496" w:type="pct"/>
                  <w:vMerge w:val="restart"/>
                  <w:vAlign w:val="center"/>
                </w:tcPr>
                <w:p>
                  <w:pPr>
                    <w:pStyle w:val="39"/>
                    <w:jc w:val="center"/>
                    <w:rPr>
                      <w:color w:val="auto"/>
                    </w:rPr>
                  </w:pPr>
                  <w:r>
                    <w:rPr>
                      <w:color w:val="auto"/>
                    </w:rPr>
                    <w:t>物料输送储存</w:t>
                  </w:r>
                </w:p>
              </w:tc>
              <w:tc>
                <w:tcPr>
                  <w:tcW w:w="557" w:type="pct"/>
                  <w:vAlign w:val="center"/>
                </w:tcPr>
                <w:p>
                  <w:pPr>
                    <w:pStyle w:val="39"/>
                    <w:jc w:val="center"/>
                    <w:rPr>
                      <w:color w:val="auto"/>
                    </w:rPr>
                  </w:pPr>
                  <w:r>
                    <w:rPr>
                      <w:color w:val="auto"/>
                    </w:rPr>
                    <w:t>废气量</w:t>
                  </w:r>
                </w:p>
              </w:tc>
              <w:tc>
                <w:tcPr>
                  <w:tcW w:w="1049" w:type="pct"/>
                  <w:vAlign w:val="center"/>
                </w:tcPr>
                <w:p>
                  <w:pPr>
                    <w:pStyle w:val="39"/>
                    <w:jc w:val="center"/>
                    <w:rPr>
                      <w:color w:val="auto"/>
                    </w:rPr>
                  </w:pPr>
                  <w:r>
                    <w:rPr>
                      <w:color w:val="auto"/>
                    </w:rPr>
                    <w:t>标立方米/吨</w:t>
                  </w:r>
                  <w:r>
                    <w:rPr>
                      <w:rFonts w:hint="eastAsia" w:ascii="Times New Roman" w:hAnsi="Times New Roman" w:eastAsia="宋体" w:cstheme="minorBidi"/>
                      <w:color w:val="auto"/>
                      <w:kern w:val="0"/>
                      <w:sz w:val="24"/>
                      <w:szCs w:val="22"/>
                      <w:lang w:val="en-US" w:eastAsia="zh-CN" w:bidi="ar-SA"/>
                    </w:rPr>
                    <w:t>—</w:t>
                  </w:r>
                  <w:r>
                    <w:rPr>
                      <w:color w:val="auto"/>
                    </w:rPr>
                    <w:t>产品</w:t>
                  </w:r>
                </w:p>
              </w:tc>
              <w:tc>
                <w:tcPr>
                  <w:tcW w:w="572" w:type="pct"/>
                  <w:vAlign w:val="center"/>
                </w:tcPr>
                <w:p>
                  <w:pPr>
                    <w:pStyle w:val="39"/>
                    <w:jc w:val="center"/>
                    <w:rPr>
                      <w:color w:val="auto"/>
                    </w:rPr>
                  </w:pPr>
                  <w:r>
                    <w:rPr>
                      <w:rFonts w:hint="eastAsia"/>
                      <w:color w:val="auto"/>
                    </w:rPr>
                    <w:t>22.0</w:t>
                  </w:r>
                </w:p>
              </w:tc>
              <w:tc>
                <w:tcPr>
                  <w:tcW w:w="689" w:type="pct"/>
                  <w:vAlign w:val="center"/>
                </w:tcPr>
                <w:p>
                  <w:pPr>
                    <w:pStyle w:val="39"/>
                    <w:jc w:val="center"/>
                    <w:rPr>
                      <w:color w:val="auto"/>
                    </w:rPr>
                  </w:pPr>
                  <w:r>
                    <w:rPr>
                      <w:color w:val="auto"/>
                    </w:rPr>
                    <w:t>/</w:t>
                  </w:r>
                </w:p>
              </w:tc>
              <w:tc>
                <w:tcPr>
                  <w:tcW w:w="682" w:type="pct"/>
                  <w:vAlign w:val="center"/>
                </w:tcPr>
                <w:p>
                  <w:pPr>
                    <w:pStyle w:val="39"/>
                    <w:jc w:val="center"/>
                    <w:rPr>
                      <w:color w:val="auto"/>
                    </w:rPr>
                  </w:pPr>
                  <w:r>
                    <w:rPr>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433" w:type="pct"/>
                  <w:vMerge w:val="continue"/>
                  <w:vAlign w:val="center"/>
                </w:tcPr>
                <w:p>
                  <w:pPr>
                    <w:pStyle w:val="39"/>
                    <w:jc w:val="center"/>
                    <w:rPr>
                      <w:color w:val="auto"/>
                    </w:rPr>
                  </w:pPr>
                </w:p>
              </w:tc>
              <w:tc>
                <w:tcPr>
                  <w:tcW w:w="516" w:type="pct"/>
                  <w:vMerge w:val="continue"/>
                  <w:vAlign w:val="center"/>
                </w:tcPr>
                <w:p>
                  <w:pPr>
                    <w:pStyle w:val="39"/>
                    <w:jc w:val="center"/>
                    <w:rPr>
                      <w:color w:val="auto"/>
                    </w:rPr>
                  </w:pPr>
                </w:p>
              </w:tc>
              <w:tc>
                <w:tcPr>
                  <w:tcW w:w="496" w:type="pct"/>
                  <w:vMerge w:val="continue"/>
                  <w:vAlign w:val="center"/>
                </w:tcPr>
                <w:p>
                  <w:pPr>
                    <w:pStyle w:val="39"/>
                    <w:jc w:val="center"/>
                    <w:rPr>
                      <w:color w:val="auto"/>
                    </w:rPr>
                  </w:pPr>
                </w:p>
              </w:tc>
              <w:tc>
                <w:tcPr>
                  <w:tcW w:w="557" w:type="pct"/>
                  <w:vAlign w:val="center"/>
                </w:tcPr>
                <w:p>
                  <w:pPr>
                    <w:pStyle w:val="39"/>
                    <w:jc w:val="center"/>
                    <w:rPr>
                      <w:color w:val="auto"/>
                    </w:rPr>
                  </w:pPr>
                  <w:r>
                    <w:rPr>
                      <w:color w:val="auto"/>
                    </w:rPr>
                    <w:t>颗粒物</w:t>
                  </w:r>
                </w:p>
              </w:tc>
              <w:tc>
                <w:tcPr>
                  <w:tcW w:w="1049" w:type="pct"/>
                  <w:vAlign w:val="center"/>
                </w:tcPr>
                <w:p>
                  <w:pPr>
                    <w:pStyle w:val="39"/>
                    <w:jc w:val="center"/>
                    <w:rPr>
                      <w:color w:val="auto"/>
                    </w:rPr>
                  </w:pPr>
                  <w:r>
                    <w:rPr>
                      <w:color w:val="auto"/>
                    </w:rPr>
                    <w:t>千克/吨</w:t>
                  </w:r>
                  <w:r>
                    <w:rPr>
                      <w:rFonts w:hint="eastAsia" w:ascii="Times New Roman" w:hAnsi="Times New Roman" w:eastAsia="宋体" w:cstheme="minorBidi"/>
                      <w:color w:val="auto"/>
                      <w:kern w:val="0"/>
                      <w:sz w:val="24"/>
                      <w:szCs w:val="22"/>
                      <w:lang w:val="en-US" w:eastAsia="zh-CN" w:bidi="ar-SA"/>
                    </w:rPr>
                    <w:t>—</w:t>
                  </w:r>
                  <w:r>
                    <w:rPr>
                      <w:color w:val="auto"/>
                    </w:rPr>
                    <w:t>产品</w:t>
                  </w:r>
                </w:p>
              </w:tc>
              <w:tc>
                <w:tcPr>
                  <w:tcW w:w="572" w:type="pct"/>
                  <w:vAlign w:val="center"/>
                </w:tcPr>
                <w:p>
                  <w:pPr>
                    <w:pStyle w:val="39"/>
                    <w:jc w:val="center"/>
                    <w:rPr>
                      <w:color w:val="auto"/>
                    </w:rPr>
                  </w:pPr>
                  <w:r>
                    <w:rPr>
                      <w:rFonts w:hint="eastAsia"/>
                      <w:color w:val="auto"/>
                    </w:rPr>
                    <w:t>0.12</w:t>
                  </w:r>
                </w:p>
              </w:tc>
              <w:tc>
                <w:tcPr>
                  <w:tcW w:w="689" w:type="pct"/>
                  <w:vAlign w:val="center"/>
                </w:tcPr>
                <w:p>
                  <w:pPr>
                    <w:pStyle w:val="39"/>
                    <w:jc w:val="center"/>
                    <w:rPr>
                      <w:rFonts w:hint="eastAsia" w:eastAsia="宋体"/>
                      <w:color w:val="auto"/>
                      <w:lang w:eastAsia="zh-CN"/>
                    </w:rPr>
                  </w:pPr>
                  <w:r>
                    <w:rPr>
                      <w:color w:val="auto"/>
                    </w:rPr>
                    <w:t>袋式除尘</w:t>
                  </w:r>
                  <w:r>
                    <w:rPr>
                      <w:rFonts w:hint="eastAsia"/>
                      <w:color w:val="auto"/>
                      <w:lang w:eastAsia="zh-CN"/>
                    </w:rPr>
                    <w:t>器</w:t>
                  </w:r>
                </w:p>
              </w:tc>
              <w:tc>
                <w:tcPr>
                  <w:tcW w:w="682" w:type="pct"/>
                  <w:vAlign w:val="center"/>
                </w:tcPr>
                <w:p>
                  <w:pPr>
                    <w:pStyle w:val="39"/>
                    <w:jc w:val="center"/>
                    <w:rPr>
                      <w:rFonts w:hint="eastAsia" w:eastAsia="宋体"/>
                      <w:color w:val="auto"/>
                      <w:lang w:val="en-US" w:eastAsia="zh-CN"/>
                    </w:rPr>
                  </w:pPr>
                  <w:r>
                    <w:rPr>
                      <w:color w:val="auto"/>
                    </w:rPr>
                    <w:t>99.7</w:t>
                  </w:r>
                  <w:r>
                    <w:rPr>
                      <w:rFonts w:hint="eastAsia"/>
                      <w:color w:val="auto"/>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33" w:type="pct"/>
                  <w:vMerge w:val="continue"/>
                  <w:vAlign w:val="center"/>
                </w:tcPr>
                <w:p>
                  <w:pPr>
                    <w:pStyle w:val="39"/>
                    <w:jc w:val="center"/>
                    <w:rPr>
                      <w:color w:val="auto"/>
                    </w:rPr>
                  </w:pPr>
                </w:p>
              </w:tc>
              <w:tc>
                <w:tcPr>
                  <w:tcW w:w="516" w:type="pct"/>
                  <w:vMerge w:val="continue"/>
                  <w:vAlign w:val="center"/>
                </w:tcPr>
                <w:p>
                  <w:pPr>
                    <w:pStyle w:val="39"/>
                    <w:jc w:val="center"/>
                    <w:rPr>
                      <w:color w:val="auto"/>
                    </w:rPr>
                  </w:pPr>
                </w:p>
              </w:tc>
              <w:tc>
                <w:tcPr>
                  <w:tcW w:w="496" w:type="pct"/>
                  <w:vMerge w:val="restart"/>
                  <w:vAlign w:val="center"/>
                </w:tcPr>
                <w:p>
                  <w:pPr>
                    <w:pStyle w:val="39"/>
                    <w:jc w:val="center"/>
                    <w:rPr>
                      <w:color w:val="auto"/>
                    </w:rPr>
                  </w:pPr>
                  <w:r>
                    <w:rPr>
                      <w:color w:val="auto"/>
                    </w:rPr>
                    <w:t>物料混合搅拌</w:t>
                  </w:r>
                </w:p>
              </w:tc>
              <w:tc>
                <w:tcPr>
                  <w:tcW w:w="557" w:type="pct"/>
                  <w:vAlign w:val="center"/>
                </w:tcPr>
                <w:p>
                  <w:pPr>
                    <w:pStyle w:val="39"/>
                    <w:jc w:val="center"/>
                    <w:rPr>
                      <w:color w:val="auto"/>
                    </w:rPr>
                  </w:pPr>
                  <w:r>
                    <w:rPr>
                      <w:color w:val="auto"/>
                    </w:rPr>
                    <w:t>废气量</w:t>
                  </w:r>
                </w:p>
              </w:tc>
              <w:tc>
                <w:tcPr>
                  <w:tcW w:w="1049" w:type="pct"/>
                  <w:vAlign w:val="center"/>
                </w:tcPr>
                <w:p>
                  <w:pPr>
                    <w:pStyle w:val="39"/>
                    <w:jc w:val="center"/>
                    <w:rPr>
                      <w:color w:val="auto"/>
                    </w:rPr>
                  </w:pPr>
                  <w:r>
                    <w:rPr>
                      <w:color w:val="auto"/>
                    </w:rPr>
                    <w:t>标立方米</w:t>
                  </w:r>
                  <w:r>
                    <w:rPr>
                      <w:rFonts w:hint="eastAsia"/>
                      <w:color w:val="auto"/>
                      <w:lang w:val="en-US" w:eastAsia="zh-CN"/>
                    </w:rPr>
                    <w:t>/</w:t>
                  </w:r>
                  <w:r>
                    <w:rPr>
                      <w:color w:val="auto"/>
                    </w:rPr>
                    <w:t>吨</w:t>
                  </w:r>
                  <w:r>
                    <w:rPr>
                      <w:rFonts w:hint="eastAsia" w:ascii="Times New Roman" w:hAnsi="Times New Roman" w:eastAsia="宋体" w:cstheme="minorBidi"/>
                      <w:color w:val="auto"/>
                      <w:kern w:val="0"/>
                      <w:sz w:val="24"/>
                      <w:szCs w:val="22"/>
                      <w:lang w:val="en-US" w:eastAsia="zh-CN" w:bidi="ar-SA"/>
                    </w:rPr>
                    <w:t>—</w:t>
                  </w:r>
                  <w:r>
                    <w:rPr>
                      <w:color w:val="auto"/>
                    </w:rPr>
                    <w:t>产品</w:t>
                  </w:r>
                </w:p>
              </w:tc>
              <w:tc>
                <w:tcPr>
                  <w:tcW w:w="572" w:type="pct"/>
                  <w:vAlign w:val="center"/>
                </w:tcPr>
                <w:p>
                  <w:pPr>
                    <w:pStyle w:val="39"/>
                    <w:jc w:val="center"/>
                    <w:rPr>
                      <w:color w:val="auto"/>
                    </w:rPr>
                  </w:pPr>
                  <w:r>
                    <w:rPr>
                      <w:rFonts w:hint="eastAsia"/>
                      <w:color w:val="auto"/>
                    </w:rPr>
                    <w:t>25</w:t>
                  </w:r>
                </w:p>
              </w:tc>
              <w:tc>
                <w:tcPr>
                  <w:tcW w:w="689" w:type="pct"/>
                  <w:vAlign w:val="center"/>
                </w:tcPr>
                <w:p>
                  <w:pPr>
                    <w:pStyle w:val="39"/>
                    <w:jc w:val="center"/>
                    <w:rPr>
                      <w:color w:val="auto"/>
                    </w:rPr>
                  </w:pPr>
                  <w:r>
                    <w:rPr>
                      <w:color w:val="auto"/>
                    </w:rPr>
                    <w:t>/</w:t>
                  </w:r>
                </w:p>
              </w:tc>
              <w:tc>
                <w:tcPr>
                  <w:tcW w:w="682" w:type="pct"/>
                  <w:vAlign w:val="center"/>
                </w:tcPr>
                <w:p>
                  <w:pPr>
                    <w:pStyle w:val="39"/>
                    <w:jc w:val="center"/>
                    <w:rPr>
                      <w:color w:val="auto"/>
                    </w:rPr>
                  </w:pPr>
                  <w:r>
                    <w:rPr>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33" w:type="pct"/>
                  <w:vMerge w:val="continue"/>
                  <w:vAlign w:val="center"/>
                </w:tcPr>
                <w:p>
                  <w:pPr>
                    <w:pStyle w:val="39"/>
                    <w:jc w:val="center"/>
                    <w:rPr>
                      <w:color w:val="auto"/>
                    </w:rPr>
                  </w:pPr>
                </w:p>
              </w:tc>
              <w:tc>
                <w:tcPr>
                  <w:tcW w:w="516" w:type="pct"/>
                  <w:vMerge w:val="continue"/>
                  <w:vAlign w:val="center"/>
                </w:tcPr>
                <w:p>
                  <w:pPr>
                    <w:pStyle w:val="39"/>
                    <w:jc w:val="center"/>
                    <w:rPr>
                      <w:color w:val="auto"/>
                    </w:rPr>
                  </w:pPr>
                </w:p>
              </w:tc>
              <w:tc>
                <w:tcPr>
                  <w:tcW w:w="496" w:type="pct"/>
                  <w:vMerge w:val="continue"/>
                  <w:vAlign w:val="center"/>
                </w:tcPr>
                <w:p>
                  <w:pPr>
                    <w:pStyle w:val="39"/>
                    <w:jc w:val="center"/>
                    <w:rPr>
                      <w:color w:val="auto"/>
                    </w:rPr>
                  </w:pPr>
                </w:p>
              </w:tc>
              <w:tc>
                <w:tcPr>
                  <w:tcW w:w="557" w:type="pct"/>
                  <w:vAlign w:val="center"/>
                </w:tcPr>
                <w:p>
                  <w:pPr>
                    <w:pStyle w:val="39"/>
                    <w:jc w:val="center"/>
                    <w:rPr>
                      <w:color w:val="auto"/>
                    </w:rPr>
                  </w:pPr>
                  <w:r>
                    <w:rPr>
                      <w:color w:val="auto"/>
                    </w:rPr>
                    <w:t>颗粒物</w:t>
                  </w:r>
                </w:p>
              </w:tc>
              <w:tc>
                <w:tcPr>
                  <w:tcW w:w="1049" w:type="pct"/>
                  <w:vAlign w:val="center"/>
                </w:tcPr>
                <w:p>
                  <w:pPr>
                    <w:pStyle w:val="39"/>
                    <w:jc w:val="center"/>
                    <w:rPr>
                      <w:color w:val="auto"/>
                    </w:rPr>
                  </w:pPr>
                  <w:r>
                    <w:rPr>
                      <w:color w:val="auto"/>
                    </w:rPr>
                    <w:t>千克/吨</w:t>
                  </w:r>
                  <w:r>
                    <w:rPr>
                      <w:rFonts w:hint="eastAsia" w:ascii="Times New Roman" w:hAnsi="Times New Roman" w:eastAsia="宋体" w:cstheme="minorBidi"/>
                      <w:color w:val="auto"/>
                      <w:kern w:val="0"/>
                      <w:sz w:val="24"/>
                      <w:szCs w:val="22"/>
                      <w:lang w:val="en-US" w:eastAsia="zh-CN" w:bidi="ar-SA"/>
                    </w:rPr>
                    <w:t>—</w:t>
                  </w:r>
                  <w:r>
                    <w:rPr>
                      <w:color w:val="auto"/>
                    </w:rPr>
                    <w:t>产品</w:t>
                  </w:r>
                </w:p>
              </w:tc>
              <w:tc>
                <w:tcPr>
                  <w:tcW w:w="572" w:type="pct"/>
                  <w:vAlign w:val="center"/>
                </w:tcPr>
                <w:p>
                  <w:pPr>
                    <w:pStyle w:val="39"/>
                    <w:jc w:val="center"/>
                    <w:rPr>
                      <w:color w:val="auto"/>
                    </w:rPr>
                  </w:pPr>
                  <w:r>
                    <w:rPr>
                      <w:rFonts w:hint="eastAsia"/>
                      <w:color w:val="auto"/>
                    </w:rPr>
                    <w:t>0.13</w:t>
                  </w:r>
                </w:p>
              </w:tc>
              <w:tc>
                <w:tcPr>
                  <w:tcW w:w="689" w:type="pct"/>
                  <w:vAlign w:val="center"/>
                </w:tcPr>
                <w:p>
                  <w:pPr>
                    <w:pStyle w:val="39"/>
                    <w:jc w:val="center"/>
                    <w:rPr>
                      <w:rFonts w:hint="eastAsia" w:eastAsia="宋体"/>
                      <w:color w:val="auto"/>
                      <w:lang w:eastAsia="zh-CN"/>
                    </w:rPr>
                  </w:pPr>
                  <w:r>
                    <w:rPr>
                      <w:color w:val="auto"/>
                    </w:rPr>
                    <w:t>袋式除尘</w:t>
                  </w:r>
                  <w:r>
                    <w:rPr>
                      <w:rFonts w:hint="eastAsia"/>
                      <w:color w:val="auto"/>
                      <w:lang w:eastAsia="zh-CN"/>
                    </w:rPr>
                    <w:t>器</w:t>
                  </w:r>
                </w:p>
              </w:tc>
              <w:tc>
                <w:tcPr>
                  <w:tcW w:w="682" w:type="pct"/>
                  <w:vAlign w:val="center"/>
                </w:tcPr>
                <w:p>
                  <w:pPr>
                    <w:pStyle w:val="39"/>
                    <w:jc w:val="center"/>
                    <w:rPr>
                      <w:rFonts w:hint="eastAsia" w:eastAsia="宋体"/>
                      <w:color w:val="auto"/>
                      <w:lang w:val="en-US" w:eastAsia="zh-CN"/>
                    </w:rPr>
                  </w:pPr>
                  <w:r>
                    <w:rPr>
                      <w:color w:val="auto"/>
                    </w:rPr>
                    <w:t>99.7</w:t>
                  </w:r>
                  <w:r>
                    <w:rPr>
                      <w:rFonts w:hint="eastAsia"/>
                      <w:color w:val="auto"/>
                      <w:lang w:val="en-US" w:eastAsia="zh-CN"/>
                    </w:rPr>
                    <w:t>%</w:t>
                  </w:r>
                </w:p>
              </w:tc>
            </w:tr>
          </w:tbl>
          <w:p>
            <w:pPr>
              <w:ind w:firstLine="480"/>
              <w:rPr>
                <w:color w:val="auto"/>
              </w:rPr>
            </w:pPr>
            <w:r>
              <w:rPr>
                <w:rFonts w:hint="eastAsia"/>
                <w:color w:val="auto"/>
              </w:rPr>
              <w:t>①</w:t>
            </w:r>
            <w:r>
              <w:rPr>
                <w:color w:val="auto"/>
              </w:rPr>
              <w:t>筒仓呼吸孔及库底粉尘</w:t>
            </w:r>
          </w:p>
          <w:p>
            <w:pPr>
              <w:ind w:firstLine="480"/>
              <w:rPr>
                <w:color w:val="auto"/>
              </w:rPr>
            </w:pPr>
            <w:r>
              <w:rPr>
                <w:color w:val="auto"/>
              </w:rPr>
              <w:t>本项目水泥、粉煤灰原料均采用筒仓储存，厂区共有</w:t>
            </w:r>
            <w:r>
              <w:rPr>
                <w:rFonts w:hint="eastAsia"/>
                <w:color w:val="auto"/>
              </w:rPr>
              <w:t>4</w:t>
            </w:r>
            <w:r>
              <w:rPr>
                <w:color w:val="auto"/>
              </w:rPr>
              <w:t>个粉料筒仓（</w:t>
            </w:r>
            <w:r>
              <w:rPr>
                <w:rFonts w:hint="eastAsia"/>
                <w:color w:val="auto"/>
              </w:rPr>
              <w:t>2</w:t>
            </w:r>
            <w:r>
              <w:rPr>
                <w:color w:val="auto"/>
              </w:rPr>
              <w:t>水泥筒仓，</w:t>
            </w:r>
            <w:r>
              <w:rPr>
                <w:rFonts w:hint="eastAsia"/>
                <w:color w:val="auto"/>
              </w:rPr>
              <w:t>2</w:t>
            </w:r>
            <w:r>
              <w:rPr>
                <w:color w:val="auto"/>
              </w:rPr>
              <w:t>粉煤灰筒仓）。在往筒仓中输送水泥（粉煤灰）时均经过仓顶除尘器过滤后排放，本项目设置筒仓</w:t>
            </w:r>
            <w:r>
              <w:rPr>
                <w:rFonts w:hint="eastAsia"/>
                <w:color w:val="auto"/>
              </w:rPr>
              <w:t>4</w:t>
            </w:r>
            <w:r>
              <w:rPr>
                <w:color w:val="auto"/>
              </w:rPr>
              <w:t>个，采用除尘方式如下：库底采用负压吸风收尘装置，与库顶呼吸孔共用一台除尘器，配置脉冲袋式除尘器安装位置于筒仓仓顶，除尘效率</w:t>
            </w:r>
            <w:r>
              <w:rPr>
                <w:rFonts w:hint="eastAsia"/>
                <w:color w:val="auto"/>
              </w:rPr>
              <w:t>达</w:t>
            </w:r>
            <w:r>
              <w:rPr>
                <w:color w:val="auto"/>
              </w:rPr>
              <w:t>99.</w:t>
            </w:r>
            <w:r>
              <w:rPr>
                <w:rFonts w:hint="eastAsia"/>
                <w:color w:val="auto"/>
              </w:rPr>
              <w:t>7</w:t>
            </w:r>
            <w:r>
              <w:rPr>
                <w:color w:val="auto"/>
              </w:rPr>
              <w:t>%</w:t>
            </w:r>
            <w:r>
              <w:rPr>
                <w:rFonts w:hint="eastAsia"/>
                <w:color w:val="auto"/>
              </w:rPr>
              <w:t>。</w:t>
            </w:r>
          </w:p>
          <w:p>
            <w:pPr>
              <w:ind w:firstLine="480"/>
              <w:rPr>
                <w:color w:val="auto"/>
              </w:rPr>
            </w:pPr>
            <w:r>
              <w:rPr>
                <w:rFonts w:hint="eastAsia"/>
                <w:color w:val="auto"/>
              </w:rPr>
              <w:t>本</w:t>
            </w:r>
            <w:r>
              <w:rPr>
                <w:color w:val="auto"/>
              </w:rPr>
              <w:t>项目粉料筒仓产排污情况见下表。</w:t>
            </w:r>
          </w:p>
          <w:p>
            <w:pPr>
              <w:pStyle w:val="25"/>
              <w:rPr>
                <w:color w:val="auto"/>
              </w:rPr>
            </w:pPr>
            <w:r>
              <w:rPr>
                <w:color w:val="auto"/>
              </w:rPr>
              <w:t>表4-</w:t>
            </w:r>
            <w:r>
              <w:rPr>
                <w:rFonts w:hint="eastAsia"/>
                <w:color w:val="auto"/>
                <w:lang w:val="en-US" w:eastAsia="zh-CN"/>
              </w:rPr>
              <w:t>4</w:t>
            </w:r>
            <w:r>
              <w:rPr>
                <w:color w:val="auto"/>
              </w:rPr>
              <w:t>筒仓呼吸孔及库底粉尘</w:t>
            </w:r>
            <w:r>
              <w:rPr>
                <w:rFonts w:hint="eastAsia"/>
                <w:color w:val="auto"/>
              </w:rPr>
              <w:t>产排污一览表</w:t>
            </w:r>
          </w:p>
          <w:tbl>
            <w:tblPr>
              <w:tblStyle w:val="18"/>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928"/>
              <w:gridCol w:w="1389"/>
              <w:gridCol w:w="1328"/>
              <w:gridCol w:w="1134"/>
              <w:gridCol w:w="113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808" w:type="pct"/>
                  <w:gridSpan w:val="2"/>
                  <w:tcBorders>
                    <w:tl2br w:val="nil"/>
                    <w:tr2bl w:val="nil"/>
                  </w:tcBorders>
                  <w:vAlign w:val="center"/>
                </w:tcPr>
                <w:p>
                  <w:pPr>
                    <w:pStyle w:val="39"/>
                    <w:jc w:val="center"/>
                    <w:rPr>
                      <w:b/>
                      <w:bCs/>
                      <w:color w:val="auto"/>
                    </w:rPr>
                  </w:pPr>
                  <w:r>
                    <w:rPr>
                      <w:b/>
                      <w:bCs/>
                      <w:color w:val="auto"/>
                    </w:rPr>
                    <w:t>排放源</w:t>
                  </w:r>
                </w:p>
              </w:tc>
              <w:tc>
                <w:tcPr>
                  <w:tcW w:w="889" w:type="pct"/>
                  <w:tcBorders>
                    <w:tl2br w:val="nil"/>
                    <w:tr2bl w:val="nil"/>
                  </w:tcBorders>
                  <w:vAlign w:val="center"/>
                </w:tcPr>
                <w:p>
                  <w:pPr>
                    <w:pStyle w:val="39"/>
                    <w:jc w:val="center"/>
                    <w:rPr>
                      <w:color w:val="auto"/>
                    </w:rPr>
                  </w:pPr>
                  <w:r>
                    <w:rPr>
                      <w:rFonts w:hint="eastAsia"/>
                      <w:color w:val="auto"/>
                    </w:rPr>
                    <w:t>1#水泥筒仓</w:t>
                  </w:r>
                </w:p>
              </w:tc>
              <w:tc>
                <w:tcPr>
                  <w:tcW w:w="850" w:type="pct"/>
                  <w:tcBorders>
                    <w:tl2br w:val="nil"/>
                    <w:tr2bl w:val="nil"/>
                  </w:tcBorders>
                  <w:vAlign w:val="center"/>
                </w:tcPr>
                <w:p>
                  <w:pPr>
                    <w:pStyle w:val="39"/>
                    <w:jc w:val="center"/>
                    <w:rPr>
                      <w:color w:val="auto"/>
                    </w:rPr>
                  </w:pPr>
                  <w:r>
                    <w:rPr>
                      <w:rFonts w:hint="eastAsia"/>
                      <w:color w:val="auto"/>
                    </w:rPr>
                    <w:t>2#水泥筒仓</w:t>
                  </w:r>
                </w:p>
              </w:tc>
              <w:tc>
                <w:tcPr>
                  <w:tcW w:w="726" w:type="pct"/>
                  <w:tcBorders>
                    <w:tl2br w:val="nil"/>
                    <w:tr2bl w:val="nil"/>
                  </w:tcBorders>
                  <w:vAlign w:val="center"/>
                </w:tcPr>
                <w:p>
                  <w:pPr>
                    <w:pStyle w:val="39"/>
                    <w:jc w:val="center"/>
                    <w:rPr>
                      <w:color w:val="auto"/>
                    </w:rPr>
                  </w:pPr>
                  <w:r>
                    <w:rPr>
                      <w:rFonts w:hint="eastAsia"/>
                      <w:color w:val="auto"/>
                    </w:rPr>
                    <w:t>1#粉煤灰筒仓</w:t>
                  </w:r>
                </w:p>
              </w:tc>
              <w:tc>
                <w:tcPr>
                  <w:tcW w:w="725" w:type="pct"/>
                  <w:tcBorders>
                    <w:tl2br w:val="nil"/>
                    <w:tr2bl w:val="nil"/>
                  </w:tcBorders>
                  <w:vAlign w:val="center"/>
                </w:tcPr>
                <w:p>
                  <w:pPr>
                    <w:pStyle w:val="39"/>
                    <w:jc w:val="center"/>
                    <w:rPr>
                      <w:color w:val="auto"/>
                    </w:rPr>
                  </w:pPr>
                  <w:r>
                    <w:rPr>
                      <w:rFonts w:hint="eastAsia"/>
                      <w:color w:val="auto"/>
                    </w:rPr>
                    <w:t>2#粉煤灰筒仓</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08" w:type="pct"/>
                  <w:gridSpan w:val="2"/>
                  <w:tcBorders>
                    <w:tl2br w:val="nil"/>
                    <w:tr2bl w:val="nil"/>
                  </w:tcBorders>
                  <w:vAlign w:val="center"/>
                </w:tcPr>
                <w:p>
                  <w:pPr>
                    <w:pStyle w:val="39"/>
                    <w:jc w:val="center"/>
                    <w:rPr>
                      <w:b/>
                      <w:bCs/>
                      <w:color w:val="auto"/>
                    </w:rPr>
                  </w:pPr>
                  <w:r>
                    <w:rPr>
                      <w:rFonts w:hint="eastAsia"/>
                      <w:b/>
                      <w:bCs/>
                      <w:color w:val="auto"/>
                    </w:rPr>
                    <w:t>混凝土产</w:t>
                  </w:r>
                  <w:r>
                    <w:rPr>
                      <w:b/>
                      <w:bCs/>
                      <w:color w:val="auto"/>
                    </w:rPr>
                    <w:t>量（t/a）</w:t>
                  </w:r>
                </w:p>
              </w:tc>
              <w:tc>
                <w:tcPr>
                  <w:tcW w:w="3191" w:type="pct"/>
                  <w:gridSpan w:val="4"/>
                  <w:tcBorders>
                    <w:tl2br w:val="nil"/>
                    <w:tr2bl w:val="nil"/>
                  </w:tcBorders>
                  <w:vAlign w:val="center"/>
                </w:tcPr>
                <w:p>
                  <w:pPr>
                    <w:pStyle w:val="39"/>
                    <w:jc w:val="center"/>
                    <w:rPr>
                      <w:color w:val="auto"/>
                    </w:rPr>
                  </w:pPr>
                  <w:r>
                    <w:rPr>
                      <w:rFonts w:hint="eastAsia"/>
                      <w:color w:val="auto"/>
                    </w:rPr>
                    <w:t>48600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08" w:type="pct"/>
                  <w:gridSpan w:val="2"/>
                  <w:tcBorders>
                    <w:tl2br w:val="nil"/>
                    <w:tr2bl w:val="nil"/>
                  </w:tcBorders>
                  <w:vAlign w:val="center"/>
                </w:tcPr>
                <w:p>
                  <w:pPr>
                    <w:pStyle w:val="39"/>
                    <w:jc w:val="center"/>
                    <w:rPr>
                      <w:b/>
                      <w:bCs/>
                      <w:color w:val="auto"/>
                    </w:rPr>
                  </w:pPr>
                  <w:r>
                    <w:rPr>
                      <w:b/>
                      <w:bCs/>
                      <w:color w:val="auto"/>
                    </w:rPr>
                    <w:t>运行时间（h）</w:t>
                  </w:r>
                </w:p>
              </w:tc>
              <w:tc>
                <w:tcPr>
                  <w:tcW w:w="3191" w:type="pct"/>
                  <w:gridSpan w:val="4"/>
                  <w:tcBorders>
                    <w:tl2br w:val="nil"/>
                    <w:tr2bl w:val="nil"/>
                  </w:tcBorders>
                  <w:vAlign w:val="center"/>
                </w:tcPr>
                <w:p>
                  <w:pPr>
                    <w:pStyle w:val="39"/>
                    <w:jc w:val="center"/>
                    <w:rPr>
                      <w:color w:val="auto"/>
                    </w:rPr>
                  </w:pPr>
                  <w:r>
                    <w:rPr>
                      <w:rFonts w:hint="eastAsia"/>
                      <w:color w:val="auto"/>
                    </w:rPr>
                    <w:t>1200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08" w:type="pct"/>
                  <w:gridSpan w:val="2"/>
                  <w:tcBorders>
                    <w:tl2br w:val="nil"/>
                    <w:tr2bl w:val="nil"/>
                  </w:tcBorders>
                  <w:vAlign w:val="center"/>
                </w:tcPr>
                <w:p>
                  <w:pPr>
                    <w:pStyle w:val="39"/>
                    <w:jc w:val="center"/>
                    <w:rPr>
                      <w:b/>
                      <w:bCs/>
                      <w:color w:val="auto"/>
                    </w:rPr>
                  </w:pPr>
                  <w:r>
                    <w:rPr>
                      <w:rFonts w:hint="eastAsia"/>
                      <w:b/>
                      <w:bCs/>
                      <w:color w:val="auto"/>
                    </w:rPr>
                    <w:t>颗粒物产污</w:t>
                  </w:r>
                  <w:r>
                    <w:rPr>
                      <w:b/>
                      <w:bCs/>
                      <w:color w:val="auto"/>
                    </w:rPr>
                    <w:t>系数</w:t>
                  </w:r>
                </w:p>
              </w:tc>
              <w:tc>
                <w:tcPr>
                  <w:tcW w:w="3191" w:type="pct"/>
                  <w:gridSpan w:val="4"/>
                  <w:tcBorders>
                    <w:tl2br w:val="nil"/>
                    <w:tr2bl w:val="nil"/>
                  </w:tcBorders>
                  <w:vAlign w:val="center"/>
                </w:tcPr>
                <w:p>
                  <w:pPr>
                    <w:pStyle w:val="39"/>
                    <w:jc w:val="center"/>
                    <w:rPr>
                      <w:color w:val="auto"/>
                    </w:rPr>
                  </w:pPr>
                  <w:r>
                    <w:rPr>
                      <w:color w:val="auto"/>
                    </w:rPr>
                    <w:t>0.1</w:t>
                  </w:r>
                  <w:r>
                    <w:rPr>
                      <w:rFonts w:hint="eastAsia"/>
                      <w:color w:val="auto"/>
                    </w:rPr>
                    <w:t>2</w:t>
                  </w:r>
                  <w:r>
                    <w:rPr>
                      <w:color w:val="auto"/>
                    </w:rPr>
                    <w:t>kg/t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08" w:type="pct"/>
                  <w:gridSpan w:val="2"/>
                  <w:tcBorders>
                    <w:tl2br w:val="nil"/>
                    <w:tr2bl w:val="nil"/>
                  </w:tcBorders>
                  <w:vAlign w:val="center"/>
                </w:tcPr>
                <w:p>
                  <w:pPr>
                    <w:pStyle w:val="39"/>
                    <w:jc w:val="center"/>
                    <w:rPr>
                      <w:b/>
                      <w:bCs/>
                      <w:color w:val="auto"/>
                    </w:rPr>
                  </w:pPr>
                  <w:r>
                    <w:rPr>
                      <w:b/>
                      <w:bCs/>
                      <w:color w:val="auto"/>
                    </w:rPr>
                    <w:t>废气量</w:t>
                  </w:r>
                  <w:r>
                    <w:rPr>
                      <w:rFonts w:hint="eastAsia"/>
                      <w:b/>
                      <w:bCs/>
                      <w:color w:val="auto"/>
                    </w:rPr>
                    <w:t>产污系数</w:t>
                  </w:r>
                  <w:r>
                    <w:rPr>
                      <w:b/>
                      <w:bCs/>
                      <w:color w:val="auto"/>
                    </w:rPr>
                    <w:t>（Nm</w:t>
                  </w:r>
                  <w:r>
                    <w:rPr>
                      <w:b/>
                      <w:bCs/>
                      <w:color w:val="auto"/>
                      <w:vertAlign w:val="superscript"/>
                    </w:rPr>
                    <w:t>3</w:t>
                  </w:r>
                  <w:r>
                    <w:rPr>
                      <w:b/>
                      <w:bCs/>
                      <w:color w:val="auto"/>
                    </w:rPr>
                    <w:t>/t-产品）</w:t>
                  </w:r>
                </w:p>
              </w:tc>
              <w:tc>
                <w:tcPr>
                  <w:tcW w:w="3191" w:type="pct"/>
                  <w:gridSpan w:val="4"/>
                  <w:tcBorders>
                    <w:tl2br w:val="nil"/>
                    <w:tr2bl w:val="nil"/>
                  </w:tcBorders>
                  <w:vAlign w:val="center"/>
                </w:tcPr>
                <w:p>
                  <w:pPr>
                    <w:pStyle w:val="39"/>
                    <w:jc w:val="center"/>
                    <w:rPr>
                      <w:color w:val="auto"/>
                    </w:rPr>
                  </w:pPr>
                  <w:r>
                    <w:rPr>
                      <w:rFonts w:hint="eastAsia"/>
                      <w:color w:val="auto"/>
                    </w:rPr>
                    <w:t>22.0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74" w:type="pct"/>
                  <w:vMerge w:val="restart"/>
                  <w:tcBorders>
                    <w:tl2br w:val="nil"/>
                    <w:tr2bl w:val="nil"/>
                  </w:tcBorders>
                  <w:vAlign w:val="center"/>
                </w:tcPr>
                <w:p>
                  <w:pPr>
                    <w:pStyle w:val="39"/>
                    <w:jc w:val="center"/>
                    <w:rPr>
                      <w:b/>
                      <w:bCs/>
                      <w:color w:val="auto"/>
                    </w:rPr>
                  </w:pPr>
                  <w:r>
                    <w:rPr>
                      <w:b/>
                      <w:bCs/>
                      <w:color w:val="auto"/>
                    </w:rPr>
                    <w:t>粉尘产生情况</w:t>
                  </w:r>
                </w:p>
              </w:tc>
              <w:tc>
                <w:tcPr>
                  <w:tcW w:w="1234" w:type="pct"/>
                  <w:tcBorders>
                    <w:tl2br w:val="nil"/>
                    <w:tr2bl w:val="nil"/>
                  </w:tcBorders>
                  <w:vAlign w:val="center"/>
                </w:tcPr>
                <w:p>
                  <w:pPr>
                    <w:pStyle w:val="39"/>
                    <w:jc w:val="center"/>
                    <w:rPr>
                      <w:b/>
                      <w:bCs/>
                      <w:color w:val="auto"/>
                    </w:rPr>
                  </w:pPr>
                  <w:r>
                    <w:rPr>
                      <w:b/>
                      <w:bCs/>
                      <w:color w:val="auto"/>
                    </w:rPr>
                    <w:t>产生量（t/a）</w:t>
                  </w:r>
                </w:p>
              </w:tc>
              <w:tc>
                <w:tcPr>
                  <w:tcW w:w="3191" w:type="pct"/>
                  <w:gridSpan w:val="4"/>
                  <w:tcBorders>
                    <w:tl2br w:val="nil"/>
                    <w:tr2bl w:val="nil"/>
                  </w:tcBorders>
                  <w:vAlign w:val="center"/>
                </w:tcPr>
                <w:p>
                  <w:pPr>
                    <w:pStyle w:val="39"/>
                    <w:jc w:val="center"/>
                    <w:rPr>
                      <w:color w:val="auto"/>
                    </w:rPr>
                  </w:pPr>
                  <w:r>
                    <w:rPr>
                      <w:rFonts w:hint="eastAsia"/>
                      <w:color w:val="auto"/>
                    </w:rPr>
                    <w:t>5.83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74" w:type="pct"/>
                  <w:vMerge w:val="continue"/>
                  <w:tcBorders>
                    <w:tl2br w:val="nil"/>
                    <w:tr2bl w:val="nil"/>
                  </w:tcBorders>
                  <w:vAlign w:val="center"/>
                </w:tcPr>
                <w:p>
                  <w:pPr>
                    <w:pStyle w:val="39"/>
                    <w:jc w:val="center"/>
                    <w:rPr>
                      <w:b/>
                      <w:bCs/>
                      <w:color w:val="auto"/>
                    </w:rPr>
                  </w:pPr>
                </w:p>
              </w:tc>
              <w:tc>
                <w:tcPr>
                  <w:tcW w:w="1234" w:type="pct"/>
                  <w:tcBorders>
                    <w:tl2br w:val="nil"/>
                    <w:tr2bl w:val="nil"/>
                  </w:tcBorders>
                  <w:vAlign w:val="center"/>
                </w:tcPr>
                <w:p>
                  <w:pPr>
                    <w:pStyle w:val="39"/>
                    <w:jc w:val="center"/>
                    <w:rPr>
                      <w:b/>
                      <w:bCs/>
                      <w:color w:val="auto"/>
                    </w:rPr>
                  </w:pPr>
                  <w:r>
                    <w:rPr>
                      <w:b/>
                      <w:bCs/>
                      <w:color w:val="auto"/>
                    </w:rPr>
                    <w:t>产生速率（kg/h）</w:t>
                  </w:r>
                </w:p>
              </w:tc>
              <w:tc>
                <w:tcPr>
                  <w:tcW w:w="3191" w:type="pct"/>
                  <w:gridSpan w:val="4"/>
                  <w:tcBorders>
                    <w:tl2br w:val="nil"/>
                    <w:tr2bl w:val="nil"/>
                  </w:tcBorders>
                  <w:vAlign w:val="center"/>
                </w:tcPr>
                <w:p>
                  <w:pPr>
                    <w:pStyle w:val="39"/>
                    <w:jc w:val="center"/>
                    <w:rPr>
                      <w:color w:val="auto"/>
                    </w:rPr>
                  </w:pPr>
                  <w:r>
                    <w:rPr>
                      <w:rFonts w:hint="eastAsia"/>
                      <w:color w:val="auto"/>
                    </w:rPr>
                    <w:t>4.86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74" w:type="pct"/>
                  <w:vMerge w:val="continue"/>
                  <w:tcBorders>
                    <w:tl2br w:val="nil"/>
                    <w:tr2bl w:val="nil"/>
                  </w:tcBorders>
                  <w:vAlign w:val="center"/>
                </w:tcPr>
                <w:p>
                  <w:pPr>
                    <w:pStyle w:val="39"/>
                    <w:jc w:val="center"/>
                    <w:rPr>
                      <w:b/>
                      <w:bCs/>
                      <w:color w:val="auto"/>
                    </w:rPr>
                  </w:pPr>
                </w:p>
              </w:tc>
              <w:tc>
                <w:tcPr>
                  <w:tcW w:w="1234" w:type="pct"/>
                  <w:tcBorders>
                    <w:tl2br w:val="nil"/>
                    <w:tr2bl w:val="nil"/>
                  </w:tcBorders>
                  <w:vAlign w:val="center"/>
                </w:tcPr>
                <w:p>
                  <w:pPr>
                    <w:pStyle w:val="39"/>
                    <w:jc w:val="center"/>
                    <w:rPr>
                      <w:b/>
                      <w:bCs/>
                      <w:color w:val="auto"/>
                    </w:rPr>
                  </w:pPr>
                  <w:r>
                    <w:rPr>
                      <w:b/>
                      <w:bCs/>
                      <w:color w:val="auto"/>
                    </w:rPr>
                    <w:t>产生浓度（mg/m</w:t>
                  </w:r>
                  <w:r>
                    <w:rPr>
                      <w:b/>
                      <w:bCs/>
                      <w:color w:val="auto"/>
                      <w:vertAlign w:val="superscript"/>
                    </w:rPr>
                    <w:t>3</w:t>
                  </w:r>
                  <w:r>
                    <w:rPr>
                      <w:b/>
                      <w:bCs/>
                      <w:color w:val="auto"/>
                    </w:rPr>
                    <w:t>）</w:t>
                  </w:r>
                </w:p>
              </w:tc>
              <w:tc>
                <w:tcPr>
                  <w:tcW w:w="889" w:type="pct"/>
                  <w:tcBorders>
                    <w:tl2br w:val="nil"/>
                    <w:tr2bl w:val="nil"/>
                  </w:tcBorders>
                  <w:vAlign w:val="center"/>
                </w:tcPr>
                <w:p>
                  <w:pPr>
                    <w:pStyle w:val="39"/>
                    <w:jc w:val="center"/>
                    <w:rPr>
                      <w:color w:val="auto"/>
                    </w:rPr>
                  </w:pPr>
                  <w:r>
                    <w:rPr>
                      <w:rFonts w:hint="eastAsia"/>
                      <w:color w:val="auto"/>
                    </w:rPr>
                    <w:t>5454.55</w:t>
                  </w:r>
                </w:p>
              </w:tc>
              <w:tc>
                <w:tcPr>
                  <w:tcW w:w="850" w:type="pct"/>
                  <w:tcBorders>
                    <w:tl2br w:val="nil"/>
                    <w:tr2bl w:val="nil"/>
                  </w:tcBorders>
                  <w:vAlign w:val="center"/>
                </w:tcPr>
                <w:p>
                  <w:pPr>
                    <w:pStyle w:val="39"/>
                    <w:jc w:val="center"/>
                    <w:rPr>
                      <w:color w:val="auto"/>
                    </w:rPr>
                  </w:pPr>
                  <w:r>
                    <w:rPr>
                      <w:rFonts w:hint="eastAsia"/>
                      <w:color w:val="auto"/>
                    </w:rPr>
                    <w:t>5454.55</w:t>
                  </w:r>
                </w:p>
              </w:tc>
              <w:tc>
                <w:tcPr>
                  <w:tcW w:w="726" w:type="pct"/>
                  <w:tcBorders>
                    <w:tl2br w:val="nil"/>
                    <w:tr2bl w:val="nil"/>
                  </w:tcBorders>
                  <w:vAlign w:val="center"/>
                </w:tcPr>
                <w:p>
                  <w:pPr>
                    <w:pStyle w:val="39"/>
                    <w:jc w:val="center"/>
                    <w:rPr>
                      <w:color w:val="auto"/>
                    </w:rPr>
                  </w:pPr>
                  <w:r>
                    <w:rPr>
                      <w:rFonts w:hint="eastAsia"/>
                      <w:color w:val="auto"/>
                    </w:rPr>
                    <w:t>5454.55</w:t>
                  </w:r>
                </w:p>
              </w:tc>
              <w:tc>
                <w:tcPr>
                  <w:tcW w:w="725" w:type="pct"/>
                  <w:tcBorders>
                    <w:tl2br w:val="nil"/>
                    <w:tr2bl w:val="nil"/>
                  </w:tcBorders>
                  <w:vAlign w:val="center"/>
                </w:tcPr>
                <w:p>
                  <w:pPr>
                    <w:pStyle w:val="39"/>
                    <w:jc w:val="center"/>
                    <w:rPr>
                      <w:color w:val="auto"/>
                    </w:rPr>
                  </w:pPr>
                  <w:r>
                    <w:rPr>
                      <w:rFonts w:hint="eastAsia"/>
                      <w:color w:val="auto"/>
                    </w:rPr>
                    <w:t>5454.55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08" w:type="pct"/>
                  <w:gridSpan w:val="2"/>
                  <w:tcBorders>
                    <w:tl2br w:val="nil"/>
                    <w:tr2bl w:val="nil"/>
                  </w:tcBorders>
                  <w:vAlign w:val="center"/>
                </w:tcPr>
                <w:p>
                  <w:pPr>
                    <w:pStyle w:val="39"/>
                    <w:jc w:val="center"/>
                    <w:rPr>
                      <w:b/>
                      <w:bCs/>
                      <w:color w:val="auto"/>
                    </w:rPr>
                  </w:pPr>
                  <w:r>
                    <w:rPr>
                      <w:rFonts w:hint="eastAsia"/>
                      <w:b/>
                      <w:bCs/>
                      <w:color w:val="auto"/>
                    </w:rPr>
                    <w:t>废气</w:t>
                  </w:r>
                  <w:r>
                    <w:rPr>
                      <w:b/>
                      <w:bCs/>
                      <w:color w:val="auto"/>
                    </w:rPr>
                    <w:t>量（m</w:t>
                  </w:r>
                  <w:r>
                    <w:rPr>
                      <w:b/>
                      <w:bCs/>
                      <w:color w:val="auto"/>
                      <w:vertAlign w:val="superscript"/>
                    </w:rPr>
                    <w:t>3</w:t>
                  </w:r>
                  <w:r>
                    <w:rPr>
                      <w:b/>
                      <w:bCs/>
                      <w:color w:val="auto"/>
                    </w:rPr>
                    <w:t>/h）</w:t>
                  </w:r>
                </w:p>
              </w:tc>
              <w:tc>
                <w:tcPr>
                  <w:tcW w:w="3191" w:type="pct"/>
                  <w:gridSpan w:val="4"/>
                  <w:tcBorders>
                    <w:tl2br w:val="nil"/>
                    <w:tr2bl w:val="nil"/>
                  </w:tcBorders>
                  <w:vAlign w:val="center"/>
                </w:tcPr>
                <w:p>
                  <w:pPr>
                    <w:pStyle w:val="39"/>
                    <w:jc w:val="center"/>
                    <w:rPr>
                      <w:color w:val="auto"/>
                    </w:rPr>
                  </w:pPr>
                  <w:r>
                    <w:rPr>
                      <w:rFonts w:hint="eastAsia"/>
                      <w:color w:val="auto"/>
                    </w:rPr>
                    <w:t>891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08" w:type="pct"/>
                  <w:gridSpan w:val="2"/>
                  <w:tcBorders>
                    <w:tl2br w:val="nil"/>
                    <w:tr2bl w:val="nil"/>
                  </w:tcBorders>
                  <w:vAlign w:val="center"/>
                </w:tcPr>
                <w:p>
                  <w:pPr>
                    <w:pStyle w:val="39"/>
                    <w:jc w:val="center"/>
                    <w:rPr>
                      <w:b/>
                      <w:bCs/>
                      <w:color w:val="auto"/>
                    </w:rPr>
                  </w:pPr>
                  <w:r>
                    <w:rPr>
                      <w:b/>
                      <w:bCs/>
                      <w:color w:val="auto"/>
                    </w:rPr>
                    <w:t>除尘效率（%）</w:t>
                  </w:r>
                </w:p>
              </w:tc>
              <w:tc>
                <w:tcPr>
                  <w:tcW w:w="889" w:type="pct"/>
                  <w:tcBorders>
                    <w:tl2br w:val="nil"/>
                    <w:tr2bl w:val="nil"/>
                  </w:tcBorders>
                  <w:vAlign w:val="center"/>
                </w:tcPr>
                <w:p>
                  <w:pPr>
                    <w:pStyle w:val="39"/>
                    <w:jc w:val="center"/>
                    <w:rPr>
                      <w:color w:val="auto"/>
                    </w:rPr>
                  </w:pPr>
                  <w:r>
                    <w:rPr>
                      <w:color w:val="auto"/>
                    </w:rPr>
                    <w:t>99.7</w:t>
                  </w:r>
                </w:p>
              </w:tc>
              <w:tc>
                <w:tcPr>
                  <w:tcW w:w="850" w:type="pct"/>
                  <w:tcBorders>
                    <w:tl2br w:val="nil"/>
                    <w:tr2bl w:val="nil"/>
                  </w:tcBorders>
                  <w:vAlign w:val="center"/>
                </w:tcPr>
                <w:p>
                  <w:pPr>
                    <w:pStyle w:val="39"/>
                    <w:jc w:val="center"/>
                    <w:rPr>
                      <w:color w:val="auto"/>
                    </w:rPr>
                  </w:pPr>
                  <w:r>
                    <w:rPr>
                      <w:color w:val="auto"/>
                    </w:rPr>
                    <w:t>99.7</w:t>
                  </w:r>
                </w:p>
              </w:tc>
              <w:tc>
                <w:tcPr>
                  <w:tcW w:w="726" w:type="pct"/>
                  <w:tcBorders>
                    <w:tl2br w:val="nil"/>
                    <w:tr2bl w:val="nil"/>
                  </w:tcBorders>
                  <w:vAlign w:val="center"/>
                </w:tcPr>
                <w:p>
                  <w:pPr>
                    <w:pStyle w:val="39"/>
                    <w:jc w:val="center"/>
                    <w:rPr>
                      <w:color w:val="auto"/>
                    </w:rPr>
                  </w:pPr>
                  <w:r>
                    <w:rPr>
                      <w:color w:val="auto"/>
                    </w:rPr>
                    <w:t>99.7</w:t>
                  </w:r>
                </w:p>
              </w:tc>
              <w:tc>
                <w:tcPr>
                  <w:tcW w:w="725" w:type="pct"/>
                  <w:tcBorders>
                    <w:tl2br w:val="nil"/>
                    <w:tr2bl w:val="nil"/>
                  </w:tcBorders>
                  <w:vAlign w:val="center"/>
                </w:tcPr>
                <w:p>
                  <w:pPr>
                    <w:pStyle w:val="39"/>
                    <w:jc w:val="center"/>
                    <w:rPr>
                      <w:color w:val="auto"/>
                    </w:rPr>
                  </w:pPr>
                  <w:r>
                    <w:rPr>
                      <w:color w:val="auto"/>
                    </w:rPr>
                    <w:t>99.7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74" w:type="pct"/>
                  <w:vMerge w:val="restart"/>
                  <w:tcBorders>
                    <w:tl2br w:val="nil"/>
                    <w:tr2bl w:val="nil"/>
                  </w:tcBorders>
                  <w:vAlign w:val="center"/>
                </w:tcPr>
                <w:p>
                  <w:pPr>
                    <w:pStyle w:val="39"/>
                    <w:jc w:val="center"/>
                    <w:rPr>
                      <w:b/>
                      <w:bCs/>
                      <w:color w:val="auto"/>
                    </w:rPr>
                  </w:pPr>
                  <w:r>
                    <w:rPr>
                      <w:b/>
                      <w:bCs/>
                      <w:color w:val="auto"/>
                    </w:rPr>
                    <w:t>粉尘排放情况</w:t>
                  </w:r>
                </w:p>
              </w:tc>
              <w:tc>
                <w:tcPr>
                  <w:tcW w:w="1234" w:type="pct"/>
                  <w:tcBorders>
                    <w:tl2br w:val="nil"/>
                    <w:tr2bl w:val="nil"/>
                  </w:tcBorders>
                  <w:vAlign w:val="center"/>
                </w:tcPr>
                <w:p>
                  <w:pPr>
                    <w:pStyle w:val="39"/>
                    <w:jc w:val="center"/>
                    <w:rPr>
                      <w:b/>
                      <w:bCs/>
                      <w:color w:val="auto"/>
                    </w:rPr>
                  </w:pPr>
                  <w:r>
                    <w:rPr>
                      <w:b/>
                      <w:bCs/>
                      <w:color w:val="auto"/>
                    </w:rPr>
                    <w:t>排放量（t/a）</w:t>
                  </w:r>
                </w:p>
              </w:tc>
              <w:tc>
                <w:tcPr>
                  <w:tcW w:w="3191" w:type="pct"/>
                  <w:gridSpan w:val="4"/>
                  <w:tcBorders>
                    <w:tl2br w:val="nil"/>
                    <w:tr2bl w:val="nil"/>
                  </w:tcBorders>
                  <w:vAlign w:val="center"/>
                </w:tcPr>
                <w:p>
                  <w:pPr>
                    <w:pStyle w:val="39"/>
                    <w:jc w:val="center"/>
                    <w:rPr>
                      <w:color w:val="auto"/>
                    </w:rPr>
                  </w:pPr>
                  <w:r>
                    <w:rPr>
                      <w:rFonts w:hint="eastAsia"/>
                      <w:color w:val="auto"/>
                    </w:rPr>
                    <w:t>0.017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74" w:type="pct"/>
                  <w:vMerge w:val="continue"/>
                  <w:tcBorders>
                    <w:tl2br w:val="nil"/>
                    <w:tr2bl w:val="nil"/>
                  </w:tcBorders>
                  <w:vAlign w:val="center"/>
                </w:tcPr>
                <w:p>
                  <w:pPr>
                    <w:pStyle w:val="39"/>
                    <w:jc w:val="center"/>
                    <w:rPr>
                      <w:b/>
                      <w:bCs/>
                      <w:color w:val="auto"/>
                    </w:rPr>
                  </w:pPr>
                </w:p>
              </w:tc>
              <w:tc>
                <w:tcPr>
                  <w:tcW w:w="1234" w:type="pct"/>
                  <w:tcBorders>
                    <w:tl2br w:val="nil"/>
                    <w:tr2bl w:val="nil"/>
                  </w:tcBorders>
                  <w:vAlign w:val="center"/>
                </w:tcPr>
                <w:p>
                  <w:pPr>
                    <w:pStyle w:val="39"/>
                    <w:jc w:val="center"/>
                    <w:rPr>
                      <w:b/>
                      <w:bCs/>
                      <w:color w:val="auto"/>
                    </w:rPr>
                  </w:pPr>
                  <w:r>
                    <w:rPr>
                      <w:b/>
                      <w:bCs/>
                      <w:color w:val="auto"/>
                    </w:rPr>
                    <w:t>排放速率（kg/h）</w:t>
                  </w:r>
                </w:p>
              </w:tc>
              <w:tc>
                <w:tcPr>
                  <w:tcW w:w="3191" w:type="pct"/>
                  <w:gridSpan w:val="4"/>
                  <w:tcBorders>
                    <w:tl2br w:val="nil"/>
                    <w:tr2bl w:val="nil"/>
                  </w:tcBorders>
                  <w:vAlign w:val="center"/>
                </w:tcPr>
                <w:p>
                  <w:pPr>
                    <w:pStyle w:val="39"/>
                    <w:jc w:val="center"/>
                    <w:rPr>
                      <w:color w:val="auto"/>
                    </w:rPr>
                  </w:pPr>
                  <w:r>
                    <w:rPr>
                      <w:rFonts w:hint="eastAsia"/>
                      <w:color w:val="auto"/>
                    </w:rPr>
                    <w:t>0.015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74" w:type="pct"/>
                  <w:vMerge w:val="continue"/>
                  <w:tcBorders>
                    <w:tl2br w:val="nil"/>
                    <w:tr2bl w:val="nil"/>
                  </w:tcBorders>
                  <w:vAlign w:val="center"/>
                </w:tcPr>
                <w:p>
                  <w:pPr>
                    <w:pStyle w:val="39"/>
                    <w:jc w:val="center"/>
                    <w:rPr>
                      <w:b/>
                      <w:bCs/>
                      <w:color w:val="auto"/>
                    </w:rPr>
                  </w:pPr>
                </w:p>
              </w:tc>
              <w:tc>
                <w:tcPr>
                  <w:tcW w:w="1234" w:type="pct"/>
                  <w:tcBorders>
                    <w:tl2br w:val="nil"/>
                    <w:tr2bl w:val="nil"/>
                  </w:tcBorders>
                  <w:vAlign w:val="center"/>
                </w:tcPr>
                <w:p>
                  <w:pPr>
                    <w:pStyle w:val="39"/>
                    <w:jc w:val="center"/>
                    <w:rPr>
                      <w:b/>
                      <w:bCs/>
                      <w:color w:val="auto"/>
                    </w:rPr>
                  </w:pPr>
                  <w:r>
                    <w:rPr>
                      <w:b/>
                      <w:bCs/>
                      <w:color w:val="auto"/>
                    </w:rPr>
                    <w:t>排放浓度（mg/m</w:t>
                  </w:r>
                  <w:r>
                    <w:rPr>
                      <w:b/>
                      <w:bCs/>
                      <w:color w:val="auto"/>
                      <w:vertAlign w:val="superscript"/>
                    </w:rPr>
                    <w:t>3</w:t>
                  </w:r>
                  <w:r>
                    <w:rPr>
                      <w:b/>
                      <w:bCs/>
                      <w:color w:val="auto"/>
                    </w:rPr>
                    <w:t>）</w:t>
                  </w:r>
                </w:p>
              </w:tc>
              <w:tc>
                <w:tcPr>
                  <w:tcW w:w="889" w:type="pct"/>
                  <w:tcBorders>
                    <w:tl2br w:val="nil"/>
                    <w:tr2bl w:val="nil"/>
                  </w:tcBorders>
                  <w:vAlign w:val="center"/>
                </w:tcPr>
                <w:p>
                  <w:pPr>
                    <w:pStyle w:val="39"/>
                    <w:jc w:val="center"/>
                    <w:rPr>
                      <w:color w:val="auto"/>
                    </w:rPr>
                  </w:pPr>
                  <w:r>
                    <w:rPr>
                      <w:rFonts w:hint="eastAsia"/>
                      <w:color w:val="auto"/>
                    </w:rPr>
                    <w:t>16.36</w:t>
                  </w:r>
                </w:p>
              </w:tc>
              <w:tc>
                <w:tcPr>
                  <w:tcW w:w="850" w:type="pct"/>
                  <w:tcBorders>
                    <w:tl2br w:val="nil"/>
                    <w:tr2bl w:val="nil"/>
                  </w:tcBorders>
                  <w:vAlign w:val="center"/>
                </w:tcPr>
                <w:p>
                  <w:pPr>
                    <w:pStyle w:val="39"/>
                    <w:jc w:val="center"/>
                    <w:rPr>
                      <w:color w:val="auto"/>
                    </w:rPr>
                  </w:pPr>
                  <w:r>
                    <w:rPr>
                      <w:rFonts w:hint="eastAsia"/>
                      <w:color w:val="auto"/>
                    </w:rPr>
                    <w:t>16.36</w:t>
                  </w:r>
                </w:p>
              </w:tc>
              <w:tc>
                <w:tcPr>
                  <w:tcW w:w="726" w:type="pct"/>
                  <w:tcBorders>
                    <w:tl2br w:val="nil"/>
                    <w:tr2bl w:val="nil"/>
                  </w:tcBorders>
                  <w:vAlign w:val="center"/>
                </w:tcPr>
                <w:p>
                  <w:pPr>
                    <w:pStyle w:val="39"/>
                    <w:jc w:val="center"/>
                    <w:rPr>
                      <w:color w:val="auto"/>
                    </w:rPr>
                  </w:pPr>
                  <w:r>
                    <w:rPr>
                      <w:rFonts w:hint="eastAsia"/>
                      <w:color w:val="auto"/>
                    </w:rPr>
                    <w:t>16.36</w:t>
                  </w:r>
                </w:p>
              </w:tc>
              <w:tc>
                <w:tcPr>
                  <w:tcW w:w="725" w:type="pct"/>
                  <w:tcBorders>
                    <w:tl2br w:val="nil"/>
                    <w:tr2bl w:val="nil"/>
                  </w:tcBorders>
                  <w:vAlign w:val="center"/>
                </w:tcPr>
                <w:p>
                  <w:pPr>
                    <w:pStyle w:val="39"/>
                    <w:jc w:val="center"/>
                    <w:rPr>
                      <w:color w:val="auto"/>
                    </w:rPr>
                  </w:pPr>
                  <w:r>
                    <w:rPr>
                      <w:rFonts w:hint="eastAsia"/>
                      <w:color w:val="auto"/>
                    </w:rPr>
                    <w:t>16.36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08" w:type="pct"/>
                  <w:gridSpan w:val="2"/>
                  <w:tcBorders>
                    <w:tl2br w:val="nil"/>
                    <w:tr2bl w:val="nil"/>
                  </w:tcBorders>
                  <w:vAlign w:val="center"/>
                </w:tcPr>
                <w:p>
                  <w:pPr>
                    <w:pStyle w:val="39"/>
                    <w:jc w:val="center"/>
                    <w:rPr>
                      <w:b/>
                      <w:bCs/>
                      <w:color w:val="auto"/>
                    </w:rPr>
                  </w:pPr>
                  <w:r>
                    <w:rPr>
                      <w:b/>
                      <w:bCs/>
                      <w:color w:val="auto"/>
                    </w:rPr>
                    <w:t>排放</w:t>
                  </w:r>
                  <w:r>
                    <w:rPr>
                      <w:rFonts w:hint="eastAsia"/>
                      <w:b/>
                      <w:bCs/>
                      <w:color w:val="auto"/>
                    </w:rPr>
                    <w:t>高度（m）</w:t>
                  </w:r>
                </w:p>
              </w:tc>
              <w:tc>
                <w:tcPr>
                  <w:tcW w:w="889" w:type="pct"/>
                  <w:tcBorders>
                    <w:tl2br w:val="nil"/>
                    <w:tr2bl w:val="nil"/>
                  </w:tcBorders>
                  <w:vAlign w:val="center"/>
                </w:tcPr>
                <w:p>
                  <w:pPr>
                    <w:pStyle w:val="39"/>
                    <w:jc w:val="center"/>
                    <w:rPr>
                      <w:color w:val="auto"/>
                    </w:rPr>
                  </w:pPr>
                  <w:r>
                    <w:rPr>
                      <w:rFonts w:hint="eastAsia"/>
                      <w:color w:val="auto"/>
                    </w:rPr>
                    <w:t>21</w:t>
                  </w:r>
                </w:p>
              </w:tc>
              <w:tc>
                <w:tcPr>
                  <w:tcW w:w="850" w:type="pct"/>
                  <w:tcBorders>
                    <w:tl2br w:val="nil"/>
                    <w:tr2bl w:val="nil"/>
                  </w:tcBorders>
                  <w:vAlign w:val="center"/>
                </w:tcPr>
                <w:p>
                  <w:pPr>
                    <w:pStyle w:val="39"/>
                    <w:jc w:val="center"/>
                    <w:rPr>
                      <w:color w:val="auto"/>
                    </w:rPr>
                  </w:pPr>
                  <w:r>
                    <w:rPr>
                      <w:rFonts w:hint="eastAsia"/>
                      <w:color w:val="auto"/>
                    </w:rPr>
                    <w:t>21</w:t>
                  </w:r>
                </w:p>
              </w:tc>
              <w:tc>
                <w:tcPr>
                  <w:tcW w:w="726" w:type="pct"/>
                  <w:tcBorders>
                    <w:tl2br w:val="nil"/>
                    <w:tr2bl w:val="nil"/>
                  </w:tcBorders>
                  <w:vAlign w:val="center"/>
                </w:tcPr>
                <w:p>
                  <w:pPr>
                    <w:pStyle w:val="39"/>
                    <w:jc w:val="center"/>
                    <w:rPr>
                      <w:color w:val="auto"/>
                    </w:rPr>
                  </w:pPr>
                  <w:r>
                    <w:rPr>
                      <w:rFonts w:hint="eastAsia"/>
                      <w:color w:val="auto"/>
                    </w:rPr>
                    <w:t>21</w:t>
                  </w:r>
                </w:p>
              </w:tc>
              <w:tc>
                <w:tcPr>
                  <w:tcW w:w="725" w:type="pct"/>
                  <w:tcBorders>
                    <w:tl2br w:val="nil"/>
                    <w:tr2bl w:val="nil"/>
                  </w:tcBorders>
                  <w:vAlign w:val="center"/>
                </w:tcPr>
                <w:p>
                  <w:pPr>
                    <w:pStyle w:val="39"/>
                    <w:jc w:val="center"/>
                    <w:rPr>
                      <w:color w:val="auto"/>
                    </w:rPr>
                  </w:pPr>
                  <w:r>
                    <w:rPr>
                      <w:rFonts w:hint="eastAsia"/>
                      <w:color w:val="auto"/>
                    </w:rPr>
                    <w:t>21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08" w:type="pct"/>
                  <w:gridSpan w:val="2"/>
                  <w:tcBorders>
                    <w:tl2br w:val="nil"/>
                    <w:tr2bl w:val="nil"/>
                  </w:tcBorders>
                  <w:vAlign w:val="center"/>
                </w:tcPr>
                <w:p>
                  <w:pPr>
                    <w:pStyle w:val="39"/>
                    <w:jc w:val="center"/>
                    <w:rPr>
                      <w:b/>
                      <w:bCs/>
                      <w:color w:val="auto"/>
                    </w:rPr>
                  </w:pPr>
                  <w:r>
                    <w:rPr>
                      <w:b/>
                      <w:bCs/>
                      <w:color w:val="auto"/>
                    </w:rPr>
                    <w:t>排放形式</w:t>
                  </w:r>
                </w:p>
              </w:tc>
              <w:tc>
                <w:tcPr>
                  <w:tcW w:w="3191" w:type="pct"/>
                  <w:gridSpan w:val="4"/>
                  <w:tcBorders>
                    <w:tl2br w:val="nil"/>
                    <w:tr2bl w:val="nil"/>
                  </w:tcBorders>
                  <w:vAlign w:val="center"/>
                </w:tcPr>
                <w:p>
                  <w:pPr>
                    <w:pStyle w:val="39"/>
                    <w:jc w:val="center"/>
                    <w:rPr>
                      <w:color w:val="auto"/>
                    </w:rPr>
                  </w:pPr>
                  <w:r>
                    <w:rPr>
                      <w:rFonts w:hint="eastAsia"/>
                      <w:color w:val="auto"/>
                    </w:rPr>
                    <w:t>有组织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74" w:type="pct"/>
                  <w:tcBorders>
                    <w:tl2br w:val="nil"/>
                    <w:tr2bl w:val="nil"/>
                  </w:tcBorders>
                  <w:vAlign w:val="center"/>
                </w:tcPr>
                <w:p>
                  <w:pPr>
                    <w:pStyle w:val="39"/>
                    <w:jc w:val="center"/>
                    <w:rPr>
                      <w:b/>
                      <w:bCs/>
                      <w:color w:val="auto"/>
                    </w:rPr>
                  </w:pPr>
                  <w:r>
                    <w:rPr>
                      <w:b/>
                      <w:bCs/>
                      <w:color w:val="auto"/>
                    </w:rPr>
                    <w:t>排放标准</w:t>
                  </w:r>
                </w:p>
              </w:tc>
              <w:tc>
                <w:tcPr>
                  <w:tcW w:w="1234" w:type="pct"/>
                  <w:tcBorders>
                    <w:tl2br w:val="nil"/>
                    <w:tr2bl w:val="nil"/>
                  </w:tcBorders>
                  <w:vAlign w:val="center"/>
                </w:tcPr>
                <w:p>
                  <w:pPr>
                    <w:pStyle w:val="39"/>
                    <w:jc w:val="center"/>
                    <w:rPr>
                      <w:b/>
                      <w:bCs/>
                      <w:color w:val="auto"/>
                    </w:rPr>
                  </w:pPr>
                  <w:r>
                    <w:rPr>
                      <w:b/>
                      <w:bCs/>
                      <w:color w:val="auto"/>
                    </w:rPr>
                    <w:t>排放浓度（mg/m</w:t>
                  </w:r>
                  <w:r>
                    <w:rPr>
                      <w:b/>
                      <w:bCs/>
                      <w:color w:val="auto"/>
                      <w:vertAlign w:val="superscript"/>
                    </w:rPr>
                    <w:t>3</w:t>
                  </w:r>
                  <w:r>
                    <w:rPr>
                      <w:b/>
                      <w:bCs/>
                      <w:color w:val="auto"/>
                    </w:rPr>
                    <w:t>）</w:t>
                  </w:r>
                </w:p>
              </w:tc>
              <w:tc>
                <w:tcPr>
                  <w:tcW w:w="3191" w:type="pct"/>
                  <w:gridSpan w:val="4"/>
                  <w:tcBorders>
                    <w:tl2br w:val="nil"/>
                    <w:tr2bl w:val="nil"/>
                  </w:tcBorders>
                  <w:vAlign w:val="center"/>
                </w:tcPr>
                <w:p>
                  <w:pPr>
                    <w:pStyle w:val="39"/>
                    <w:jc w:val="center"/>
                    <w:rPr>
                      <w:color w:val="auto"/>
                    </w:rPr>
                  </w:pPr>
                  <w:r>
                    <w:rPr>
                      <w:rFonts w:hint="eastAsia"/>
                      <w:color w:val="auto"/>
                    </w:rPr>
                    <w:t>20</w:t>
                  </w:r>
                </w:p>
              </w:tc>
            </w:tr>
          </w:tbl>
          <w:p>
            <w:pPr>
              <w:ind w:firstLine="487" w:firstLineChars="203"/>
              <w:rPr>
                <w:bCs/>
                <w:color w:val="auto"/>
                <w:szCs w:val="21"/>
              </w:rPr>
            </w:pPr>
            <w:r>
              <w:rPr>
                <w:bCs/>
                <w:color w:val="auto"/>
                <w:szCs w:val="21"/>
              </w:rPr>
              <w:t>项目</w:t>
            </w:r>
            <w:r>
              <w:rPr>
                <w:rFonts w:hint="eastAsia"/>
                <w:bCs/>
                <w:color w:val="auto"/>
                <w:szCs w:val="21"/>
              </w:rPr>
              <w:t>2</w:t>
            </w:r>
            <w:r>
              <w:rPr>
                <w:bCs/>
                <w:color w:val="auto"/>
                <w:szCs w:val="21"/>
              </w:rPr>
              <w:t>个水泥筒仓、</w:t>
            </w:r>
            <w:r>
              <w:rPr>
                <w:rFonts w:hint="eastAsia"/>
                <w:bCs/>
                <w:color w:val="auto"/>
                <w:szCs w:val="21"/>
              </w:rPr>
              <w:t>2</w:t>
            </w:r>
            <w:r>
              <w:rPr>
                <w:bCs/>
                <w:color w:val="auto"/>
                <w:szCs w:val="21"/>
              </w:rPr>
              <w:t>个粉煤灰筒仓顶部均设置脉冲布袋除尘器，排放高度</w:t>
            </w:r>
            <w:r>
              <w:rPr>
                <w:rFonts w:hint="eastAsia"/>
                <w:bCs/>
                <w:color w:val="auto"/>
                <w:szCs w:val="21"/>
              </w:rPr>
              <w:t>21</w:t>
            </w:r>
            <w:r>
              <w:rPr>
                <w:bCs/>
                <w:color w:val="auto"/>
                <w:szCs w:val="21"/>
              </w:rPr>
              <w:t>m，除尘后最大粉尘</w:t>
            </w:r>
            <w:r>
              <w:rPr>
                <w:rFonts w:hint="eastAsia"/>
                <w:bCs/>
                <w:color w:val="auto"/>
                <w:szCs w:val="21"/>
              </w:rPr>
              <w:t>排放</w:t>
            </w:r>
            <w:r>
              <w:rPr>
                <w:bCs/>
                <w:color w:val="auto"/>
                <w:szCs w:val="21"/>
              </w:rPr>
              <w:t>浓度为</w:t>
            </w:r>
            <w:r>
              <w:rPr>
                <w:rFonts w:hint="eastAsia"/>
                <w:color w:val="auto"/>
                <w:szCs w:val="21"/>
              </w:rPr>
              <w:t>16.36</w:t>
            </w:r>
            <w:r>
              <w:rPr>
                <w:bCs/>
                <w:color w:val="auto"/>
                <w:szCs w:val="21"/>
              </w:rPr>
              <w:t>mg/m</w:t>
            </w:r>
            <w:r>
              <w:rPr>
                <w:bCs/>
                <w:color w:val="auto"/>
                <w:szCs w:val="21"/>
                <w:vertAlign w:val="superscript"/>
              </w:rPr>
              <w:t>3</w:t>
            </w:r>
            <w:r>
              <w:rPr>
                <w:bCs/>
                <w:color w:val="auto"/>
                <w:szCs w:val="21"/>
              </w:rPr>
              <w:t>，满足《水泥工业大气污染物排放标准》（GB4915-2013）中排放标准。</w:t>
            </w:r>
          </w:p>
          <w:p>
            <w:pPr>
              <w:ind w:firstLine="480"/>
              <w:rPr>
                <w:color w:val="auto"/>
              </w:rPr>
            </w:pPr>
            <w:r>
              <w:rPr>
                <w:rFonts w:hint="eastAsia"/>
                <w:color w:val="auto"/>
              </w:rPr>
              <w:t>②</w:t>
            </w:r>
            <w:r>
              <w:rPr>
                <w:color w:val="auto"/>
              </w:rPr>
              <w:t>搅拌粉尘</w:t>
            </w:r>
          </w:p>
          <w:p>
            <w:pPr>
              <w:ind w:firstLine="480"/>
              <w:rPr>
                <w:color w:val="auto"/>
              </w:rPr>
            </w:pPr>
            <w:r>
              <w:rPr>
                <w:color w:val="auto"/>
              </w:rPr>
              <w:t>粉料（水泥、粉煤灰）由管式螺旋输送机喂入粉料配料仓叠加计量后投入混合机进行混合，搅拌过程中产生粉尘。本项目搅拌机顶部装有</w:t>
            </w:r>
            <w:r>
              <w:rPr>
                <w:rFonts w:hint="eastAsia"/>
                <w:color w:val="auto"/>
              </w:rPr>
              <w:t>2台</w:t>
            </w:r>
            <w:r>
              <w:rPr>
                <w:color w:val="auto"/>
              </w:rPr>
              <w:t>专用脉冲袋式除尘器，</w:t>
            </w:r>
            <w:r>
              <w:rPr>
                <w:rFonts w:hint="eastAsia"/>
                <w:color w:val="auto"/>
              </w:rPr>
              <w:t>进行二级除尘</w:t>
            </w:r>
            <w:r>
              <w:rPr>
                <w:color w:val="auto"/>
              </w:rPr>
              <w:t>。尾气经过过滤后通过搅拌楼顶部排气口排放。本评价要求建设单位选用优质高效脉冲袋式除尘器，并加强日常管理，保证除尘器除尘效率</w:t>
            </w:r>
            <w:r>
              <w:rPr>
                <w:rFonts w:hint="eastAsia"/>
                <w:color w:val="auto"/>
              </w:rPr>
              <w:t>达</w:t>
            </w:r>
            <w:r>
              <w:rPr>
                <w:color w:val="auto"/>
              </w:rPr>
              <w:t>99.</w:t>
            </w:r>
            <w:r>
              <w:rPr>
                <w:rFonts w:hint="eastAsia"/>
                <w:color w:val="auto"/>
              </w:rPr>
              <w:t>7</w:t>
            </w:r>
            <w:r>
              <w:rPr>
                <w:color w:val="auto"/>
              </w:rPr>
              <w:t>%。</w:t>
            </w:r>
          </w:p>
          <w:p>
            <w:pPr>
              <w:ind w:firstLine="480"/>
              <w:rPr>
                <w:color w:val="auto"/>
              </w:rPr>
            </w:pPr>
            <w:r>
              <w:rPr>
                <w:rFonts w:hint="eastAsia"/>
                <w:color w:val="auto"/>
              </w:rPr>
              <w:t>本</w:t>
            </w:r>
            <w:r>
              <w:rPr>
                <w:color w:val="auto"/>
              </w:rPr>
              <w:t>项目搅拌机产排污情况见下表。</w:t>
            </w:r>
          </w:p>
          <w:p>
            <w:pPr>
              <w:pStyle w:val="25"/>
              <w:rPr>
                <w:color w:val="auto"/>
              </w:rPr>
            </w:pPr>
            <w:r>
              <w:rPr>
                <w:color w:val="auto"/>
              </w:rPr>
              <w:t>表4-</w:t>
            </w:r>
            <w:r>
              <w:rPr>
                <w:rFonts w:hint="eastAsia"/>
                <w:color w:val="auto"/>
              </w:rPr>
              <w:t>5</w:t>
            </w:r>
            <w:r>
              <w:rPr>
                <w:color w:val="auto"/>
              </w:rPr>
              <w:t xml:space="preserve">   搅拌机粉尘</w:t>
            </w:r>
            <w:r>
              <w:rPr>
                <w:rFonts w:hint="eastAsia"/>
                <w:color w:val="auto"/>
              </w:rPr>
              <w:t>污染物产排情况一览表</w:t>
            </w:r>
          </w:p>
          <w:tbl>
            <w:tblPr>
              <w:tblStyle w:val="17"/>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57"/>
              <w:gridCol w:w="146"/>
              <w:gridCol w:w="2106"/>
              <w:gridCol w:w="360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693" w:type="pct"/>
                  <w:gridSpan w:val="3"/>
                  <w:vAlign w:val="center"/>
                </w:tcPr>
                <w:p>
                  <w:pPr>
                    <w:pStyle w:val="39"/>
                    <w:jc w:val="center"/>
                    <w:rPr>
                      <w:b/>
                      <w:bCs/>
                      <w:color w:val="auto"/>
                    </w:rPr>
                  </w:pPr>
                  <w:r>
                    <w:rPr>
                      <w:b/>
                      <w:bCs/>
                      <w:color w:val="auto"/>
                    </w:rPr>
                    <w:t>产品量（t/a）</w:t>
                  </w:r>
                </w:p>
              </w:tc>
              <w:tc>
                <w:tcPr>
                  <w:tcW w:w="2306" w:type="pct"/>
                  <w:vAlign w:val="center"/>
                </w:tcPr>
                <w:p>
                  <w:pPr>
                    <w:pStyle w:val="39"/>
                    <w:jc w:val="center"/>
                    <w:rPr>
                      <w:color w:val="auto"/>
                    </w:rPr>
                  </w:pPr>
                  <w:r>
                    <w:rPr>
                      <w:rFonts w:hint="eastAsia"/>
                      <w:color w:val="auto"/>
                    </w:rPr>
                    <w:t>48600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2693" w:type="pct"/>
                  <w:gridSpan w:val="3"/>
                  <w:vAlign w:val="center"/>
                </w:tcPr>
                <w:p>
                  <w:pPr>
                    <w:pStyle w:val="39"/>
                    <w:jc w:val="center"/>
                    <w:rPr>
                      <w:b/>
                      <w:bCs/>
                      <w:color w:val="auto"/>
                    </w:rPr>
                  </w:pPr>
                  <w:r>
                    <w:rPr>
                      <w:b/>
                      <w:bCs/>
                      <w:color w:val="auto"/>
                    </w:rPr>
                    <w:t>运行时间（h）</w:t>
                  </w:r>
                </w:p>
              </w:tc>
              <w:tc>
                <w:tcPr>
                  <w:tcW w:w="2306" w:type="pct"/>
                  <w:vAlign w:val="center"/>
                </w:tcPr>
                <w:p>
                  <w:pPr>
                    <w:pStyle w:val="39"/>
                    <w:jc w:val="center"/>
                    <w:rPr>
                      <w:color w:val="auto"/>
                    </w:rPr>
                  </w:pPr>
                  <w:r>
                    <w:rPr>
                      <w:rFonts w:hint="eastAsia"/>
                      <w:color w:val="auto"/>
                    </w:rPr>
                    <w:t>1200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693" w:type="pct"/>
                  <w:gridSpan w:val="3"/>
                  <w:vAlign w:val="center"/>
                </w:tcPr>
                <w:p>
                  <w:pPr>
                    <w:pStyle w:val="39"/>
                    <w:jc w:val="center"/>
                    <w:rPr>
                      <w:b/>
                      <w:bCs/>
                      <w:color w:val="auto"/>
                    </w:rPr>
                  </w:pPr>
                  <w:r>
                    <w:rPr>
                      <w:rFonts w:hint="eastAsia"/>
                      <w:b/>
                      <w:bCs/>
                      <w:color w:val="auto"/>
                    </w:rPr>
                    <w:t>颗粒物产污</w:t>
                  </w:r>
                  <w:r>
                    <w:rPr>
                      <w:b/>
                      <w:bCs/>
                      <w:color w:val="auto"/>
                    </w:rPr>
                    <w:t>系数</w:t>
                  </w:r>
                </w:p>
              </w:tc>
              <w:tc>
                <w:tcPr>
                  <w:tcW w:w="2306" w:type="pct"/>
                  <w:vAlign w:val="center"/>
                </w:tcPr>
                <w:p>
                  <w:pPr>
                    <w:pStyle w:val="39"/>
                    <w:jc w:val="center"/>
                    <w:rPr>
                      <w:color w:val="auto"/>
                    </w:rPr>
                  </w:pPr>
                  <w:r>
                    <w:rPr>
                      <w:rFonts w:hint="eastAsia"/>
                      <w:color w:val="auto"/>
                    </w:rPr>
                    <w:t>0.13</w:t>
                  </w:r>
                  <w:r>
                    <w:rPr>
                      <w:color w:val="auto"/>
                    </w:rPr>
                    <w:t>kg/t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693" w:type="pct"/>
                  <w:gridSpan w:val="3"/>
                  <w:vAlign w:val="center"/>
                </w:tcPr>
                <w:p>
                  <w:pPr>
                    <w:pStyle w:val="39"/>
                    <w:jc w:val="center"/>
                    <w:rPr>
                      <w:b/>
                      <w:bCs/>
                      <w:color w:val="auto"/>
                    </w:rPr>
                  </w:pPr>
                  <w:r>
                    <w:rPr>
                      <w:b/>
                      <w:bCs/>
                      <w:color w:val="auto"/>
                    </w:rPr>
                    <w:t>废气量</w:t>
                  </w:r>
                  <w:r>
                    <w:rPr>
                      <w:rFonts w:hint="eastAsia"/>
                      <w:b/>
                      <w:bCs/>
                      <w:color w:val="auto"/>
                    </w:rPr>
                    <w:t>产污系数</w:t>
                  </w:r>
                  <w:r>
                    <w:rPr>
                      <w:b/>
                      <w:bCs/>
                      <w:color w:val="auto"/>
                    </w:rPr>
                    <w:t>（Nm</w:t>
                  </w:r>
                  <w:r>
                    <w:rPr>
                      <w:b/>
                      <w:bCs/>
                      <w:color w:val="auto"/>
                      <w:vertAlign w:val="superscript"/>
                    </w:rPr>
                    <w:t>3</w:t>
                  </w:r>
                  <w:r>
                    <w:rPr>
                      <w:b/>
                      <w:bCs/>
                      <w:color w:val="auto"/>
                    </w:rPr>
                    <w:t>/t-产品）</w:t>
                  </w:r>
                </w:p>
              </w:tc>
              <w:tc>
                <w:tcPr>
                  <w:tcW w:w="2306" w:type="pct"/>
                  <w:vAlign w:val="center"/>
                </w:tcPr>
                <w:p>
                  <w:pPr>
                    <w:pStyle w:val="39"/>
                    <w:jc w:val="center"/>
                    <w:rPr>
                      <w:color w:val="auto"/>
                    </w:rPr>
                  </w:pPr>
                  <w:r>
                    <w:rPr>
                      <w:rFonts w:hint="eastAsia"/>
                      <w:color w:val="auto"/>
                    </w:rPr>
                    <w:t>25.0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252" w:type="pct"/>
                  <w:vMerge w:val="restart"/>
                  <w:vAlign w:val="center"/>
                </w:tcPr>
                <w:p>
                  <w:pPr>
                    <w:pStyle w:val="39"/>
                    <w:jc w:val="center"/>
                    <w:rPr>
                      <w:b/>
                      <w:bCs/>
                      <w:color w:val="auto"/>
                    </w:rPr>
                  </w:pPr>
                  <w:r>
                    <w:rPr>
                      <w:b/>
                      <w:bCs/>
                      <w:color w:val="auto"/>
                    </w:rPr>
                    <w:t>粉尘产生情况</w:t>
                  </w:r>
                </w:p>
              </w:tc>
              <w:tc>
                <w:tcPr>
                  <w:tcW w:w="1441" w:type="pct"/>
                  <w:gridSpan w:val="2"/>
                  <w:vAlign w:val="center"/>
                </w:tcPr>
                <w:p>
                  <w:pPr>
                    <w:pStyle w:val="39"/>
                    <w:jc w:val="center"/>
                    <w:rPr>
                      <w:b/>
                      <w:bCs/>
                      <w:color w:val="auto"/>
                    </w:rPr>
                  </w:pPr>
                  <w:r>
                    <w:rPr>
                      <w:b/>
                      <w:bCs/>
                      <w:color w:val="auto"/>
                    </w:rPr>
                    <w:t>产生量（t/a）</w:t>
                  </w:r>
                </w:p>
              </w:tc>
              <w:tc>
                <w:tcPr>
                  <w:tcW w:w="2306" w:type="pct"/>
                  <w:vAlign w:val="center"/>
                </w:tcPr>
                <w:p>
                  <w:pPr>
                    <w:pStyle w:val="39"/>
                    <w:jc w:val="center"/>
                    <w:rPr>
                      <w:color w:val="auto"/>
                    </w:rPr>
                  </w:pPr>
                  <w:r>
                    <w:rPr>
                      <w:rFonts w:hint="eastAsia"/>
                      <w:color w:val="auto"/>
                    </w:rPr>
                    <w:t>6.32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1252" w:type="pct"/>
                  <w:vMerge w:val="continue"/>
                  <w:vAlign w:val="center"/>
                </w:tcPr>
                <w:p>
                  <w:pPr>
                    <w:pStyle w:val="39"/>
                    <w:jc w:val="center"/>
                    <w:rPr>
                      <w:b/>
                      <w:bCs/>
                      <w:color w:val="auto"/>
                    </w:rPr>
                  </w:pPr>
                </w:p>
              </w:tc>
              <w:tc>
                <w:tcPr>
                  <w:tcW w:w="1441" w:type="pct"/>
                  <w:gridSpan w:val="2"/>
                  <w:vAlign w:val="center"/>
                </w:tcPr>
                <w:p>
                  <w:pPr>
                    <w:pStyle w:val="39"/>
                    <w:jc w:val="center"/>
                    <w:rPr>
                      <w:b/>
                      <w:bCs/>
                      <w:color w:val="auto"/>
                    </w:rPr>
                  </w:pPr>
                  <w:r>
                    <w:rPr>
                      <w:b/>
                      <w:bCs/>
                      <w:color w:val="auto"/>
                    </w:rPr>
                    <w:t>产生速率（kg/h）</w:t>
                  </w:r>
                </w:p>
              </w:tc>
              <w:tc>
                <w:tcPr>
                  <w:tcW w:w="2306" w:type="pct"/>
                  <w:vAlign w:val="center"/>
                </w:tcPr>
                <w:p>
                  <w:pPr>
                    <w:pStyle w:val="39"/>
                    <w:jc w:val="center"/>
                    <w:rPr>
                      <w:color w:val="auto"/>
                    </w:rPr>
                  </w:pPr>
                  <w:r>
                    <w:rPr>
                      <w:rFonts w:hint="eastAsia"/>
                      <w:color w:val="auto"/>
                    </w:rPr>
                    <w:t>5.27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1252" w:type="pct"/>
                  <w:vMerge w:val="continue"/>
                  <w:vAlign w:val="center"/>
                </w:tcPr>
                <w:p>
                  <w:pPr>
                    <w:pStyle w:val="39"/>
                    <w:jc w:val="center"/>
                    <w:rPr>
                      <w:b/>
                      <w:bCs/>
                      <w:color w:val="auto"/>
                    </w:rPr>
                  </w:pPr>
                </w:p>
              </w:tc>
              <w:tc>
                <w:tcPr>
                  <w:tcW w:w="1441" w:type="pct"/>
                  <w:gridSpan w:val="2"/>
                  <w:vAlign w:val="center"/>
                </w:tcPr>
                <w:p>
                  <w:pPr>
                    <w:pStyle w:val="39"/>
                    <w:jc w:val="center"/>
                    <w:rPr>
                      <w:b/>
                      <w:bCs/>
                      <w:color w:val="auto"/>
                    </w:rPr>
                  </w:pPr>
                  <w:r>
                    <w:rPr>
                      <w:b/>
                      <w:bCs/>
                      <w:color w:val="auto"/>
                    </w:rPr>
                    <w:t>产生浓度（mg/m</w:t>
                  </w:r>
                  <w:r>
                    <w:rPr>
                      <w:b/>
                      <w:bCs/>
                      <w:color w:val="auto"/>
                      <w:vertAlign w:val="superscript"/>
                    </w:rPr>
                    <w:t>3</w:t>
                  </w:r>
                  <w:r>
                    <w:rPr>
                      <w:b/>
                      <w:bCs/>
                      <w:color w:val="auto"/>
                    </w:rPr>
                    <w:t>）</w:t>
                  </w:r>
                </w:p>
              </w:tc>
              <w:tc>
                <w:tcPr>
                  <w:tcW w:w="2306" w:type="pct"/>
                  <w:vAlign w:val="center"/>
                </w:tcPr>
                <w:p>
                  <w:pPr>
                    <w:pStyle w:val="39"/>
                    <w:jc w:val="center"/>
                    <w:rPr>
                      <w:color w:val="auto"/>
                    </w:rPr>
                  </w:pPr>
                  <w:r>
                    <w:rPr>
                      <w:rFonts w:hint="eastAsia"/>
                      <w:color w:val="auto"/>
                    </w:rPr>
                    <w:t>5200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693" w:type="pct"/>
                  <w:gridSpan w:val="3"/>
                  <w:vAlign w:val="center"/>
                </w:tcPr>
                <w:p>
                  <w:pPr>
                    <w:pStyle w:val="39"/>
                    <w:jc w:val="center"/>
                    <w:rPr>
                      <w:b/>
                      <w:bCs/>
                      <w:color w:val="auto"/>
                    </w:rPr>
                  </w:pPr>
                  <w:r>
                    <w:rPr>
                      <w:rFonts w:hint="eastAsia"/>
                      <w:b/>
                      <w:bCs/>
                      <w:color w:val="auto"/>
                    </w:rPr>
                    <w:t>废气量</w:t>
                  </w:r>
                  <w:r>
                    <w:rPr>
                      <w:b/>
                      <w:bCs/>
                      <w:color w:val="auto"/>
                    </w:rPr>
                    <w:t>（m</w:t>
                  </w:r>
                  <w:r>
                    <w:rPr>
                      <w:b/>
                      <w:bCs/>
                      <w:color w:val="auto"/>
                      <w:vertAlign w:val="superscript"/>
                    </w:rPr>
                    <w:t>3</w:t>
                  </w:r>
                  <w:r>
                    <w:rPr>
                      <w:b/>
                      <w:bCs/>
                      <w:color w:val="auto"/>
                    </w:rPr>
                    <w:t>/h）</w:t>
                  </w:r>
                </w:p>
              </w:tc>
              <w:tc>
                <w:tcPr>
                  <w:tcW w:w="2306" w:type="pct"/>
                  <w:vAlign w:val="center"/>
                </w:tcPr>
                <w:p>
                  <w:pPr>
                    <w:pStyle w:val="39"/>
                    <w:jc w:val="center"/>
                    <w:rPr>
                      <w:color w:val="auto"/>
                    </w:rPr>
                  </w:pPr>
                  <w:r>
                    <w:rPr>
                      <w:rFonts w:hint="eastAsia"/>
                      <w:color w:val="auto"/>
                    </w:rPr>
                    <w:t>1012.5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693" w:type="pct"/>
                  <w:gridSpan w:val="3"/>
                  <w:vAlign w:val="center"/>
                </w:tcPr>
                <w:p>
                  <w:pPr>
                    <w:pStyle w:val="39"/>
                    <w:jc w:val="center"/>
                    <w:rPr>
                      <w:b/>
                      <w:bCs/>
                      <w:color w:val="auto"/>
                    </w:rPr>
                  </w:pPr>
                  <w:r>
                    <w:rPr>
                      <w:b/>
                      <w:bCs/>
                      <w:color w:val="auto"/>
                    </w:rPr>
                    <w:t>除尘效率（%）</w:t>
                  </w:r>
                </w:p>
              </w:tc>
              <w:tc>
                <w:tcPr>
                  <w:tcW w:w="2306" w:type="pct"/>
                  <w:vAlign w:val="center"/>
                </w:tcPr>
                <w:p>
                  <w:pPr>
                    <w:pStyle w:val="39"/>
                    <w:jc w:val="center"/>
                    <w:rPr>
                      <w:color w:val="auto"/>
                    </w:rPr>
                  </w:pPr>
                  <w:r>
                    <w:rPr>
                      <w:color w:val="auto"/>
                    </w:rPr>
                    <w:t>99.7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252" w:type="pct"/>
                  <w:vMerge w:val="restart"/>
                  <w:vAlign w:val="center"/>
                </w:tcPr>
                <w:p>
                  <w:pPr>
                    <w:pStyle w:val="39"/>
                    <w:jc w:val="center"/>
                    <w:rPr>
                      <w:b/>
                      <w:bCs/>
                      <w:color w:val="auto"/>
                    </w:rPr>
                  </w:pPr>
                  <w:r>
                    <w:rPr>
                      <w:rFonts w:hint="eastAsia"/>
                      <w:b/>
                      <w:bCs/>
                      <w:color w:val="auto"/>
                    </w:rPr>
                    <w:t>一级除尘</w:t>
                  </w:r>
                  <w:r>
                    <w:rPr>
                      <w:b/>
                      <w:bCs/>
                      <w:color w:val="auto"/>
                    </w:rPr>
                    <w:t>粉尘排放情况</w:t>
                  </w:r>
                </w:p>
              </w:tc>
              <w:tc>
                <w:tcPr>
                  <w:tcW w:w="1441" w:type="pct"/>
                  <w:gridSpan w:val="2"/>
                  <w:vAlign w:val="center"/>
                </w:tcPr>
                <w:p>
                  <w:pPr>
                    <w:pStyle w:val="39"/>
                    <w:jc w:val="center"/>
                    <w:rPr>
                      <w:b/>
                      <w:bCs/>
                      <w:color w:val="auto"/>
                    </w:rPr>
                  </w:pPr>
                  <w:r>
                    <w:rPr>
                      <w:b/>
                      <w:bCs/>
                      <w:color w:val="auto"/>
                    </w:rPr>
                    <w:t>排放量（t/a）</w:t>
                  </w:r>
                </w:p>
              </w:tc>
              <w:tc>
                <w:tcPr>
                  <w:tcW w:w="2306" w:type="pct"/>
                  <w:vAlign w:val="center"/>
                </w:tcPr>
                <w:p>
                  <w:pPr>
                    <w:pStyle w:val="39"/>
                    <w:jc w:val="center"/>
                    <w:rPr>
                      <w:color w:val="auto"/>
                    </w:rPr>
                  </w:pPr>
                  <w:r>
                    <w:rPr>
                      <w:rFonts w:hint="eastAsia"/>
                      <w:color w:val="auto"/>
                    </w:rPr>
                    <w:t>0.019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1252" w:type="pct"/>
                  <w:vMerge w:val="continue"/>
                  <w:vAlign w:val="center"/>
                </w:tcPr>
                <w:p>
                  <w:pPr>
                    <w:pStyle w:val="39"/>
                    <w:jc w:val="center"/>
                    <w:rPr>
                      <w:b/>
                      <w:bCs/>
                      <w:color w:val="auto"/>
                    </w:rPr>
                  </w:pPr>
                </w:p>
              </w:tc>
              <w:tc>
                <w:tcPr>
                  <w:tcW w:w="1441" w:type="pct"/>
                  <w:gridSpan w:val="2"/>
                  <w:vAlign w:val="center"/>
                </w:tcPr>
                <w:p>
                  <w:pPr>
                    <w:pStyle w:val="39"/>
                    <w:jc w:val="center"/>
                    <w:rPr>
                      <w:b/>
                      <w:bCs/>
                      <w:color w:val="auto"/>
                    </w:rPr>
                  </w:pPr>
                  <w:r>
                    <w:rPr>
                      <w:b/>
                      <w:bCs/>
                      <w:color w:val="auto"/>
                    </w:rPr>
                    <w:t>排放速率（kg/h）</w:t>
                  </w:r>
                </w:p>
              </w:tc>
              <w:tc>
                <w:tcPr>
                  <w:tcW w:w="2306" w:type="pct"/>
                  <w:vAlign w:val="center"/>
                </w:tcPr>
                <w:p>
                  <w:pPr>
                    <w:pStyle w:val="39"/>
                    <w:jc w:val="center"/>
                    <w:rPr>
                      <w:color w:val="auto"/>
                    </w:rPr>
                  </w:pPr>
                  <w:r>
                    <w:rPr>
                      <w:rFonts w:hint="eastAsia"/>
                      <w:color w:val="auto"/>
                    </w:rPr>
                    <w:t>0.016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1252" w:type="pct"/>
                  <w:vMerge w:val="continue"/>
                  <w:vAlign w:val="center"/>
                </w:tcPr>
                <w:p>
                  <w:pPr>
                    <w:pStyle w:val="39"/>
                    <w:jc w:val="center"/>
                    <w:rPr>
                      <w:b/>
                      <w:bCs/>
                      <w:color w:val="auto"/>
                    </w:rPr>
                  </w:pPr>
                </w:p>
              </w:tc>
              <w:tc>
                <w:tcPr>
                  <w:tcW w:w="1441" w:type="pct"/>
                  <w:gridSpan w:val="2"/>
                  <w:vAlign w:val="center"/>
                </w:tcPr>
                <w:p>
                  <w:pPr>
                    <w:pStyle w:val="39"/>
                    <w:jc w:val="center"/>
                    <w:rPr>
                      <w:b/>
                      <w:bCs/>
                      <w:color w:val="auto"/>
                    </w:rPr>
                  </w:pPr>
                  <w:r>
                    <w:rPr>
                      <w:b/>
                      <w:bCs/>
                      <w:color w:val="auto"/>
                    </w:rPr>
                    <w:t>排放浓度（mg/m</w:t>
                  </w:r>
                  <w:r>
                    <w:rPr>
                      <w:b/>
                      <w:bCs/>
                      <w:color w:val="auto"/>
                      <w:vertAlign w:val="superscript"/>
                    </w:rPr>
                    <w:t>3</w:t>
                  </w:r>
                  <w:r>
                    <w:rPr>
                      <w:b/>
                      <w:bCs/>
                      <w:color w:val="auto"/>
                    </w:rPr>
                    <w:t>）</w:t>
                  </w:r>
                </w:p>
              </w:tc>
              <w:tc>
                <w:tcPr>
                  <w:tcW w:w="2306" w:type="pct"/>
                  <w:vAlign w:val="center"/>
                </w:tcPr>
                <w:p>
                  <w:pPr>
                    <w:pStyle w:val="39"/>
                    <w:jc w:val="center"/>
                    <w:rPr>
                      <w:color w:val="auto"/>
                    </w:rPr>
                  </w:pPr>
                  <w:r>
                    <w:rPr>
                      <w:rFonts w:hint="eastAsia"/>
                      <w:color w:val="auto"/>
                    </w:rPr>
                    <w:t>15.6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252" w:type="pct"/>
                  <w:vMerge w:val="restart"/>
                  <w:vAlign w:val="center"/>
                </w:tcPr>
                <w:p>
                  <w:pPr>
                    <w:pStyle w:val="39"/>
                    <w:jc w:val="center"/>
                    <w:rPr>
                      <w:b/>
                      <w:bCs/>
                      <w:color w:val="auto"/>
                    </w:rPr>
                  </w:pPr>
                  <w:r>
                    <w:rPr>
                      <w:rFonts w:hint="eastAsia"/>
                      <w:b/>
                      <w:bCs/>
                      <w:color w:val="auto"/>
                    </w:rPr>
                    <w:t>二级除尘</w:t>
                  </w:r>
                  <w:r>
                    <w:rPr>
                      <w:b/>
                      <w:bCs/>
                      <w:color w:val="auto"/>
                    </w:rPr>
                    <w:t>粉尘排放情况</w:t>
                  </w:r>
                </w:p>
              </w:tc>
              <w:tc>
                <w:tcPr>
                  <w:tcW w:w="1441" w:type="pct"/>
                  <w:gridSpan w:val="2"/>
                  <w:vAlign w:val="center"/>
                </w:tcPr>
                <w:p>
                  <w:pPr>
                    <w:pStyle w:val="39"/>
                    <w:jc w:val="center"/>
                    <w:rPr>
                      <w:b/>
                      <w:bCs/>
                      <w:color w:val="auto"/>
                    </w:rPr>
                  </w:pPr>
                  <w:r>
                    <w:rPr>
                      <w:b/>
                      <w:bCs/>
                      <w:color w:val="auto"/>
                    </w:rPr>
                    <w:t>排放量（t/a）</w:t>
                  </w:r>
                </w:p>
              </w:tc>
              <w:tc>
                <w:tcPr>
                  <w:tcW w:w="2306" w:type="pct"/>
                  <w:vAlign w:val="center"/>
                </w:tcPr>
                <w:p>
                  <w:pPr>
                    <w:pStyle w:val="39"/>
                    <w:jc w:val="center"/>
                    <w:rPr>
                      <w:color w:val="auto"/>
                    </w:rPr>
                  </w:pPr>
                  <w:r>
                    <w:rPr>
                      <w:rFonts w:hint="eastAsia"/>
                      <w:color w:val="auto"/>
                    </w:rPr>
                    <w:t>0.00006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252" w:type="pct"/>
                  <w:vMerge w:val="continue"/>
                  <w:vAlign w:val="center"/>
                </w:tcPr>
                <w:p>
                  <w:pPr>
                    <w:pStyle w:val="39"/>
                    <w:jc w:val="center"/>
                    <w:rPr>
                      <w:b/>
                      <w:bCs/>
                      <w:color w:val="auto"/>
                    </w:rPr>
                  </w:pPr>
                </w:p>
              </w:tc>
              <w:tc>
                <w:tcPr>
                  <w:tcW w:w="1441" w:type="pct"/>
                  <w:gridSpan w:val="2"/>
                  <w:vAlign w:val="center"/>
                </w:tcPr>
                <w:p>
                  <w:pPr>
                    <w:pStyle w:val="39"/>
                    <w:jc w:val="center"/>
                    <w:rPr>
                      <w:b/>
                      <w:bCs/>
                      <w:color w:val="auto"/>
                    </w:rPr>
                  </w:pPr>
                  <w:r>
                    <w:rPr>
                      <w:b/>
                      <w:bCs/>
                      <w:color w:val="auto"/>
                    </w:rPr>
                    <w:t>排放速率（kg/h）</w:t>
                  </w:r>
                </w:p>
              </w:tc>
              <w:tc>
                <w:tcPr>
                  <w:tcW w:w="2306" w:type="pct"/>
                  <w:vAlign w:val="center"/>
                </w:tcPr>
                <w:p>
                  <w:pPr>
                    <w:pStyle w:val="39"/>
                    <w:jc w:val="center"/>
                    <w:rPr>
                      <w:color w:val="auto"/>
                    </w:rPr>
                  </w:pPr>
                  <w:r>
                    <w:rPr>
                      <w:rFonts w:hint="eastAsia"/>
                      <w:color w:val="auto"/>
                    </w:rPr>
                    <w:t>0.000047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252" w:type="pct"/>
                  <w:vMerge w:val="continue"/>
                  <w:vAlign w:val="center"/>
                </w:tcPr>
                <w:p>
                  <w:pPr>
                    <w:pStyle w:val="39"/>
                    <w:jc w:val="center"/>
                    <w:rPr>
                      <w:b/>
                      <w:bCs/>
                      <w:color w:val="auto"/>
                    </w:rPr>
                  </w:pPr>
                </w:p>
              </w:tc>
              <w:tc>
                <w:tcPr>
                  <w:tcW w:w="1441" w:type="pct"/>
                  <w:gridSpan w:val="2"/>
                  <w:vAlign w:val="center"/>
                </w:tcPr>
                <w:p>
                  <w:pPr>
                    <w:pStyle w:val="39"/>
                    <w:jc w:val="center"/>
                    <w:rPr>
                      <w:b/>
                      <w:bCs/>
                      <w:color w:val="auto"/>
                    </w:rPr>
                  </w:pPr>
                  <w:r>
                    <w:rPr>
                      <w:b/>
                      <w:bCs/>
                      <w:color w:val="auto"/>
                    </w:rPr>
                    <w:t>排放浓度（mg/m</w:t>
                  </w:r>
                  <w:r>
                    <w:rPr>
                      <w:b/>
                      <w:bCs/>
                      <w:color w:val="auto"/>
                      <w:vertAlign w:val="superscript"/>
                    </w:rPr>
                    <w:t>3</w:t>
                  </w:r>
                  <w:r>
                    <w:rPr>
                      <w:b/>
                      <w:bCs/>
                      <w:color w:val="auto"/>
                    </w:rPr>
                    <w:t>）</w:t>
                  </w:r>
                </w:p>
              </w:tc>
              <w:tc>
                <w:tcPr>
                  <w:tcW w:w="2306" w:type="pct"/>
                  <w:vAlign w:val="center"/>
                </w:tcPr>
                <w:p>
                  <w:pPr>
                    <w:pStyle w:val="39"/>
                    <w:jc w:val="center"/>
                    <w:rPr>
                      <w:color w:val="auto"/>
                    </w:rPr>
                  </w:pPr>
                  <w:r>
                    <w:rPr>
                      <w:rFonts w:hint="eastAsia"/>
                      <w:color w:val="auto"/>
                    </w:rPr>
                    <w:t>0.047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693" w:type="pct"/>
                  <w:gridSpan w:val="3"/>
                  <w:vAlign w:val="center"/>
                </w:tcPr>
                <w:p>
                  <w:pPr>
                    <w:pStyle w:val="39"/>
                    <w:jc w:val="center"/>
                    <w:rPr>
                      <w:b/>
                      <w:bCs/>
                      <w:color w:val="auto"/>
                    </w:rPr>
                  </w:pPr>
                  <w:r>
                    <w:rPr>
                      <w:b/>
                      <w:bCs/>
                      <w:color w:val="auto"/>
                    </w:rPr>
                    <w:t>排放高度（m）</w:t>
                  </w:r>
                </w:p>
              </w:tc>
              <w:tc>
                <w:tcPr>
                  <w:tcW w:w="2306" w:type="pct"/>
                  <w:vAlign w:val="center"/>
                </w:tcPr>
                <w:p>
                  <w:pPr>
                    <w:pStyle w:val="39"/>
                    <w:jc w:val="center"/>
                    <w:rPr>
                      <w:color w:val="auto"/>
                    </w:rPr>
                  </w:pPr>
                  <w:r>
                    <w:rPr>
                      <w:rFonts w:hint="eastAsia"/>
                      <w:color w:val="auto"/>
                    </w:rPr>
                    <w:t>15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693" w:type="pct"/>
                  <w:gridSpan w:val="3"/>
                  <w:vAlign w:val="center"/>
                </w:tcPr>
                <w:p>
                  <w:pPr>
                    <w:pStyle w:val="39"/>
                    <w:jc w:val="center"/>
                    <w:rPr>
                      <w:b/>
                      <w:bCs/>
                      <w:color w:val="auto"/>
                    </w:rPr>
                  </w:pPr>
                  <w:r>
                    <w:rPr>
                      <w:b/>
                      <w:bCs/>
                      <w:color w:val="auto"/>
                    </w:rPr>
                    <w:t>排放形式</w:t>
                  </w:r>
                </w:p>
              </w:tc>
              <w:tc>
                <w:tcPr>
                  <w:tcW w:w="2306" w:type="pct"/>
                  <w:vAlign w:val="center"/>
                </w:tcPr>
                <w:p>
                  <w:pPr>
                    <w:pStyle w:val="39"/>
                    <w:jc w:val="center"/>
                    <w:rPr>
                      <w:color w:val="auto"/>
                    </w:rPr>
                  </w:pPr>
                  <w:r>
                    <w:rPr>
                      <w:rFonts w:hint="eastAsia"/>
                      <w:color w:val="auto"/>
                    </w:rPr>
                    <w:t>有组织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345" w:type="pct"/>
                  <w:gridSpan w:val="2"/>
                  <w:vAlign w:val="center"/>
                </w:tcPr>
                <w:p>
                  <w:pPr>
                    <w:pStyle w:val="39"/>
                    <w:jc w:val="center"/>
                    <w:rPr>
                      <w:b/>
                      <w:bCs/>
                      <w:color w:val="auto"/>
                    </w:rPr>
                  </w:pPr>
                  <w:r>
                    <w:rPr>
                      <w:b/>
                      <w:bCs/>
                      <w:color w:val="auto"/>
                    </w:rPr>
                    <w:t>排放标准</w:t>
                  </w:r>
                </w:p>
              </w:tc>
              <w:tc>
                <w:tcPr>
                  <w:tcW w:w="1348" w:type="pct"/>
                  <w:vAlign w:val="center"/>
                </w:tcPr>
                <w:p>
                  <w:pPr>
                    <w:pStyle w:val="39"/>
                    <w:jc w:val="center"/>
                    <w:rPr>
                      <w:b/>
                      <w:bCs/>
                      <w:color w:val="auto"/>
                    </w:rPr>
                  </w:pPr>
                  <w:r>
                    <w:rPr>
                      <w:b/>
                      <w:bCs/>
                      <w:color w:val="auto"/>
                    </w:rPr>
                    <w:t>排放浓度（mg/m</w:t>
                  </w:r>
                  <w:r>
                    <w:rPr>
                      <w:b/>
                      <w:bCs/>
                      <w:color w:val="auto"/>
                      <w:vertAlign w:val="superscript"/>
                    </w:rPr>
                    <w:t>3</w:t>
                  </w:r>
                  <w:r>
                    <w:rPr>
                      <w:b/>
                      <w:bCs/>
                      <w:color w:val="auto"/>
                    </w:rPr>
                    <w:t>）</w:t>
                  </w:r>
                </w:p>
              </w:tc>
              <w:tc>
                <w:tcPr>
                  <w:tcW w:w="2306" w:type="pct"/>
                  <w:vAlign w:val="center"/>
                </w:tcPr>
                <w:p>
                  <w:pPr>
                    <w:pStyle w:val="39"/>
                    <w:jc w:val="center"/>
                    <w:rPr>
                      <w:color w:val="auto"/>
                    </w:rPr>
                  </w:pPr>
                  <w:r>
                    <w:rPr>
                      <w:color w:val="auto"/>
                    </w:rPr>
                    <w:t>20</w:t>
                  </w:r>
                </w:p>
              </w:tc>
            </w:tr>
          </w:tbl>
          <w:p>
            <w:pPr>
              <w:ind w:firstLine="480"/>
              <w:rPr>
                <w:color w:val="auto"/>
              </w:rPr>
            </w:pPr>
            <w:r>
              <w:rPr>
                <w:color w:val="auto"/>
              </w:rPr>
              <w:t>搅拌仓内搅拌机产生的粉尘经</w:t>
            </w:r>
            <w:r>
              <w:rPr>
                <w:rFonts w:hint="eastAsia"/>
                <w:color w:val="auto"/>
              </w:rPr>
              <w:t>2台</w:t>
            </w:r>
            <w:r>
              <w:rPr>
                <w:color w:val="auto"/>
              </w:rPr>
              <w:t>袋式除尘系统</w:t>
            </w:r>
            <w:r>
              <w:rPr>
                <w:rFonts w:hint="eastAsia"/>
                <w:color w:val="auto"/>
              </w:rPr>
              <w:t>二级除尘</w:t>
            </w:r>
            <w:r>
              <w:rPr>
                <w:color w:val="auto"/>
              </w:rPr>
              <w:t>处理后经搅拌机仓顶排放，排放高度</w:t>
            </w:r>
            <w:r>
              <w:rPr>
                <w:rFonts w:hint="eastAsia"/>
                <w:color w:val="auto"/>
                <w:lang w:eastAsia="zh-CN"/>
              </w:rPr>
              <w:t>为</w:t>
            </w:r>
            <w:r>
              <w:rPr>
                <w:rFonts w:hint="eastAsia"/>
                <w:color w:val="auto"/>
                <w:lang w:val="en-US" w:eastAsia="zh-CN"/>
              </w:rPr>
              <w:t>15</w:t>
            </w:r>
            <w:r>
              <w:rPr>
                <w:color w:val="auto"/>
              </w:rPr>
              <w:t>m，排放浓度为</w:t>
            </w:r>
            <w:r>
              <w:rPr>
                <w:rFonts w:hint="eastAsia"/>
                <w:color w:val="auto"/>
              </w:rPr>
              <w:t>0.047</w:t>
            </w:r>
            <w:r>
              <w:rPr>
                <w:color w:val="auto"/>
              </w:rPr>
              <w:t>mg/m</w:t>
            </w:r>
            <w:r>
              <w:rPr>
                <w:color w:val="auto"/>
                <w:vertAlign w:val="superscript"/>
              </w:rPr>
              <w:t>3</w:t>
            </w:r>
            <w:r>
              <w:rPr>
                <w:color w:val="auto"/>
              </w:rPr>
              <w:t>，满足《水泥工业大气污染物排放标准》（GB4915-2013）中排放标准。</w:t>
            </w:r>
          </w:p>
          <w:p>
            <w:pPr>
              <w:ind w:firstLine="482"/>
              <w:rPr>
                <w:b/>
                <w:bCs/>
                <w:color w:val="auto"/>
              </w:rPr>
            </w:pPr>
            <w:r>
              <w:rPr>
                <w:rFonts w:hint="eastAsia"/>
                <w:b/>
                <w:bCs/>
                <w:color w:val="auto"/>
              </w:rPr>
              <w:t>4</w:t>
            </w:r>
            <w:r>
              <w:rPr>
                <w:rFonts w:hint="eastAsia"/>
                <w:b/>
                <w:bCs/>
                <w:color w:val="auto"/>
                <w:lang w:val="en-US" w:eastAsia="zh-CN"/>
              </w:rPr>
              <w:t>.</w:t>
            </w:r>
            <w:r>
              <w:rPr>
                <w:rFonts w:hint="eastAsia"/>
                <w:b/>
                <w:bCs/>
                <w:color w:val="auto"/>
              </w:rPr>
              <w:t>大气污染物产排及治理情况汇总</w:t>
            </w:r>
          </w:p>
          <w:p>
            <w:pPr>
              <w:ind w:firstLine="480"/>
              <w:rPr>
                <w:color w:val="auto"/>
              </w:rPr>
            </w:pPr>
            <w:r>
              <w:rPr>
                <w:rFonts w:hint="eastAsia"/>
                <w:color w:val="auto"/>
              </w:rPr>
              <w:t>本项目大气污染源产排</w:t>
            </w:r>
            <w:r>
              <w:rPr>
                <w:rFonts w:hint="eastAsia"/>
                <w:color w:val="auto"/>
                <w:lang w:eastAsia="zh-CN"/>
              </w:rPr>
              <w:t>及</w:t>
            </w:r>
            <w:r>
              <w:rPr>
                <w:rFonts w:hint="eastAsia"/>
                <w:color w:val="auto"/>
              </w:rPr>
              <w:t>治理情况汇总见下表。</w:t>
            </w:r>
          </w:p>
          <w:p>
            <w:pPr>
              <w:pStyle w:val="25"/>
              <w:rPr>
                <w:color w:val="auto"/>
              </w:rPr>
            </w:pPr>
            <w:r>
              <w:rPr>
                <w:rFonts w:hint="eastAsia"/>
                <w:color w:val="auto"/>
              </w:rPr>
              <w:t>表4-6  大气污染物产生、排放、治理情况汇总表</w:t>
            </w:r>
          </w:p>
          <w:tbl>
            <w:tblPr>
              <w:tblStyle w:val="17"/>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278"/>
              <w:gridCol w:w="379"/>
              <w:gridCol w:w="603"/>
              <w:gridCol w:w="644"/>
              <w:gridCol w:w="705"/>
              <w:gridCol w:w="638"/>
              <w:gridCol w:w="1589"/>
              <w:gridCol w:w="656"/>
              <w:gridCol w:w="697"/>
              <w:gridCol w:w="162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9" w:type="pct"/>
                  <w:gridSpan w:val="2"/>
                  <w:vMerge w:val="restart"/>
                  <w:tcMar>
                    <w:left w:w="28" w:type="dxa"/>
                    <w:right w:w="28" w:type="dxa"/>
                  </w:tcMar>
                  <w:vAlign w:val="center"/>
                </w:tcPr>
                <w:p>
                  <w:pPr>
                    <w:pStyle w:val="39"/>
                    <w:jc w:val="center"/>
                    <w:rPr>
                      <w:b/>
                      <w:bCs/>
                      <w:color w:val="auto"/>
                    </w:rPr>
                  </w:pPr>
                  <w:r>
                    <w:rPr>
                      <w:b/>
                      <w:bCs/>
                      <w:color w:val="auto"/>
                    </w:rPr>
                    <w:t>污染源</w:t>
                  </w:r>
                </w:p>
              </w:tc>
              <w:tc>
                <w:tcPr>
                  <w:tcW w:w="385" w:type="pct"/>
                  <w:vMerge w:val="restart"/>
                  <w:tcMar>
                    <w:left w:w="28" w:type="dxa"/>
                    <w:right w:w="28" w:type="dxa"/>
                  </w:tcMar>
                  <w:vAlign w:val="center"/>
                </w:tcPr>
                <w:p>
                  <w:pPr>
                    <w:pStyle w:val="39"/>
                    <w:jc w:val="center"/>
                    <w:rPr>
                      <w:b/>
                      <w:bCs/>
                      <w:color w:val="auto"/>
                    </w:rPr>
                  </w:pPr>
                  <w:r>
                    <w:rPr>
                      <w:b/>
                      <w:bCs/>
                      <w:color w:val="auto"/>
                    </w:rPr>
                    <w:t>排放方式</w:t>
                  </w:r>
                </w:p>
              </w:tc>
              <w:tc>
                <w:tcPr>
                  <w:tcW w:w="412" w:type="pct"/>
                  <w:vMerge w:val="restart"/>
                  <w:tcMar>
                    <w:left w:w="28" w:type="dxa"/>
                    <w:right w:w="28" w:type="dxa"/>
                  </w:tcMar>
                  <w:vAlign w:val="center"/>
                </w:tcPr>
                <w:p>
                  <w:pPr>
                    <w:pStyle w:val="39"/>
                    <w:jc w:val="center"/>
                    <w:rPr>
                      <w:b/>
                      <w:bCs/>
                      <w:color w:val="auto"/>
                    </w:rPr>
                  </w:pPr>
                  <w:r>
                    <w:rPr>
                      <w:b/>
                      <w:bCs/>
                      <w:color w:val="auto"/>
                    </w:rPr>
                    <w:t>污染因子</w:t>
                  </w:r>
                </w:p>
              </w:tc>
              <w:tc>
                <w:tcPr>
                  <w:tcW w:w="859" w:type="pct"/>
                  <w:gridSpan w:val="2"/>
                  <w:tcMar>
                    <w:left w:w="28" w:type="dxa"/>
                    <w:right w:w="28" w:type="dxa"/>
                  </w:tcMar>
                  <w:vAlign w:val="center"/>
                </w:tcPr>
                <w:p>
                  <w:pPr>
                    <w:pStyle w:val="39"/>
                    <w:jc w:val="center"/>
                    <w:rPr>
                      <w:b/>
                      <w:bCs/>
                      <w:color w:val="auto"/>
                    </w:rPr>
                  </w:pPr>
                  <w:r>
                    <w:rPr>
                      <w:b/>
                      <w:bCs/>
                      <w:color w:val="auto"/>
                    </w:rPr>
                    <w:t>污染物产生情况</w:t>
                  </w:r>
                </w:p>
              </w:tc>
              <w:tc>
                <w:tcPr>
                  <w:tcW w:w="1015" w:type="pct"/>
                  <w:vMerge w:val="restart"/>
                  <w:tcMar>
                    <w:left w:w="28" w:type="dxa"/>
                    <w:right w:w="28" w:type="dxa"/>
                  </w:tcMar>
                  <w:vAlign w:val="center"/>
                </w:tcPr>
                <w:p>
                  <w:pPr>
                    <w:pStyle w:val="39"/>
                    <w:jc w:val="center"/>
                    <w:rPr>
                      <w:b/>
                      <w:bCs/>
                      <w:color w:val="auto"/>
                    </w:rPr>
                  </w:pPr>
                  <w:r>
                    <w:rPr>
                      <w:b/>
                      <w:bCs/>
                      <w:color w:val="auto"/>
                    </w:rPr>
                    <w:t>治理措施</w:t>
                  </w:r>
                </w:p>
              </w:tc>
              <w:tc>
                <w:tcPr>
                  <w:tcW w:w="866" w:type="pct"/>
                  <w:gridSpan w:val="2"/>
                  <w:tcMar>
                    <w:left w:w="28" w:type="dxa"/>
                    <w:right w:w="28" w:type="dxa"/>
                  </w:tcMar>
                  <w:vAlign w:val="center"/>
                </w:tcPr>
                <w:p>
                  <w:pPr>
                    <w:pStyle w:val="39"/>
                    <w:jc w:val="center"/>
                    <w:rPr>
                      <w:b/>
                      <w:bCs/>
                      <w:color w:val="auto"/>
                    </w:rPr>
                  </w:pPr>
                  <w:r>
                    <w:rPr>
                      <w:b/>
                      <w:bCs/>
                      <w:color w:val="auto"/>
                    </w:rPr>
                    <w:t>污染物排放情况</w:t>
                  </w:r>
                </w:p>
              </w:tc>
              <w:tc>
                <w:tcPr>
                  <w:tcW w:w="1040" w:type="pct"/>
                  <w:vMerge w:val="restart"/>
                  <w:tcMar>
                    <w:left w:w="28" w:type="dxa"/>
                    <w:right w:w="28" w:type="dxa"/>
                  </w:tcMar>
                  <w:vAlign w:val="center"/>
                </w:tcPr>
                <w:p>
                  <w:pPr>
                    <w:pStyle w:val="39"/>
                    <w:jc w:val="center"/>
                    <w:rPr>
                      <w:b/>
                      <w:bCs/>
                      <w:color w:val="auto"/>
                    </w:rPr>
                  </w:pPr>
                  <w:r>
                    <w:rPr>
                      <w:b/>
                      <w:bCs/>
                      <w:color w:val="auto"/>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9" w:type="pct"/>
                  <w:gridSpan w:val="2"/>
                  <w:vMerge w:val="continue"/>
                  <w:tcMar>
                    <w:left w:w="28" w:type="dxa"/>
                    <w:right w:w="28" w:type="dxa"/>
                  </w:tcMar>
                  <w:vAlign w:val="center"/>
                </w:tcPr>
                <w:p>
                  <w:pPr>
                    <w:pStyle w:val="39"/>
                    <w:jc w:val="center"/>
                    <w:rPr>
                      <w:color w:val="auto"/>
                    </w:rPr>
                  </w:pPr>
                </w:p>
              </w:tc>
              <w:tc>
                <w:tcPr>
                  <w:tcW w:w="385" w:type="pct"/>
                  <w:vMerge w:val="continue"/>
                  <w:tcMar>
                    <w:left w:w="28" w:type="dxa"/>
                    <w:right w:w="28" w:type="dxa"/>
                  </w:tcMar>
                  <w:vAlign w:val="center"/>
                </w:tcPr>
                <w:p>
                  <w:pPr>
                    <w:pStyle w:val="39"/>
                    <w:jc w:val="center"/>
                    <w:rPr>
                      <w:color w:val="auto"/>
                    </w:rPr>
                  </w:pPr>
                </w:p>
              </w:tc>
              <w:tc>
                <w:tcPr>
                  <w:tcW w:w="412" w:type="pct"/>
                  <w:vMerge w:val="continue"/>
                  <w:tcMar>
                    <w:left w:w="28" w:type="dxa"/>
                    <w:right w:w="28" w:type="dxa"/>
                  </w:tcMar>
                  <w:vAlign w:val="center"/>
                </w:tcPr>
                <w:p>
                  <w:pPr>
                    <w:pStyle w:val="39"/>
                    <w:jc w:val="center"/>
                    <w:rPr>
                      <w:color w:val="auto"/>
                    </w:rPr>
                  </w:pPr>
                </w:p>
              </w:tc>
              <w:tc>
                <w:tcPr>
                  <w:tcW w:w="451" w:type="pct"/>
                  <w:tcMar>
                    <w:left w:w="28" w:type="dxa"/>
                    <w:right w:w="28" w:type="dxa"/>
                  </w:tcMar>
                  <w:vAlign w:val="center"/>
                </w:tcPr>
                <w:p>
                  <w:pPr>
                    <w:pStyle w:val="39"/>
                    <w:jc w:val="center"/>
                    <w:rPr>
                      <w:b/>
                      <w:bCs/>
                      <w:color w:val="auto"/>
                    </w:rPr>
                  </w:pPr>
                  <w:r>
                    <w:rPr>
                      <w:b/>
                      <w:bCs/>
                      <w:color w:val="auto"/>
                    </w:rPr>
                    <w:t>mg/m</w:t>
                  </w:r>
                  <w:r>
                    <w:rPr>
                      <w:b/>
                      <w:bCs/>
                      <w:color w:val="auto"/>
                      <w:vertAlign w:val="superscript"/>
                    </w:rPr>
                    <w:t>3</w:t>
                  </w:r>
                </w:p>
              </w:tc>
              <w:tc>
                <w:tcPr>
                  <w:tcW w:w="408" w:type="pct"/>
                  <w:tcMar>
                    <w:left w:w="28" w:type="dxa"/>
                    <w:right w:w="28" w:type="dxa"/>
                  </w:tcMar>
                  <w:vAlign w:val="center"/>
                </w:tcPr>
                <w:p>
                  <w:pPr>
                    <w:pStyle w:val="39"/>
                    <w:jc w:val="center"/>
                    <w:rPr>
                      <w:b/>
                      <w:bCs/>
                      <w:color w:val="auto"/>
                    </w:rPr>
                  </w:pPr>
                  <w:r>
                    <w:rPr>
                      <w:b/>
                      <w:bCs/>
                      <w:color w:val="auto"/>
                    </w:rPr>
                    <w:t>t/a</w:t>
                  </w:r>
                </w:p>
              </w:tc>
              <w:tc>
                <w:tcPr>
                  <w:tcW w:w="1015" w:type="pct"/>
                  <w:vMerge w:val="continue"/>
                  <w:tcMar>
                    <w:left w:w="28" w:type="dxa"/>
                    <w:right w:w="28" w:type="dxa"/>
                  </w:tcMar>
                  <w:vAlign w:val="center"/>
                </w:tcPr>
                <w:p>
                  <w:pPr>
                    <w:pStyle w:val="39"/>
                    <w:jc w:val="center"/>
                    <w:rPr>
                      <w:b/>
                      <w:bCs/>
                      <w:color w:val="auto"/>
                    </w:rPr>
                  </w:pPr>
                </w:p>
              </w:tc>
              <w:tc>
                <w:tcPr>
                  <w:tcW w:w="420" w:type="pct"/>
                  <w:tcMar>
                    <w:left w:w="28" w:type="dxa"/>
                    <w:right w:w="28" w:type="dxa"/>
                  </w:tcMar>
                  <w:vAlign w:val="center"/>
                </w:tcPr>
                <w:p>
                  <w:pPr>
                    <w:pStyle w:val="39"/>
                    <w:jc w:val="center"/>
                    <w:rPr>
                      <w:b/>
                      <w:bCs/>
                      <w:color w:val="auto"/>
                    </w:rPr>
                  </w:pPr>
                  <w:r>
                    <w:rPr>
                      <w:b/>
                      <w:bCs/>
                      <w:color w:val="auto"/>
                    </w:rPr>
                    <w:t>mg/m</w:t>
                  </w:r>
                  <w:r>
                    <w:rPr>
                      <w:b/>
                      <w:bCs/>
                      <w:color w:val="auto"/>
                      <w:vertAlign w:val="superscript"/>
                    </w:rPr>
                    <w:t>3</w:t>
                  </w:r>
                </w:p>
              </w:tc>
              <w:tc>
                <w:tcPr>
                  <w:tcW w:w="445" w:type="pct"/>
                  <w:tcMar>
                    <w:left w:w="28" w:type="dxa"/>
                    <w:right w:w="28" w:type="dxa"/>
                  </w:tcMar>
                  <w:vAlign w:val="center"/>
                </w:tcPr>
                <w:p>
                  <w:pPr>
                    <w:pStyle w:val="39"/>
                    <w:jc w:val="center"/>
                    <w:rPr>
                      <w:b/>
                      <w:bCs/>
                      <w:color w:val="auto"/>
                    </w:rPr>
                  </w:pPr>
                  <w:r>
                    <w:rPr>
                      <w:b/>
                      <w:bCs/>
                      <w:color w:val="auto"/>
                    </w:rPr>
                    <w:t>t/a</w:t>
                  </w:r>
                </w:p>
              </w:tc>
              <w:tc>
                <w:tcPr>
                  <w:tcW w:w="1040" w:type="pct"/>
                  <w:vMerge w:val="continue"/>
                  <w:tcMar>
                    <w:left w:w="28" w:type="dxa"/>
                    <w:right w:w="28" w:type="dxa"/>
                  </w:tcMar>
                  <w:vAlign w:val="center"/>
                </w:tcPr>
                <w:p>
                  <w:pPr>
                    <w:pStyle w:val="39"/>
                    <w:jc w:val="center"/>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9" w:type="pct"/>
                  <w:gridSpan w:val="2"/>
                  <w:tcMar>
                    <w:left w:w="28" w:type="dxa"/>
                    <w:right w:w="28" w:type="dxa"/>
                  </w:tcMar>
                  <w:vAlign w:val="center"/>
                </w:tcPr>
                <w:p>
                  <w:pPr>
                    <w:pStyle w:val="39"/>
                    <w:jc w:val="center"/>
                    <w:rPr>
                      <w:color w:val="auto"/>
                    </w:rPr>
                  </w:pPr>
                  <w:r>
                    <w:rPr>
                      <w:rFonts w:hint="eastAsia"/>
                      <w:color w:val="auto"/>
                    </w:rPr>
                    <w:t>运输车辆产生的扬尘</w:t>
                  </w:r>
                </w:p>
              </w:tc>
              <w:tc>
                <w:tcPr>
                  <w:tcW w:w="385" w:type="pct"/>
                  <w:tcMar>
                    <w:left w:w="28" w:type="dxa"/>
                    <w:right w:w="28" w:type="dxa"/>
                  </w:tcMar>
                  <w:vAlign w:val="center"/>
                </w:tcPr>
                <w:p>
                  <w:pPr>
                    <w:pStyle w:val="39"/>
                    <w:jc w:val="center"/>
                    <w:rPr>
                      <w:color w:val="auto"/>
                    </w:rPr>
                  </w:pPr>
                  <w:r>
                    <w:rPr>
                      <w:rFonts w:hint="eastAsia"/>
                      <w:color w:val="auto"/>
                    </w:rPr>
                    <w:t>无组织</w:t>
                  </w:r>
                </w:p>
              </w:tc>
              <w:tc>
                <w:tcPr>
                  <w:tcW w:w="412" w:type="pct"/>
                  <w:tcMar>
                    <w:left w:w="28" w:type="dxa"/>
                    <w:right w:w="28" w:type="dxa"/>
                  </w:tcMar>
                  <w:vAlign w:val="center"/>
                </w:tcPr>
                <w:p>
                  <w:pPr>
                    <w:pStyle w:val="39"/>
                    <w:jc w:val="center"/>
                    <w:rPr>
                      <w:color w:val="auto"/>
                    </w:rPr>
                  </w:pPr>
                  <w:r>
                    <w:rPr>
                      <w:rFonts w:hint="eastAsia"/>
                      <w:color w:val="auto"/>
                    </w:rPr>
                    <w:t>颗粒物</w:t>
                  </w:r>
                </w:p>
              </w:tc>
              <w:tc>
                <w:tcPr>
                  <w:tcW w:w="451" w:type="pct"/>
                  <w:tcMar>
                    <w:left w:w="28" w:type="dxa"/>
                    <w:right w:w="28" w:type="dxa"/>
                  </w:tcMar>
                  <w:vAlign w:val="center"/>
                </w:tcPr>
                <w:p>
                  <w:pPr>
                    <w:pStyle w:val="39"/>
                    <w:jc w:val="center"/>
                    <w:rPr>
                      <w:color w:val="auto"/>
                    </w:rPr>
                  </w:pPr>
                  <w:r>
                    <w:rPr>
                      <w:rFonts w:hint="eastAsia"/>
                      <w:color w:val="auto"/>
                    </w:rPr>
                    <w:t>-</w:t>
                  </w:r>
                </w:p>
              </w:tc>
              <w:tc>
                <w:tcPr>
                  <w:tcW w:w="408" w:type="pct"/>
                  <w:tcMar>
                    <w:left w:w="28" w:type="dxa"/>
                    <w:right w:w="28" w:type="dxa"/>
                  </w:tcMar>
                  <w:vAlign w:val="center"/>
                </w:tcPr>
                <w:p>
                  <w:pPr>
                    <w:pStyle w:val="39"/>
                    <w:jc w:val="center"/>
                    <w:rPr>
                      <w:color w:val="auto"/>
                    </w:rPr>
                  </w:pPr>
                  <w:r>
                    <w:rPr>
                      <w:rFonts w:hint="eastAsia"/>
                      <w:color w:val="auto"/>
                    </w:rPr>
                    <w:t>0.18</w:t>
                  </w:r>
                </w:p>
              </w:tc>
              <w:tc>
                <w:tcPr>
                  <w:tcW w:w="1015" w:type="pct"/>
                  <w:tcMar>
                    <w:left w:w="28" w:type="dxa"/>
                    <w:right w:w="28" w:type="dxa"/>
                  </w:tcMar>
                  <w:vAlign w:val="center"/>
                </w:tcPr>
                <w:p>
                  <w:pPr>
                    <w:pStyle w:val="39"/>
                    <w:jc w:val="center"/>
                    <w:rPr>
                      <w:color w:val="auto"/>
                    </w:rPr>
                  </w:pPr>
                  <w:r>
                    <w:rPr>
                      <w:rFonts w:hint="eastAsia"/>
                      <w:color w:val="auto"/>
                    </w:rPr>
                    <w:t>路面清扫+洒水</w:t>
                  </w:r>
                </w:p>
              </w:tc>
              <w:tc>
                <w:tcPr>
                  <w:tcW w:w="420" w:type="pct"/>
                  <w:tcMar>
                    <w:left w:w="28" w:type="dxa"/>
                    <w:right w:w="28" w:type="dxa"/>
                  </w:tcMar>
                  <w:vAlign w:val="center"/>
                </w:tcPr>
                <w:p>
                  <w:pPr>
                    <w:pStyle w:val="39"/>
                    <w:jc w:val="center"/>
                    <w:rPr>
                      <w:color w:val="auto"/>
                    </w:rPr>
                  </w:pPr>
                  <w:r>
                    <w:rPr>
                      <w:rFonts w:hint="eastAsia"/>
                      <w:color w:val="auto"/>
                    </w:rPr>
                    <w:t>-</w:t>
                  </w:r>
                </w:p>
              </w:tc>
              <w:tc>
                <w:tcPr>
                  <w:tcW w:w="445" w:type="pct"/>
                  <w:tcMar>
                    <w:left w:w="28" w:type="dxa"/>
                    <w:right w:w="28" w:type="dxa"/>
                  </w:tcMar>
                  <w:vAlign w:val="center"/>
                </w:tcPr>
                <w:p>
                  <w:pPr>
                    <w:pStyle w:val="39"/>
                    <w:jc w:val="center"/>
                    <w:rPr>
                      <w:color w:val="auto"/>
                    </w:rPr>
                  </w:pPr>
                  <w:r>
                    <w:rPr>
                      <w:rFonts w:hint="eastAsia"/>
                      <w:color w:val="auto"/>
                    </w:rPr>
                    <w:t>0.18</w:t>
                  </w:r>
                </w:p>
              </w:tc>
              <w:tc>
                <w:tcPr>
                  <w:tcW w:w="1040" w:type="pct"/>
                  <w:vMerge w:val="restart"/>
                  <w:tcMar>
                    <w:left w:w="28" w:type="dxa"/>
                    <w:right w:w="28" w:type="dxa"/>
                  </w:tcMar>
                  <w:vAlign w:val="center"/>
                </w:tcPr>
                <w:p>
                  <w:pPr>
                    <w:pStyle w:val="39"/>
                    <w:jc w:val="center"/>
                    <w:rPr>
                      <w:color w:val="auto"/>
                    </w:rPr>
                  </w:pPr>
                  <w:r>
                    <w:rPr>
                      <w:color w:val="auto"/>
                    </w:rPr>
                    <w:t>《水泥工业大气污染物排放标准》（GB4915-2013）表3标准限值要求，颗粒物0.5mg/m</w:t>
                  </w:r>
                  <w:r>
                    <w:rPr>
                      <w:color w:val="auto"/>
                      <w:vertAlign w:val="superscript"/>
                    </w:rPr>
                    <w:t>3</w:t>
                  </w:r>
                  <w:r>
                    <w:rPr>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9" w:type="pct"/>
                  <w:gridSpan w:val="2"/>
                  <w:tcMar>
                    <w:left w:w="28" w:type="dxa"/>
                    <w:right w:w="28" w:type="dxa"/>
                  </w:tcMar>
                  <w:vAlign w:val="center"/>
                </w:tcPr>
                <w:p>
                  <w:pPr>
                    <w:pStyle w:val="39"/>
                    <w:jc w:val="center"/>
                    <w:rPr>
                      <w:color w:val="auto"/>
                    </w:rPr>
                  </w:pPr>
                  <w:r>
                    <w:rPr>
                      <w:rFonts w:hint="eastAsia"/>
                      <w:color w:val="auto"/>
                    </w:rPr>
                    <w:t>砂石装卸、堆放产生的扬尘</w:t>
                  </w:r>
                </w:p>
              </w:tc>
              <w:tc>
                <w:tcPr>
                  <w:tcW w:w="385" w:type="pct"/>
                  <w:tcMar>
                    <w:left w:w="28" w:type="dxa"/>
                    <w:right w:w="28" w:type="dxa"/>
                  </w:tcMar>
                  <w:vAlign w:val="center"/>
                </w:tcPr>
                <w:p>
                  <w:pPr>
                    <w:pStyle w:val="39"/>
                    <w:jc w:val="center"/>
                    <w:rPr>
                      <w:color w:val="auto"/>
                    </w:rPr>
                  </w:pPr>
                  <w:r>
                    <w:rPr>
                      <w:rFonts w:hint="eastAsia"/>
                      <w:color w:val="auto"/>
                    </w:rPr>
                    <w:t>无组织</w:t>
                  </w:r>
                </w:p>
              </w:tc>
              <w:tc>
                <w:tcPr>
                  <w:tcW w:w="412" w:type="pct"/>
                  <w:tcMar>
                    <w:left w:w="28" w:type="dxa"/>
                    <w:right w:w="28" w:type="dxa"/>
                  </w:tcMar>
                  <w:vAlign w:val="center"/>
                </w:tcPr>
                <w:p>
                  <w:pPr>
                    <w:pStyle w:val="39"/>
                    <w:jc w:val="center"/>
                    <w:rPr>
                      <w:color w:val="auto"/>
                    </w:rPr>
                  </w:pPr>
                  <w:r>
                    <w:rPr>
                      <w:rFonts w:hint="eastAsia"/>
                      <w:color w:val="auto"/>
                    </w:rPr>
                    <w:t>颗粒物</w:t>
                  </w:r>
                </w:p>
              </w:tc>
              <w:tc>
                <w:tcPr>
                  <w:tcW w:w="451" w:type="pct"/>
                  <w:tcMar>
                    <w:left w:w="28" w:type="dxa"/>
                    <w:right w:w="28" w:type="dxa"/>
                  </w:tcMar>
                  <w:vAlign w:val="center"/>
                </w:tcPr>
                <w:p>
                  <w:pPr>
                    <w:pStyle w:val="39"/>
                    <w:jc w:val="center"/>
                    <w:rPr>
                      <w:color w:val="auto"/>
                    </w:rPr>
                  </w:pPr>
                  <w:r>
                    <w:rPr>
                      <w:rFonts w:hint="eastAsia"/>
                      <w:color w:val="auto"/>
                    </w:rPr>
                    <w:t>-</w:t>
                  </w:r>
                </w:p>
              </w:tc>
              <w:tc>
                <w:tcPr>
                  <w:tcW w:w="408" w:type="pct"/>
                  <w:tcMar>
                    <w:left w:w="28" w:type="dxa"/>
                    <w:right w:w="28" w:type="dxa"/>
                  </w:tcMar>
                  <w:vAlign w:val="center"/>
                </w:tcPr>
                <w:p>
                  <w:pPr>
                    <w:pStyle w:val="39"/>
                    <w:jc w:val="center"/>
                    <w:rPr>
                      <w:color w:val="auto"/>
                    </w:rPr>
                  </w:pPr>
                  <w:r>
                    <w:rPr>
                      <w:rFonts w:hint="eastAsia"/>
                      <w:color w:val="auto"/>
                    </w:rPr>
                    <w:t>40.33</w:t>
                  </w:r>
                </w:p>
              </w:tc>
              <w:tc>
                <w:tcPr>
                  <w:tcW w:w="1015" w:type="pct"/>
                  <w:tcMar>
                    <w:left w:w="28" w:type="dxa"/>
                    <w:right w:w="28" w:type="dxa"/>
                  </w:tcMar>
                  <w:vAlign w:val="center"/>
                </w:tcPr>
                <w:p>
                  <w:pPr>
                    <w:pStyle w:val="39"/>
                    <w:jc w:val="center"/>
                    <w:rPr>
                      <w:color w:val="auto"/>
                    </w:rPr>
                  </w:pPr>
                  <w:r>
                    <w:rPr>
                      <w:rFonts w:hint="eastAsia"/>
                      <w:color w:val="auto"/>
                    </w:rPr>
                    <w:t>密闭厂房+洒水抑尘</w:t>
                  </w:r>
                </w:p>
              </w:tc>
              <w:tc>
                <w:tcPr>
                  <w:tcW w:w="420" w:type="pct"/>
                  <w:tcMar>
                    <w:left w:w="28" w:type="dxa"/>
                    <w:right w:w="28" w:type="dxa"/>
                  </w:tcMar>
                  <w:vAlign w:val="center"/>
                </w:tcPr>
                <w:p>
                  <w:pPr>
                    <w:pStyle w:val="39"/>
                    <w:jc w:val="center"/>
                    <w:rPr>
                      <w:color w:val="auto"/>
                    </w:rPr>
                  </w:pPr>
                  <w:r>
                    <w:rPr>
                      <w:rFonts w:hint="eastAsia"/>
                      <w:color w:val="auto"/>
                    </w:rPr>
                    <w:t>-</w:t>
                  </w:r>
                </w:p>
              </w:tc>
              <w:tc>
                <w:tcPr>
                  <w:tcW w:w="445" w:type="pct"/>
                  <w:tcMar>
                    <w:left w:w="28" w:type="dxa"/>
                    <w:right w:w="28" w:type="dxa"/>
                  </w:tcMar>
                  <w:vAlign w:val="center"/>
                </w:tcPr>
                <w:p>
                  <w:pPr>
                    <w:pStyle w:val="39"/>
                    <w:jc w:val="center"/>
                    <w:rPr>
                      <w:color w:val="auto"/>
                    </w:rPr>
                  </w:pPr>
                  <w:r>
                    <w:rPr>
                      <w:rFonts w:hint="eastAsia"/>
                      <w:color w:val="auto"/>
                    </w:rPr>
                    <w:t>1.05</w:t>
                  </w:r>
                </w:p>
              </w:tc>
              <w:tc>
                <w:tcPr>
                  <w:tcW w:w="1040" w:type="pct"/>
                  <w:vMerge w:val="continue"/>
                  <w:tcMar>
                    <w:left w:w="28" w:type="dxa"/>
                    <w:right w:w="28" w:type="dxa"/>
                  </w:tcMar>
                  <w:vAlign w:val="center"/>
                </w:tcPr>
                <w:p>
                  <w:pPr>
                    <w:pStyle w:val="39"/>
                    <w:jc w:val="center"/>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9" w:type="pct"/>
                  <w:gridSpan w:val="2"/>
                  <w:tcMar>
                    <w:left w:w="28" w:type="dxa"/>
                    <w:right w:w="28" w:type="dxa"/>
                  </w:tcMar>
                  <w:vAlign w:val="center"/>
                </w:tcPr>
                <w:p>
                  <w:pPr>
                    <w:pStyle w:val="39"/>
                    <w:jc w:val="center"/>
                    <w:rPr>
                      <w:color w:val="auto"/>
                    </w:rPr>
                  </w:pPr>
                  <w:r>
                    <w:rPr>
                      <w:rFonts w:hint="eastAsia"/>
                      <w:color w:val="auto"/>
                    </w:rPr>
                    <w:t>砂石配料、投料、皮带输送产生的粉尘</w:t>
                  </w:r>
                </w:p>
              </w:tc>
              <w:tc>
                <w:tcPr>
                  <w:tcW w:w="385" w:type="pct"/>
                  <w:tcMar>
                    <w:left w:w="28" w:type="dxa"/>
                    <w:right w:w="28" w:type="dxa"/>
                  </w:tcMar>
                  <w:vAlign w:val="center"/>
                </w:tcPr>
                <w:p>
                  <w:pPr>
                    <w:pStyle w:val="39"/>
                    <w:jc w:val="center"/>
                    <w:rPr>
                      <w:color w:val="auto"/>
                    </w:rPr>
                  </w:pPr>
                  <w:r>
                    <w:rPr>
                      <w:rFonts w:hint="eastAsia"/>
                      <w:color w:val="auto"/>
                    </w:rPr>
                    <w:t>无组织</w:t>
                  </w:r>
                </w:p>
              </w:tc>
              <w:tc>
                <w:tcPr>
                  <w:tcW w:w="412" w:type="pct"/>
                  <w:tcMar>
                    <w:left w:w="28" w:type="dxa"/>
                    <w:right w:w="28" w:type="dxa"/>
                  </w:tcMar>
                  <w:vAlign w:val="center"/>
                </w:tcPr>
                <w:p>
                  <w:pPr>
                    <w:pStyle w:val="39"/>
                    <w:jc w:val="center"/>
                    <w:rPr>
                      <w:color w:val="auto"/>
                    </w:rPr>
                  </w:pPr>
                  <w:r>
                    <w:rPr>
                      <w:rFonts w:hint="eastAsia"/>
                      <w:color w:val="auto"/>
                    </w:rPr>
                    <w:t>颗粒物</w:t>
                  </w:r>
                </w:p>
              </w:tc>
              <w:tc>
                <w:tcPr>
                  <w:tcW w:w="451" w:type="pct"/>
                  <w:tcMar>
                    <w:left w:w="28" w:type="dxa"/>
                    <w:right w:w="28" w:type="dxa"/>
                  </w:tcMar>
                  <w:vAlign w:val="center"/>
                </w:tcPr>
                <w:p>
                  <w:pPr>
                    <w:pStyle w:val="39"/>
                    <w:jc w:val="center"/>
                    <w:rPr>
                      <w:color w:val="auto"/>
                    </w:rPr>
                  </w:pPr>
                  <w:r>
                    <w:rPr>
                      <w:rFonts w:hint="eastAsia"/>
                      <w:color w:val="auto"/>
                    </w:rPr>
                    <w:t>-</w:t>
                  </w:r>
                </w:p>
              </w:tc>
              <w:tc>
                <w:tcPr>
                  <w:tcW w:w="408" w:type="pct"/>
                  <w:tcMar>
                    <w:left w:w="28" w:type="dxa"/>
                    <w:right w:w="28" w:type="dxa"/>
                  </w:tcMar>
                  <w:vAlign w:val="center"/>
                </w:tcPr>
                <w:p>
                  <w:pPr>
                    <w:pStyle w:val="39"/>
                    <w:jc w:val="center"/>
                    <w:rPr>
                      <w:color w:val="auto"/>
                    </w:rPr>
                  </w:pPr>
                  <w:r>
                    <w:rPr>
                      <w:rFonts w:hint="eastAsia"/>
                      <w:color w:val="auto"/>
                    </w:rPr>
                    <w:t>4.32</w:t>
                  </w:r>
                </w:p>
              </w:tc>
              <w:tc>
                <w:tcPr>
                  <w:tcW w:w="1015" w:type="pct"/>
                  <w:tcMar>
                    <w:left w:w="28" w:type="dxa"/>
                    <w:right w:w="28" w:type="dxa"/>
                  </w:tcMar>
                  <w:vAlign w:val="center"/>
                </w:tcPr>
                <w:p>
                  <w:pPr>
                    <w:pStyle w:val="39"/>
                    <w:jc w:val="center"/>
                    <w:rPr>
                      <w:color w:val="auto"/>
                    </w:rPr>
                  </w:pPr>
                  <w:r>
                    <w:rPr>
                      <w:rFonts w:hint="eastAsia"/>
                      <w:color w:val="auto"/>
                    </w:rPr>
                    <w:t>半封闭料斗+雾炮抑尘</w:t>
                  </w:r>
                </w:p>
              </w:tc>
              <w:tc>
                <w:tcPr>
                  <w:tcW w:w="420" w:type="pct"/>
                  <w:tcMar>
                    <w:left w:w="28" w:type="dxa"/>
                    <w:right w:w="28" w:type="dxa"/>
                  </w:tcMar>
                  <w:vAlign w:val="center"/>
                </w:tcPr>
                <w:p>
                  <w:pPr>
                    <w:pStyle w:val="39"/>
                    <w:jc w:val="center"/>
                    <w:rPr>
                      <w:color w:val="auto"/>
                    </w:rPr>
                  </w:pPr>
                  <w:r>
                    <w:rPr>
                      <w:rFonts w:hint="eastAsia"/>
                      <w:color w:val="auto"/>
                    </w:rPr>
                    <w:t>-</w:t>
                  </w:r>
                </w:p>
              </w:tc>
              <w:tc>
                <w:tcPr>
                  <w:tcW w:w="445" w:type="pct"/>
                  <w:tcMar>
                    <w:left w:w="28" w:type="dxa"/>
                    <w:right w:w="28" w:type="dxa"/>
                  </w:tcMar>
                  <w:vAlign w:val="center"/>
                </w:tcPr>
                <w:p>
                  <w:pPr>
                    <w:pStyle w:val="39"/>
                    <w:jc w:val="center"/>
                    <w:rPr>
                      <w:color w:val="auto"/>
                    </w:rPr>
                  </w:pPr>
                  <w:r>
                    <w:rPr>
                      <w:rFonts w:hint="eastAsia"/>
                      <w:color w:val="auto"/>
                    </w:rPr>
                    <w:t>0.86</w:t>
                  </w:r>
                </w:p>
              </w:tc>
              <w:tc>
                <w:tcPr>
                  <w:tcW w:w="1040" w:type="pct"/>
                  <w:vMerge w:val="continue"/>
                  <w:tcMar>
                    <w:left w:w="28" w:type="dxa"/>
                    <w:right w:w="28" w:type="dxa"/>
                  </w:tcMar>
                  <w:vAlign w:val="center"/>
                </w:tcPr>
                <w:p>
                  <w:pPr>
                    <w:pStyle w:val="39"/>
                    <w:jc w:val="center"/>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7" w:type="pct"/>
                  <w:vMerge w:val="restart"/>
                  <w:tcMar>
                    <w:left w:w="28" w:type="dxa"/>
                    <w:right w:w="28" w:type="dxa"/>
                  </w:tcMar>
                  <w:vAlign w:val="center"/>
                </w:tcPr>
                <w:p>
                  <w:pPr>
                    <w:pStyle w:val="39"/>
                    <w:jc w:val="center"/>
                    <w:rPr>
                      <w:color w:val="auto"/>
                    </w:rPr>
                  </w:pPr>
                  <w:r>
                    <w:rPr>
                      <w:rFonts w:hint="eastAsia"/>
                      <w:color w:val="auto"/>
                    </w:rPr>
                    <w:t>筒仓呼吸孔及库底粉尘</w:t>
                  </w:r>
                </w:p>
              </w:tc>
              <w:tc>
                <w:tcPr>
                  <w:tcW w:w="241" w:type="pct"/>
                  <w:tcMar>
                    <w:left w:w="28" w:type="dxa"/>
                    <w:right w:w="28" w:type="dxa"/>
                  </w:tcMar>
                  <w:vAlign w:val="center"/>
                </w:tcPr>
                <w:p>
                  <w:pPr>
                    <w:pStyle w:val="39"/>
                    <w:jc w:val="center"/>
                    <w:rPr>
                      <w:color w:val="auto"/>
                    </w:rPr>
                  </w:pPr>
                  <w:r>
                    <w:rPr>
                      <w:rFonts w:hint="eastAsia"/>
                      <w:color w:val="auto"/>
                    </w:rPr>
                    <w:t>1#水泥筒仓</w:t>
                  </w:r>
                </w:p>
              </w:tc>
              <w:tc>
                <w:tcPr>
                  <w:tcW w:w="385" w:type="pct"/>
                  <w:vMerge w:val="restart"/>
                  <w:tcMar>
                    <w:left w:w="28" w:type="dxa"/>
                    <w:right w:w="28" w:type="dxa"/>
                  </w:tcMar>
                  <w:vAlign w:val="center"/>
                </w:tcPr>
                <w:p>
                  <w:pPr>
                    <w:pStyle w:val="39"/>
                    <w:jc w:val="center"/>
                    <w:rPr>
                      <w:color w:val="auto"/>
                    </w:rPr>
                  </w:pPr>
                  <w:r>
                    <w:rPr>
                      <w:rFonts w:hint="eastAsia"/>
                      <w:color w:val="auto"/>
                    </w:rPr>
                    <w:t>有组织</w:t>
                  </w:r>
                </w:p>
              </w:tc>
              <w:tc>
                <w:tcPr>
                  <w:tcW w:w="412" w:type="pct"/>
                  <w:tcMar>
                    <w:left w:w="28" w:type="dxa"/>
                    <w:right w:w="28" w:type="dxa"/>
                  </w:tcMar>
                  <w:vAlign w:val="center"/>
                </w:tcPr>
                <w:p>
                  <w:pPr>
                    <w:pStyle w:val="39"/>
                    <w:jc w:val="center"/>
                    <w:rPr>
                      <w:color w:val="auto"/>
                    </w:rPr>
                  </w:pPr>
                  <w:r>
                    <w:rPr>
                      <w:rFonts w:hint="eastAsia"/>
                      <w:color w:val="auto"/>
                    </w:rPr>
                    <w:t>颗粒物</w:t>
                  </w:r>
                </w:p>
              </w:tc>
              <w:tc>
                <w:tcPr>
                  <w:tcW w:w="451" w:type="pct"/>
                  <w:tcMar>
                    <w:left w:w="28" w:type="dxa"/>
                    <w:right w:w="28" w:type="dxa"/>
                  </w:tcMar>
                  <w:vAlign w:val="center"/>
                </w:tcPr>
                <w:p>
                  <w:pPr>
                    <w:pStyle w:val="39"/>
                    <w:jc w:val="center"/>
                    <w:rPr>
                      <w:color w:val="auto"/>
                    </w:rPr>
                  </w:pPr>
                  <w:r>
                    <w:rPr>
                      <w:rFonts w:hint="eastAsia"/>
                      <w:color w:val="auto"/>
                    </w:rPr>
                    <w:t>5454.55</w:t>
                  </w:r>
                </w:p>
              </w:tc>
              <w:tc>
                <w:tcPr>
                  <w:tcW w:w="408" w:type="pct"/>
                  <w:vMerge w:val="restart"/>
                  <w:tcMar>
                    <w:left w:w="28" w:type="dxa"/>
                    <w:right w:w="28" w:type="dxa"/>
                  </w:tcMar>
                  <w:vAlign w:val="center"/>
                </w:tcPr>
                <w:p>
                  <w:pPr>
                    <w:pStyle w:val="39"/>
                    <w:jc w:val="center"/>
                    <w:rPr>
                      <w:color w:val="auto"/>
                    </w:rPr>
                  </w:pPr>
                  <w:r>
                    <w:rPr>
                      <w:rFonts w:hint="eastAsia"/>
                      <w:color w:val="auto"/>
                    </w:rPr>
                    <w:t>5.83</w:t>
                  </w:r>
                </w:p>
              </w:tc>
              <w:tc>
                <w:tcPr>
                  <w:tcW w:w="1015" w:type="pct"/>
                  <w:tcMar>
                    <w:left w:w="28" w:type="dxa"/>
                    <w:right w:w="28" w:type="dxa"/>
                  </w:tcMar>
                  <w:vAlign w:val="center"/>
                </w:tcPr>
                <w:p>
                  <w:pPr>
                    <w:pStyle w:val="39"/>
                    <w:jc w:val="center"/>
                    <w:rPr>
                      <w:color w:val="auto"/>
                    </w:rPr>
                  </w:pPr>
                  <w:r>
                    <w:rPr>
                      <w:color w:val="auto"/>
                    </w:rPr>
                    <w:t>脉冲袋式除尘器+仓顶</w:t>
                  </w:r>
                  <w:r>
                    <w:rPr>
                      <w:rFonts w:hint="eastAsia"/>
                      <w:color w:val="auto"/>
                    </w:rPr>
                    <w:t>（21m）</w:t>
                  </w:r>
                  <w:r>
                    <w:rPr>
                      <w:color w:val="auto"/>
                    </w:rPr>
                    <w:t>排放（</w:t>
                  </w:r>
                  <w:r>
                    <w:rPr>
                      <w:rFonts w:hint="eastAsia"/>
                      <w:color w:val="auto"/>
                    </w:rPr>
                    <w:t>有</w:t>
                  </w:r>
                  <w:r>
                    <w:rPr>
                      <w:color w:val="auto"/>
                    </w:rPr>
                    <w:t>组织）</w:t>
                  </w:r>
                </w:p>
              </w:tc>
              <w:tc>
                <w:tcPr>
                  <w:tcW w:w="420" w:type="pct"/>
                  <w:tcMar>
                    <w:left w:w="28" w:type="dxa"/>
                    <w:right w:w="28" w:type="dxa"/>
                  </w:tcMar>
                  <w:vAlign w:val="center"/>
                </w:tcPr>
                <w:p>
                  <w:pPr>
                    <w:pStyle w:val="39"/>
                    <w:jc w:val="center"/>
                    <w:rPr>
                      <w:color w:val="auto"/>
                    </w:rPr>
                  </w:pPr>
                  <w:r>
                    <w:rPr>
                      <w:rFonts w:hint="eastAsia"/>
                      <w:color w:val="auto"/>
                    </w:rPr>
                    <w:t>16.36</w:t>
                  </w:r>
                </w:p>
              </w:tc>
              <w:tc>
                <w:tcPr>
                  <w:tcW w:w="445" w:type="pct"/>
                  <w:vMerge w:val="restart"/>
                  <w:tcMar>
                    <w:left w:w="28" w:type="dxa"/>
                    <w:right w:w="28" w:type="dxa"/>
                  </w:tcMar>
                  <w:vAlign w:val="center"/>
                </w:tcPr>
                <w:p>
                  <w:pPr>
                    <w:pStyle w:val="39"/>
                    <w:jc w:val="center"/>
                    <w:rPr>
                      <w:color w:val="auto"/>
                    </w:rPr>
                  </w:pPr>
                  <w:r>
                    <w:rPr>
                      <w:rFonts w:hint="eastAsia"/>
                      <w:color w:val="auto"/>
                    </w:rPr>
                    <w:t>0.017</w:t>
                  </w:r>
                </w:p>
              </w:tc>
              <w:tc>
                <w:tcPr>
                  <w:tcW w:w="1040" w:type="pct"/>
                  <w:vMerge w:val="restart"/>
                  <w:tcMar>
                    <w:left w:w="28" w:type="dxa"/>
                    <w:right w:w="28" w:type="dxa"/>
                  </w:tcMar>
                  <w:vAlign w:val="center"/>
                </w:tcPr>
                <w:p>
                  <w:pPr>
                    <w:pStyle w:val="39"/>
                    <w:jc w:val="center"/>
                    <w:rPr>
                      <w:color w:val="auto"/>
                    </w:rPr>
                  </w:pPr>
                  <w:r>
                    <w:rPr>
                      <w:color w:val="auto"/>
                    </w:rPr>
                    <w:t>《水泥工业大气污染物排放标准》（GB4915-2013）表1标准限值要求，颗粒物20mg/m</w:t>
                  </w:r>
                  <w:r>
                    <w:rPr>
                      <w:color w:val="auto"/>
                      <w:vertAlign w:val="superscript"/>
                    </w:rPr>
                    <w:t>3</w:t>
                  </w:r>
                  <w:r>
                    <w:rPr>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7" w:type="pct"/>
                  <w:vMerge w:val="continue"/>
                  <w:tcMar>
                    <w:left w:w="28" w:type="dxa"/>
                    <w:right w:w="28" w:type="dxa"/>
                  </w:tcMar>
                  <w:vAlign w:val="center"/>
                </w:tcPr>
                <w:p>
                  <w:pPr>
                    <w:pStyle w:val="39"/>
                    <w:jc w:val="center"/>
                    <w:rPr>
                      <w:color w:val="auto"/>
                    </w:rPr>
                  </w:pPr>
                </w:p>
              </w:tc>
              <w:tc>
                <w:tcPr>
                  <w:tcW w:w="241" w:type="pct"/>
                  <w:tcMar>
                    <w:left w:w="28" w:type="dxa"/>
                    <w:right w:w="28" w:type="dxa"/>
                  </w:tcMar>
                  <w:vAlign w:val="center"/>
                </w:tcPr>
                <w:p>
                  <w:pPr>
                    <w:pStyle w:val="39"/>
                    <w:jc w:val="center"/>
                    <w:rPr>
                      <w:color w:val="auto"/>
                    </w:rPr>
                  </w:pPr>
                  <w:r>
                    <w:rPr>
                      <w:rFonts w:hint="eastAsia"/>
                      <w:color w:val="auto"/>
                    </w:rPr>
                    <w:t>2#水泥筒仓</w:t>
                  </w:r>
                </w:p>
              </w:tc>
              <w:tc>
                <w:tcPr>
                  <w:tcW w:w="385" w:type="pct"/>
                  <w:vMerge w:val="continue"/>
                  <w:tcMar>
                    <w:left w:w="28" w:type="dxa"/>
                    <w:right w:w="28" w:type="dxa"/>
                  </w:tcMar>
                  <w:vAlign w:val="center"/>
                </w:tcPr>
                <w:p>
                  <w:pPr>
                    <w:pStyle w:val="39"/>
                    <w:jc w:val="center"/>
                    <w:rPr>
                      <w:color w:val="auto"/>
                    </w:rPr>
                  </w:pPr>
                </w:p>
              </w:tc>
              <w:tc>
                <w:tcPr>
                  <w:tcW w:w="412" w:type="pct"/>
                  <w:tcMar>
                    <w:left w:w="28" w:type="dxa"/>
                    <w:right w:w="28" w:type="dxa"/>
                  </w:tcMar>
                  <w:vAlign w:val="center"/>
                </w:tcPr>
                <w:p>
                  <w:pPr>
                    <w:pStyle w:val="39"/>
                    <w:jc w:val="center"/>
                    <w:rPr>
                      <w:color w:val="auto"/>
                    </w:rPr>
                  </w:pPr>
                  <w:r>
                    <w:rPr>
                      <w:rFonts w:hint="eastAsia"/>
                      <w:color w:val="auto"/>
                    </w:rPr>
                    <w:t>颗粒物</w:t>
                  </w:r>
                </w:p>
              </w:tc>
              <w:tc>
                <w:tcPr>
                  <w:tcW w:w="451" w:type="pct"/>
                  <w:tcMar>
                    <w:left w:w="28" w:type="dxa"/>
                    <w:right w:w="28" w:type="dxa"/>
                  </w:tcMar>
                  <w:vAlign w:val="center"/>
                </w:tcPr>
                <w:p>
                  <w:pPr>
                    <w:pStyle w:val="39"/>
                    <w:jc w:val="center"/>
                    <w:rPr>
                      <w:color w:val="auto"/>
                    </w:rPr>
                  </w:pPr>
                  <w:r>
                    <w:rPr>
                      <w:rFonts w:hint="eastAsia"/>
                      <w:color w:val="auto"/>
                    </w:rPr>
                    <w:t>5454.55</w:t>
                  </w:r>
                </w:p>
              </w:tc>
              <w:tc>
                <w:tcPr>
                  <w:tcW w:w="408" w:type="pct"/>
                  <w:vMerge w:val="continue"/>
                  <w:tcMar>
                    <w:left w:w="28" w:type="dxa"/>
                    <w:right w:w="28" w:type="dxa"/>
                  </w:tcMar>
                  <w:vAlign w:val="center"/>
                </w:tcPr>
                <w:p>
                  <w:pPr>
                    <w:pStyle w:val="39"/>
                    <w:jc w:val="center"/>
                    <w:rPr>
                      <w:color w:val="auto"/>
                    </w:rPr>
                  </w:pPr>
                </w:p>
              </w:tc>
              <w:tc>
                <w:tcPr>
                  <w:tcW w:w="1015" w:type="pct"/>
                  <w:tcMar>
                    <w:left w:w="28" w:type="dxa"/>
                    <w:right w:w="28" w:type="dxa"/>
                  </w:tcMar>
                  <w:vAlign w:val="center"/>
                </w:tcPr>
                <w:p>
                  <w:pPr>
                    <w:pStyle w:val="39"/>
                    <w:jc w:val="center"/>
                    <w:rPr>
                      <w:color w:val="auto"/>
                    </w:rPr>
                  </w:pPr>
                  <w:r>
                    <w:rPr>
                      <w:color w:val="auto"/>
                    </w:rPr>
                    <w:t>脉冲袋式除尘器+仓顶</w:t>
                  </w:r>
                  <w:r>
                    <w:rPr>
                      <w:rFonts w:hint="eastAsia"/>
                      <w:color w:val="auto"/>
                    </w:rPr>
                    <w:t>（21m）</w:t>
                  </w:r>
                  <w:r>
                    <w:rPr>
                      <w:color w:val="auto"/>
                    </w:rPr>
                    <w:t>排放（</w:t>
                  </w:r>
                  <w:r>
                    <w:rPr>
                      <w:rFonts w:hint="eastAsia"/>
                      <w:color w:val="auto"/>
                    </w:rPr>
                    <w:t>有</w:t>
                  </w:r>
                  <w:r>
                    <w:rPr>
                      <w:color w:val="auto"/>
                    </w:rPr>
                    <w:t>组织）</w:t>
                  </w:r>
                </w:p>
              </w:tc>
              <w:tc>
                <w:tcPr>
                  <w:tcW w:w="420" w:type="pct"/>
                  <w:tcMar>
                    <w:left w:w="28" w:type="dxa"/>
                    <w:right w:w="28" w:type="dxa"/>
                  </w:tcMar>
                  <w:vAlign w:val="center"/>
                </w:tcPr>
                <w:p>
                  <w:pPr>
                    <w:pStyle w:val="39"/>
                    <w:jc w:val="center"/>
                    <w:rPr>
                      <w:color w:val="auto"/>
                    </w:rPr>
                  </w:pPr>
                  <w:r>
                    <w:rPr>
                      <w:rFonts w:hint="eastAsia"/>
                      <w:color w:val="auto"/>
                    </w:rPr>
                    <w:t>16.36</w:t>
                  </w:r>
                </w:p>
              </w:tc>
              <w:tc>
                <w:tcPr>
                  <w:tcW w:w="445" w:type="pct"/>
                  <w:vMerge w:val="continue"/>
                  <w:tcMar>
                    <w:left w:w="28" w:type="dxa"/>
                    <w:right w:w="28" w:type="dxa"/>
                  </w:tcMar>
                  <w:vAlign w:val="center"/>
                </w:tcPr>
                <w:p>
                  <w:pPr>
                    <w:pStyle w:val="39"/>
                    <w:jc w:val="center"/>
                    <w:rPr>
                      <w:color w:val="auto"/>
                    </w:rPr>
                  </w:pPr>
                </w:p>
              </w:tc>
              <w:tc>
                <w:tcPr>
                  <w:tcW w:w="1040" w:type="pct"/>
                  <w:vMerge w:val="continue"/>
                  <w:tcMar>
                    <w:left w:w="28" w:type="dxa"/>
                    <w:right w:w="28" w:type="dxa"/>
                  </w:tcMar>
                  <w:vAlign w:val="center"/>
                </w:tcPr>
                <w:p>
                  <w:pPr>
                    <w:pStyle w:val="39"/>
                    <w:jc w:val="center"/>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7" w:type="pct"/>
                  <w:vMerge w:val="continue"/>
                  <w:tcMar>
                    <w:left w:w="28" w:type="dxa"/>
                    <w:right w:w="28" w:type="dxa"/>
                  </w:tcMar>
                  <w:vAlign w:val="center"/>
                </w:tcPr>
                <w:p>
                  <w:pPr>
                    <w:pStyle w:val="39"/>
                    <w:jc w:val="center"/>
                    <w:rPr>
                      <w:color w:val="auto"/>
                    </w:rPr>
                  </w:pPr>
                </w:p>
              </w:tc>
              <w:tc>
                <w:tcPr>
                  <w:tcW w:w="241" w:type="pct"/>
                  <w:tcMar>
                    <w:left w:w="28" w:type="dxa"/>
                    <w:right w:w="28" w:type="dxa"/>
                  </w:tcMar>
                  <w:vAlign w:val="center"/>
                </w:tcPr>
                <w:p>
                  <w:pPr>
                    <w:pStyle w:val="39"/>
                    <w:jc w:val="center"/>
                    <w:rPr>
                      <w:color w:val="auto"/>
                    </w:rPr>
                  </w:pPr>
                  <w:r>
                    <w:rPr>
                      <w:rFonts w:hint="eastAsia"/>
                      <w:color w:val="auto"/>
                    </w:rPr>
                    <w:t>1#粉煤灰筒仓</w:t>
                  </w:r>
                </w:p>
              </w:tc>
              <w:tc>
                <w:tcPr>
                  <w:tcW w:w="385" w:type="pct"/>
                  <w:vMerge w:val="continue"/>
                  <w:tcMar>
                    <w:left w:w="28" w:type="dxa"/>
                    <w:right w:w="28" w:type="dxa"/>
                  </w:tcMar>
                  <w:vAlign w:val="center"/>
                </w:tcPr>
                <w:p>
                  <w:pPr>
                    <w:pStyle w:val="39"/>
                    <w:jc w:val="center"/>
                    <w:rPr>
                      <w:color w:val="auto"/>
                    </w:rPr>
                  </w:pPr>
                </w:p>
              </w:tc>
              <w:tc>
                <w:tcPr>
                  <w:tcW w:w="412" w:type="pct"/>
                  <w:tcMar>
                    <w:left w:w="28" w:type="dxa"/>
                    <w:right w:w="28" w:type="dxa"/>
                  </w:tcMar>
                  <w:vAlign w:val="center"/>
                </w:tcPr>
                <w:p>
                  <w:pPr>
                    <w:pStyle w:val="39"/>
                    <w:jc w:val="center"/>
                    <w:rPr>
                      <w:color w:val="auto"/>
                    </w:rPr>
                  </w:pPr>
                  <w:r>
                    <w:rPr>
                      <w:rFonts w:hint="eastAsia"/>
                      <w:color w:val="auto"/>
                    </w:rPr>
                    <w:t>颗粒物</w:t>
                  </w:r>
                </w:p>
              </w:tc>
              <w:tc>
                <w:tcPr>
                  <w:tcW w:w="451" w:type="pct"/>
                  <w:tcMar>
                    <w:left w:w="28" w:type="dxa"/>
                    <w:right w:w="28" w:type="dxa"/>
                  </w:tcMar>
                  <w:vAlign w:val="center"/>
                </w:tcPr>
                <w:p>
                  <w:pPr>
                    <w:pStyle w:val="39"/>
                    <w:jc w:val="center"/>
                    <w:rPr>
                      <w:color w:val="auto"/>
                    </w:rPr>
                  </w:pPr>
                  <w:r>
                    <w:rPr>
                      <w:rFonts w:hint="eastAsia"/>
                      <w:color w:val="auto"/>
                    </w:rPr>
                    <w:t>5454.55</w:t>
                  </w:r>
                </w:p>
              </w:tc>
              <w:tc>
                <w:tcPr>
                  <w:tcW w:w="408" w:type="pct"/>
                  <w:vMerge w:val="continue"/>
                  <w:tcMar>
                    <w:left w:w="28" w:type="dxa"/>
                    <w:right w:w="28" w:type="dxa"/>
                  </w:tcMar>
                  <w:vAlign w:val="center"/>
                </w:tcPr>
                <w:p>
                  <w:pPr>
                    <w:pStyle w:val="39"/>
                    <w:jc w:val="center"/>
                    <w:rPr>
                      <w:color w:val="auto"/>
                    </w:rPr>
                  </w:pPr>
                </w:p>
              </w:tc>
              <w:tc>
                <w:tcPr>
                  <w:tcW w:w="1015" w:type="pct"/>
                  <w:tcMar>
                    <w:left w:w="28" w:type="dxa"/>
                    <w:right w:w="28" w:type="dxa"/>
                  </w:tcMar>
                  <w:vAlign w:val="center"/>
                </w:tcPr>
                <w:p>
                  <w:pPr>
                    <w:pStyle w:val="39"/>
                    <w:jc w:val="center"/>
                    <w:rPr>
                      <w:color w:val="auto"/>
                    </w:rPr>
                  </w:pPr>
                  <w:r>
                    <w:rPr>
                      <w:color w:val="auto"/>
                    </w:rPr>
                    <w:t>脉冲袋式除尘器+仓顶</w:t>
                  </w:r>
                  <w:r>
                    <w:rPr>
                      <w:rFonts w:hint="eastAsia"/>
                      <w:color w:val="auto"/>
                    </w:rPr>
                    <w:t>（21m）</w:t>
                  </w:r>
                  <w:r>
                    <w:rPr>
                      <w:color w:val="auto"/>
                    </w:rPr>
                    <w:t>排放（</w:t>
                  </w:r>
                  <w:r>
                    <w:rPr>
                      <w:rFonts w:hint="eastAsia"/>
                      <w:color w:val="auto"/>
                    </w:rPr>
                    <w:t>有</w:t>
                  </w:r>
                  <w:r>
                    <w:rPr>
                      <w:color w:val="auto"/>
                    </w:rPr>
                    <w:t>组织）</w:t>
                  </w:r>
                </w:p>
              </w:tc>
              <w:tc>
                <w:tcPr>
                  <w:tcW w:w="420" w:type="pct"/>
                  <w:tcMar>
                    <w:left w:w="28" w:type="dxa"/>
                    <w:right w:w="28" w:type="dxa"/>
                  </w:tcMar>
                  <w:vAlign w:val="center"/>
                </w:tcPr>
                <w:p>
                  <w:pPr>
                    <w:pStyle w:val="39"/>
                    <w:jc w:val="center"/>
                    <w:rPr>
                      <w:color w:val="auto"/>
                    </w:rPr>
                  </w:pPr>
                  <w:r>
                    <w:rPr>
                      <w:rFonts w:hint="eastAsia"/>
                      <w:color w:val="auto"/>
                    </w:rPr>
                    <w:t>16.36</w:t>
                  </w:r>
                </w:p>
              </w:tc>
              <w:tc>
                <w:tcPr>
                  <w:tcW w:w="445" w:type="pct"/>
                  <w:vMerge w:val="continue"/>
                  <w:tcMar>
                    <w:left w:w="28" w:type="dxa"/>
                    <w:right w:w="28" w:type="dxa"/>
                  </w:tcMar>
                  <w:vAlign w:val="center"/>
                </w:tcPr>
                <w:p>
                  <w:pPr>
                    <w:pStyle w:val="39"/>
                    <w:jc w:val="center"/>
                    <w:rPr>
                      <w:color w:val="auto"/>
                    </w:rPr>
                  </w:pPr>
                </w:p>
              </w:tc>
              <w:tc>
                <w:tcPr>
                  <w:tcW w:w="1040" w:type="pct"/>
                  <w:vMerge w:val="continue"/>
                  <w:tcMar>
                    <w:left w:w="28" w:type="dxa"/>
                    <w:right w:w="28" w:type="dxa"/>
                  </w:tcMar>
                  <w:vAlign w:val="center"/>
                </w:tcPr>
                <w:p>
                  <w:pPr>
                    <w:pStyle w:val="39"/>
                    <w:jc w:val="center"/>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7" w:type="pct"/>
                  <w:vMerge w:val="continue"/>
                  <w:tcMar>
                    <w:left w:w="28" w:type="dxa"/>
                    <w:right w:w="28" w:type="dxa"/>
                  </w:tcMar>
                  <w:vAlign w:val="center"/>
                </w:tcPr>
                <w:p>
                  <w:pPr>
                    <w:pStyle w:val="39"/>
                    <w:jc w:val="center"/>
                    <w:rPr>
                      <w:color w:val="auto"/>
                    </w:rPr>
                  </w:pPr>
                </w:p>
              </w:tc>
              <w:tc>
                <w:tcPr>
                  <w:tcW w:w="241" w:type="pct"/>
                  <w:tcMar>
                    <w:left w:w="28" w:type="dxa"/>
                    <w:right w:w="28" w:type="dxa"/>
                  </w:tcMar>
                  <w:vAlign w:val="center"/>
                </w:tcPr>
                <w:p>
                  <w:pPr>
                    <w:pStyle w:val="39"/>
                    <w:jc w:val="center"/>
                    <w:rPr>
                      <w:color w:val="auto"/>
                    </w:rPr>
                  </w:pPr>
                  <w:r>
                    <w:rPr>
                      <w:rFonts w:hint="eastAsia"/>
                      <w:color w:val="auto"/>
                    </w:rPr>
                    <w:t>2#粉煤灰筒仓</w:t>
                  </w:r>
                </w:p>
              </w:tc>
              <w:tc>
                <w:tcPr>
                  <w:tcW w:w="385" w:type="pct"/>
                  <w:vMerge w:val="continue"/>
                  <w:tcMar>
                    <w:left w:w="28" w:type="dxa"/>
                    <w:right w:w="28" w:type="dxa"/>
                  </w:tcMar>
                  <w:vAlign w:val="center"/>
                </w:tcPr>
                <w:p>
                  <w:pPr>
                    <w:pStyle w:val="39"/>
                    <w:jc w:val="center"/>
                    <w:rPr>
                      <w:color w:val="auto"/>
                    </w:rPr>
                  </w:pPr>
                </w:p>
              </w:tc>
              <w:tc>
                <w:tcPr>
                  <w:tcW w:w="412" w:type="pct"/>
                  <w:tcMar>
                    <w:left w:w="28" w:type="dxa"/>
                    <w:right w:w="28" w:type="dxa"/>
                  </w:tcMar>
                  <w:vAlign w:val="center"/>
                </w:tcPr>
                <w:p>
                  <w:pPr>
                    <w:pStyle w:val="39"/>
                    <w:jc w:val="center"/>
                    <w:rPr>
                      <w:color w:val="auto"/>
                    </w:rPr>
                  </w:pPr>
                  <w:r>
                    <w:rPr>
                      <w:rFonts w:hint="eastAsia"/>
                      <w:color w:val="auto"/>
                    </w:rPr>
                    <w:t>颗粒物</w:t>
                  </w:r>
                </w:p>
              </w:tc>
              <w:tc>
                <w:tcPr>
                  <w:tcW w:w="451" w:type="pct"/>
                  <w:tcMar>
                    <w:left w:w="28" w:type="dxa"/>
                    <w:right w:w="28" w:type="dxa"/>
                  </w:tcMar>
                  <w:vAlign w:val="center"/>
                </w:tcPr>
                <w:p>
                  <w:pPr>
                    <w:pStyle w:val="39"/>
                    <w:jc w:val="center"/>
                    <w:rPr>
                      <w:color w:val="auto"/>
                    </w:rPr>
                  </w:pPr>
                  <w:r>
                    <w:rPr>
                      <w:rFonts w:hint="eastAsia"/>
                      <w:color w:val="auto"/>
                    </w:rPr>
                    <w:t>5454.55</w:t>
                  </w:r>
                </w:p>
              </w:tc>
              <w:tc>
                <w:tcPr>
                  <w:tcW w:w="408" w:type="pct"/>
                  <w:vMerge w:val="continue"/>
                  <w:tcMar>
                    <w:left w:w="28" w:type="dxa"/>
                    <w:right w:w="28" w:type="dxa"/>
                  </w:tcMar>
                  <w:vAlign w:val="center"/>
                </w:tcPr>
                <w:p>
                  <w:pPr>
                    <w:pStyle w:val="39"/>
                    <w:jc w:val="center"/>
                    <w:rPr>
                      <w:color w:val="auto"/>
                    </w:rPr>
                  </w:pPr>
                </w:p>
              </w:tc>
              <w:tc>
                <w:tcPr>
                  <w:tcW w:w="1015" w:type="pct"/>
                  <w:tcMar>
                    <w:left w:w="28" w:type="dxa"/>
                    <w:right w:w="28" w:type="dxa"/>
                  </w:tcMar>
                  <w:vAlign w:val="center"/>
                </w:tcPr>
                <w:p>
                  <w:pPr>
                    <w:pStyle w:val="39"/>
                    <w:jc w:val="center"/>
                    <w:rPr>
                      <w:color w:val="auto"/>
                    </w:rPr>
                  </w:pPr>
                  <w:r>
                    <w:rPr>
                      <w:color w:val="auto"/>
                    </w:rPr>
                    <w:t>脉冲袋式除尘器+仓顶</w:t>
                  </w:r>
                  <w:r>
                    <w:rPr>
                      <w:rFonts w:hint="eastAsia"/>
                      <w:color w:val="auto"/>
                    </w:rPr>
                    <w:t>（21m）</w:t>
                  </w:r>
                  <w:r>
                    <w:rPr>
                      <w:color w:val="auto"/>
                    </w:rPr>
                    <w:t>排放（</w:t>
                  </w:r>
                  <w:r>
                    <w:rPr>
                      <w:rFonts w:hint="eastAsia"/>
                      <w:color w:val="auto"/>
                    </w:rPr>
                    <w:t>有</w:t>
                  </w:r>
                  <w:r>
                    <w:rPr>
                      <w:color w:val="auto"/>
                    </w:rPr>
                    <w:t>组织）</w:t>
                  </w:r>
                </w:p>
              </w:tc>
              <w:tc>
                <w:tcPr>
                  <w:tcW w:w="420" w:type="pct"/>
                  <w:tcMar>
                    <w:left w:w="28" w:type="dxa"/>
                    <w:right w:w="28" w:type="dxa"/>
                  </w:tcMar>
                  <w:vAlign w:val="center"/>
                </w:tcPr>
                <w:p>
                  <w:pPr>
                    <w:pStyle w:val="39"/>
                    <w:jc w:val="center"/>
                    <w:rPr>
                      <w:color w:val="auto"/>
                    </w:rPr>
                  </w:pPr>
                  <w:r>
                    <w:rPr>
                      <w:rFonts w:hint="eastAsia"/>
                      <w:color w:val="auto"/>
                    </w:rPr>
                    <w:t>16.36</w:t>
                  </w:r>
                </w:p>
              </w:tc>
              <w:tc>
                <w:tcPr>
                  <w:tcW w:w="445" w:type="pct"/>
                  <w:vMerge w:val="continue"/>
                  <w:tcMar>
                    <w:left w:w="28" w:type="dxa"/>
                    <w:right w:w="28" w:type="dxa"/>
                  </w:tcMar>
                  <w:vAlign w:val="center"/>
                </w:tcPr>
                <w:p>
                  <w:pPr>
                    <w:pStyle w:val="39"/>
                    <w:jc w:val="center"/>
                    <w:rPr>
                      <w:color w:val="auto"/>
                    </w:rPr>
                  </w:pPr>
                </w:p>
              </w:tc>
              <w:tc>
                <w:tcPr>
                  <w:tcW w:w="1040" w:type="pct"/>
                  <w:vMerge w:val="continue"/>
                  <w:tcMar>
                    <w:left w:w="28" w:type="dxa"/>
                    <w:right w:w="28" w:type="dxa"/>
                  </w:tcMar>
                  <w:vAlign w:val="center"/>
                </w:tcPr>
                <w:p>
                  <w:pPr>
                    <w:pStyle w:val="39"/>
                    <w:jc w:val="center"/>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9" w:type="pct"/>
                  <w:gridSpan w:val="2"/>
                  <w:tcMar>
                    <w:left w:w="28" w:type="dxa"/>
                    <w:right w:w="28" w:type="dxa"/>
                  </w:tcMar>
                  <w:vAlign w:val="center"/>
                </w:tcPr>
                <w:p>
                  <w:pPr>
                    <w:pStyle w:val="39"/>
                    <w:jc w:val="center"/>
                    <w:rPr>
                      <w:color w:val="auto"/>
                    </w:rPr>
                  </w:pPr>
                  <w:r>
                    <w:rPr>
                      <w:rFonts w:hint="eastAsia"/>
                      <w:color w:val="auto"/>
                    </w:rPr>
                    <w:t>搅拌粉尘</w:t>
                  </w:r>
                </w:p>
              </w:tc>
              <w:tc>
                <w:tcPr>
                  <w:tcW w:w="385" w:type="pct"/>
                  <w:tcMar>
                    <w:left w:w="28" w:type="dxa"/>
                    <w:right w:w="28" w:type="dxa"/>
                  </w:tcMar>
                  <w:vAlign w:val="center"/>
                </w:tcPr>
                <w:p>
                  <w:pPr>
                    <w:pStyle w:val="39"/>
                    <w:jc w:val="center"/>
                    <w:rPr>
                      <w:color w:val="auto"/>
                    </w:rPr>
                  </w:pPr>
                  <w:r>
                    <w:rPr>
                      <w:rFonts w:hint="eastAsia"/>
                      <w:color w:val="auto"/>
                    </w:rPr>
                    <w:t>有组织</w:t>
                  </w:r>
                </w:p>
              </w:tc>
              <w:tc>
                <w:tcPr>
                  <w:tcW w:w="412" w:type="pct"/>
                  <w:tcMar>
                    <w:left w:w="28" w:type="dxa"/>
                    <w:right w:w="28" w:type="dxa"/>
                  </w:tcMar>
                  <w:vAlign w:val="center"/>
                </w:tcPr>
                <w:p>
                  <w:pPr>
                    <w:pStyle w:val="39"/>
                    <w:jc w:val="center"/>
                    <w:rPr>
                      <w:color w:val="auto"/>
                    </w:rPr>
                  </w:pPr>
                  <w:r>
                    <w:rPr>
                      <w:rFonts w:hint="eastAsia"/>
                      <w:color w:val="auto"/>
                    </w:rPr>
                    <w:t>颗粒物</w:t>
                  </w:r>
                </w:p>
              </w:tc>
              <w:tc>
                <w:tcPr>
                  <w:tcW w:w="451" w:type="pct"/>
                  <w:tcMar>
                    <w:left w:w="28" w:type="dxa"/>
                    <w:right w:w="28" w:type="dxa"/>
                  </w:tcMar>
                  <w:vAlign w:val="center"/>
                </w:tcPr>
                <w:p>
                  <w:pPr>
                    <w:pStyle w:val="39"/>
                    <w:jc w:val="center"/>
                    <w:rPr>
                      <w:color w:val="auto"/>
                    </w:rPr>
                  </w:pPr>
                  <w:r>
                    <w:rPr>
                      <w:rFonts w:hint="eastAsia"/>
                      <w:color w:val="auto"/>
                    </w:rPr>
                    <w:t>5200</w:t>
                  </w:r>
                </w:p>
              </w:tc>
              <w:tc>
                <w:tcPr>
                  <w:tcW w:w="408" w:type="pct"/>
                  <w:tcMar>
                    <w:left w:w="28" w:type="dxa"/>
                    <w:right w:w="28" w:type="dxa"/>
                  </w:tcMar>
                  <w:vAlign w:val="center"/>
                </w:tcPr>
                <w:p>
                  <w:pPr>
                    <w:pStyle w:val="39"/>
                    <w:jc w:val="center"/>
                    <w:rPr>
                      <w:color w:val="auto"/>
                    </w:rPr>
                  </w:pPr>
                  <w:r>
                    <w:rPr>
                      <w:rFonts w:hint="eastAsia"/>
                      <w:color w:val="auto"/>
                    </w:rPr>
                    <w:t>6.32</w:t>
                  </w:r>
                </w:p>
              </w:tc>
              <w:tc>
                <w:tcPr>
                  <w:tcW w:w="1015" w:type="pct"/>
                  <w:tcMar>
                    <w:left w:w="28" w:type="dxa"/>
                    <w:right w:w="28" w:type="dxa"/>
                  </w:tcMar>
                  <w:vAlign w:val="center"/>
                </w:tcPr>
                <w:p>
                  <w:pPr>
                    <w:pStyle w:val="39"/>
                    <w:jc w:val="center"/>
                    <w:rPr>
                      <w:color w:val="auto"/>
                    </w:rPr>
                  </w:pPr>
                  <w:r>
                    <w:rPr>
                      <w:color w:val="auto"/>
                    </w:rPr>
                    <w:t>脉冲袋式除尘器</w:t>
                  </w:r>
                  <w:r>
                    <w:rPr>
                      <w:rFonts w:hint="eastAsia"/>
                      <w:color w:val="auto"/>
                    </w:rPr>
                    <w:t>二级除尘</w:t>
                  </w:r>
                  <w:r>
                    <w:rPr>
                      <w:color w:val="auto"/>
                    </w:rPr>
                    <w:t>+仓顶</w:t>
                  </w:r>
                  <w:r>
                    <w:rPr>
                      <w:rFonts w:hint="eastAsia"/>
                      <w:color w:val="auto"/>
                    </w:rPr>
                    <w:t>（11m）</w:t>
                  </w:r>
                  <w:r>
                    <w:rPr>
                      <w:color w:val="auto"/>
                    </w:rPr>
                    <w:t>排放（</w:t>
                  </w:r>
                  <w:r>
                    <w:rPr>
                      <w:rFonts w:hint="eastAsia"/>
                      <w:color w:val="auto"/>
                    </w:rPr>
                    <w:t>有</w:t>
                  </w:r>
                  <w:r>
                    <w:rPr>
                      <w:color w:val="auto"/>
                    </w:rPr>
                    <w:t>组织）</w:t>
                  </w:r>
                </w:p>
              </w:tc>
              <w:tc>
                <w:tcPr>
                  <w:tcW w:w="420" w:type="pct"/>
                  <w:tcMar>
                    <w:left w:w="28" w:type="dxa"/>
                    <w:right w:w="28" w:type="dxa"/>
                  </w:tcMar>
                  <w:vAlign w:val="center"/>
                </w:tcPr>
                <w:p>
                  <w:pPr>
                    <w:pStyle w:val="39"/>
                    <w:jc w:val="center"/>
                    <w:rPr>
                      <w:color w:val="auto"/>
                    </w:rPr>
                  </w:pPr>
                  <w:r>
                    <w:rPr>
                      <w:rFonts w:hint="eastAsia"/>
                      <w:color w:val="auto"/>
                    </w:rPr>
                    <w:t>0.047</w:t>
                  </w:r>
                </w:p>
              </w:tc>
              <w:tc>
                <w:tcPr>
                  <w:tcW w:w="445" w:type="pct"/>
                  <w:tcMar>
                    <w:left w:w="28" w:type="dxa"/>
                    <w:right w:w="28" w:type="dxa"/>
                  </w:tcMar>
                  <w:vAlign w:val="center"/>
                </w:tcPr>
                <w:p>
                  <w:pPr>
                    <w:pStyle w:val="39"/>
                    <w:jc w:val="center"/>
                    <w:rPr>
                      <w:color w:val="auto"/>
                    </w:rPr>
                  </w:pPr>
                  <w:r>
                    <w:rPr>
                      <w:rFonts w:hint="eastAsia"/>
                      <w:color w:val="auto"/>
                    </w:rPr>
                    <w:t>0.00006</w:t>
                  </w:r>
                </w:p>
              </w:tc>
              <w:tc>
                <w:tcPr>
                  <w:tcW w:w="1040" w:type="pct"/>
                  <w:vMerge w:val="continue"/>
                  <w:tcMar>
                    <w:left w:w="28" w:type="dxa"/>
                    <w:right w:w="28" w:type="dxa"/>
                  </w:tcMar>
                  <w:vAlign w:val="center"/>
                </w:tcPr>
                <w:p>
                  <w:pPr>
                    <w:pStyle w:val="39"/>
                    <w:jc w:val="center"/>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3092" w:type="pct"/>
                  <w:gridSpan w:val="7"/>
                  <w:vMerge w:val="restart"/>
                  <w:tcMar>
                    <w:left w:w="28" w:type="dxa"/>
                    <w:right w:w="28" w:type="dxa"/>
                  </w:tcMar>
                  <w:vAlign w:val="center"/>
                </w:tcPr>
                <w:p>
                  <w:pPr>
                    <w:pStyle w:val="39"/>
                    <w:jc w:val="center"/>
                    <w:rPr>
                      <w:color w:val="auto"/>
                    </w:rPr>
                  </w:pPr>
                  <w:r>
                    <w:rPr>
                      <w:color w:val="auto"/>
                    </w:rPr>
                    <w:t>合计</w:t>
                  </w:r>
                </w:p>
              </w:tc>
              <w:tc>
                <w:tcPr>
                  <w:tcW w:w="866" w:type="pct"/>
                  <w:gridSpan w:val="2"/>
                  <w:tcMar>
                    <w:left w:w="28" w:type="dxa"/>
                    <w:right w:w="28" w:type="dxa"/>
                  </w:tcMar>
                  <w:vAlign w:val="center"/>
                </w:tcPr>
                <w:p>
                  <w:pPr>
                    <w:pStyle w:val="39"/>
                    <w:jc w:val="center"/>
                    <w:rPr>
                      <w:color w:val="auto"/>
                    </w:rPr>
                  </w:pPr>
                  <w:r>
                    <w:rPr>
                      <w:color w:val="auto"/>
                    </w:rPr>
                    <w:t>项目</w:t>
                  </w:r>
                </w:p>
              </w:tc>
              <w:tc>
                <w:tcPr>
                  <w:tcW w:w="1040" w:type="pct"/>
                  <w:tcMar>
                    <w:left w:w="28" w:type="dxa"/>
                    <w:right w:w="28" w:type="dxa"/>
                  </w:tcMar>
                  <w:vAlign w:val="center"/>
                </w:tcPr>
                <w:p>
                  <w:pPr>
                    <w:pStyle w:val="39"/>
                    <w:jc w:val="center"/>
                    <w:rPr>
                      <w:color w:val="auto"/>
                    </w:rPr>
                  </w:pPr>
                  <w:r>
                    <w:rPr>
                      <w:color w:val="auto"/>
                    </w:rPr>
                    <w:t>排放量（t/a）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092" w:type="pct"/>
                  <w:gridSpan w:val="7"/>
                  <w:vMerge w:val="continue"/>
                  <w:tcMar>
                    <w:left w:w="28" w:type="dxa"/>
                    <w:right w:w="28" w:type="dxa"/>
                  </w:tcMar>
                  <w:vAlign w:val="center"/>
                </w:tcPr>
                <w:p>
                  <w:pPr>
                    <w:pStyle w:val="39"/>
                    <w:jc w:val="center"/>
                    <w:rPr>
                      <w:color w:val="auto"/>
                    </w:rPr>
                  </w:pPr>
                </w:p>
              </w:tc>
              <w:tc>
                <w:tcPr>
                  <w:tcW w:w="420" w:type="pct"/>
                  <w:tcMar>
                    <w:left w:w="28" w:type="dxa"/>
                    <w:right w:w="28" w:type="dxa"/>
                  </w:tcMar>
                  <w:vAlign w:val="center"/>
                </w:tcPr>
                <w:p>
                  <w:pPr>
                    <w:pStyle w:val="39"/>
                    <w:jc w:val="center"/>
                    <w:rPr>
                      <w:color w:val="auto"/>
                    </w:rPr>
                  </w:pPr>
                  <w:r>
                    <w:rPr>
                      <w:rFonts w:hint="eastAsia"/>
                      <w:color w:val="auto"/>
                    </w:rPr>
                    <w:t>有</w:t>
                  </w:r>
                  <w:r>
                    <w:rPr>
                      <w:color w:val="auto"/>
                    </w:rPr>
                    <w:t>组织</w:t>
                  </w:r>
                </w:p>
              </w:tc>
              <w:tc>
                <w:tcPr>
                  <w:tcW w:w="445" w:type="pct"/>
                  <w:vMerge w:val="restart"/>
                  <w:tcMar>
                    <w:left w:w="28" w:type="dxa"/>
                    <w:right w:w="28" w:type="dxa"/>
                  </w:tcMar>
                  <w:vAlign w:val="center"/>
                </w:tcPr>
                <w:p>
                  <w:pPr>
                    <w:pStyle w:val="39"/>
                    <w:jc w:val="center"/>
                    <w:rPr>
                      <w:color w:val="auto"/>
                    </w:rPr>
                  </w:pPr>
                  <w:r>
                    <w:rPr>
                      <w:color w:val="auto"/>
                    </w:rPr>
                    <w:t>颗粒物</w:t>
                  </w:r>
                </w:p>
              </w:tc>
              <w:tc>
                <w:tcPr>
                  <w:tcW w:w="1040" w:type="pct"/>
                  <w:tcMar>
                    <w:left w:w="28" w:type="dxa"/>
                    <w:right w:w="28" w:type="dxa"/>
                  </w:tcMar>
                  <w:vAlign w:val="center"/>
                </w:tcPr>
                <w:p>
                  <w:pPr>
                    <w:pStyle w:val="39"/>
                    <w:jc w:val="center"/>
                    <w:rPr>
                      <w:color w:val="auto"/>
                    </w:rPr>
                  </w:pPr>
                  <w:r>
                    <w:rPr>
                      <w:rFonts w:hint="eastAsia"/>
                      <w:color w:val="auto"/>
                    </w:rPr>
                    <w:t>0.02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092" w:type="pct"/>
                  <w:gridSpan w:val="7"/>
                  <w:vMerge w:val="continue"/>
                  <w:tcMar>
                    <w:left w:w="28" w:type="dxa"/>
                    <w:right w:w="28" w:type="dxa"/>
                  </w:tcMar>
                  <w:vAlign w:val="center"/>
                </w:tcPr>
                <w:p>
                  <w:pPr>
                    <w:pStyle w:val="39"/>
                    <w:jc w:val="center"/>
                    <w:rPr>
                      <w:color w:val="auto"/>
                    </w:rPr>
                  </w:pPr>
                </w:p>
              </w:tc>
              <w:tc>
                <w:tcPr>
                  <w:tcW w:w="420" w:type="pct"/>
                  <w:tcMar>
                    <w:left w:w="28" w:type="dxa"/>
                    <w:right w:w="28" w:type="dxa"/>
                  </w:tcMar>
                  <w:vAlign w:val="center"/>
                </w:tcPr>
                <w:p>
                  <w:pPr>
                    <w:pStyle w:val="39"/>
                    <w:jc w:val="center"/>
                    <w:rPr>
                      <w:color w:val="auto"/>
                    </w:rPr>
                  </w:pPr>
                  <w:r>
                    <w:rPr>
                      <w:rFonts w:hint="eastAsia"/>
                      <w:color w:val="auto"/>
                    </w:rPr>
                    <w:t>无组织</w:t>
                  </w:r>
                </w:p>
              </w:tc>
              <w:tc>
                <w:tcPr>
                  <w:tcW w:w="445" w:type="pct"/>
                  <w:vMerge w:val="continue"/>
                  <w:tcMar>
                    <w:left w:w="28" w:type="dxa"/>
                    <w:right w:w="28" w:type="dxa"/>
                  </w:tcMar>
                  <w:vAlign w:val="center"/>
                </w:tcPr>
                <w:p>
                  <w:pPr>
                    <w:pStyle w:val="39"/>
                    <w:jc w:val="center"/>
                    <w:rPr>
                      <w:color w:val="auto"/>
                    </w:rPr>
                  </w:pPr>
                </w:p>
              </w:tc>
              <w:tc>
                <w:tcPr>
                  <w:tcW w:w="1040" w:type="pct"/>
                  <w:tcMar>
                    <w:left w:w="28" w:type="dxa"/>
                    <w:right w:w="28" w:type="dxa"/>
                  </w:tcMar>
                  <w:vAlign w:val="center"/>
                </w:tcPr>
                <w:p>
                  <w:pPr>
                    <w:pStyle w:val="39"/>
                    <w:jc w:val="center"/>
                    <w:rPr>
                      <w:color w:val="auto"/>
                    </w:rPr>
                  </w:pPr>
                  <w:r>
                    <w:rPr>
                      <w:rFonts w:hint="eastAsia"/>
                      <w:color w:val="auto"/>
                    </w:rPr>
                    <w:t>2.09</w:t>
                  </w:r>
                </w:p>
              </w:tc>
            </w:tr>
          </w:tbl>
          <w:p>
            <w:pPr>
              <w:ind w:firstLine="482"/>
              <w:rPr>
                <w:b/>
                <w:bCs/>
                <w:color w:val="auto"/>
              </w:rPr>
            </w:pPr>
            <w:r>
              <w:rPr>
                <w:rFonts w:hint="eastAsia"/>
                <w:b/>
                <w:bCs/>
                <w:color w:val="auto"/>
              </w:rPr>
              <w:t>二、水环境影响分析</w:t>
            </w:r>
          </w:p>
          <w:p>
            <w:pPr>
              <w:ind w:firstLine="480"/>
              <w:rPr>
                <w:color w:val="auto"/>
                <w:lang w:val="zh-CN"/>
              </w:rPr>
            </w:pPr>
            <w:r>
              <w:rPr>
                <w:color w:val="auto"/>
                <w:lang w:val="zh-CN"/>
              </w:rPr>
              <w:t>项目用水量主要为混凝土配制用水（生产工艺用水）、设备清洗</w:t>
            </w:r>
            <w:r>
              <w:rPr>
                <w:rFonts w:hint="eastAsia"/>
                <w:color w:val="auto"/>
                <w:lang w:val="zh-CN"/>
              </w:rPr>
              <w:t>用水</w:t>
            </w:r>
            <w:r>
              <w:rPr>
                <w:color w:val="auto"/>
                <w:lang w:val="zh-CN"/>
              </w:rPr>
              <w:t>、场地冲洗用水和生活用水。项目生产工艺用水全部进入产品，不产生废水。</w:t>
            </w:r>
          </w:p>
          <w:p>
            <w:pPr>
              <w:ind w:firstLine="482"/>
              <w:rPr>
                <w:b/>
                <w:bCs/>
                <w:color w:val="auto"/>
                <w:lang w:val="zh-CN"/>
              </w:rPr>
            </w:pPr>
            <w:r>
              <w:rPr>
                <w:rFonts w:hint="eastAsia"/>
                <w:b/>
                <w:bCs/>
                <w:color w:val="auto"/>
              </w:rPr>
              <w:t>1.</w:t>
            </w:r>
            <w:r>
              <w:rPr>
                <w:b/>
                <w:bCs/>
                <w:color w:val="auto"/>
                <w:lang w:val="zh-CN"/>
              </w:rPr>
              <w:t>生产废水</w:t>
            </w:r>
          </w:p>
          <w:p>
            <w:pPr>
              <w:ind w:firstLine="480"/>
              <w:rPr>
                <w:color w:val="auto"/>
                <w:lang w:val="zh-CN"/>
              </w:rPr>
            </w:pPr>
            <w:r>
              <w:rPr>
                <w:color w:val="auto"/>
                <w:lang w:val="zh-CN"/>
              </w:rPr>
              <w:t>生产废水包括设备清洗废水和场地冲洗废水。根据前述水平衡分析，设备清洗废水和场地冲洗废水产生量为</w:t>
            </w:r>
            <w:r>
              <w:rPr>
                <w:rFonts w:hint="eastAsia"/>
                <w:color w:val="auto"/>
              </w:rPr>
              <w:t>3.2</w:t>
            </w:r>
            <w:r>
              <w:rPr>
                <w:color w:val="auto"/>
                <w:lang w:val="zh-CN"/>
              </w:rPr>
              <w:t>m</w:t>
            </w:r>
            <w:r>
              <w:rPr>
                <w:color w:val="auto"/>
                <w:vertAlign w:val="superscript"/>
                <w:lang w:val="zh-CN"/>
              </w:rPr>
              <w:t>3</w:t>
            </w:r>
            <w:r>
              <w:rPr>
                <w:color w:val="auto"/>
                <w:lang w:val="zh-CN"/>
              </w:rPr>
              <w:t>/</w:t>
            </w:r>
            <w:r>
              <w:rPr>
                <w:rFonts w:hint="eastAsia"/>
                <w:color w:val="auto"/>
              </w:rPr>
              <w:t>d（480</w:t>
            </w:r>
            <w:r>
              <w:rPr>
                <w:color w:val="auto"/>
                <w:lang w:val="zh-CN"/>
              </w:rPr>
              <w:t>m</w:t>
            </w:r>
            <w:r>
              <w:rPr>
                <w:color w:val="auto"/>
                <w:vertAlign w:val="superscript"/>
                <w:lang w:val="zh-CN"/>
              </w:rPr>
              <w:t>3</w:t>
            </w:r>
            <w:r>
              <w:rPr>
                <w:color w:val="auto"/>
                <w:lang w:val="zh-CN"/>
              </w:rPr>
              <w:t>/</w:t>
            </w:r>
            <w:r>
              <w:rPr>
                <w:rFonts w:hint="eastAsia"/>
                <w:color w:val="auto"/>
              </w:rPr>
              <w:t>a）</w:t>
            </w:r>
            <w:r>
              <w:rPr>
                <w:color w:val="auto"/>
                <w:lang w:val="zh-CN"/>
              </w:rPr>
              <w:t>，生产废水中主要污染物为悬浮物</w:t>
            </w:r>
            <w:r>
              <w:rPr>
                <w:rFonts w:hint="eastAsia"/>
                <w:color w:val="auto"/>
                <w:lang w:val="zh-CN"/>
              </w:rPr>
              <w:t>。</w:t>
            </w:r>
            <w:r>
              <w:rPr>
                <w:color w:val="auto"/>
                <w:lang w:val="zh-CN"/>
              </w:rPr>
              <w:t>项目产生生产废水经沉淀池处理后上清水回用至生产用水</w:t>
            </w:r>
            <w:r>
              <w:rPr>
                <w:rFonts w:hint="eastAsia"/>
                <w:color w:val="auto"/>
                <w:lang w:val="zh-CN"/>
              </w:rPr>
              <w:t>。</w:t>
            </w:r>
            <w:r>
              <w:rPr>
                <w:color w:val="auto"/>
                <w:lang w:val="zh-CN"/>
              </w:rPr>
              <w:t>因此，产生</w:t>
            </w:r>
            <w:r>
              <w:rPr>
                <w:rFonts w:hint="eastAsia"/>
                <w:color w:val="auto"/>
                <w:lang w:val="zh-CN"/>
              </w:rPr>
              <w:t>的</w:t>
            </w:r>
            <w:r>
              <w:rPr>
                <w:color w:val="auto"/>
                <w:lang w:val="zh-CN"/>
              </w:rPr>
              <w:t>废水不外排，不会对环境产生不良影响。</w:t>
            </w:r>
          </w:p>
          <w:p>
            <w:pPr>
              <w:ind w:firstLine="482"/>
              <w:rPr>
                <w:b/>
                <w:bCs/>
                <w:color w:val="auto"/>
                <w:lang w:val="zh-CN"/>
              </w:rPr>
            </w:pPr>
            <w:r>
              <w:rPr>
                <w:rFonts w:hint="eastAsia"/>
                <w:b/>
                <w:bCs/>
                <w:color w:val="auto"/>
              </w:rPr>
              <w:t>2</w:t>
            </w:r>
            <w:r>
              <w:rPr>
                <w:rFonts w:hint="eastAsia"/>
                <w:b/>
                <w:bCs/>
                <w:color w:val="auto"/>
                <w:lang w:val="en-US" w:eastAsia="zh-CN"/>
              </w:rPr>
              <w:t>.</w:t>
            </w:r>
            <w:r>
              <w:rPr>
                <w:b/>
                <w:bCs/>
                <w:color w:val="auto"/>
                <w:lang w:val="zh-CN"/>
              </w:rPr>
              <w:t>生活污水</w:t>
            </w:r>
          </w:p>
          <w:p>
            <w:pPr>
              <w:ind w:firstLine="480"/>
              <w:rPr>
                <w:color w:val="auto"/>
              </w:rPr>
            </w:pPr>
            <w:r>
              <w:rPr>
                <w:color w:val="auto"/>
              </w:rPr>
              <w:t>本项目劳动定员为</w:t>
            </w:r>
            <w:r>
              <w:rPr>
                <w:rFonts w:hint="eastAsia"/>
                <w:color w:val="auto"/>
              </w:rPr>
              <w:t>5</w:t>
            </w:r>
            <w:r>
              <w:rPr>
                <w:color w:val="auto"/>
              </w:rPr>
              <w:t>人，员工生活排水量为</w:t>
            </w:r>
            <w:r>
              <w:rPr>
                <w:rFonts w:hint="eastAsia"/>
                <w:color w:val="auto"/>
              </w:rPr>
              <w:t>0.24m</w:t>
            </w:r>
            <w:r>
              <w:rPr>
                <w:rFonts w:hint="eastAsia"/>
                <w:color w:val="auto"/>
                <w:vertAlign w:val="superscript"/>
              </w:rPr>
              <w:t>3</w:t>
            </w:r>
            <w:r>
              <w:rPr>
                <w:rFonts w:hint="eastAsia"/>
                <w:color w:val="auto"/>
              </w:rPr>
              <w:t>/d（36m</w:t>
            </w:r>
            <w:r>
              <w:rPr>
                <w:rFonts w:hint="eastAsia"/>
                <w:color w:val="auto"/>
                <w:vertAlign w:val="superscript"/>
              </w:rPr>
              <w:t>3</w:t>
            </w:r>
            <w:r>
              <w:rPr>
                <w:color w:val="auto"/>
              </w:rPr>
              <w:t>/a</w:t>
            </w:r>
            <w:r>
              <w:rPr>
                <w:rFonts w:hint="eastAsia"/>
                <w:color w:val="auto"/>
              </w:rPr>
              <w:t>）</w:t>
            </w:r>
            <w:r>
              <w:rPr>
                <w:color w:val="auto"/>
              </w:rPr>
              <w:t>。生活污水污染物主要为COD、BOD</w:t>
            </w:r>
            <w:r>
              <w:rPr>
                <w:color w:val="auto"/>
                <w:vertAlign w:val="subscript"/>
              </w:rPr>
              <w:t>5</w:t>
            </w:r>
            <w:r>
              <w:rPr>
                <w:color w:val="auto"/>
              </w:rPr>
              <w:t>、SS、NH</w:t>
            </w:r>
            <w:r>
              <w:rPr>
                <w:color w:val="auto"/>
                <w:vertAlign w:val="subscript"/>
              </w:rPr>
              <w:t>3</w:t>
            </w:r>
            <w:r>
              <w:rPr>
                <w:color w:val="auto"/>
              </w:rPr>
              <w:t>-N。根据《给水排水设计手册（第六册）》，我国北方典型生活污水水质，确定项目生活污水产生浓度分别为COD</w:t>
            </w:r>
            <w:r>
              <w:rPr>
                <w:rFonts w:hint="eastAsia"/>
                <w:color w:val="auto"/>
              </w:rPr>
              <w:t xml:space="preserve"> </w:t>
            </w:r>
            <w:r>
              <w:rPr>
                <w:color w:val="auto"/>
              </w:rPr>
              <w:t>350mg/L，BOD</w:t>
            </w:r>
            <w:r>
              <w:rPr>
                <w:color w:val="auto"/>
                <w:vertAlign w:val="subscript"/>
              </w:rPr>
              <w:t>5</w:t>
            </w:r>
            <w:r>
              <w:rPr>
                <w:rFonts w:hint="eastAsia"/>
                <w:color w:val="auto"/>
                <w:vertAlign w:val="subscript"/>
              </w:rPr>
              <w:t xml:space="preserve"> </w:t>
            </w:r>
            <w:r>
              <w:rPr>
                <w:color w:val="auto"/>
              </w:rPr>
              <w:t>240mg/L，SS</w:t>
            </w:r>
            <w:r>
              <w:rPr>
                <w:rFonts w:hint="eastAsia"/>
                <w:color w:val="auto"/>
              </w:rPr>
              <w:t xml:space="preserve"> </w:t>
            </w:r>
            <w:r>
              <w:rPr>
                <w:color w:val="auto"/>
              </w:rPr>
              <w:t>100mg/L，氨氮35mg/L。本项目污染物产排情况见</w:t>
            </w:r>
            <w:r>
              <w:rPr>
                <w:rFonts w:hint="eastAsia"/>
                <w:color w:val="auto"/>
              </w:rPr>
              <w:t>下</w:t>
            </w:r>
            <w:r>
              <w:rPr>
                <w:color w:val="auto"/>
              </w:rPr>
              <w:t>表</w:t>
            </w:r>
            <w:r>
              <w:rPr>
                <w:rFonts w:hint="eastAsia"/>
                <w:color w:val="auto"/>
              </w:rPr>
              <w:t>。</w:t>
            </w:r>
          </w:p>
          <w:p>
            <w:pPr>
              <w:pStyle w:val="25"/>
              <w:rPr>
                <w:color w:val="auto"/>
              </w:rPr>
            </w:pPr>
            <w:r>
              <w:rPr>
                <w:rFonts w:hint="eastAsia"/>
                <w:color w:val="auto"/>
              </w:rPr>
              <w:t>表4-7生活污水中各污染物产生浓度及产生量</w:t>
            </w:r>
          </w:p>
          <w:tbl>
            <w:tblPr>
              <w:tblStyle w:val="17"/>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62"/>
              <w:gridCol w:w="1563"/>
              <w:gridCol w:w="1562"/>
              <w:gridCol w:w="1562"/>
              <w:gridCol w:w="156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9" w:type="pct"/>
                  <w:vAlign w:val="center"/>
                </w:tcPr>
                <w:p>
                  <w:pPr>
                    <w:pStyle w:val="39"/>
                    <w:jc w:val="center"/>
                    <w:rPr>
                      <w:b/>
                      <w:bCs/>
                      <w:color w:val="auto"/>
                    </w:rPr>
                  </w:pPr>
                  <w:r>
                    <w:rPr>
                      <w:b/>
                      <w:bCs/>
                      <w:color w:val="auto"/>
                    </w:rPr>
                    <w:t>废水量</w:t>
                  </w:r>
                </w:p>
              </w:tc>
              <w:tc>
                <w:tcPr>
                  <w:tcW w:w="1000" w:type="pct"/>
                  <w:vAlign w:val="center"/>
                </w:tcPr>
                <w:p>
                  <w:pPr>
                    <w:pStyle w:val="39"/>
                    <w:jc w:val="center"/>
                    <w:rPr>
                      <w:b/>
                      <w:bCs/>
                      <w:color w:val="auto"/>
                    </w:rPr>
                  </w:pPr>
                  <w:r>
                    <w:rPr>
                      <w:b/>
                      <w:bCs/>
                      <w:color w:val="auto"/>
                    </w:rPr>
                    <w:t>COD</w:t>
                  </w:r>
                </w:p>
              </w:tc>
              <w:tc>
                <w:tcPr>
                  <w:tcW w:w="1000" w:type="pct"/>
                  <w:vAlign w:val="center"/>
                </w:tcPr>
                <w:p>
                  <w:pPr>
                    <w:pStyle w:val="39"/>
                    <w:jc w:val="center"/>
                    <w:rPr>
                      <w:b/>
                      <w:bCs/>
                      <w:color w:val="auto"/>
                    </w:rPr>
                  </w:pPr>
                  <w:r>
                    <w:rPr>
                      <w:b/>
                      <w:bCs/>
                      <w:color w:val="auto"/>
                    </w:rPr>
                    <w:t>BOD</w:t>
                  </w:r>
                  <w:r>
                    <w:rPr>
                      <w:b/>
                      <w:bCs/>
                      <w:color w:val="auto"/>
                      <w:vertAlign w:val="subscript"/>
                    </w:rPr>
                    <w:t>5</w:t>
                  </w:r>
                </w:p>
              </w:tc>
              <w:tc>
                <w:tcPr>
                  <w:tcW w:w="1000" w:type="pct"/>
                  <w:vAlign w:val="center"/>
                </w:tcPr>
                <w:p>
                  <w:pPr>
                    <w:pStyle w:val="39"/>
                    <w:jc w:val="center"/>
                    <w:rPr>
                      <w:b/>
                      <w:bCs/>
                      <w:color w:val="auto"/>
                    </w:rPr>
                  </w:pPr>
                  <w:r>
                    <w:rPr>
                      <w:b/>
                      <w:bCs/>
                      <w:color w:val="auto"/>
                    </w:rPr>
                    <w:t>SS</w:t>
                  </w:r>
                </w:p>
              </w:tc>
              <w:tc>
                <w:tcPr>
                  <w:tcW w:w="1000" w:type="pct"/>
                  <w:vAlign w:val="center"/>
                </w:tcPr>
                <w:p>
                  <w:pPr>
                    <w:pStyle w:val="39"/>
                    <w:jc w:val="center"/>
                    <w:rPr>
                      <w:b/>
                      <w:bCs/>
                      <w:color w:val="auto"/>
                    </w:rPr>
                  </w:pPr>
                  <w:r>
                    <w:rPr>
                      <w:b/>
                      <w:bCs/>
                      <w:color w:val="auto"/>
                    </w:rPr>
                    <w:t>NH</w:t>
                  </w:r>
                  <w:r>
                    <w:rPr>
                      <w:b/>
                      <w:bCs/>
                      <w:color w:val="auto"/>
                      <w:vertAlign w:val="subscript"/>
                    </w:rPr>
                    <w:t>3</w:t>
                  </w:r>
                  <w:r>
                    <w:rPr>
                      <w:b/>
                      <w:bCs/>
                      <w:color w:val="auto"/>
                    </w:rPr>
                    <w:t>-N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9" w:type="pct"/>
                  <w:vMerge w:val="restart"/>
                  <w:vAlign w:val="center"/>
                </w:tcPr>
                <w:p>
                  <w:pPr>
                    <w:pStyle w:val="39"/>
                    <w:jc w:val="center"/>
                    <w:rPr>
                      <w:color w:val="auto"/>
                    </w:rPr>
                  </w:pPr>
                  <w:r>
                    <w:rPr>
                      <w:rFonts w:hint="eastAsia"/>
                      <w:color w:val="auto"/>
                    </w:rPr>
                    <w:t>36</w:t>
                  </w:r>
                  <w:r>
                    <w:rPr>
                      <w:color w:val="auto"/>
                    </w:rPr>
                    <w:t>m</w:t>
                  </w:r>
                  <w:r>
                    <w:rPr>
                      <w:color w:val="auto"/>
                      <w:vertAlign w:val="superscript"/>
                    </w:rPr>
                    <w:t>3</w:t>
                  </w:r>
                  <w:r>
                    <w:rPr>
                      <w:color w:val="auto"/>
                    </w:rPr>
                    <w:t>/a</w:t>
                  </w:r>
                </w:p>
              </w:tc>
              <w:tc>
                <w:tcPr>
                  <w:tcW w:w="1000" w:type="pct"/>
                  <w:vAlign w:val="center"/>
                </w:tcPr>
                <w:p>
                  <w:pPr>
                    <w:pStyle w:val="39"/>
                    <w:jc w:val="center"/>
                    <w:rPr>
                      <w:color w:val="auto"/>
                    </w:rPr>
                  </w:pPr>
                  <w:r>
                    <w:rPr>
                      <w:color w:val="auto"/>
                    </w:rPr>
                    <w:t>350</w:t>
                  </w:r>
                </w:p>
              </w:tc>
              <w:tc>
                <w:tcPr>
                  <w:tcW w:w="1000" w:type="pct"/>
                  <w:vAlign w:val="center"/>
                </w:tcPr>
                <w:p>
                  <w:pPr>
                    <w:pStyle w:val="39"/>
                    <w:jc w:val="center"/>
                    <w:rPr>
                      <w:color w:val="auto"/>
                    </w:rPr>
                  </w:pPr>
                  <w:r>
                    <w:rPr>
                      <w:color w:val="auto"/>
                    </w:rPr>
                    <w:t>240</w:t>
                  </w:r>
                </w:p>
              </w:tc>
              <w:tc>
                <w:tcPr>
                  <w:tcW w:w="1000" w:type="pct"/>
                  <w:vAlign w:val="center"/>
                </w:tcPr>
                <w:p>
                  <w:pPr>
                    <w:pStyle w:val="39"/>
                    <w:jc w:val="center"/>
                    <w:rPr>
                      <w:color w:val="auto"/>
                    </w:rPr>
                  </w:pPr>
                  <w:r>
                    <w:rPr>
                      <w:color w:val="auto"/>
                    </w:rPr>
                    <w:t>100</w:t>
                  </w:r>
                </w:p>
              </w:tc>
              <w:tc>
                <w:tcPr>
                  <w:tcW w:w="1000" w:type="pct"/>
                  <w:vAlign w:val="center"/>
                </w:tcPr>
                <w:p>
                  <w:pPr>
                    <w:pStyle w:val="39"/>
                    <w:jc w:val="center"/>
                    <w:rPr>
                      <w:color w:val="auto"/>
                    </w:rPr>
                  </w:pPr>
                  <w:r>
                    <w:rPr>
                      <w:color w:val="auto"/>
                    </w:rPr>
                    <w:t>35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9" w:type="pct"/>
                  <w:vMerge w:val="continue"/>
                  <w:vAlign w:val="center"/>
                </w:tcPr>
                <w:p>
                  <w:pPr>
                    <w:pStyle w:val="39"/>
                    <w:jc w:val="center"/>
                    <w:rPr>
                      <w:color w:val="auto"/>
                    </w:rPr>
                  </w:pPr>
                </w:p>
              </w:tc>
              <w:tc>
                <w:tcPr>
                  <w:tcW w:w="1000" w:type="pct"/>
                  <w:vAlign w:val="center"/>
                </w:tcPr>
                <w:p>
                  <w:pPr>
                    <w:pStyle w:val="39"/>
                    <w:jc w:val="center"/>
                    <w:rPr>
                      <w:color w:val="auto"/>
                    </w:rPr>
                  </w:pPr>
                  <w:r>
                    <w:rPr>
                      <w:rFonts w:hint="eastAsia"/>
                      <w:color w:val="auto"/>
                    </w:rPr>
                    <w:t>0.013</w:t>
                  </w:r>
                </w:p>
              </w:tc>
              <w:tc>
                <w:tcPr>
                  <w:tcW w:w="1000" w:type="pct"/>
                  <w:vAlign w:val="center"/>
                </w:tcPr>
                <w:p>
                  <w:pPr>
                    <w:pStyle w:val="39"/>
                    <w:jc w:val="center"/>
                    <w:rPr>
                      <w:color w:val="auto"/>
                    </w:rPr>
                  </w:pPr>
                  <w:r>
                    <w:rPr>
                      <w:rFonts w:hint="eastAsia"/>
                      <w:color w:val="auto"/>
                    </w:rPr>
                    <w:t>0.009</w:t>
                  </w:r>
                </w:p>
              </w:tc>
              <w:tc>
                <w:tcPr>
                  <w:tcW w:w="1000" w:type="pct"/>
                  <w:vAlign w:val="center"/>
                </w:tcPr>
                <w:p>
                  <w:pPr>
                    <w:pStyle w:val="39"/>
                    <w:jc w:val="center"/>
                    <w:rPr>
                      <w:color w:val="auto"/>
                    </w:rPr>
                  </w:pPr>
                  <w:r>
                    <w:rPr>
                      <w:rFonts w:hint="eastAsia"/>
                      <w:color w:val="auto"/>
                    </w:rPr>
                    <w:t>0.004</w:t>
                  </w:r>
                </w:p>
              </w:tc>
              <w:tc>
                <w:tcPr>
                  <w:tcW w:w="1000" w:type="pct"/>
                  <w:vAlign w:val="center"/>
                </w:tcPr>
                <w:p>
                  <w:pPr>
                    <w:pStyle w:val="39"/>
                    <w:jc w:val="center"/>
                    <w:rPr>
                      <w:color w:val="auto"/>
                    </w:rPr>
                  </w:pPr>
                  <w:r>
                    <w:rPr>
                      <w:rFonts w:hint="eastAsia"/>
                      <w:color w:val="auto"/>
                    </w:rPr>
                    <w:t>0.001</w:t>
                  </w:r>
                </w:p>
              </w:tc>
            </w:tr>
          </w:tbl>
          <w:p>
            <w:pPr>
              <w:ind w:firstLine="480"/>
              <w:rPr>
                <w:color w:val="auto"/>
              </w:rPr>
            </w:pPr>
            <w:r>
              <w:rPr>
                <w:rFonts w:hint="eastAsia"/>
                <w:color w:val="auto"/>
              </w:rPr>
              <w:t>生活污水经化粪池处理后，定期拉运至内蒙古皓淇环境卫生管理有限公司污水处理厂处理。</w:t>
            </w:r>
          </w:p>
          <w:p>
            <w:pPr>
              <w:ind w:firstLine="482"/>
              <w:rPr>
                <w:b/>
                <w:color w:val="auto"/>
              </w:rPr>
            </w:pPr>
            <w:r>
              <w:rPr>
                <w:rFonts w:hint="eastAsia"/>
                <w:b/>
                <w:color w:val="auto"/>
              </w:rPr>
              <w:t>三、声环境影响分析</w:t>
            </w:r>
          </w:p>
          <w:p>
            <w:pPr>
              <w:adjustRightInd w:val="0"/>
              <w:snapToGrid w:val="0"/>
              <w:ind w:firstLine="482"/>
              <w:jc w:val="left"/>
              <w:rPr>
                <w:b/>
                <w:bCs/>
                <w:color w:val="auto"/>
                <w:szCs w:val="21"/>
              </w:rPr>
            </w:pPr>
            <w:r>
              <w:rPr>
                <w:b/>
                <w:bCs/>
                <w:color w:val="auto"/>
                <w:szCs w:val="21"/>
              </w:rPr>
              <w:t>1</w:t>
            </w:r>
            <w:r>
              <w:rPr>
                <w:rFonts w:hint="eastAsia"/>
                <w:b/>
                <w:bCs/>
                <w:color w:val="auto"/>
                <w:szCs w:val="21"/>
              </w:rPr>
              <w:t>.</w:t>
            </w:r>
            <w:r>
              <w:rPr>
                <w:b/>
                <w:bCs/>
                <w:color w:val="auto"/>
                <w:szCs w:val="21"/>
              </w:rPr>
              <w:t>噪声源强</w:t>
            </w:r>
          </w:p>
          <w:p>
            <w:pPr>
              <w:adjustRightInd w:val="0"/>
              <w:snapToGrid w:val="0"/>
              <w:ind w:firstLine="480"/>
              <w:jc w:val="left"/>
              <w:rPr>
                <w:color w:val="auto"/>
                <w:szCs w:val="21"/>
              </w:rPr>
            </w:pPr>
            <w:r>
              <w:rPr>
                <w:color w:val="auto"/>
                <w:szCs w:val="21"/>
              </w:rPr>
              <w:t>本项目运营期噪声源为搅拌楼、运输车辆、装载机、输送带装置等运行产生的噪声污染，声源源强在</w:t>
            </w:r>
            <w:r>
              <w:rPr>
                <w:rFonts w:hint="eastAsia"/>
                <w:color w:val="auto"/>
                <w:szCs w:val="21"/>
              </w:rPr>
              <w:t>7</w:t>
            </w:r>
            <w:r>
              <w:rPr>
                <w:color w:val="auto"/>
                <w:szCs w:val="21"/>
              </w:rPr>
              <w:t>0-</w:t>
            </w:r>
            <w:r>
              <w:rPr>
                <w:rFonts w:hint="eastAsia"/>
                <w:color w:val="auto"/>
                <w:szCs w:val="21"/>
              </w:rPr>
              <w:t>85</w:t>
            </w:r>
            <w:r>
              <w:rPr>
                <w:color w:val="auto"/>
                <w:szCs w:val="21"/>
              </w:rPr>
              <w:t>dB（A）之间，主要机械设备的噪声值见下表。</w:t>
            </w:r>
          </w:p>
          <w:p>
            <w:pPr>
              <w:pStyle w:val="25"/>
              <w:rPr>
                <w:color w:val="auto"/>
              </w:rPr>
            </w:pPr>
            <w:r>
              <w:rPr>
                <w:color w:val="auto"/>
              </w:rPr>
              <w:t>表4-</w:t>
            </w:r>
            <w:r>
              <w:rPr>
                <w:rFonts w:hint="eastAsia"/>
                <w:color w:val="auto"/>
              </w:rPr>
              <w:t>8</w:t>
            </w:r>
            <w:r>
              <w:rPr>
                <w:color w:val="auto"/>
              </w:rPr>
              <w:t>项目噪声源强表</w:t>
            </w:r>
          </w:p>
          <w:tbl>
            <w:tblPr>
              <w:tblStyle w:val="17"/>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89"/>
              <w:gridCol w:w="1400"/>
              <w:gridCol w:w="1534"/>
              <w:gridCol w:w="1362"/>
              <w:gridCol w:w="1362"/>
              <w:gridCol w:w="136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05" w:type="pct"/>
                  <w:vAlign w:val="center"/>
                </w:tcPr>
                <w:p>
                  <w:pPr>
                    <w:pStyle w:val="39"/>
                    <w:jc w:val="center"/>
                    <w:rPr>
                      <w:b/>
                      <w:bCs/>
                      <w:color w:val="auto"/>
                    </w:rPr>
                  </w:pPr>
                  <w:r>
                    <w:rPr>
                      <w:b/>
                      <w:bCs/>
                      <w:color w:val="auto"/>
                    </w:rPr>
                    <w:t>序号</w:t>
                  </w:r>
                </w:p>
              </w:tc>
              <w:tc>
                <w:tcPr>
                  <w:tcW w:w="895" w:type="pct"/>
                  <w:vAlign w:val="center"/>
                </w:tcPr>
                <w:p>
                  <w:pPr>
                    <w:pStyle w:val="39"/>
                    <w:jc w:val="center"/>
                    <w:rPr>
                      <w:b/>
                      <w:bCs/>
                      <w:color w:val="auto"/>
                    </w:rPr>
                  </w:pPr>
                  <w:r>
                    <w:rPr>
                      <w:b/>
                      <w:bCs/>
                      <w:color w:val="auto"/>
                    </w:rPr>
                    <w:t>设备名称</w:t>
                  </w:r>
                </w:p>
              </w:tc>
              <w:tc>
                <w:tcPr>
                  <w:tcW w:w="981" w:type="pct"/>
                  <w:vAlign w:val="center"/>
                </w:tcPr>
                <w:p>
                  <w:pPr>
                    <w:pStyle w:val="39"/>
                    <w:jc w:val="center"/>
                    <w:rPr>
                      <w:b/>
                      <w:bCs/>
                      <w:color w:val="auto"/>
                    </w:rPr>
                  </w:pPr>
                  <w:r>
                    <w:rPr>
                      <w:b/>
                      <w:bCs/>
                      <w:color w:val="auto"/>
                    </w:rPr>
                    <w:t>噪声源强dB（A）</w:t>
                  </w:r>
                </w:p>
              </w:tc>
              <w:tc>
                <w:tcPr>
                  <w:tcW w:w="871" w:type="pct"/>
                  <w:vAlign w:val="center"/>
                </w:tcPr>
                <w:p>
                  <w:pPr>
                    <w:pStyle w:val="39"/>
                    <w:jc w:val="center"/>
                    <w:rPr>
                      <w:b/>
                      <w:bCs/>
                      <w:color w:val="auto"/>
                    </w:rPr>
                  </w:pPr>
                  <w:r>
                    <w:rPr>
                      <w:rFonts w:hint="eastAsia"/>
                      <w:b/>
                      <w:bCs/>
                      <w:color w:val="auto"/>
                    </w:rPr>
                    <w:t>防治措施</w:t>
                  </w:r>
                </w:p>
              </w:tc>
              <w:tc>
                <w:tcPr>
                  <w:tcW w:w="871" w:type="pct"/>
                  <w:vAlign w:val="center"/>
                </w:tcPr>
                <w:p>
                  <w:pPr>
                    <w:pStyle w:val="39"/>
                    <w:jc w:val="center"/>
                    <w:rPr>
                      <w:b/>
                      <w:bCs/>
                      <w:color w:val="auto"/>
                    </w:rPr>
                  </w:pPr>
                  <w:r>
                    <w:rPr>
                      <w:rFonts w:hint="eastAsia"/>
                      <w:b/>
                      <w:bCs/>
                      <w:color w:val="auto"/>
                    </w:rPr>
                    <w:t>降噪量</w:t>
                  </w:r>
                  <w:r>
                    <w:rPr>
                      <w:b/>
                      <w:bCs/>
                      <w:color w:val="auto"/>
                    </w:rPr>
                    <w:t>dB（A）</w:t>
                  </w:r>
                </w:p>
              </w:tc>
              <w:tc>
                <w:tcPr>
                  <w:tcW w:w="872" w:type="pct"/>
                  <w:vAlign w:val="center"/>
                </w:tcPr>
                <w:p>
                  <w:pPr>
                    <w:pStyle w:val="39"/>
                    <w:jc w:val="center"/>
                    <w:rPr>
                      <w:b/>
                      <w:bCs/>
                      <w:color w:val="auto"/>
                    </w:rPr>
                  </w:pPr>
                  <w:r>
                    <w:rPr>
                      <w:rFonts w:hint="eastAsia"/>
                      <w:b/>
                      <w:bCs/>
                      <w:color w:val="auto"/>
                    </w:rPr>
                    <w:t>排放源强</w:t>
                  </w:r>
                </w:p>
                <w:p>
                  <w:pPr>
                    <w:pStyle w:val="39"/>
                    <w:jc w:val="center"/>
                    <w:rPr>
                      <w:b/>
                      <w:bCs/>
                      <w:color w:val="auto"/>
                    </w:rPr>
                  </w:pPr>
                  <w:r>
                    <w:rPr>
                      <w:b/>
                      <w:bCs/>
                      <w:color w:val="auto"/>
                    </w:rPr>
                    <w:t>dB（A）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05" w:type="pct"/>
                  <w:vAlign w:val="center"/>
                </w:tcPr>
                <w:p>
                  <w:pPr>
                    <w:pStyle w:val="39"/>
                    <w:jc w:val="center"/>
                    <w:rPr>
                      <w:color w:val="auto"/>
                    </w:rPr>
                  </w:pPr>
                  <w:r>
                    <w:rPr>
                      <w:color w:val="auto"/>
                    </w:rPr>
                    <w:t>1</w:t>
                  </w:r>
                </w:p>
              </w:tc>
              <w:tc>
                <w:tcPr>
                  <w:tcW w:w="895" w:type="pct"/>
                  <w:vAlign w:val="center"/>
                </w:tcPr>
                <w:p>
                  <w:pPr>
                    <w:pStyle w:val="39"/>
                    <w:jc w:val="center"/>
                    <w:rPr>
                      <w:color w:val="auto"/>
                    </w:rPr>
                  </w:pPr>
                  <w:r>
                    <w:rPr>
                      <w:color w:val="auto"/>
                    </w:rPr>
                    <w:t>搅拌机</w:t>
                  </w:r>
                </w:p>
              </w:tc>
              <w:tc>
                <w:tcPr>
                  <w:tcW w:w="981" w:type="pct"/>
                  <w:vAlign w:val="center"/>
                </w:tcPr>
                <w:p>
                  <w:pPr>
                    <w:pStyle w:val="39"/>
                    <w:jc w:val="center"/>
                    <w:rPr>
                      <w:color w:val="auto"/>
                    </w:rPr>
                  </w:pPr>
                  <w:r>
                    <w:rPr>
                      <w:rFonts w:hint="eastAsia"/>
                      <w:color w:val="auto"/>
                    </w:rPr>
                    <w:t>70</w:t>
                  </w:r>
                </w:p>
              </w:tc>
              <w:tc>
                <w:tcPr>
                  <w:tcW w:w="871" w:type="pct"/>
                  <w:vMerge w:val="restart"/>
                  <w:vAlign w:val="center"/>
                </w:tcPr>
                <w:p>
                  <w:pPr>
                    <w:pStyle w:val="39"/>
                    <w:jc w:val="center"/>
                    <w:rPr>
                      <w:color w:val="auto"/>
                    </w:rPr>
                  </w:pPr>
                  <w:r>
                    <w:rPr>
                      <w:color w:val="auto"/>
                    </w:rPr>
                    <w:t>选购低噪声设备、厂房隔音、基础减振</w:t>
                  </w:r>
                </w:p>
              </w:tc>
              <w:tc>
                <w:tcPr>
                  <w:tcW w:w="871" w:type="pct"/>
                  <w:vAlign w:val="center"/>
                </w:tcPr>
                <w:p>
                  <w:pPr>
                    <w:pStyle w:val="39"/>
                    <w:jc w:val="center"/>
                    <w:rPr>
                      <w:color w:val="auto"/>
                    </w:rPr>
                  </w:pPr>
                  <w:r>
                    <w:rPr>
                      <w:rFonts w:hint="eastAsia"/>
                      <w:color w:val="auto"/>
                    </w:rPr>
                    <w:t>20</w:t>
                  </w:r>
                </w:p>
              </w:tc>
              <w:tc>
                <w:tcPr>
                  <w:tcW w:w="872" w:type="pct"/>
                  <w:vAlign w:val="center"/>
                </w:tcPr>
                <w:p>
                  <w:pPr>
                    <w:pStyle w:val="39"/>
                    <w:jc w:val="center"/>
                    <w:rPr>
                      <w:color w:val="auto"/>
                    </w:rPr>
                  </w:pPr>
                  <w:r>
                    <w:rPr>
                      <w:rFonts w:hint="eastAsia"/>
                      <w:color w:val="auto"/>
                    </w:rPr>
                    <w:t>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505" w:type="pct"/>
                  <w:vAlign w:val="center"/>
                </w:tcPr>
                <w:p>
                  <w:pPr>
                    <w:pStyle w:val="39"/>
                    <w:jc w:val="center"/>
                    <w:rPr>
                      <w:color w:val="auto"/>
                    </w:rPr>
                  </w:pPr>
                  <w:r>
                    <w:rPr>
                      <w:rFonts w:hint="eastAsia"/>
                      <w:color w:val="auto"/>
                    </w:rPr>
                    <w:t>2</w:t>
                  </w:r>
                </w:p>
              </w:tc>
              <w:tc>
                <w:tcPr>
                  <w:tcW w:w="895" w:type="pct"/>
                  <w:vAlign w:val="center"/>
                </w:tcPr>
                <w:p>
                  <w:pPr>
                    <w:pStyle w:val="39"/>
                    <w:jc w:val="center"/>
                    <w:rPr>
                      <w:color w:val="auto"/>
                    </w:rPr>
                  </w:pPr>
                  <w:r>
                    <w:rPr>
                      <w:color w:val="auto"/>
                    </w:rPr>
                    <w:t>输送带装置</w:t>
                  </w:r>
                </w:p>
              </w:tc>
              <w:tc>
                <w:tcPr>
                  <w:tcW w:w="981" w:type="pct"/>
                  <w:vAlign w:val="center"/>
                </w:tcPr>
                <w:p>
                  <w:pPr>
                    <w:pStyle w:val="39"/>
                    <w:jc w:val="center"/>
                    <w:rPr>
                      <w:color w:val="auto"/>
                    </w:rPr>
                  </w:pPr>
                  <w:r>
                    <w:rPr>
                      <w:rFonts w:hint="eastAsia"/>
                      <w:color w:val="auto"/>
                    </w:rPr>
                    <w:t>80</w:t>
                  </w:r>
                </w:p>
              </w:tc>
              <w:tc>
                <w:tcPr>
                  <w:tcW w:w="871" w:type="pct"/>
                  <w:vMerge w:val="continue"/>
                  <w:vAlign w:val="center"/>
                </w:tcPr>
                <w:p>
                  <w:pPr>
                    <w:pStyle w:val="39"/>
                    <w:jc w:val="center"/>
                    <w:rPr>
                      <w:color w:val="auto"/>
                    </w:rPr>
                  </w:pPr>
                </w:p>
              </w:tc>
              <w:tc>
                <w:tcPr>
                  <w:tcW w:w="871" w:type="pct"/>
                  <w:vAlign w:val="center"/>
                </w:tcPr>
                <w:p>
                  <w:pPr>
                    <w:pStyle w:val="39"/>
                    <w:jc w:val="center"/>
                    <w:rPr>
                      <w:color w:val="auto"/>
                    </w:rPr>
                  </w:pPr>
                  <w:r>
                    <w:rPr>
                      <w:rFonts w:hint="eastAsia"/>
                      <w:color w:val="auto"/>
                    </w:rPr>
                    <w:t>20</w:t>
                  </w:r>
                </w:p>
              </w:tc>
              <w:tc>
                <w:tcPr>
                  <w:tcW w:w="872" w:type="pct"/>
                  <w:vAlign w:val="center"/>
                </w:tcPr>
                <w:p>
                  <w:pPr>
                    <w:pStyle w:val="39"/>
                    <w:jc w:val="center"/>
                    <w:rPr>
                      <w:color w:val="auto"/>
                    </w:rPr>
                  </w:pPr>
                  <w:r>
                    <w:rPr>
                      <w:rFonts w:hint="eastAsia"/>
                      <w:color w:val="auto"/>
                    </w:rPr>
                    <w:t>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505" w:type="pct"/>
                  <w:vAlign w:val="center"/>
                </w:tcPr>
                <w:p>
                  <w:pPr>
                    <w:pStyle w:val="39"/>
                    <w:jc w:val="center"/>
                    <w:rPr>
                      <w:color w:val="auto"/>
                    </w:rPr>
                  </w:pPr>
                  <w:r>
                    <w:rPr>
                      <w:rFonts w:hint="eastAsia"/>
                      <w:color w:val="auto"/>
                    </w:rPr>
                    <w:t>3</w:t>
                  </w:r>
                </w:p>
              </w:tc>
              <w:tc>
                <w:tcPr>
                  <w:tcW w:w="895" w:type="pct"/>
                  <w:vAlign w:val="center"/>
                </w:tcPr>
                <w:p>
                  <w:pPr>
                    <w:pStyle w:val="39"/>
                    <w:jc w:val="center"/>
                    <w:rPr>
                      <w:color w:val="auto"/>
                    </w:rPr>
                  </w:pPr>
                  <w:r>
                    <w:rPr>
                      <w:color w:val="auto"/>
                    </w:rPr>
                    <w:t>泵</w:t>
                  </w:r>
                </w:p>
              </w:tc>
              <w:tc>
                <w:tcPr>
                  <w:tcW w:w="981" w:type="pct"/>
                  <w:vAlign w:val="center"/>
                </w:tcPr>
                <w:p>
                  <w:pPr>
                    <w:pStyle w:val="39"/>
                    <w:jc w:val="center"/>
                    <w:rPr>
                      <w:color w:val="auto"/>
                    </w:rPr>
                  </w:pPr>
                  <w:r>
                    <w:rPr>
                      <w:rFonts w:hint="eastAsia"/>
                      <w:color w:val="auto"/>
                    </w:rPr>
                    <w:t>80</w:t>
                  </w:r>
                </w:p>
              </w:tc>
              <w:tc>
                <w:tcPr>
                  <w:tcW w:w="871" w:type="pct"/>
                  <w:vMerge w:val="continue"/>
                  <w:vAlign w:val="center"/>
                </w:tcPr>
                <w:p>
                  <w:pPr>
                    <w:pStyle w:val="39"/>
                    <w:jc w:val="center"/>
                    <w:rPr>
                      <w:color w:val="auto"/>
                    </w:rPr>
                  </w:pPr>
                </w:p>
              </w:tc>
              <w:tc>
                <w:tcPr>
                  <w:tcW w:w="871" w:type="pct"/>
                  <w:vAlign w:val="center"/>
                </w:tcPr>
                <w:p>
                  <w:pPr>
                    <w:pStyle w:val="39"/>
                    <w:jc w:val="center"/>
                    <w:rPr>
                      <w:color w:val="auto"/>
                    </w:rPr>
                  </w:pPr>
                  <w:r>
                    <w:rPr>
                      <w:rFonts w:hint="eastAsia"/>
                      <w:color w:val="auto"/>
                    </w:rPr>
                    <w:t>20</w:t>
                  </w:r>
                </w:p>
              </w:tc>
              <w:tc>
                <w:tcPr>
                  <w:tcW w:w="872" w:type="pct"/>
                  <w:vAlign w:val="center"/>
                </w:tcPr>
                <w:p>
                  <w:pPr>
                    <w:pStyle w:val="39"/>
                    <w:jc w:val="center"/>
                    <w:rPr>
                      <w:color w:val="auto"/>
                    </w:rPr>
                  </w:pPr>
                  <w:r>
                    <w:rPr>
                      <w:rFonts w:hint="eastAsia"/>
                      <w:color w:val="auto"/>
                    </w:rPr>
                    <w:t>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505" w:type="pct"/>
                  <w:vAlign w:val="center"/>
                </w:tcPr>
                <w:p>
                  <w:pPr>
                    <w:pStyle w:val="39"/>
                    <w:jc w:val="center"/>
                    <w:rPr>
                      <w:color w:val="auto"/>
                    </w:rPr>
                  </w:pPr>
                  <w:r>
                    <w:rPr>
                      <w:color w:val="auto"/>
                    </w:rPr>
                    <w:t>4</w:t>
                  </w:r>
                </w:p>
              </w:tc>
              <w:tc>
                <w:tcPr>
                  <w:tcW w:w="895" w:type="pct"/>
                  <w:vAlign w:val="center"/>
                </w:tcPr>
                <w:p>
                  <w:pPr>
                    <w:pStyle w:val="39"/>
                    <w:jc w:val="center"/>
                    <w:rPr>
                      <w:color w:val="auto"/>
                    </w:rPr>
                  </w:pPr>
                  <w:r>
                    <w:rPr>
                      <w:color w:val="auto"/>
                    </w:rPr>
                    <w:t>运输车辆</w:t>
                  </w:r>
                </w:p>
              </w:tc>
              <w:tc>
                <w:tcPr>
                  <w:tcW w:w="981" w:type="pct"/>
                  <w:vAlign w:val="center"/>
                </w:tcPr>
                <w:p>
                  <w:pPr>
                    <w:pStyle w:val="39"/>
                    <w:jc w:val="center"/>
                    <w:rPr>
                      <w:color w:val="auto"/>
                    </w:rPr>
                  </w:pPr>
                  <w:r>
                    <w:rPr>
                      <w:rFonts w:hint="eastAsia"/>
                      <w:color w:val="auto"/>
                    </w:rPr>
                    <w:t>75</w:t>
                  </w:r>
                </w:p>
              </w:tc>
              <w:tc>
                <w:tcPr>
                  <w:tcW w:w="871" w:type="pct"/>
                  <w:vMerge w:val="restart"/>
                  <w:vAlign w:val="center"/>
                </w:tcPr>
                <w:p>
                  <w:pPr>
                    <w:pStyle w:val="39"/>
                    <w:jc w:val="center"/>
                    <w:rPr>
                      <w:color w:val="auto"/>
                    </w:rPr>
                  </w:pPr>
                  <w:r>
                    <w:rPr>
                      <w:color w:val="auto"/>
                    </w:rPr>
                    <w:t>限速、禁止鸣笛</w:t>
                  </w:r>
                </w:p>
              </w:tc>
              <w:tc>
                <w:tcPr>
                  <w:tcW w:w="871" w:type="pct"/>
                  <w:vAlign w:val="center"/>
                </w:tcPr>
                <w:p>
                  <w:pPr>
                    <w:pStyle w:val="39"/>
                    <w:jc w:val="center"/>
                    <w:rPr>
                      <w:color w:val="auto"/>
                    </w:rPr>
                  </w:pPr>
                  <w:r>
                    <w:rPr>
                      <w:rFonts w:hint="eastAsia"/>
                      <w:color w:val="auto"/>
                    </w:rPr>
                    <w:t>20</w:t>
                  </w:r>
                </w:p>
              </w:tc>
              <w:tc>
                <w:tcPr>
                  <w:tcW w:w="872" w:type="pct"/>
                  <w:vAlign w:val="center"/>
                </w:tcPr>
                <w:p>
                  <w:pPr>
                    <w:pStyle w:val="39"/>
                    <w:jc w:val="center"/>
                    <w:rPr>
                      <w:color w:val="auto"/>
                    </w:rPr>
                  </w:pPr>
                  <w:r>
                    <w:rPr>
                      <w:rFonts w:hint="eastAsia"/>
                      <w:color w:val="auto"/>
                    </w:rPr>
                    <w:t>55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505" w:type="pct"/>
                  <w:vAlign w:val="center"/>
                </w:tcPr>
                <w:p>
                  <w:pPr>
                    <w:pStyle w:val="39"/>
                    <w:jc w:val="center"/>
                    <w:rPr>
                      <w:color w:val="auto"/>
                    </w:rPr>
                  </w:pPr>
                  <w:r>
                    <w:rPr>
                      <w:rFonts w:hint="eastAsia"/>
                      <w:color w:val="auto"/>
                    </w:rPr>
                    <w:t>5</w:t>
                  </w:r>
                </w:p>
              </w:tc>
              <w:tc>
                <w:tcPr>
                  <w:tcW w:w="895" w:type="pct"/>
                  <w:vAlign w:val="center"/>
                </w:tcPr>
                <w:p>
                  <w:pPr>
                    <w:pStyle w:val="39"/>
                    <w:jc w:val="center"/>
                    <w:rPr>
                      <w:color w:val="auto"/>
                    </w:rPr>
                  </w:pPr>
                  <w:r>
                    <w:rPr>
                      <w:color w:val="auto"/>
                    </w:rPr>
                    <w:t>装载机</w:t>
                  </w:r>
                </w:p>
              </w:tc>
              <w:tc>
                <w:tcPr>
                  <w:tcW w:w="981" w:type="pct"/>
                  <w:vAlign w:val="center"/>
                </w:tcPr>
                <w:p>
                  <w:pPr>
                    <w:pStyle w:val="39"/>
                    <w:jc w:val="center"/>
                    <w:rPr>
                      <w:color w:val="auto"/>
                    </w:rPr>
                  </w:pPr>
                  <w:r>
                    <w:rPr>
                      <w:rFonts w:hint="eastAsia"/>
                      <w:color w:val="auto"/>
                    </w:rPr>
                    <w:t>85</w:t>
                  </w:r>
                </w:p>
              </w:tc>
              <w:tc>
                <w:tcPr>
                  <w:tcW w:w="871" w:type="pct"/>
                  <w:vMerge w:val="continue"/>
                  <w:vAlign w:val="center"/>
                </w:tcPr>
                <w:p>
                  <w:pPr>
                    <w:pStyle w:val="39"/>
                    <w:jc w:val="center"/>
                    <w:rPr>
                      <w:color w:val="auto"/>
                    </w:rPr>
                  </w:pPr>
                </w:p>
              </w:tc>
              <w:tc>
                <w:tcPr>
                  <w:tcW w:w="871" w:type="pct"/>
                  <w:vAlign w:val="center"/>
                </w:tcPr>
                <w:p>
                  <w:pPr>
                    <w:pStyle w:val="39"/>
                    <w:jc w:val="center"/>
                    <w:rPr>
                      <w:color w:val="auto"/>
                    </w:rPr>
                  </w:pPr>
                  <w:r>
                    <w:rPr>
                      <w:rFonts w:hint="eastAsia"/>
                      <w:color w:val="auto"/>
                    </w:rPr>
                    <w:t>20</w:t>
                  </w:r>
                </w:p>
              </w:tc>
              <w:tc>
                <w:tcPr>
                  <w:tcW w:w="872" w:type="pct"/>
                  <w:vAlign w:val="center"/>
                </w:tcPr>
                <w:p>
                  <w:pPr>
                    <w:pStyle w:val="39"/>
                    <w:jc w:val="center"/>
                    <w:rPr>
                      <w:color w:val="auto"/>
                    </w:rPr>
                  </w:pPr>
                  <w:r>
                    <w:rPr>
                      <w:rFonts w:hint="eastAsia"/>
                      <w:color w:val="auto"/>
                    </w:rPr>
                    <w:t>65</w:t>
                  </w:r>
                </w:p>
              </w:tc>
            </w:tr>
          </w:tbl>
          <w:p>
            <w:pPr>
              <w:ind w:left="480" w:leftChars="200" w:firstLine="0" w:firstLineChars="0"/>
              <w:rPr>
                <w:b/>
                <w:bCs/>
                <w:color w:val="auto"/>
              </w:rPr>
            </w:pPr>
            <w:r>
              <w:rPr>
                <w:rFonts w:hint="eastAsia"/>
                <w:b/>
                <w:bCs/>
                <w:color w:val="auto"/>
              </w:rPr>
              <w:t>2.噪声预测</w:t>
            </w:r>
          </w:p>
          <w:p>
            <w:pPr>
              <w:ind w:firstLine="480"/>
              <w:rPr>
                <w:color w:val="auto"/>
              </w:rPr>
            </w:pPr>
            <w:r>
              <w:rPr>
                <w:rFonts w:hint="eastAsia"/>
                <w:color w:val="auto"/>
              </w:rPr>
              <w:t>（1）预测模式采用《环境影响评价技术导则声环境》（</w:t>
            </w:r>
            <w:r>
              <w:rPr>
                <w:color w:val="auto"/>
              </w:rPr>
              <w:t>HJ2.4-2021</w:t>
            </w:r>
            <w:r>
              <w:rPr>
                <w:rFonts w:hint="eastAsia"/>
                <w:color w:val="auto"/>
              </w:rPr>
              <w:t>）中推荐的模型。其计算公式如下：</w:t>
            </w:r>
          </w:p>
          <w:p>
            <w:pPr>
              <w:ind w:firstLine="480"/>
              <w:jc w:val="center"/>
              <w:rPr>
                <w:color w:val="auto"/>
                <w:lang w:val="de-DE"/>
              </w:rPr>
            </w:pPr>
            <w:r>
              <w:rPr>
                <w:color w:val="auto"/>
                <w:lang w:val="de-DE"/>
              </w:rPr>
              <w:t>L</w:t>
            </w:r>
            <w:r>
              <w:rPr>
                <w:color w:val="auto"/>
                <w:vertAlign w:val="subscript"/>
                <w:lang w:val="de-DE"/>
              </w:rPr>
              <w:t>p</w:t>
            </w:r>
            <w:r>
              <w:rPr>
                <w:rFonts w:hint="eastAsia"/>
                <w:color w:val="auto"/>
                <w:lang w:val="de-DE"/>
              </w:rPr>
              <w:t>（</w:t>
            </w:r>
            <w:r>
              <w:rPr>
                <w:color w:val="auto"/>
                <w:lang w:val="de-DE"/>
              </w:rPr>
              <w:t>r</w:t>
            </w:r>
            <w:r>
              <w:rPr>
                <w:rFonts w:hint="eastAsia"/>
                <w:color w:val="auto"/>
                <w:lang w:val="de-DE"/>
              </w:rPr>
              <w:t>）</w:t>
            </w:r>
            <w:r>
              <w:rPr>
                <w:color w:val="auto"/>
                <w:lang w:val="de-DE"/>
              </w:rPr>
              <w:t>=L</w:t>
            </w:r>
            <w:r>
              <w:rPr>
                <w:color w:val="auto"/>
                <w:vertAlign w:val="subscript"/>
                <w:lang w:val="de-DE"/>
              </w:rPr>
              <w:t>p</w:t>
            </w:r>
            <w:r>
              <w:rPr>
                <w:rFonts w:hint="eastAsia"/>
                <w:color w:val="auto"/>
                <w:lang w:val="de-DE"/>
              </w:rPr>
              <w:t>（</w:t>
            </w:r>
            <w:r>
              <w:rPr>
                <w:color w:val="auto"/>
                <w:lang w:val="de-DE"/>
              </w:rPr>
              <w:t>r</w:t>
            </w:r>
            <w:r>
              <w:rPr>
                <w:color w:val="auto"/>
                <w:vertAlign w:val="subscript"/>
                <w:lang w:val="de-DE"/>
              </w:rPr>
              <w:t>0</w:t>
            </w:r>
            <w:r>
              <w:rPr>
                <w:rFonts w:hint="eastAsia"/>
                <w:color w:val="auto"/>
                <w:lang w:val="de-DE"/>
              </w:rPr>
              <w:t>）</w:t>
            </w:r>
            <w:r>
              <w:rPr>
                <w:color w:val="auto"/>
                <w:lang w:val="de-DE"/>
              </w:rPr>
              <w:t>-</w:t>
            </w:r>
            <w:r>
              <w:rPr>
                <w:rFonts w:hint="eastAsia"/>
                <w:color w:val="auto"/>
                <w:lang w:val="de-DE"/>
              </w:rPr>
              <w:t>（</w:t>
            </w:r>
            <w:r>
              <w:rPr>
                <w:color w:val="auto"/>
                <w:lang w:val="de-DE"/>
              </w:rPr>
              <w:t>A</w:t>
            </w:r>
            <w:r>
              <w:rPr>
                <w:color w:val="auto"/>
                <w:vertAlign w:val="subscript"/>
                <w:lang w:val="de-DE"/>
              </w:rPr>
              <w:t>dⅣ</w:t>
            </w:r>
            <w:r>
              <w:rPr>
                <w:color w:val="auto"/>
                <w:lang w:val="de-DE"/>
              </w:rPr>
              <w:t>+A</w:t>
            </w:r>
            <w:r>
              <w:rPr>
                <w:color w:val="auto"/>
                <w:vertAlign w:val="subscript"/>
                <w:lang w:val="de-DE"/>
              </w:rPr>
              <w:t>atm</w:t>
            </w:r>
            <w:r>
              <w:rPr>
                <w:color w:val="auto"/>
                <w:lang w:val="de-DE"/>
              </w:rPr>
              <w:t>+A</w:t>
            </w:r>
            <w:r>
              <w:rPr>
                <w:color w:val="auto"/>
                <w:vertAlign w:val="subscript"/>
                <w:lang w:val="de-DE"/>
              </w:rPr>
              <w:t>bar</w:t>
            </w:r>
            <w:r>
              <w:rPr>
                <w:color w:val="auto"/>
                <w:lang w:val="de-DE"/>
              </w:rPr>
              <w:t>+A</w:t>
            </w:r>
            <w:r>
              <w:rPr>
                <w:color w:val="auto"/>
                <w:vertAlign w:val="subscript"/>
                <w:lang w:val="de-DE"/>
              </w:rPr>
              <w:t>gr</w:t>
            </w:r>
            <w:r>
              <w:rPr>
                <w:color w:val="auto"/>
                <w:lang w:val="de-DE"/>
              </w:rPr>
              <w:t>+A</w:t>
            </w:r>
            <w:r>
              <w:rPr>
                <w:color w:val="auto"/>
                <w:vertAlign w:val="subscript"/>
                <w:lang w:val="de-DE"/>
              </w:rPr>
              <w:t>misc</w:t>
            </w:r>
            <w:r>
              <w:rPr>
                <w:rFonts w:hint="eastAsia"/>
                <w:color w:val="auto"/>
                <w:lang w:val="de-DE"/>
              </w:rPr>
              <w:t>）</w:t>
            </w:r>
          </w:p>
          <w:p>
            <w:pPr>
              <w:ind w:firstLine="480"/>
              <w:rPr>
                <w:color w:val="auto"/>
              </w:rPr>
            </w:pPr>
            <w:r>
              <w:rPr>
                <w:rFonts w:hint="eastAsia"/>
                <w:color w:val="auto"/>
              </w:rPr>
              <w:t>式中：</w:t>
            </w:r>
            <w:r>
              <w:rPr>
                <w:color w:val="auto"/>
              </w:rPr>
              <w:t>L</w:t>
            </w:r>
            <w:r>
              <w:rPr>
                <w:color w:val="auto"/>
                <w:vertAlign w:val="subscript"/>
              </w:rPr>
              <w:t>p</w:t>
            </w:r>
            <w:r>
              <w:rPr>
                <w:rFonts w:hint="eastAsia"/>
                <w:color w:val="auto"/>
              </w:rPr>
              <w:t>（</w:t>
            </w:r>
            <w:r>
              <w:rPr>
                <w:color w:val="auto"/>
              </w:rPr>
              <w:t>r</w:t>
            </w:r>
            <w:r>
              <w:rPr>
                <w:rFonts w:hint="eastAsia"/>
                <w:color w:val="auto"/>
              </w:rPr>
              <w:t>）</w:t>
            </w:r>
            <w:r>
              <w:rPr>
                <w:color w:val="auto"/>
              </w:rPr>
              <w:t>—</w:t>
            </w:r>
            <w:r>
              <w:rPr>
                <w:rFonts w:hint="eastAsia"/>
                <w:color w:val="auto"/>
              </w:rPr>
              <w:t>距声源</w:t>
            </w:r>
            <w:r>
              <w:rPr>
                <w:color w:val="auto"/>
              </w:rPr>
              <w:t>rm</w:t>
            </w:r>
            <w:r>
              <w:rPr>
                <w:rFonts w:hint="eastAsia"/>
                <w:color w:val="auto"/>
              </w:rPr>
              <w:t>处的声压级；</w:t>
            </w:r>
          </w:p>
          <w:p>
            <w:pPr>
              <w:ind w:firstLine="1200" w:firstLineChars="500"/>
              <w:rPr>
                <w:color w:val="auto"/>
              </w:rPr>
            </w:pPr>
            <w:r>
              <w:rPr>
                <w:color w:val="auto"/>
              </w:rPr>
              <w:t>L</w:t>
            </w:r>
            <w:r>
              <w:rPr>
                <w:color w:val="auto"/>
                <w:vertAlign w:val="subscript"/>
              </w:rPr>
              <w:t>p</w:t>
            </w:r>
            <w:r>
              <w:rPr>
                <w:rFonts w:hint="eastAsia"/>
                <w:color w:val="auto"/>
              </w:rPr>
              <w:t>（</w:t>
            </w:r>
            <w:r>
              <w:rPr>
                <w:color w:val="auto"/>
              </w:rPr>
              <w:t>r</w:t>
            </w:r>
            <w:r>
              <w:rPr>
                <w:color w:val="auto"/>
                <w:vertAlign w:val="subscript"/>
              </w:rPr>
              <w:t>0</w:t>
            </w:r>
            <w:r>
              <w:rPr>
                <w:rFonts w:hint="eastAsia"/>
                <w:color w:val="auto"/>
              </w:rPr>
              <w:t>）</w:t>
            </w:r>
            <w:r>
              <w:rPr>
                <w:color w:val="auto"/>
              </w:rPr>
              <w:t>—</w:t>
            </w:r>
            <w:r>
              <w:rPr>
                <w:rFonts w:hint="eastAsia"/>
                <w:color w:val="auto"/>
              </w:rPr>
              <w:t>参考位置</w:t>
            </w:r>
            <w:r>
              <w:rPr>
                <w:color w:val="auto"/>
              </w:rPr>
              <w:t>r</w:t>
            </w:r>
            <w:r>
              <w:rPr>
                <w:color w:val="auto"/>
                <w:vertAlign w:val="subscript"/>
              </w:rPr>
              <w:t>0</w:t>
            </w:r>
            <w:r>
              <w:rPr>
                <w:color w:val="auto"/>
              </w:rPr>
              <w:t>m</w:t>
            </w:r>
            <w:r>
              <w:rPr>
                <w:rFonts w:hint="eastAsia"/>
                <w:color w:val="auto"/>
              </w:rPr>
              <w:t>处的声压级；</w:t>
            </w:r>
          </w:p>
          <w:p>
            <w:pPr>
              <w:ind w:firstLine="1200" w:firstLineChars="500"/>
              <w:rPr>
                <w:color w:val="auto"/>
              </w:rPr>
            </w:pPr>
            <w:r>
              <w:rPr>
                <w:color w:val="auto"/>
              </w:rPr>
              <w:t>A</w:t>
            </w:r>
            <w:r>
              <w:rPr>
                <w:color w:val="auto"/>
                <w:vertAlign w:val="subscript"/>
              </w:rPr>
              <w:t>dⅣ</w:t>
            </w:r>
            <w:r>
              <w:rPr>
                <w:color w:val="auto"/>
              </w:rPr>
              <w:t>—</w:t>
            </w:r>
            <w:r>
              <w:rPr>
                <w:rFonts w:hint="eastAsia"/>
                <w:color w:val="auto"/>
              </w:rPr>
              <w:t>声波几何发散引起的衰减；</w:t>
            </w:r>
          </w:p>
          <w:p>
            <w:pPr>
              <w:ind w:firstLine="1200" w:firstLineChars="500"/>
              <w:rPr>
                <w:color w:val="auto"/>
              </w:rPr>
            </w:pPr>
            <w:r>
              <w:rPr>
                <w:color w:val="auto"/>
              </w:rPr>
              <w:t>A</w:t>
            </w:r>
            <w:r>
              <w:rPr>
                <w:color w:val="auto"/>
                <w:vertAlign w:val="subscript"/>
              </w:rPr>
              <w:t>atm</w:t>
            </w:r>
            <w:r>
              <w:rPr>
                <w:color w:val="auto"/>
              </w:rPr>
              <w:t>—</w:t>
            </w:r>
            <w:r>
              <w:rPr>
                <w:rFonts w:hint="eastAsia"/>
                <w:color w:val="auto"/>
              </w:rPr>
              <w:t>空气吸收引起的衰减；</w:t>
            </w:r>
          </w:p>
          <w:p>
            <w:pPr>
              <w:ind w:firstLine="1200" w:firstLineChars="500"/>
              <w:rPr>
                <w:color w:val="auto"/>
              </w:rPr>
            </w:pPr>
            <w:r>
              <w:rPr>
                <w:color w:val="auto"/>
              </w:rPr>
              <w:t>A</w:t>
            </w:r>
            <w:r>
              <w:rPr>
                <w:color w:val="auto"/>
                <w:vertAlign w:val="subscript"/>
              </w:rPr>
              <w:t>bar</w:t>
            </w:r>
            <w:r>
              <w:rPr>
                <w:color w:val="auto"/>
              </w:rPr>
              <w:t>—</w:t>
            </w:r>
            <w:r>
              <w:rPr>
                <w:rFonts w:hint="eastAsia"/>
                <w:color w:val="auto"/>
              </w:rPr>
              <w:t>声屏蔽引起的衰减；</w:t>
            </w:r>
          </w:p>
          <w:p>
            <w:pPr>
              <w:ind w:firstLine="1200" w:firstLineChars="500"/>
              <w:rPr>
                <w:color w:val="auto"/>
              </w:rPr>
            </w:pPr>
            <w:r>
              <w:rPr>
                <w:color w:val="auto"/>
              </w:rPr>
              <w:t>A</w:t>
            </w:r>
            <w:r>
              <w:rPr>
                <w:color w:val="auto"/>
                <w:vertAlign w:val="subscript"/>
              </w:rPr>
              <w:t>gr</w:t>
            </w:r>
            <w:r>
              <w:rPr>
                <w:color w:val="auto"/>
              </w:rPr>
              <w:t>—</w:t>
            </w:r>
            <w:r>
              <w:rPr>
                <w:rFonts w:hint="eastAsia"/>
                <w:color w:val="auto"/>
              </w:rPr>
              <w:t>地面效应引起的衰减；</w:t>
            </w:r>
          </w:p>
          <w:p>
            <w:pPr>
              <w:ind w:firstLine="1200" w:firstLineChars="500"/>
              <w:rPr>
                <w:color w:val="auto"/>
              </w:rPr>
            </w:pPr>
            <w:r>
              <w:rPr>
                <w:color w:val="auto"/>
              </w:rPr>
              <w:t>A</w:t>
            </w:r>
            <w:r>
              <w:rPr>
                <w:color w:val="auto"/>
                <w:vertAlign w:val="subscript"/>
              </w:rPr>
              <w:t>misc</w:t>
            </w:r>
            <w:r>
              <w:rPr>
                <w:color w:val="auto"/>
              </w:rPr>
              <w:t>—</w:t>
            </w:r>
            <w:r>
              <w:rPr>
                <w:rFonts w:hint="eastAsia"/>
                <w:color w:val="auto"/>
              </w:rPr>
              <w:t>其它多方面效应引起的衰减。</w:t>
            </w:r>
          </w:p>
          <w:p>
            <w:pPr>
              <w:ind w:firstLine="480"/>
              <w:rPr>
                <w:color w:val="auto"/>
              </w:rPr>
            </w:pPr>
            <w:r>
              <w:rPr>
                <w:rFonts w:hint="eastAsia"/>
                <w:color w:val="auto"/>
              </w:rPr>
              <w:t>①几何发散衰减</w:t>
            </w:r>
          </w:p>
          <w:p>
            <w:pPr>
              <w:ind w:firstLine="480"/>
              <w:rPr>
                <w:color w:val="auto"/>
              </w:rPr>
            </w:pPr>
            <w:r>
              <w:rPr>
                <w:rFonts w:hint="eastAsia"/>
                <w:color w:val="auto"/>
              </w:rPr>
              <w:t>对于室外声源，无指向性点声源几何发散衰减的基本公式为：</w:t>
            </w:r>
          </w:p>
          <w:p>
            <w:pPr>
              <w:ind w:firstLine="480"/>
              <w:jc w:val="center"/>
              <w:rPr>
                <w:color w:val="auto"/>
              </w:rPr>
            </w:pPr>
            <w:r>
              <w:rPr>
                <w:color w:val="auto"/>
              </w:rPr>
              <w:t>L</w:t>
            </w:r>
            <w:r>
              <w:rPr>
                <w:color w:val="auto"/>
                <w:vertAlign w:val="subscript"/>
              </w:rPr>
              <w:t>A</w:t>
            </w:r>
            <w:r>
              <w:rPr>
                <w:rFonts w:hint="eastAsia"/>
                <w:color w:val="auto"/>
              </w:rPr>
              <w:t>（</w:t>
            </w:r>
            <w:r>
              <w:rPr>
                <w:color w:val="auto"/>
              </w:rPr>
              <w:t>r</w:t>
            </w:r>
            <w:r>
              <w:rPr>
                <w:rFonts w:hint="eastAsia"/>
                <w:color w:val="auto"/>
              </w:rPr>
              <w:t>）</w:t>
            </w:r>
            <w:r>
              <w:rPr>
                <w:color w:val="auto"/>
              </w:rPr>
              <w:t>=L</w:t>
            </w:r>
            <w:r>
              <w:rPr>
                <w:color w:val="auto"/>
                <w:vertAlign w:val="subscript"/>
              </w:rPr>
              <w:t>A</w:t>
            </w:r>
            <w:r>
              <w:rPr>
                <w:rFonts w:hint="eastAsia"/>
                <w:color w:val="auto"/>
              </w:rPr>
              <w:t>（</w:t>
            </w:r>
            <w:r>
              <w:rPr>
                <w:color w:val="auto"/>
              </w:rPr>
              <w:t>r</w:t>
            </w:r>
            <w:r>
              <w:rPr>
                <w:color w:val="auto"/>
                <w:vertAlign w:val="subscript"/>
              </w:rPr>
              <w:t>0</w:t>
            </w:r>
            <w:r>
              <w:rPr>
                <w:rFonts w:hint="eastAsia"/>
                <w:color w:val="auto"/>
              </w:rPr>
              <w:t>）</w:t>
            </w:r>
            <w:r>
              <w:rPr>
                <w:color w:val="auto"/>
              </w:rPr>
              <w:t>-20lg</w:t>
            </w:r>
            <w:r>
              <w:rPr>
                <w:rFonts w:hint="eastAsia"/>
                <w:color w:val="auto"/>
              </w:rPr>
              <w:t>（</w:t>
            </w:r>
            <w:r>
              <w:rPr>
                <w:color w:val="auto"/>
              </w:rPr>
              <w:t>r/r</w:t>
            </w:r>
            <w:r>
              <w:rPr>
                <w:color w:val="auto"/>
                <w:vertAlign w:val="subscript"/>
              </w:rPr>
              <w:t>0</w:t>
            </w:r>
            <w:r>
              <w:rPr>
                <w:rFonts w:hint="eastAsia"/>
                <w:color w:val="auto"/>
              </w:rPr>
              <w:t>）</w:t>
            </w:r>
          </w:p>
          <w:p>
            <w:pPr>
              <w:ind w:firstLine="480"/>
              <w:rPr>
                <w:color w:val="auto"/>
              </w:rPr>
            </w:pPr>
            <w:r>
              <w:rPr>
                <w:rFonts w:hint="eastAsia"/>
                <w:color w:val="auto"/>
              </w:rPr>
              <w:t>预测模式采用点声源处于半自由空间的几何发散模式，计算公式为：</w:t>
            </w:r>
          </w:p>
          <w:p>
            <w:pPr>
              <w:ind w:firstLine="480"/>
              <w:jc w:val="center"/>
              <w:rPr>
                <w:color w:val="auto"/>
              </w:rPr>
            </w:pPr>
            <w:r>
              <w:rPr>
                <w:color w:val="auto"/>
              </w:rPr>
              <w:t>L</w:t>
            </w:r>
            <w:r>
              <w:rPr>
                <w:color w:val="auto"/>
                <w:vertAlign w:val="subscript"/>
              </w:rPr>
              <w:t>A</w:t>
            </w:r>
            <w:r>
              <w:rPr>
                <w:rFonts w:hint="eastAsia"/>
                <w:color w:val="auto"/>
              </w:rPr>
              <w:t>（</w:t>
            </w:r>
            <w:r>
              <w:rPr>
                <w:color w:val="auto"/>
              </w:rPr>
              <w:t>r</w:t>
            </w:r>
            <w:r>
              <w:rPr>
                <w:rFonts w:hint="eastAsia"/>
                <w:color w:val="auto"/>
              </w:rPr>
              <w:t>）</w:t>
            </w:r>
            <w:r>
              <w:rPr>
                <w:color w:val="auto"/>
              </w:rPr>
              <w:t>=L</w:t>
            </w:r>
            <w:r>
              <w:rPr>
                <w:color w:val="auto"/>
                <w:vertAlign w:val="subscript"/>
              </w:rPr>
              <w:t>A</w:t>
            </w:r>
            <w:r>
              <w:rPr>
                <w:rFonts w:hint="eastAsia"/>
                <w:color w:val="auto"/>
              </w:rPr>
              <w:t>（</w:t>
            </w:r>
            <w:r>
              <w:rPr>
                <w:color w:val="auto"/>
              </w:rPr>
              <w:t>r</w:t>
            </w:r>
            <w:r>
              <w:rPr>
                <w:color w:val="auto"/>
                <w:vertAlign w:val="subscript"/>
              </w:rPr>
              <w:t>0</w:t>
            </w:r>
            <w:r>
              <w:rPr>
                <w:rFonts w:hint="eastAsia"/>
                <w:color w:val="auto"/>
              </w:rPr>
              <w:t>）</w:t>
            </w:r>
            <w:r>
              <w:rPr>
                <w:color w:val="auto"/>
              </w:rPr>
              <w:t>-20lg</w:t>
            </w:r>
            <w:r>
              <w:rPr>
                <w:rFonts w:hint="eastAsia"/>
                <w:color w:val="auto"/>
              </w:rPr>
              <w:t>（</w:t>
            </w:r>
            <w:r>
              <w:rPr>
                <w:color w:val="auto"/>
              </w:rPr>
              <w:t>r/r</w:t>
            </w:r>
            <w:r>
              <w:rPr>
                <w:color w:val="auto"/>
                <w:vertAlign w:val="subscript"/>
              </w:rPr>
              <w:t>0</w:t>
            </w:r>
            <w:r>
              <w:rPr>
                <w:rFonts w:hint="eastAsia"/>
                <w:color w:val="auto"/>
              </w:rPr>
              <w:t>）</w:t>
            </w:r>
            <w:r>
              <w:rPr>
                <w:color w:val="auto"/>
              </w:rPr>
              <w:t>-8</w:t>
            </w:r>
          </w:p>
          <w:p>
            <w:pPr>
              <w:ind w:firstLine="480"/>
              <w:rPr>
                <w:color w:val="auto"/>
              </w:rPr>
            </w:pPr>
            <w:r>
              <w:rPr>
                <w:rFonts w:hint="eastAsia"/>
                <w:color w:val="auto"/>
              </w:rPr>
              <w:t>对于室内声源，按下列步骤计算：</w:t>
            </w:r>
          </w:p>
          <w:p>
            <w:pPr>
              <w:ind w:firstLine="480"/>
              <w:rPr>
                <w:color w:val="auto"/>
              </w:rPr>
            </w:pPr>
            <w:r>
              <w:rPr>
                <w:color w:val="auto"/>
              </w:rPr>
              <w:t>Ⅰ</w:t>
            </w:r>
            <w:r>
              <w:rPr>
                <w:rFonts w:hint="eastAsia"/>
                <w:color w:val="auto"/>
              </w:rPr>
              <w:t>由类比监测取得室外靠近围护结构处的声压级</w:t>
            </w:r>
            <w:r>
              <w:rPr>
                <w:color w:val="auto"/>
              </w:rPr>
              <w:t>L</w:t>
            </w:r>
            <w:r>
              <w:rPr>
                <w:color w:val="auto"/>
                <w:vertAlign w:val="subscript"/>
              </w:rPr>
              <w:t>A</w:t>
            </w:r>
            <w:r>
              <w:rPr>
                <w:rFonts w:hint="eastAsia"/>
                <w:color w:val="auto"/>
              </w:rPr>
              <w:t>（</w:t>
            </w:r>
            <w:r>
              <w:rPr>
                <w:color w:val="auto"/>
              </w:rPr>
              <w:t>r</w:t>
            </w:r>
            <w:r>
              <w:rPr>
                <w:color w:val="auto"/>
                <w:vertAlign w:val="subscript"/>
              </w:rPr>
              <w:t>0</w:t>
            </w:r>
            <w:r>
              <w:rPr>
                <w:rFonts w:hint="eastAsia"/>
                <w:color w:val="auto"/>
              </w:rPr>
              <w:t>）。</w:t>
            </w:r>
          </w:p>
          <w:p>
            <w:pPr>
              <w:ind w:firstLine="480"/>
              <w:rPr>
                <w:color w:val="auto"/>
              </w:rPr>
            </w:pPr>
            <w:r>
              <w:rPr>
                <w:color w:val="auto"/>
              </w:rPr>
              <w:t>Ⅱ</w:t>
            </w:r>
            <w:r>
              <w:rPr>
                <w:rFonts w:hint="eastAsia"/>
                <w:color w:val="auto"/>
              </w:rPr>
              <w:t>将室外声源</w:t>
            </w:r>
            <w:r>
              <w:rPr>
                <w:color w:val="auto"/>
              </w:rPr>
              <w:t>L</w:t>
            </w:r>
            <w:r>
              <w:rPr>
                <w:color w:val="auto"/>
                <w:vertAlign w:val="subscript"/>
              </w:rPr>
              <w:t>A</w:t>
            </w:r>
            <w:r>
              <w:rPr>
                <w:rFonts w:hint="eastAsia"/>
                <w:color w:val="auto"/>
              </w:rPr>
              <w:t>（</w:t>
            </w:r>
            <w:r>
              <w:rPr>
                <w:color w:val="auto"/>
              </w:rPr>
              <w:t>r</w:t>
            </w:r>
            <w:r>
              <w:rPr>
                <w:color w:val="auto"/>
                <w:vertAlign w:val="subscript"/>
              </w:rPr>
              <w:t>0</w:t>
            </w:r>
            <w:r>
              <w:rPr>
                <w:rFonts w:hint="eastAsia"/>
                <w:color w:val="auto"/>
              </w:rPr>
              <w:t>）和透声面积换算成等效的室外声源。计算出等效源的声功率</w:t>
            </w:r>
            <w:r>
              <w:rPr>
                <w:color w:val="auto"/>
              </w:rPr>
              <w:t>L</w:t>
            </w:r>
            <w:r>
              <w:rPr>
                <w:color w:val="auto"/>
                <w:vertAlign w:val="subscript"/>
              </w:rPr>
              <w:t>w</w:t>
            </w:r>
            <w:r>
              <w:rPr>
                <w:color w:val="auto"/>
              </w:rPr>
              <w:t>=L</w:t>
            </w:r>
            <w:r>
              <w:rPr>
                <w:color w:val="auto"/>
                <w:vertAlign w:val="subscript"/>
              </w:rPr>
              <w:t>A</w:t>
            </w:r>
            <w:r>
              <w:rPr>
                <w:rFonts w:hint="eastAsia"/>
                <w:color w:val="auto"/>
              </w:rPr>
              <w:t>（</w:t>
            </w:r>
            <w:r>
              <w:rPr>
                <w:color w:val="auto"/>
              </w:rPr>
              <w:t>r</w:t>
            </w:r>
            <w:r>
              <w:rPr>
                <w:color w:val="auto"/>
                <w:vertAlign w:val="subscript"/>
              </w:rPr>
              <w:t>0</w:t>
            </w:r>
            <w:r>
              <w:rPr>
                <w:rFonts w:hint="eastAsia"/>
                <w:color w:val="auto"/>
              </w:rPr>
              <w:t>）</w:t>
            </w:r>
            <w:r>
              <w:rPr>
                <w:color w:val="auto"/>
              </w:rPr>
              <w:t>+10lgS</w:t>
            </w:r>
            <w:r>
              <w:rPr>
                <w:rFonts w:hint="eastAsia"/>
                <w:color w:val="auto"/>
              </w:rPr>
              <w:t>式中</w:t>
            </w:r>
            <w:r>
              <w:rPr>
                <w:color w:val="auto"/>
              </w:rPr>
              <w:t>S</w:t>
            </w:r>
            <w:r>
              <w:rPr>
                <w:rFonts w:hint="eastAsia"/>
                <w:color w:val="auto"/>
              </w:rPr>
              <w:t>为透声面积。</w:t>
            </w:r>
          </w:p>
          <w:p>
            <w:pPr>
              <w:ind w:firstLine="480"/>
              <w:rPr>
                <w:color w:val="auto"/>
              </w:rPr>
            </w:pPr>
            <w:r>
              <w:rPr>
                <w:color w:val="auto"/>
              </w:rPr>
              <w:t>Ⅲ</w:t>
            </w:r>
            <w:r>
              <w:rPr>
                <w:rFonts w:hint="eastAsia"/>
                <w:color w:val="auto"/>
              </w:rPr>
              <w:t>用下式计算出等效室外声源在预测点的声压级。</w:t>
            </w:r>
          </w:p>
          <w:p>
            <w:pPr>
              <w:ind w:firstLine="480"/>
              <w:jc w:val="center"/>
              <w:rPr>
                <w:color w:val="auto"/>
              </w:rPr>
            </w:pPr>
            <w:r>
              <w:rPr>
                <w:color w:val="auto"/>
              </w:rPr>
              <w:t>L</w:t>
            </w:r>
            <w:r>
              <w:rPr>
                <w:color w:val="auto"/>
                <w:vertAlign w:val="subscript"/>
              </w:rPr>
              <w:t>A</w:t>
            </w:r>
            <w:r>
              <w:rPr>
                <w:rFonts w:hint="eastAsia"/>
                <w:color w:val="auto"/>
              </w:rPr>
              <w:t>（</w:t>
            </w:r>
            <w:r>
              <w:rPr>
                <w:color w:val="auto"/>
              </w:rPr>
              <w:t>r</w:t>
            </w:r>
            <w:r>
              <w:rPr>
                <w:rFonts w:hint="eastAsia"/>
                <w:color w:val="auto"/>
              </w:rPr>
              <w:t>）</w:t>
            </w:r>
            <w:r>
              <w:rPr>
                <w:color w:val="auto"/>
              </w:rPr>
              <w:t>=L</w:t>
            </w:r>
            <w:r>
              <w:rPr>
                <w:color w:val="auto"/>
                <w:vertAlign w:val="subscript"/>
              </w:rPr>
              <w:t>w</w:t>
            </w:r>
            <w:r>
              <w:rPr>
                <w:color w:val="auto"/>
              </w:rPr>
              <w:t>-20lg</w:t>
            </w:r>
            <w:r>
              <w:rPr>
                <w:rFonts w:hint="eastAsia"/>
                <w:color w:val="auto"/>
              </w:rPr>
              <w:t>（</w:t>
            </w:r>
            <w:r>
              <w:rPr>
                <w:color w:val="auto"/>
              </w:rPr>
              <w:t>r</w:t>
            </w:r>
            <w:r>
              <w:rPr>
                <w:color w:val="auto"/>
                <w:vertAlign w:val="subscript"/>
              </w:rPr>
              <w:t>0</w:t>
            </w:r>
            <w:r>
              <w:rPr>
                <w:rFonts w:hint="eastAsia"/>
                <w:color w:val="auto"/>
              </w:rPr>
              <w:t>）</w:t>
            </w:r>
            <w:r>
              <w:rPr>
                <w:color w:val="auto"/>
              </w:rPr>
              <w:t>-20lg</w:t>
            </w:r>
            <w:r>
              <w:rPr>
                <w:rFonts w:hint="eastAsia"/>
                <w:color w:val="auto"/>
              </w:rPr>
              <w:t>（</w:t>
            </w:r>
            <w:r>
              <w:rPr>
                <w:color w:val="auto"/>
              </w:rPr>
              <w:t>r/r</w:t>
            </w:r>
            <w:r>
              <w:rPr>
                <w:color w:val="auto"/>
                <w:vertAlign w:val="subscript"/>
              </w:rPr>
              <w:t>0</w:t>
            </w:r>
            <w:r>
              <w:rPr>
                <w:rFonts w:hint="eastAsia"/>
                <w:color w:val="auto"/>
              </w:rPr>
              <w:t>）</w:t>
            </w:r>
            <w:r>
              <w:rPr>
                <w:color w:val="auto"/>
              </w:rPr>
              <w:t>-8</w:t>
            </w:r>
          </w:p>
          <w:p>
            <w:pPr>
              <w:ind w:firstLine="480"/>
              <w:jc w:val="both"/>
              <w:rPr>
                <w:color w:val="auto"/>
              </w:rPr>
            </w:pPr>
            <w:r>
              <w:rPr>
                <w:rFonts w:hint="eastAsia"/>
                <w:color w:val="auto"/>
              </w:rPr>
              <w:t>Ⅳ用下式计算各噪声源对预测点叠加声级及背景噪声的贡献。</w:t>
            </w:r>
            <w:r>
              <w:rPr>
                <w:color w:val="auto"/>
              </w:rPr>
              <w:object>
                <v:shape id="_x0000_i1047" o:spt="75" type="#_x0000_t75" style="height:36pt;width:109.45pt;" o:ole="t" filled="f" o:preferrelative="t" stroked="f" coordsize="21600,21600">
                  <v:path/>
                  <v:fill on="f" focussize="0,0"/>
                  <v:stroke on="f" joinstyle="miter"/>
                  <v:imagedata r:id="rId60" o:title=""/>
                  <o:lock v:ext="edit" aspectratio="t"/>
                  <w10:wrap type="none"/>
                  <w10:anchorlock/>
                </v:shape>
                <o:OLEObject Type="Embed" ProgID="Equation.DSMT4" ShapeID="_x0000_i1047" DrawAspect="Content" ObjectID="_1468075746" r:id="rId59">
                  <o:LockedField>false</o:LockedField>
                </o:OLEObject>
              </w:object>
            </w:r>
          </w:p>
          <w:p>
            <w:pPr>
              <w:ind w:firstLine="480"/>
              <w:rPr>
                <w:color w:val="auto"/>
              </w:rPr>
            </w:pPr>
            <w:r>
              <w:rPr>
                <w:rFonts w:hint="eastAsia"/>
                <w:color w:val="auto"/>
              </w:rPr>
              <w:t>式中：</w:t>
            </w:r>
            <w:r>
              <w:rPr>
                <w:color w:val="auto"/>
              </w:rPr>
              <w:t>L</w:t>
            </w:r>
            <w:r>
              <w:rPr>
                <w:color w:val="auto"/>
                <w:vertAlign w:val="subscript"/>
              </w:rPr>
              <w:t>Ai</w:t>
            </w:r>
            <w:r>
              <w:rPr>
                <w:rFonts w:hint="eastAsia"/>
                <w:color w:val="auto"/>
              </w:rPr>
              <w:t>为声源单独作用时预测处的</w:t>
            </w:r>
            <w:r>
              <w:rPr>
                <w:color w:val="auto"/>
              </w:rPr>
              <w:t>A</w:t>
            </w:r>
            <w:r>
              <w:rPr>
                <w:rFonts w:hint="eastAsia"/>
                <w:color w:val="auto"/>
              </w:rPr>
              <w:t>声级，</w:t>
            </w:r>
            <w:r>
              <w:rPr>
                <w:color w:val="auto"/>
              </w:rPr>
              <w:t>n</w:t>
            </w:r>
            <w:r>
              <w:rPr>
                <w:rFonts w:hint="eastAsia"/>
                <w:color w:val="auto"/>
              </w:rPr>
              <w:t>为声源个数。</w:t>
            </w:r>
          </w:p>
          <w:p>
            <w:pPr>
              <w:ind w:firstLine="480"/>
              <w:rPr>
                <w:color w:val="auto"/>
              </w:rPr>
            </w:pPr>
            <w:r>
              <w:rPr>
                <w:rFonts w:hint="eastAsia"/>
                <w:color w:val="auto"/>
              </w:rPr>
              <w:t>②声屏蔽引起的衰减</w:t>
            </w:r>
          </w:p>
          <w:p>
            <w:pPr>
              <w:ind w:firstLine="480"/>
              <w:rPr>
                <w:color w:val="auto"/>
              </w:rPr>
            </w:pPr>
            <w:r>
              <w:rPr>
                <w:rFonts w:hint="eastAsia"/>
                <w:color w:val="auto"/>
              </w:rPr>
              <w:t>声屏障的隔声效应与声源和接收点屏障位置、屏障高度和屏障长度及结构性质有关，我们根据它们之间的距离、声音的频率（一般取</w:t>
            </w:r>
            <w:r>
              <w:rPr>
                <w:color w:val="auto"/>
              </w:rPr>
              <w:t>500Hz</w:t>
            </w:r>
            <w:r>
              <w:rPr>
                <w:rFonts w:hint="eastAsia"/>
                <w:color w:val="auto"/>
              </w:rPr>
              <w:t>）算出菲涅尔系数，然后再查表找出相对应的衰减值（</w:t>
            </w:r>
            <w:r>
              <w:rPr>
                <w:color w:val="auto"/>
              </w:rPr>
              <w:t>dB</w:t>
            </w:r>
            <w:r>
              <w:rPr>
                <w:rFonts w:hint="eastAsia"/>
                <w:color w:val="auto"/>
              </w:rPr>
              <w:t>）。菲涅尔系数的计算方法如下：</w:t>
            </w:r>
          </w:p>
          <w:p>
            <w:pPr>
              <w:ind w:firstLine="480"/>
              <w:jc w:val="center"/>
              <w:rPr>
                <w:color w:val="auto"/>
              </w:rPr>
            </w:pPr>
            <w:r>
              <w:rPr>
                <w:color w:val="auto"/>
              </w:rPr>
              <w:object>
                <v:shape id="_x0000_i1048" o:spt="75" type="#_x0000_t75" style="height:30.25pt;width:87.1pt;" o:ole="t" filled="f" o:preferrelative="t" stroked="f" coordsize="21600,21600">
                  <v:path/>
                  <v:fill on="f" focussize="0,0"/>
                  <v:stroke on="f" joinstyle="miter"/>
                  <v:imagedata r:id="rId62" o:title=""/>
                  <o:lock v:ext="edit" aspectratio="t"/>
                  <w10:wrap type="none"/>
                  <w10:anchorlock/>
                </v:shape>
                <o:OLEObject Type="Embed" ProgID="Equation.DSMT4" ShapeID="_x0000_i1048" DrawAspect="Content" ObjectID="_1468075747" r:id="rId61">
                  <o:LockedField>false</o:LockedField>
                </o:OLEObject>
              </w:object>
            </w:r>
          </w:p>
          <w:p>
            <w:pPr>
              <w:ind w:firstLine="480"/>
              <w:rPr>
                <w:color w:val="auto"/>
              </w:rPr>
            </w:pPr>
            <w:r>
              <w:rPr>
                <w:rFonts w:hint="eastAsia"/>
                <w:color w:val="auto"/>
              </w:rPr>
              <w:t>式中：</w:t>
            </w:r>
            <w:r>
              <w:rPr>
                <w:color w:val="auto"/>
              </w:rPr>
              <w:t>A—</w:t>
            </w:r>
            <w:r>
              <w:rPr>
                <w:rFonts w:hint="eastAsia"/>
                <w:color w:val="auto"/>
              </w:rPr>
              <w:t>声源与屏障顶端的距离；</w:t>
            </w:r>
          </w:p>
          <w:p>
            <w:pPr>
              <w:ind w:firstLine="480"/>
              <w:rPr>
                <w:color w:val="auto"/>
              </w:rPr>
            </w:pPr>
            <w:r>
              <w:rPr>
                <w:color w:val="auto"/>
              </w:rPr>
              <w:t xml:space="preserve">      B—</w:t>
            </w:r>
            <w:r>
              <w:rPr>
                <w:rFonts w:hint="eastAsia"/>
                <w:color w:val="auto"/>
              </w:rPr>
              <w:t>接收点与屏障顶端的距离；</w:t>
            </w:r>
          </w:p>
          <w:p>
            <w:pPr>
              <w:ind w:firstLine="480"/>
              <w:rPr>
                <w:color w:val="auto"/>
              </w:rPr>
            </w:pPr>
            <w:r>
              <w:rPr>
                <w:color w:val="auto"/>
              </w:rPr>
              <w:t xml:space="preserve">      d—</w:t>
            </w:r>
            <w:r>
              <w:rPr>
                <w:rFonts w:hint="eastAsia"/>
                <w:color w:val="auto"/>
              </w:rPr>
              <w:t>声源与接收点间的距离；</w:t>
            </w:r>
          </w:p>
          <w:p>
            <w:pPr>
              <w:ind w:firstLine="480"/>
              <w:rPr>
                <w:color w:val="auto"/>
              </w:rPr>
            </w:pPr>
            <w:r>
              <w:rPr>
                <w:color w:val="auto"/>
              </w:rPr>
              <w:t xml:space="preserve">      λ—</w:t>
            </w:r>
            <w:r>
              <w:rPr>
                <w:rFonts w:hint="eastAsia"/>
                <w:color w:val="auto"/>
              </w:rPr>
              <w:t>波长。</w:t>
            </w:r>
          </w:p>
          <w:p>
            <w:pPr>
              <w:ind w:firstLine="480"/>
              <w:rPr>
                <w:color w:val="auto"/>
              </w:rPr>
            </w:pPr>
            <w:r>
              <w:rPr>
                <w:rFonts w:hint="eastAsia"/>
                <w:color w:val="auto"/>
              </w:rPr>
              <w:t>③空气吸收引起的衰减</w:t>
            </w:r>
          </w:p>
          <w:p>
            <w:pPr>
              <w:ind w:firstLine="480"/>
              <w:rPr>
                <w:color w:val="auto"/>
              </w:rPr>
            </w:pPr>
            <w:r>
              <w:rPr>
                <w:rFonts w:hint="eastAsia"/>
                <w:color w:val="auto"/>
              </w:rPr>
              <w:t>空气吸收引起的衰减按以下公式计算：</w:t>
            </w:r>
          </w:p>
          <w:p>
            <w:pPr>
              <w:ind w:firstLine="480"/>
              <w:jc w:val="center"/>
              <w:rPr>
                <w:color w:val="auto"/>
              </w:rPr>
            </w:pPr>
            <w:r>
              <w:rPr>
                <w:color w:val="auto"/>
              </w:rPr>
              <w:t>A</w:t>
            </w:r>
            <w:r>
              <w:rPr>
                <w:color w:val="auto"/>
                <w:vertAlign w:val="subscript"/>
              </w:rPr>
              <w:t>atm</w:t>
            </w:r>
            <w:r>
              <w:rPr>
                <w:color w:val="auto"/>
              </w:rPr>
              <w:t>=α</w:t>
            </w:r>
            <w:r>
              <w:rPr>
                <w:rFonts w:hint="eastAsia"/>
                <w:color w:val="auto"/>
              </w:rPr>
              <w:t>（</w:t>
            </w:r>
            <w:r>
              <w:rPr>
                <w:color w:val="auto"/>
              </w:rPr>
              <w:t>r-r</w:t>
            </w:r>
            <w:r>
              <w:rPr>
                <w:color w:val="auto"/>
                <w:vertAlign w:val="subscript"/>
              </w:rPr>
              <w:t>0</w:t>
            </w:r>
            <w:r>
              <w:rPr>
                <w:rFonts w:hint="eastAsia"/>
                <w:color w:val="auto"/>
              </w:rPr>
              <w:t>）</w:t>
            </w:r>
            <w:r>
              <w:rPr>
                <w:color w:val="auto"/>
              </w:rPr>
              <w:t>/1000</w:t>
            </w:r>
          </w:p>
          <w:p>
            <w:pPr>
              <w:ind w:firstLine="480"/>
              <w:rPr>
                <w:color w:val="auto"/>
              </w:rPr>
            </w:pPr>
            <w:r>
              <w:rPr>
                <w:rFonts w:hint="eastAsia"/>
                <w:color w:val="auto"/>
              </w:rPr>
              <w:t>式中：</w:t>
            </w:r>
            <w:r>
              <w:rPr>
                <w:color w:val="auto"/>
              </w:rPr>
              <w:t>α</w:t>
            </w:r>
            <w:r>
              <w:rPr>
                <w:rFonts w:hint="eastAsia"/>
                <w:color w:val="auto"/>
              </w:rPr>
              <w:t>为温度、湿度和声波频率的函数，预测计算中一般根据建设项目所处区域常年平均气温和湿度选择相应的空气吸收系数，见下表。</w:t>
            </w:r>
          </w:p>
          <w:p>
            <w:pPr>
              <w:pStyle w:val="25"/>
              <w:rPr>
                <w:color w:val="auto"/>
              </w:rPr>
            </w:pPr>
            <w:r>
              <w:rPr>
                <w:rFonts w:hint="eastAsia"/>
                <w:color w:val="auto"/>
              </w:rPr>
              <w:t>表</w:t>
            </w:r>
            <w:r>
              <w:rPr>
                <w:color w:val="auto"/>
              </w:rPr>
              <w:t>4-</w:t>
            </w:r>
            <w:r>
              <w:rPr>
                <w:rFonts w:hint="eastAsia"/>
                <w:color w:val="auto"/>
              </w:rPr>
              <w:t>9</w:t>
            </w:r>
            <w:r>
              <w:rPr>
                <w:color w:val="auto"/>
              </w:rPr>
              <w:t xml:space="preserve">  </w:t>
            </w:r>
            <w:r>
              <w:rPr>
                <w:rFonts w:hint="eastAsia"/>
                <w:color w:val="auto"/>
              </w:rPr>
              <w:t>倍频带噪声的大气吸收衰减系数</w:t>
            </w:r>
          </w:p>
          <w:p>
            <w:pPr>
              <w:ind w:firstLine="0" w:firstLineChars="0"/>
              <w:jc w:val="center"/>
              <w:rPr>
                <w:color w:val="auto"/>
                <w:lang w:val="en-GB"/>
              </w:rPr>
            </w:pPr>
            <w:r>
              <w:rPr>
                <w:color w:val="auto"/>
                <w:lang w:val="en-GB"/>
              </w:rPr>
              <w:drawing>
                <wp:inline distT="0" distB="0" distL="0" distR="0">
                  <wp:extent cx="4705350" cy="1958340"/>
                  <wp:effectExtent l="0" t="0" r="0" b="3810"/>
                  <wp:docPr id="894827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8270" name="图片 4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4710179" cy="1960306"/>
                          </a:xfrm>
                          <a:prstGeom prst="rect">
                            <a:avLst/>
                          </a:prstGeom>
                          <a:noFill/>
                          <a:ln>
                            <a:noFill/>
                          </a:ln>
                        </pic:spPr>
                      </pic:pic>
                    </a:graphicData>
                  </a:graphic>
                </wp:inline>
              </w:drawing>
            </w:r>
          </w:p>
          <w:p>
            <w:pPr>
              <w:ind w:firstLine="480"/>
              <w:rPr>
                <w:color w:val="auto"/>
              </w:rPr>
            </w:pPr>
            <w:r>
              <w:rPr>
                <w:rFonts w:hint="eastAsia"/>
                <w:color w:val="auto"/>
              </w:rPr>
              <w:t>④地面效应引起的衰减</w:t>
            </w:r>
          </w:p>
          <w:p>
            <w:pPr>
              <w:ind w:firstLine="480"/>
              <w:rPr>
                <w:color w:val="auto"/>
              </w:rPr>
            </w:pPr>
            <w:r>
              <w:rPr>
                <w:rFonts w:hint="eastAsia"/>
                <w:color w:val="auto"/>
              </w:rPr>
              <w:t>声波越过疏松地面传播时，或大部分为疏松地面的混合地面，在预测点仅计算</w:t>
            </w:r>
            <w:r>
              <w:rPr>
                <w:color w:val="auto"/>
              </w:rPr>
              <w:t>A</w:t>
            </w:r>
            <w:r>
              <w:rPr>
                <w:rFonts w:hint="eastAsia"/>
                <w:color w:val="auto"/>
              </w:rPr>
              <w:t>声级前提下，地面效应引起的倍频带衰减可按下式计算：</w:t>
            </w:r>
          </w:p>
          <w:p>
            <w:pPr>
              <w:ind w:firstLine="480"/>
              <w:jc w:val="center"/>
              <w:rPr>
                <w:color w:val="auto"/>
              </w:rPr>
            </w:pPr>
            <w:r>
              <w:rPr>
                <w:color w:val="auto"/>
              </w:rPr>
              <w:object>
                <v:shape id="_x0000_i1049" o:spt="75" type="#_x0000_t75" style="height:36pt;width:153.35pt;" o:ole="t" filled="f" o:preferrelative="t" stroked="f" coordsize="21600,21600">
                  <v:path/>
                  <v:fill on="f" focussize="0,0"/>
                  <v:stroke on="f" joinstyle="miter"/>
                  <v:imagedata r:id="rId65" o:title=""/>
                  <o:lock v:ext="edit" aspectratio="t"/>
                  <w10:wrap type="none"/>
                  <w10:anchorlock/>
                </v:shape>
                <o:OLEObject Type="Embed" ProgID="Visio.Drawing.11" ShapeID="_x0000_i1049" DrawAspect="Content" ObjectID="_1468075748" r:id="rId64">
                  <o:LockedField>false</o:LockedField>
                </o:OLEObject>
              </w:object>
            </w:r>
          </w:p>
          <w:p>
            <w:pPr>
              <w:ind w:firstLine="480"/>
              <w:rPr>
                <w:color w:val="auto"/>
              </w:rPr>
            </w:pPr>
            <w:r>
              <w:rPr>
                <w:rFonts w:hint="eastAsia"/>
                <w:color w:val="auto"/>
              </w:rPr>
              <w:t>式中：</w:t>
            </w:r>
            <w:r>
              <w:rPr>
                <w:color w:val="auto"/>
              </w:rPr>
              <w:t>r—</w:t>
            </w:r>
            <w:r>
              <w:rPr>
                <w:rFonts w:hint="eastAsia"/>
                <w:color w:val="auto"/>
              </w:rPr>
              <w:t>声源到预测点的距离，</w:t>
            </w:r>
            <w:r>
              <w:rPr>
                <w:color w:val="auto"/>
              </w:rPr>
              <w:t>m</w:t>
            </w:r>
            <w:r>
              <w:rPr>
                <w:rFonts w:hint="eastAsia"/>
                <w:color w:val="auto"/>
              </w:rPr>
              <w:t>；</w:t>
            </w:r>
          </w:p>
          <w:p>
            <w:pPr>
              <w:ind w:firstLine="480"/>
              <w:rPr>
                <w:color w:val="auto"/>
              </w:rPr>
            </w:pPr>
            <w:r>
              <w:rPr>
                <w:color w:val="auto"/>
              </w:rPr>
              <w:t xml:space="preserve">      h</w:t>
            </w:r>
            <w:r>
              <w:rPr>
                <w:color w:val="auto"/>
                <w:vertAlign w:val="subscript"/>
              </w:rPr>
              <w:t>m</w:t>
            </w:r>
            <w:r>
              <w:rPr>
                <w:color w:val="auto"/>
              </w:rPr>
              <w:t>—</w:t>
            </w:r>
            <w:r>
              <w:rPr>
                <w:rFonts w:hint="eastAsia"/>
                <w:color w:val="auto"/>
              </w:rPr>
              <w:t>传播路径的平均离地高度，</w:t>
            </w:r>
            <w:r>
              <w:rPr>
                <w:color w:val="auto"/>
              </w:rPr>
              <w:t>m</w:t>
            </w:r>
            <w:r>
              <w:rPr>
                <w:rFonts w:hint="eastAsia"/>
                <w:color w:val="auto"/>
              </w:rPr>
              <w:t>。</w:t>
            </w:r>
          </w:p>
          <w:p>
            <w:pPr>
              <w:ind w:firstLine="480"/>
              <w:rPr>
                <w:color w:val="auto"/>
              </w:rPr>
            </w:pPr>
            <w:r>
              <w:rPr>
                <w:rFonts w:hint="eastAsia"/>
                <w:color w:val="auto"/>
              </w:rPr>
              <w:t>若</w:t>
            </w:r>
            <w:r>
              <w:rPr>
                <w:color w:val="auto"/>
              </w:rPr>
              <w:t>A</w:t>
            </w:r>
            <w:r>
              <w:rPr>
                <w:color w:val="auto"/>
                <w:vertAlign w:val="subscript"/>
              </w:rPr>
              <w:t>gr</w:t>
            </w:r>
            <w:r>
              <w:rPr>
                <w:rFonts w:hint="eastAsia"/>
                <w:color w:val="auto"/>
              </w:rPr>
              <w:t>计算出负值，则</w:t>
            </w:r>
            <w:r>
              <w:rPr>
                <w:color w:val="auto"/>
              </w:rPr>
              <w:t>A</w:t>
            </w:r>
            <w:r>
              <w:rPr>
                <w:color w:val="auto"/>
                <w:vertAlign w:val="subscript"/>
              </w:rPr>
              <w:t>gr</w:t>
            </w:r>
            <w:r>
              <w:rPr>
                <w:rFonts w:hint="eastAsia"/>
                <w:color w:val="auto"/>
              </w:rPr>
              <w:t>可用</w:t>
            </w:r>
            <w:r>
              <w:rPr>
                <w:color w:val="auto"/>
              </w:rPr>
              <w:t>“0”</w:t>
            </w:r>
            <w:r>
              <w:rPr>
                <w:rFonts w:hint="eastAsia"/>
                <w:color w:val="auto"/>
              </w:rPr>
              <w:t>代替。本项目厂区地面除绿化外均为坚实地面，且本次预测仅针对厂界，故</w:t>
            </w:r>
            <w:r>
              <w:rPr>
                <w:color w:val="auto"/>
              </w:rPr>
              <w:t>A</w:t>
            </w:r>
            <w:r>
              <w:rPr>
                <w:color w:val="auto"/>
                <w:vertAlign w:val="subscript"/>
              </w:rPr>
              <w:t>gr</w:t>
            </w:r>
            <w:r>
              <w:rPr>
                <w:rFonts w:hint="eastAsia"/>
                <w:color w:val="auto"/>
              </w:rPr>
              <w:t>可忽略不计。</w:t>
            </w:r>
          </w:p>
          <w:p>
            <w:pPr>
              <w:ind w:firstLine="480"/>
              <w:rPr>
                <w:color w:val="auto"/>
              </w:rPr>
            </w:pPr>
            <w:r>
              <w:rPr>
                <w:rFonts w:hint="eastAsia"/>
                <w:color w:val="auto"/>
              </w:rPr>
              <w:t>⑤</w:t>
            </w:r>
            <w:r>
              <w:rPr>
                <w:rFonts w:hint="eastAsia"/>
                <w:color w:val="auto"/>
                <w:lang w:eastAsia="zh-CN"/>
              </w:rPr>
              <w:t>其他</w:t>
            </w:r>
            <w:r>
              <w:rPr>
                <w:rFonts w:hint="eastAsia"/>
                <w:color w:val="auto"/>
              </w:rPr>
              <w:t>多方面原因引起的衰减</w:t>
            </w:r>
          </w:p>
          <w:p>
            <w:pPr>
              <w:ind w:firstLine="480"/>
              <w:rPr>
                <w:color w:val="auto"/>
              </w:rPr>
            </w:pPr>
            <w:r>
              <w:rPr>
                <w:rFonts w:hint="eastAsia"/>
                <w:color w:val="auto"/>
              </w:rPr>
              <w:t>其它衰减包括通过工业场所的衰减，通过房屋群的衰减。在本次预测中可忽略不计。</w:t>
            </w:r>
            <w:r>
              <w:rPr>
                <w:color w:val="auto"/>
              </w:rPr>
              <w:t>在声环境影响评价中，通常不考虑自然条件（如风、温度梯度、雾）变化引起的附加修正。</w:t>
            </w:r>
          </w:p>
          <w:p>
            <w:pPr>
              <w:ind w:firstLine="480"/>
              <w:rPr>
                <w:color w:val="auto"/>
              </w:rPr>
            </w:pPr>
            <w:r>
              <w:rPr>
                <w:rFonts w:hint="eastAsia"/>
                <w:color w:val="auto"/>
              </w:rPr>
              <w:t>（</w:t>
            </w:r>
            <w:r>
              <w:rPr>
                <w:color w:val="auto"/>
              </w:rPr>
              <w:t>2</w:t>
            </w:r>
            <w:r>
              <w:rPr>
                <w:rFonts w:hint="eastAsia"/>
                <w:color w:val="auto"/>
              </w:rPr>
              <w:t>）预测程序</w:t>
            </w:r>
          </w:p>
          <w:p>
            <w:pPr>
              <w:ind w:firstLine="480"/>
              <w:rPr>
                <w:color w:val="auto"/>
              </w:rPr>
            </w:pPr>
            <w:r>
              <w:rPr>
                <w:rFonts w:hint="eastAsia"/>
                <w:color w:val="auto"/>
              </w:rPr>
              <w:t>预测点噪声级预测计算基本步骤如下：</w:t>
            </w:r>
          </w:p>
          <w:p>
            <w:pPr>
              <w:ind w:firstLine="480"/>
              <w:rPr>
                <w:color w:val="auto"/>
              </w:rPr>
            </w:pPr>
            <w:r>
              <w:rPr>
                <w:rFonts w:hint="eastAsia"/>
                <w:color w:val="auto"/>
              </w:rPr>
              <w:t>①建立坐标系，确定各声源坐标和预测点坐标，本项目声源主要为自油泵、运输车辆及装卸过程产生的噪声、风机运行噪声，为点源及面源。</w:t>
            </w:r>
          </w:p>
          <w:p>
            <w:pPr>
              <w:ind w:firstLine="480"/>
              <w:rPr>
                <w:color w:val="auto"/>
              </w:rPr>
            </w:pPr>
            <w:r>
              <w:rPr>
                <w:rFonts w:hint="eastAsia"/>
                <w:color w:val="auto"/>
              </w:rPr>
              <w:t>②根据已获得的声源源强的数据和各声源到预测点的声波传播条件资料，计算出噪声从各声源传播到预测点的声衰减量，由此计算出各声源单独作用在预测点时产生的</w:t>
            </w:r>
            <w:r>
              <w:rPr>
                <w:color w:val="auto"/>
              </w:rPr>
              <w:t>A</w:t>
            </w:r>
            <w:r>
              <w:rPr>
                <w:rFonts w:hint="eastAsia"/>
                <w:color w:val="auto"/>
              </w:rPr>
              <w:t>声级</w:t>
            </w:r>
            <w:r>
              <w:rPr>
                <w:color w:val="auto"/>
              </w:rPr>
              <w:t>L</w:t>
            </w:r>
            <w:r>
              <w:rPr>
                <w:color w:val="auto"/>
                <w:vertAlign w:val="subscript"/>
              </w:rPr>
              <w:t>Ai</w:t>
            </w:r>
            <w:r>
              <w:rPr>
                <w:rFonts w:hint="eastAsia"/>
                <w:color w:val="auto"/>
              </w:rPr>
              <w:t>；</w:t>
            </w:r>
          </w:p>
          <w:p>
            <w:pPr>
              <w:ind w:firstLine="480"/>
              <w:rPr>
                <w:color w:val="auto"/>
              </w:rPr>
            </w:pPr>
            <w:r>
              <w:rPr>
                <w:rFonts w:hint="eastAsia"/>
                <w:color w:val="auto"/>
              </w:rPr>
              <w:t>③声级计算</w:t>
            </w:r>
          </w:p>
          <w:p>
            <w:pPr>
              <w:ind w:firstLine="480"/>
              <w:rPr>
                <w:color w:val="auto"/>
              </w:rPr>
            </w:pPr>
            <w:r>
              <w:rPr>
                <w:rFonts w:hint="eastAsia"/>
                <w:color w:val="auto"/>
              </w:rPr>
              <w:t>建设项目声源在预测点产生的等效声级贡献值（</w:t>
            </w:r>
            <w:r>
              <w:rPr>
                <w:color w:val="auto"/>
              </w:rPr>
              <w:t>L</w:t>
            </w:r>
            <w:r>
              <w:rPr>
                <w:color w:val="auto"/>
                <w:vertAlign w:val="subscript"/>
              </w:rPr>
              <w:t>eqg</w:t>
            </w:r>
            <w:r>
              <w:rPr>
                <w:rFonts w:hint="eastAsia"/>
                <w:color w:val="auto"/>
              </w:rPr>
              <w:t>）计算公式：</w:t>
            </w:r>
          </w:p>
          <w:p>
            <w:pPr>
              <w:ind w:firstLine="480"/>
              <w:jc w:val="center"/>
              <w:rPr>
                <w:color w:val="auto"/>
              </w:rPr>
            </w:pPr>
            <w:r>
              <w:rPr>
                <w:color w:val="auto"/>
              </w:rPr>
              <w:object>
                <v:shape id="_x0000_i1050" o:spt="75" type="#_x0000_t75" style="height:36pt;width:128.9pt;" o:ole="t" filled="f" o:preferrelative="t" stroked="f" coordsize="21600,21600">
                  <v:path/>
                  <v:fill on="f" focussize="0,0"/>
                  <v:stroke on="f" joinstyle="miter"/>
                  <v:imagedata r:id="rId67" o:title=""/>
                  <o:lock v:ext="edit" aspectratio="t"/>
                  <w10:wrap type="none"/>
                  <w10:anchorlock/>
                </v:shape>
                <o:OLEObject Type="Embed" ProgID="Visio.Drawing.11" ShapeID="_x0000_i1050" DrawAspect="Content" ObjectID="_1468075749" r:id="rId66">
                  <o:LockedField>false</o:LockedField>
                </o:OLEObject>
              </w:object>
            </w:r>
          </w:p>
          <w:p>
            <w:pPr>
              <w:ind w:firstLine="480"/>
              <w:rPr>
                <w:color w:val="auto"/>
              </w:rPr>
            </w:pPr>
            <w:r>
              <w:rPr>
                <w:rFonts w:hint="eastAsia"/>
                <w:color w:val="auto"/>
              </w:rPr>
              <w:t>式中：</w:t>
            </w:r>
            <w:r>
              <w:rPr>
                <w:color w:val="auto"/>
              </w:rPr>
              <w:t>L</w:t>
            </w:r>
            <w:r>
              <w:rPr>
                <w:color w:val="auto"/>
                <w:vertAlign w:val="subscript"/>
              </w:rPr>
              <w:t>eqg</w:t>
            </w:r>
            <w:r>
              <w:rPr>
                <w:color w:val="auto"/>
              </w:rPr>
              <w:t>—</w:t>
            </w:r>
            <w:r>
              <w:rPr>
                <w:rFonts w:hint="eastAsia"/>
                <w:color w:val="auto"/>
              </w:rPr>
              <w:t>建设项目声源在预测点的等效声级贡献值，</w:t>
            </w:r>
            <w:r>
              <w:rPr>
                <w:color w:val="auto"/>
              </w:rPr>
              <w:t>dB</w:t>
            </w:r>
            <w:r>
              <w:rPr>
                <w:rFonts w:hint="eastAsia"/>
                <w:color w:val="auto"/>
              </w:rPr>
              <w:t>（</w:t>
            </w:r>
            <w:r>
              <w:rPr>
                <w:color w:val="auto"/>
              </w:rPr>
              <w:t>A</w:t>
            </w:r>
            <w:r>
              <w:rPr>
                <w:rFonts w:hint="eastAsia"/>
                <w:color w:val="auto"/>
              </w:rPr>
              <w:t>）；</w:t>
            </w:r>
          </w:p>
          <w:p>
            <w:pPr>
              <w:ind w:firstLine="480"/>
              <w:rPr>
                <w:color w:val="auto"/>
              </w:rPr>
            </w:pPr>
            <w:r>
              <w:rPr>
                <w:color w:val="auto"/>
              </w:rPr>
              <w:t xml:space="preserve">      L</w:t>
            </w:r>
            <w:r>
              <w:rPr>
                <w:color w:val="auto"/>
                <w:vertAlign w:val="subscript"/>
              </w:rPr>
              <w:t>Ai</w:t>
            </w:r>
            <w:r>
              <w:rPr>
                <w:color w:val="auto"/>
              </w:rPr>
              <w:t>—i</w:t>
            </w:r>
            <w:r>
              <w:rPr>
                <w:rFonts w:hint="eastAsia"/>
                <w:color w:val="auto"/>
              </w:rPr>
              <w:t>声源在预测点产生的</w:t>
            </w:r>
            <w:r>
              <w:rPr>
                <w:color w:val="auto"/>
              </w:rPr>
              <w:t>A</w:t>
            </w:r>
            <w:r>
              <w:rPr>
                <w:rFonts w:hint="eastAsia"/>
                <w:color w:val="auto"/>
              </w:rPr>
              <w:t>声级，</w:t>
            </w:r>
            <w:r>
              <w:rPr>
                <w:color w:val="auto"/>
              </w:rPr>
              <w:t>dB</w:t>
            </w:r>
            <w:r>
              <w:rPr>
                <w:rFonts w:hint="eastAsia"/>
                <w:color w:val="auto"/>
              </w:rPr>
              <w:t>（</w:t>
            </w:r>
            <w:r>
              <w:rPr>
                <w:color w:val="auto"/>
              </w:rPr>
              <w:t>A</w:t>
            </w:r>
            <w:r>
              <w:rPr>
                <w:rFonts w:hint="eastAsia"/>
                <w:color w:val="auto"/>
              </w:rPr>
              <w:t>）；</w:t>
            </w:r>
          </w:p>
          <w:p>
            <w:pPr>
              <w:ind w:firstLine="480"/>
              <w:rPr>
                <w:color w:val="auto"/>
              </w:rPr>
            </w:pPr>
            <w:r>
              <w:rPr>
                <w:color w:val="auto"/>
              </w:rPr>
              <w:t xml:space="preserve">      T—</w:t>
            </w:r>
            <w:r>
              <w:rPr>
                <w:rFonts w:hint="eastAsia"/>
                <w:color w:val="auto"/>
              </w:rPr>
              <w:t>预测计算的时间段，</w:t>
            </w:r>
            <w:r>
              <w:rPr>
                <w:color w:val="auto"/>
              </w:rPr>
              <w:t>s</w:t>
            </w:r>
            <w:r>
              <w:rPr>
                <w:rFonts w:hint="eastAsia"/>
                <w:color w:val="auto"/>
              </w:rPr>
              <w:t>；</w:t>
            </w:r>
          </w:p>
          <w:p>
            <w:pPr>
              <w:ind w:firstLine="480"/>
              <w:rPr>
                <w:color w:val="auto"/>
              </w:rPr>
            </w:pPr>
            <w:r>
              <w:rPr>
                <w:color w:val="auto"/>
              </w:rPr>
              <w:t xml:space="preserve">      t</w:t>
            </w:r>
            <w:r>
              <w:rPr>
                <w:color w:val="auto"/>
                <w:vertAlign w:val="subscript"/>
              </w:rPr>
              <w:t>i</w:t>
            </w:r>
            <w:r>
              <w:rPr>
                <w:color w:val="auto"/>
              </w:rPr>
              <w:t>—i</w:t>
            </w:r>
            <w:r>
              <w:rPr>
                <w:rFonts w:hint="eastAsia"/>
                <w:color w:val="auto"/>
              </w:rPr>
              <w:t>声源在</w:t>
            </w:r>
            <w:r>
              <w:rPr>
                <w:color w:val="auto"/>
              </w:rPr>
              <w:t>T</w:t>
            </w:r>
            <w:r>
              <w:rPr>
                <w:rFonts w:hint="eastAsia"/>
                <w:color w:val="auto"/>
              </w:rPr>
              <w:t>时段内的运行时间，</w:t>
            </w:r>
            <w:r>
              <w:rPr>
                <w:color w:val="auto"/>
              </w:rPr>
              <w:t>s</w:t>
            </w:r>
            <w:r>
              <w:rPr>
                <w:rFonts w:hint="eastAsia"/>
                <w:color w:val="auto"/>
              </w:rPr>
              <w:t>。</w:t>
            </w:r>
          </w:p>
          <w:p>
            <w:pPr>
              <w:ind w:firstLine="480"/>
              <w:rPr>
                <w:color w:val="auto"/>
              </w:rPr>
            </w:pPr>
            <w:r>
              <w:rPr>
                <w:rFonts w:hint="eastAsia"/>
                <w:color w:val="auto"/>
              </w:rPr>
              <w:t>预测点的预测等效声级（</w:t>
            </w:r>
            <w:r>
              <w:rPr>
                <w:color w:val="auto"/>
              </w:rPr>
              <w:t>L</w:t>
            </w:r>
            <w:r>
              <w:rPr>
                <w:color w:val="auto"/>
                <w:vertAlign w:val="subscript"/>
              </w:rPr>
              <w:t>eq</w:t>
            </w:r>
            <w:r>
              <w:rPr>
                <w:rFonts w:hint="eastAsia"/>
                <w:color w:val="auto"/>
              </w:rPr>
              <w:t>）计算公式：</w:t>
            </w:r>
          </w:p>
          <w:p>
            <w:pPr>
              <w:ind w:firstLine="480"/>
              <w:jc w:val="center"/>
              <w:rPr>
                <w:color w:val="auto"/>
              </w:rPr>
            </w:pPr>
            <w:r>
              <w:rPr>
                <w:color w:val="auto"/>
              </w:rPr>
              <w:object>
                <v:shape id="_x0000_i1051" o:spt="75" type="#_x0000_t75" style="height:21.6pt;width:136.8pt;" o:ole="t" filled="f" o:preferrelative="t" stroked="f" coordsize="21600,21600">
                  <v:path/>
                  <v:fill on="f" focussize="0,0"/>
                  <v:stroke on="f" joinstyle="miter"/>
                  <v:imagedata r:id="rId69" o:title=""/>
                  <o:lock v:ext="edit" aspectratio="t"/>
                  <w10:wrap type="none"/>
                  <w10:anchorlock/>
                </v:shape>
                <o:OLEObject Type="Embed" ProgID="Visio.Drawing.11" ShapeID="_x0000_i1051" DrawAspect="Content" ObjectID="_1468075750" r:id="rId68">
                  <o:LockedField>false</o:LockedField>
                </o:OLEObject>
              </w:object>
            </w:r>
          </w:p>
          <w:p>
            <w:pPr>
              <w:ind w:firstLine="480"/>
              <w:rPr>
                <w:color w:val="auto"/>
              </w:rPr>
            </w:pPr>
            <w:r>
              <w:rPr>
                <w:rFonts w:hint="eastAsia"/>
                <w:color w:val="auto"/>
              </w:rPr>
              <w:t>式中：</w:t>
            </w:r>
            <w:r>
              <w:rPr>
                <w:color w:val="auto"/>
              </w:rPr>
              <w:t>L</w:t>
            </w:r>
            <w:r>
              <w:rPr>
                <w:color w:val="auto"/>
                <w:vertAlign w:val="subscript"/>
              </w:rPr>
              <w:t>eqg</w:t>
            </w:r>
            <w:r>
              <w:rPr>
                <w:color w:val="auto"/>
              </w:rPr>
              <w:t>—</w:t>
            </w:r>
            <w:r>
              <w:rPr>
                <w:rFonts w:hint="eastAsia"/>
                <w:color w:val="auto"/>
              </w:rPr>
              <w:t>建设项目声源在预测点的等效声级贡献值，</w:t>
            </w:r>
            <w:r>
              <w:rPr>
                <w:color w:val="auto"/>
              </w:rPr>
              <w:t>dB</w:t>
            </w:r>
            <w:r>
              <w:rPr>
                <w:rFonts w:hint="eastAsia"/>
                <w:color w:val="auto"/>
              </w:rPr>
              <w:t>（</w:t>
            </w:r>
            <w:r>
              <w:rPr>
                <w:color w:val="auto"/>
              </w:rPr>
              <w:t>A</w:t>
            </w:r>
            <w:r>
              <w:rPr>
                <w:rFonts w:hint="eastAsia"/>
                <w:color w:val="auto"/>
              </w:rPr>
              <w:t>）；</w:t>
            </w:r>
          </w:p>
          <w:p>
            <w:pPr>
              <w:ind w:firstLine="480"/>
              <w:rPr>
                <w:color w:val="auto"/>
              </w:rPr>
            </w:pPr>
            <w:r>
              <w:rPr>
                <w:color w:val="auto"/>
              </w:rPr>
              <w:t xml:space="preserve">      L</w:t>
            </w:r>
            <w:r>
              <w:rPr>
                <w:color w:val="auto"/>
                <w:vertAlign w:val="subscript"/>
              </w:rPr>
              <w:t>eqb</w:t>
            </w:r>
            <w:r>
              <w:rPr>
                <w:color w:val="auto"/>
              </w:rPr>
              <w:t>—</w:t>
            </w:r>
            <w:r>
              <w:rPr>
                <w:rFonts w:hint="eastAsia"/>
                <w:color w:val="auto"/>
              </w:rPr>
              <w:t>预测点的背景值，</w:t>
            </w:r>
            <w:r>
              <w:rPr>
                <w:color w:val="auto"/>
              </w:rPr>
              <w:t>dB</w:t>
            </w:r>
            <w:r>
              <w:rPr>
                <w:rFonts w:hint="eastAsia"/>
                <w:color w:val="auto"/>
              </w:rPr>
              <w:t>（</w:t>
            </w:r>
            <w:r>
              <w:rPr>
                <w:color w:val="auto"/>
              </w:rPr>
              <w:t>A</w:t>
            </w:r>
            <w:r>
              <w:rPr>
                <w:rFonts w:hint="eastAsia"/>
                <w:color w:val="auto"/>
              </w:rPr>
              <w:t>）。</w:t>
            </w:r>
          </w:p>
          <w:p>
            <w:pPr>
              <w:ind w:firstLine="480"/>
              <w:rPr>
                <w:color w:val="auto"/>
              </w:rPr>
            </w:pPr>
            <w:r>
              <w:rPr>
                <w:rFonts w:hint="eastAsia"/>
                <w:color w:val="auto"/>
              </w:rPr>
              <w:t>（</w:t>
            </w:r>
            <w:r>
              <w:rPr>
                <w:color w:val="auto"/>
              </w:rPr>
              <w:t>3</w:t>
            </w:r>
            <w:r>
              <w:rPr>
                <w:rFonts w:hint="eastAsia"/>
                <w:color w:val="auto"/>
              </w:rPr>
              <w:t>）参数选取</w:t>
            </w:r>
          </w:p>
          <w:p>
            <w:pPr>
              <w:ind w:firstLine="480"/>
              <w:rPr>
                <w:color w:val="auto"/>
              </w:rPr>
            </w:pPr>
            <w:r>
              <w:rPr>
                <w:rFonts w:hint="eastAsia"/>
                <w:color w:val="auto"/>
              </w:rPr>
              <w:t>计算过程考虑了建筑物的屏障作用和室内源向室外的传播，进行预测。项目各种产噪设备对场界噪声影响贡献预测结果见下表。</w:t>
            </w:r>
          </w:p>
          <w:p>
            <w:pPr>
              <w:ind w:firstLine="480"/>
              <w:rPr>
                <w:color w:val="auto"/>
              </w:rPr>
            </w:pPr>
            <w:r>
              <w:rPr>
                <w:rFonts w:hint="eastAsia"/>
                <w:color w:val="auto"/>
              </w:rPr>
              <w:t>根据本项目投产后厂内主要噪声源的位置、声功率级值以及所采取的噪声防治措施，运营期厂界噪声预测结果见下表。</w:t>
            </w:r>
          </w:p>
          <w:p>
            <w:pPr>
              <w:pStyle w:val="25"/>
              <w:rPr>
                <w:color w:val="auto"/>
              </w:rPr>
            </w:pPr>
            <w:r>
              <w:rPr>
                <w:rFonts w:hint="eastAsia"/>
                <w:color w:val="auto"/>
              </w:rPr>
              <w:t>表4-10厂界噪声预测结果        单位：Leq</w:t>
            </w:r>
            <w:r>
              <w:rPr>
                <w:rFonts w:hint="eastAsia" w:ascii="宋体" w:hAnsi="宋体" w:eastAsia="宋体" w:cs="宋体"/>
                <w:color w:val="auto"/>
              </w:rPr>
              <w:t>[</w:t>
            </w:r>
            <w:r>
              <w:rPr>
                <w:rFonts w:hint="eastAsia"/>
                <w:color w:val="auto"/>
              </w:rPr>
              <w:t>dB（A）</w:t>
            </w:r>
            <w:r>
              <w:rPr>
                <w:rFonts w:hint="eastAsia" w:ascii="宋体" w:hAnsi="宋体" w:eastAsia="宋体" w:cs="宋体"/>
                <w:color w:val="auto"/>
              </w:rPr>
              <w:t>]</w:t>
            </w:r>
          </w:p>
          <w:tbl>
            <w:tblPr>
              <w:tblStyle w:val="17"/>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466"/>
              <w:gridCol w:w="1464"/>
              <w:gridCol w:w="397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579" w:type="pct"/>
                  <w:vAlign w:val="center"/>
                </w:tcPr>
                <w:p>
                  <w:pPr>
                    <w:pStyle w:val="39"/>
                    <w:jc w:val="center"/>
                    <w:rPr>
                      <w:b/>
                      <w:bCs/>
                      <w:color w:val="auto"/>
                    </w:rPr>
                  </w:pPr>
                  <w:r>
                    <w:rPr>
                      <w:b/>
                      <w:bCs/>
                      <w:color w:val="auto"/>
                    </w:rPr>
                    <w:t>序号</w:t>
                  </w:r>
                </w:p>
              </w:tc>
              <w:tc>
                <w:tcPr>
                  <w:tcW w:w="938" w:type="pct"/>
                  <w:vAlign w:val="center"/>
                </w:tcPr>
                <w:p>
                  <w:pPr>
                    <w:pStyle w:val="39"/>
                    <w:jc w:val="center"/>
                    <w:rPr>
                      <w:b/>
                      <w:bCs/>
                      <w:color w:val="auto"/>
                    </w:rPr>
                  </w:pPr>
                  <w:r>
                    <w:rPr>
                      <w:b/>
                      <w:bCs/>
                      <w:color w:val="auto"/>
                    </w:rPr>
                    <w:t>厂界</w:t>
                  </w:r>
                </w:p>
              </w:tc>
              <w:tc>
                <w:tcPr>
                  <w:tcW w:w="937" w:type="pct"/>
                  <w:vAlign w:val="center"/>
                </w:tcPr>
                <w:p>
                  <w:pPr>
                    <w:pStyle w:val="39"/>
                    <w:jc w:val="center"/>
                    <w:rPr>
                      <w:b/>
                      <w:bCs/>
                      <w:color w:val="auto"/>
                    </w:rPr>
                  </w:pPr>
                  <w:r>
                    <w:rPr>
                      <w:b/>
                      <w:bCs/>
                      <w:color w:val="auto"/>
                    </w:rPr>
                    <w:t>贡献值</w:t>
                  </w:r>
                </w:p>
              </w:tc>
              <w:tc>
                <w:tcPr>
                  <w:tcW w:w="2544" w:type="pct"/>
                  <w:vAlign w:val="center"/>
                </w:tcPr>
                <w:p>
                  <w:pPr>
                    <w:pStyle w:val="39"/>
                    <w:jc w:val="center"/>
                    <w:rPr>
                      <w:b/>
                      <w:bCs/>
                      <w:color w:val="auto"/>
                    </w:rPr>
                  </w:pPr>
                  <w:r>
                    <w:rPr>
                      <w:b/>
                      <w:bCs/>
                      <w:color w:val="auto"/>
                    </w:rPr>
                    <w:t>标准值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79" w:type="pct"/>
                  <w:vAlign w:val="center"/>
                </w:tcPr>
                <w:p>
                  <w:pPr>
                    <w:pStyle w:val="39"/>
                    <w:jc w:val="center"/>
                    <w:rPr>
                      <w:color w:val="auto"/>
                    </w:rPr>
                  </w:pPr>
                  <w:r>
                    <w:rPr>
                      <w:color w:val="auto"/>
                    </w:rPr>
                    <w:t>1#</w:t>
                  </w:r>
                </w:p>
              </w:tc>
              <w:tc>
                <w:tcPr>
                  <w:tcW w:w="938" w:type="pct"/>
                  <w:vAlign w:val="center"/>
                </w:tcPr>
                <w:p>
                  <w:pPr>
                    <w:pStyle w:val="39"/>
                    <w:jc w:val="center"/>
                    <w:rPr>
                      <w:color w:val="auto"/>
                    </w:rPr>
                  </w:pPr>
                  <w:r>
                    <w:rPr>
                      <w:color w:val="auto"/>
                    </w:rPr>
                    <w:t>东</w:t>
                  </w:r>
                </w:p>
              </w:tc>
              <w:tc>
                <w:tcPr>
                  <w:tcW w:w="937" w:type="pct"/>
                  <w:vAlign w:val="center"/>
                </w:tcPr>
                <w:p>
                  <w:pPr>
                    <w:pStyle w:val="39"/>
                    <w:jc w:val="center"/>
                    <w:rPr>
                      <w:color w:val="auto"/>
                    </w:rPr>
                  </w:pPr>
                  <w:r>
                    <w:rPr>
                      <w:color w:val="auto"/>
                    </w:rPr>
                    <w:t>4</w:t>
                  </w:r>
                  <w:r>
                    <w:rPr>
                      <w:rFonts w:hint="eastAsia"/>
                      <w:color w:val="auto"/>
                    </w:rPr>
                    <w:t>3.51</w:t>
                  </w:r>
                </w:p>
              </w:tc>
              <w:tc>
                <w:tcPr>
                  <w:tcW w:w="2544" w:type="pct"/>
                  <w:vMerge w:val="restart"/>
                  <w:vAlign w:val="center"/>
                </w:tcPr>
                <w:p>
                  <w:pPr>
                    <w:pStyle w:val="39"/>
                    <w:jc w:val="center"/>
                    <w:rPr>
                      <w:color w:val="auto"/>
                    </w:rPr>
                  </w:pPr>
                  <w:r>
                    <w:rPr>
                      <w:color w:val="auto"/>
                    </w:rPr>
                    <w:t>《工业企业厂界环境噪声排放标准》(GB12348－2008)</w:t>
                  </w:r>
                  <w:r>
                    <w:rPr>
                      <w:rFonts w:hint="eastAsia"/>
                      <w:color w:val="auto"/>
                    </w:rPr>
                    <w:t>1</w:t>
                  </w:r>
                  <w:r>
                    <w:rPr>
                      <w:color w:val="auto"/>
                    </w:rPr>
                    <w:t>类标准限值</w:t>
                  </w:r>
                  <w:r>
                    <w:rPr>
                      <w:rFonts w:hint="eastAsia" w:ascii="宋体" w:hAnsi="宋体" w:eastAsia="宋体" w:cs="宋体"/>
                      <w:color w:val="auto"/>
                    </w:rPr>
                    <w:t>[</w:t>
                  </w:r>
                  <w:r>
                    <w:rPr>
                      <w:color w:val="auto"/>
                    </w:rPr>
                    <w:t>昼间</w:t>
                  </w:r>
                  <w:r>
                    <w:rPr>
                      <w:rFonts w:hint="eastAsia"/>
                      <w:color w:val="auto"/>
                    </w:rPr>
                    <w:t>55</w:t>
                  </w:r>
                  <w:r>
                    <w:rPr>
                      <w:color w:val="auto"/>
                    </w:rPr>
                    <w:t>dB(A）、夜间</w:t>
                  </w:r>
                  <w:r>
                    <w:rPr>
                      <w:rFonts w:hint="eastAsia"/>
                      <w:color w:val="auto"/>
                    </w:rPr>
                    <w:t>45</w:t>
                  </w:r>
                  <w:r>
                    <w:rPr>
                      <w:color w:val="auto"/>
                    </w:rPr>
                    <w:t>dB(A）</w:t>
                  </w:r>
                  <w:r>
                    <w:rPr>
                      <w:rFonts w:hint="eastAsia" w:ascii="宋体" w:hAnsi="宋体" w:eastAsia="宋体" w:cs="宋体"/>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579" w:type="pct"/>
                  <w:vAlign w:val="center"/>
                </w:tcPr>
                <w:p>
                  <w:pPr>
                    <w:pStyle w:val="39"/>
                    <w:jc w:val="center"/>
                    <w:rPr>
                      <w:color w:val="auto"/>
                    </w:rPr>
                  </w:pPr>
                  <w:r>
                    <w:rPr>
                      <w:color w:val="auto"/>
                    </w:rPr>
                    <w:t>2#</w:t>
                  </w:r>
                </w:p>
              </w:tc>
              <w:tc>
                <w:tcPr>
                  <w:tcW w:w="938" w:type="pct"/>
                  <w:vAlign w:val="center"/>
                </w:tcPr>
                <w:p>
                  <w:pPr>
                    <w:pStyle w:val="39"/>
                    <w:jc w:val="center"/>
                    <w:rPr>
                      <w:color w:val="auto"/>
                    </w:rPr>
                  </w:pPr>
                  <w:r>
                    <w:rPr>
                      <w:color w:val="auto"/>
                    </w:rPr>
                    <w:t>南</w:t>
                  </w:r>
                </w:p>
              </w:tc>
              <w:tc>
                <w:tcPr>
                  <w:tcW w:w="937" w:type="pct"/>
                  <w:vAlign w:val="center"/>
                </w:tcPr>
                <w:p>
                  <w:pPr>
                    <w:pStyle w:val="39"/>
                    <w:jc w:val="center"/>
                    <w:rPr>
                      <w:color w:val="auto"/>
                    </w:rPr>
                  </w:pPr>
                  <w:r>
                    <w:rPr>
                      <w:color w:val="auto"/>
                    </w:rPr>
                    <w:t>4</w:t>
                  </w:r>
                  <w:r>
                    <w:rPr>
                      <w:rFonts w:hint="eastAsia"/>
                      <w:color w:val="auto"/>
                    </w:rPr>
                    <w:t>4.67</w:t>
                  </w:r>
                </w:p>
              </w:tc>
              <w:tc>
                <w:tcPr>
                  <w:tcW w:w="2544" w:type="pct"/>
                  <w:vMerge w:val="continue"/>
                  <w:vAlign w:val="center"/>
                </w:tcPr>
                <w:p>
                  <w:pPr>
                    <w:pStyle w:val="39"/>
                    <w:jc w:val="center"/>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579" w:type="pct"/>
                  <w:vAlign w:val="center"/>
                </w:tcPr>
                <w:p>
                  <w:pPr>
                    <w:pStyle w:val="39"/>
                    <w:jc w:val="center"/>
                    <w:rPr>
                      <w:color w:val="auto"/>
                    </w:rPr>
                  </w:pPr>
                  <w:r>
                    <w:rPr>
                      <w:color w:val="auto"/>
                    </w:rPr>
                    <w:t>3#</w:t>
                  </w:r>
                </w:p>
              </w:tc>
              <w:tc>
                <w:tcPr>
                  <w:tcW w:w="938" w:type="pct"/>
                  <w:vAlign w:val="center"/>
                </w:tcPr>
                <w:p>
                  <w:pPr>
                    <w:pStyle w:val="39"/>
                    <w:jc w:val="center"/>
                    <w:rPr>
                      <w:color w:val="auto"/>
                    </w:rPr>
                  </w:pPr>
                  <w:r>
                    <w:rPr>
                      <w:color w:val="auto"/>
                    </w:rPr>
                    <w:t>西</w:t>
                  </w:r>
                </w:p>
              </w:tc>
              <w:tc>
                <w:tcPr>
                  <w:tcW w:w="937" w:type="pct"/>
                  <w:vAlign w:val="center"/>
                </w:tcPr>
                <w:p>
                  <w:pPr>
                    <w:pStyle w:val="39"/>
                    <w:jc w:val="center"/>
                    <w:rPr>
                      <w:color w:val="auto"/>
                    </w:rPr>
                  </w:pPr>
                  <w:r>
                    <w:rPr>
                      <w:rFonts w:hint="eastAsia"/>
                      <w:color w:val="auto"/>
                    </w:rPr>
                    <w:t>42.97</w:t>
                  </w:r>
                </w:p>
              </w:tc>
              <w:tc>
                <w:tcPr>
                  <w:tcW w:w="2544" w:type="pct"/>
                  <w:vMerge w:val="continue"/>
                  <w:vAlign w:val="center"/>
                </w:tcPr>
                <w:p>
                  <w:pPr>
                    <w:pStyle w:val="39"/>
                    <w:jc w:val="center"/>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579" w:type="pct"/>
                  <w:vAlign w:val="center"/>
                </w:tcPr>
                <w:p>
                  <w:pPr>
                    <w:pStyle w:val="39"/>
                    <w:jc w:val="center"/>
                    <w:rPr>
                      <w:color w:val="auto"/>
                    </w:rPr>
                  </w:pPr>
                  <w:r>
                    <w:rPr>
                      <w:color w:val="auto"/>
                    </w:rPr>
                    <w:t>4#</w:t>
                  </w:r>
                </w:p>
              </w:tc>
              <w:tc>
                <w:tcPr>
                  <w:tcW w:w="938" w:type="pct"/>
                  <w:vAlign w:val="center"/>
                </w:tcPr>
                <w:p>
                  <w:pPr>
                    <w:pStyle w:val="39"/>
                    <w:jc w:val="center"/>
                    <w:rPr>
                      <w:color w:val="auto"/>
                    </w:rPr>
                  </w:pPr>
                  <w:r>
                    <w:rPr>
                      <w:color w:val="auto"/>
                    </w:rPr>
                    <w:t>北</w:t>
                  </w:r>
                </w:p>
              </w:tc>
              <w:tc>
                <w:tcPr>
                  <w:tcW w:w="937" w:type="pct"/>
                  <w:vAlign w:val="center"/>
                </w:tcPr>
                <w:p>
                  <w:pPr>
                    <w:pStyle w:val="39"/>
                    <w:jc w:val="center"/>
                    <w:rPr>
                      <w:color w:val="auto"/>
                    </w:rPr>
                  </w:pPr>
                  <w:r>
                    <w:rPr>
                      <w:rFonts w:hint="eastAsia"/>
                      <w:color w:val="auto"/>
                    </w:rPr>
                    <w:t>40.13</w:t>
                  </w:r>
                </w:p>
              </w:tc>
              <w:tc>
                <w:tcPr>
                  <w:tcW w:w="2544" w:type="pct"/>
                  <w:vMerge w:val="continue"/>
                  <w:vAlign w:val="center"/>
                </w:tcPr>
                <w:p>
                  <w:pPr>
                    <w:pStyle w:val="39"/>
                    <w:jc w:val="center"/>
                    <w:rPr>
                      <w:color w:val="auto"/>
                    </w:rPr>
                  </w:pPr>
                </w:p>
              </w:tc>
            </w:tr>
          </w:tbl>
          <w:p>
            <w:pPr>
              <w:ind w:firstLine="480"/>
              <w:rPr>
                <w:color w:val="auto"/>
              </w:rPr>
            </w:pPr>
            <w:r>
              <w:rPr>
                <w:rFonts w:hint="eastAsia"/>
                <w:color w:val="auto"/>
              </w:rPr>
              <w:t>由上表可知，项目投产后，厂界贡献值满足《工业企业厂界环境噪声排放标准》（</w:t>
            </w:r>
            <w:r>
              <w:rPr>
                <w:color w:val="auto"/>
              </w:rPr>
              <w:t>GB12348 -2008</w:t>
            </w:r>
            <w:r>
              <w:rPr>
                <w:rFonts w:hint="eastAsia"/>
                <w:color w:val="auto"/>
              </w:rPr>
              <w:t>）1类标准的限值要求，对周边声环境影响不大。</w:t>
            </w:r>
          </w:p>
          <w:p>
            <w:pPr>
              <w:ind w:firstLine="482"/>
              <w:rPr>
                <w:b/>
                <w:bCs/>
                <w:color w:val="auto"/>
              </w:rPr>
            </w:pPr>
            <w:r>
              <w:rPr>
                <w:rFonts w:hint="eastAsia"/>
                <w:b/>
                <w:bCs/>
                <w:color w:val="auto"/>
              </w:rPr>
              <w:t>3.噪声控制措施</w:t>
            </w:r>
          </w:p>
          <w:p>
            <w:pPr>
              <w:ind w:firstLine="480"/>
              <w:rPr>
                <w:color w:val="auto"/>
              </w:rPr>
            </w:pPr>
            <w:r>
              <w:rPr>
                <w:rFonts w:hint="eastAsia"/>
                <w:color w:val="auto"/>
              </w:rPr>
              <w:t>本项目运营期噪声源为搅拌楼、运输车辆、装载机、输送带装置等运行产生的噪声污染，声源强度在70-85dB（A）之间。</w:t>
            </w:r>
            <w:r>
              <w:rPr>
                <w:color w:val="auto"/>
              </w:rPr>
              <w:t>为减少噪声的影响，本环评提出，建设单位</w:t>
            </w:r>
            <w:r>
              <w:rPr>
                <w:rFonts w:hint="eastAsia"/>
                <w:color w:val="auto"/>
              </w:rPr>
              <w:t>应</w:t>
            </w:r>
            <w:r>
              <w:rPr>
                <w:color w:val="auto"/>
              </w:rPr>
              <w:t>采取以下措施降低噪声影响：</w:t>
            </w:r>
          </w:p>
          <w:p>
            <w:pPr>
              <w:ind w:firstLine="480"/>
              <w:rPr>
                <w:color w:val="auto"/>
              </w:rPr>
            </w:pPr>
            <w:r>
              <w:rPr>
                <w:color w:val="auto"/>
              </w:rPr>
              <w:t>从声源上控制噪声水平，设备噪声采取减振、隔声、消声等措施降噪措施；</w:t>
            </w:r>
          </w:p>
          <w:p>
            <w:pPr>
              <w:ind w:firstLine="480"/>
              <w:rPr>
                <w:color w:val="auto"/>
              </w:rPr>
            </w:pPr>
            <w:r>
              <w:rPr>
                <w:color w:val="auto"/>
              </w:rPr>
              <w:t>加强设备管理，对生产设备定期检查与维护，使设备保持良好的运行状况，降低运转时产生的噪声；</w:t>
            </w:r>
          </w:p>
          <w:p>
            <w:pPr>
              <w:ind w:firstLine="480"/>
              <w:rPr>
                <w:color w:val="auto"/>
              </w:rPr>
            </w:pPr>
            <w:r>
              <w:rPr>
                <w:color w:val="auto"/>
              </w:rPr>
              <w:t>加强员工环保意识教育，提倡文明生产；强化行车管理制度，设置降噪标准，严禁</w:t>
            </w:r>
            <w:r>
              <w:rPr>
                <w:rFonts w:hint="eastAsia"/>
                <w:color w:val="auto"/>
              </w:rPr>
              <w:t>鸣笛</w:t>
            </w:r>
            <w:r>
              <w:rPr>
                <w:color w:val="auto"/>
              </w:rPr>
              <w:t>，进入厂区低速行驶。</w:t>
            </w:r>
          </w:p>
          <w:p>
            <w:pPr>
              <w:ind w:firstLine="480"/>
              <w:rPr>
                <w:color w:val="auto"/>
              </w:rPr>
            </w:pPr>
            <w:r>
              <w:rPr>
                <w:color w:val="auto"/>
              </w:rPr>
              <w:t>采取以上防治措施后，项目厂界噪声可满足《工业企业厂界环境噪声标准》</w:t>
            </w:r>
            <w:r>
              <w:rPr>
                <w:rFonts w:hint="eastAsia"/>
                <w:color w:val="auto"/>
              </w:rPr>
              <w:t>（</w:t>
            </w:r>
            <w:r>
              <w:rPr>
                <w:color w:val="auto"/>
              </w:rPr>
              <w:t>GB12348-2008</w:t>
            </w:r>
            <w:r>
              <w:rPr>
                <w:rFonts w:hint="eastAsia"/>
                <w:color w:val="auto"/>
              </w:rPr>
              <w:t>）</w:t>
            </w:r>
            <w:r>
              <w:rPr>
                <w:color w:val="auto"/>
              </w:rPr>
              <w:t>中</w:t>
            </w:r>
            <w:r>
              <w:rPr>
                <w:rFonts w:hint="eastAsia"/>
                <w:color w:val="auto"/>
              </w:rPr>
              <w:t>1</w:t>
            </w:r>
            <w:r>
              <w:rPr>
                <w:color w:val="auto"/>
              </w:rPr>
              <w:t>类标准要求。因此项目产生噪声对周围声环境影响很小。</w:t>
            </w:r>
          </w:p>
          <w:p>
            <w:pPr>
              <w:ind w:firstLine="482"/>
              <w:rPr>
                <w:b/>
                <w:color w:val="auto"/>
              </w:rPr>
            </w:pPr>
            <w:r>
              <w:rPr>
                <w:rFonts w:hint="eastAsia"/>
                <w:b/>
                <w:color w:val="auto"/>
              </w:rPr>
              <w:t>四、固体废物影响分析</w:t>
            </w:r>
          </w:p>
          <w:p>
            <w:pPr>
              <w:ind w:firstLine="480"/>
              <w:rPr>
                <w:color w:val="auto"/>
              </w:rPr>
            </w:pPr>
            <w:r>
              <w:rPr>
                <w:rFonts w:hint="eastAsia"/>
                <w:color w:val="auto"/>
              </w:rPr>
              <w:t>本项目固体废物主要有废混凝土、除尘灰、沉淀池沉渣以及职工生活垃圾。</w:t>
            </w:r>
          </w:p>
          <w:p>
            <w:pPr>
              <w:ind w:firstLine="480"/>
              <w:rPr>
                <w:color w:val="auto"/>
              </w:rPr>
            </w:pPr>
            <w:r>
              <w:rPr>
                <w:rFonts w:hint="eastAsia"/>
                <w:color w:val="auto"/>
              </w:rPr>
              <w:t>1.废混凝土</w:t>
            </w:r>
          </w:p>
          <w:p>
            <w:pPr>
              <w:ind w:firstLine="480"/>
              <w:rPr>
                <w:color w:val="auto"/>
              </w:rPr>
            </w:pPr>
            <w:r>
              <w:rPr>
                <w:color w:val="auto"/>
              </w:rPr>
              <w:t>根据同类企业生产经验数据，项目生产过程产生的废混凝土量约</w:t>
            </w:r>
            <w:r>
              <w:rPr>
                <w:rFonts w:hint="eastAsia"/>
                <w:color w:val="auto"/>
              </w:rPr>
              <w:t>2.5</w:t>
            </w:r>
            <w:r>
              <w:rPr>
                <w:color w:val="auto"/>
              </w:rPr>
              <w:t>t/a，该部分固废堆存</w:t>
            </w:r>
            <w:r>
              <w:rPr>
                <w:rFonts w:hint="eastAsia"/>
                <w:color w:val="auto"/>
              </w:rPr>
              <w:t>于</w:t>
            </w:r>
            <w:r>
              <w:rPr>
                <w:color w:val="auto"/>
              </w:rPr>
              <w:t>原料</w:t>
            </w:r>
            <w:r>
              <w:rPr>
                <w:rFonts w:hint="eastAsia"/>
                <w:color w:val="auto"/>
              </w:rPr>
              <w:t>库</w:t>
            </w:r>
            <w:r>
              <w:rPr>
                <w:color w:val="auto"/>
              </w:rPr>
              <w:t>一侧，</w:t>
            </w:r>
            <w:r>
              <w:rPr>
                <w:rFonts w:hint="eastAsia"/>
                <w:color w:val="auto"/>
              </w:rPr>
              <w:t>定期外售，可作为填方材料外运处理，也可用于筑路等。</w:t>
            </w:r>
          </w:p>
          <w:p>
            <w:pPr>
              <w:ind w:firstLine="480"/>
              <w:rPr>
                <w:color w:val="auto"/>
              </w:rPr>
            </w:pPr>
            <w:r>
              <w:rPr>
                <w:rFonts w:hint="eastAsia"/>
                <w:color w:val="auto"/>
              </w:rPr>
              <w:t>2.</w:t>
            </w:r>
            <w:r>
              <w:rPr>
                <w:color w:val="auto"/>
              </w:rPr>
              <w:t>除尘灰</w:t>
            </w:r>
          </w:p>
          <w:p>
            <w:pPr>
              <w:ind w:firstLine="480"/>
              <w:rPr>
                <w:color w:val="auto"/>
              </w:rPr>
            </w:pPr>
            <w:r>
              <w:rPr>
                <w:color w:val="auto"/>
              </w:rPr>
              <w:t>项目生产工序采用布除尘器收集后会产生收集粉尘，根据除尘器去除效率，粉尘收集量为</w:t>
            </w:r>
            <w:r>
              <w:rPr>
                <w:rFonts w:hint="eastAsia"/>
                <w:color w:val="auto"/>
              </w:rPr>
              <w:t>11.63</w:t>
            </w:r>
            <w:r>
              <w:rPr>
                <w:color w:val="auto"/>
              </w:rPr>
              <w:t>t/a，主要成分为水泥粉末、粉煤灰粉末等。经过收集处理后可</w:t>
            </w:r>
            <w:r>
              <w:rPr>
                <w:rFonts w:hint="eastAsia"/>
                <w:color w:val="auto"/>
              </w:rPr>
              <w:t>作</w:t>
            </w:r>
            <w:r>
              <w:rPr>
                <w:color w:val="auto"/>
              </w:rPr>
              <w:t>为原料回用到生产中。</w:t>
            </w:r>
          </w:p>
          <w:p>
            <w:pPr>
              <w:ind w:firstLine="480"/>
              <w:rPr>
                <w:color w:val="auto"/>
              </w:rPr>
            </w:pPr>
            <w:r>
              <w:rPr>
                <w:rFonts w:hint="eastAsia"/>
                <w:color w:val="auto"/>
              </w:rPr>
              <w:t>3.沉淀池泥沙</w:t>
            </w:r>
          </w:p>
          <w:p>
            <w:pPr>
              <w:adjustRightInd w:val="0"/>
              <w:snapToGrid w:val="0"/>
              <w:ind w:firstLine="480"/>
              <w:outlineLvl w:val="0"/>
              <w:rPr>
                <w:color w:val="auto"/>
                <w:szCs w:val="21"/>
              </w:rPr>
            </w:pPr>
            <w:r>
              <w:rPr>
                <w:color w:val="auto"/>
                <w:szCs w:val="21"/>
              </w:rPr>
              <w:t>对设备、车辆清洗产生的废水采用沉淀池沉淀处理后废水回用，由此产生沉渣，沉渣产生量约为</w:t>
            </w:r>
            <w:r>
              <w:rPr>
                <w:rFonts w:hint="eastAsia"/>
                <w:color w:val="auto"/>
                <w:szCs w:val="21"/>
              </w:rPr>
              <w:t>3</w:t>
            </w:r>
            <w:r>
              <w:rPr>
                <w:color w:val="auto"/>
                <w:szCs w:val="21"/>
              </w:rPr>
              <w:t>t/a，</w:t>
            </w:r>
            <w:r>
              <w:rPr>
                <w:rFonts w:hint="eastAsia"/>
                <w:color w:val="auto"/>
              </w:rPr>
              <w:t>定期外售，可作为填方材料外运处理，也可用于筑路等。</w:t>
            </w:r>
          </w:p>
          <w:p>
            <w:pPr>
              <w:adjustRightInd w:val="0"/>
              <w:snapToGrid w:val="0"/>
              <w:ind w:firstLine="480"/>
              <w:outlineLvl w:val="0"/>
              <w:rPr>
                <w:color w:val="auto"/>
                <w:szCs w:val="21"/>
              </w:rPr>
            </w:pPr>
            <w:r>
              <w:rPr>
                <w:rFonts w:hint="eastAsia"/>
                <w:color w:val="auto"/>
                <w:szCs w:val="21"/>
              </w:rPr>
              <w:t>4.生活垃圾</w:t>
            </w:r>
          </w:p>
          <w:p>
            <w:pPr>
              <w:adjustRightInd w:val="0"/>
              <w:snapToGrid w:val="0"/>
              <w:ind w:firstLine="480"/>
              <w:rPr>
                <w:color w:val="auto"/>
                <w:szCs w:val="21"/>
              </w:rPr>
            </w:pPr>
            <w:r>
              <w:rPr>
                <w:color w:val="auto"/>
                <w:szCs w:val="21"/>
              </w:rPr>
              <w:t>项目员工有</w:t>
            </w:r>
            <w:r>
              <w:rPr>
                <w:rFonts w:hint="eastAsia"/>
                <w:color w:val="auto"/>
                <w:szCs w:val="21"/>
              </w:rPr>
              <w:t>5</w:t>
            </w:r>
            <w:r>
              <w:rPr>
                <w:color w:val="auto"/>
                <w:szCs w:val="21"/>
              </w:rPr>
              <w:t>人，年工作</w:t>
            </w:r>
            <w:r>
              <w:rPr>
                <w:rFonts w:hint="eastAsia"/>
                <w:color w:val="auto"/>
                <w:szCs w:val="21"/>
              </w:rPr>
              <w:t>150</w:t>
            </w:r>
            <w:r>
              <w:rPr>
                <w:color w:val="auto"/>
                <w:szCs w:val="21"/>
              </w:rPr>
              <w:t>天</w:t>
            </w:r>
            <w:r>
              <w:rPr>
                <w:rFonts w:hint="eastAsia"/>
                <w:color w:val="auto"/>
                <w:szCs w:val="21"/>
                <w:lang w:eastAsia="zh-CN"/>
              </w:rPr>
              <w:t>。</w:t>
            </w:r>
            <w:r>
              <w:rPr>
                <w:color w:val="auto"/>
                <w:szCs w:val="21"/>
              </w:rPr>
              <w:t>按每人每天产生生活垃圾0.5kg</w:t>
            </w:r>
            <w:r>
              <w:rPr>
                <w:rFonts w:hint="eastAsia"/>
                <w:color w:val="auto"/>
                <w:szCs w:val="21"/>
              </w:rPr>
              <w:t>计算</w:t>
            </w:r>
            <w:r>
              <w:rPr>
                <w:color w:val="auto"/>
                <w:szCs w:val="21"/>
              </w:rPr>
              <w:t>，生活垃圾产生量约为</w:t>
            </w:r>
            <w:r>
              <w:rPr>
                <w:rFonts w:hint="eastAsia"/>
                <w:color w:val="auto"/>
                <w:szCs w:val="21"/>
              </w:rPr>
              <w:t>0.38</w:t>
            </w:r>
            <w:r>
              <w:rPr>
                <w:color w:val="auto"/>
                <w:szCs w:val="21"/>
              </w:rPr>
              <w:t>t/a，生活垃圾采用</w:t>
            </w:r>
            <w:r>
              <w:rPr>
                <w:rFonts w:hint="eastAsia"/>
                <w:color w:val="auto"/>
                <w:szCs w:val="21"/>
              </w:rPr>
              <w:t>垃圾</w:t>
            </w:r>
            <w:r>
              <w:rPr>
                <w:color w:val="auto"/>
                <w:szCs w:val="21"/>
              </w:rPr>
              <w:t>箱集中收集后</w:t>
            </w:r>
            <w:r>
              <w:rPr>
                <w:rFonts w:hint="eastAsia"/>
                <w:color w:val="auto"/>
                <w:szCs w:val="21"/>
              </w:rPr>
              <w:t>，</w:t>
            </w:r>
            <w:r>
              <w:rPr>
                <w:color w:val="auto"/>
                <w:szCs w:val="21"/>
              </w:rPr>
              <w:t>定期由环卫工人统一清运。</w:t>
            </w:r>
          </w:p>
          <w:p>
            <w:pPr>
              <w:ind w:firstLine="480"/>
              <w:rPr>
                <w:color w:val="auto"/>
              </w:rPr>
            </w:pPr>
            <w:r>
              <w:rPr>
                <w:rFonts w:hint="eastAsia"/>
                <w:color w:val="auto"/>
              </w:rPr>
              <w:t>本项目一般工业固体废物产生及处置情况汇总表如下：</w:t>
            </w:r>
          </w:p>
          <w:p>
            <w:pPr>
              <w:pStyle w:val="25"/>
              <w:rPr>
                <w:color w:val="auto"/>
              </w:rPr>
            </w:pPr>
            <w:r>
              <w:rPr>
                <w:rFonts w:hint="eastAsia"/>
                <w:color w:val="auto"/>
              </w:rPr>
              <w:t>表4-11项目固体废物产生情况一览表</w:t>
            </w:r>
          </w:p>
          <w:tbl>
            <w:tblPr>
              <w:tblStyle w:val="17"/>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357"/>
              <w:gridCol w:w="1628"/>
              <w:gridCol w:w="412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52" w:type="pct"/>
                  <w:vAlign w:val="center"/>
                </w:tcPr>
                <w:p>
                  <w:pPr>
                    <w:pStyle w:val="39"/>
                    <w:jc w:val="center"/>
                    <w:rPr>
                      <w:b/>
                      <w:bCs/>
                      <w:color w:val="auto"/>
                    </w:rPr>
                  </w:pPr>
                  <w:r>
                    <w:rPr>
                      <w:b/>
                      <w:bCs/>
                      <w:color w:val="auto"/>
                    </w:rPr>
                    <w:t>序号</w:t>
                  </w:r>
                </w:p>
              </w:tc>
              <w:tc>
                <w:tcPr>
                  <w:tcW w:w="868" w:type="pct"/>
                  <w:vAlign w:val="center"/>
                </w:tcPr>
                <w:p>
                  <w:pPr>
                    <w:pStyle w:val="39"/>
                    <w:jc w:val="center"/>
                    <w:rPr>
                      <w:b/>
                      <w:bCs/>
                      <w:color w:val="auto"/>
                    </w:rPr>
                  </w:pPr>
                  <w:r>
                    <w:rPr>
                      <w:b/>
                      <w:bCs/>
                      <w:color w:val="auto"/>
                    </w:rPr>
                    <w:t>固废名称</w:t>
                  </w:r>
                </w:p>
              </w:tc>
              <w:tc>
                <w:tcPr>
                  <w:tcW w:w="1042" w:type="pct"/>
                  <w:vAlign w:val="center"/>
                </w:tcPr>
                <w:p>
                  <w:pPr>
                    <w:pStyle w:val="39"/>
                    <w:jc w:val="center"/>
                    <w:rPr>
                      <w:b/>
                      <w:bCs/>
                      <w:color w:val="auto"/>
                    </w:rPr>
                  </w:pPr>
                  <w:r>
                    <w:rPr>
                      <w:b/>
                      <w:bCs/>
                      <w:color w:val="auto"/>
                    </w:rPr>
                    <w:t>预测产生（t/a）</w:t>
                  </w:r>
                </w:p>
              </w:tc>
              <w:tc>
                <w:tcPr>
                  <w:tcW w:w="2636" w:type="pct"/>
                  <w:vAlign w:val="center"/>
                </w:tcPr>
                <w:p>
                  <w:pPr>
                    <w:pStyle w:val="39"/>
                    <w:jc w:val="center"/>
                    <w:rPr>
                      <w:b/>
                      <w:bCs/>
                      <w:color w:val="auto"/>
                    </w:rPr>
                  </w:pPr>
                  <w:r>
                    <w:rPr>
                      <w:b/>
                      <w:bCs/>
                      <w:color w:val="auto"/>
                    </w:rPr>
                    <w:t>处理方式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452" w:type="pct"/>
                  <w:vAlign w:val="center"/>
                </w:tcPr>
                <w:p>
                  <w:pPr>
                    <w:pStyle w:val="39"/>
                    <w:jc w:val="center"/>
                    <w:rPr>
                      <w:color w:val="auto"/>
                    </w:rPr>
                  </w:pPr>
                  <w:r>
                    <w:rPr>
                      <w:color w:val="auto"/>
                    </w:rPr>
                    <w:t>1</w:t>
                  </w:r>
                </w:p>
              </w:tc>
              <w:tc>
                <w:tcPr>
                  <w:tcW w:w="868" w:type="pct"/>
                  <w:vAlign w:val="center"/>
                </w:tcPr>
                <w:p>
                  <w:pPr>
                    <w:pStyle w:val="39"/>
                    <w:jc w:val="center"/>
                    <w:rPr>
                      <w:color w:val="auto"/>
                    </w:rPr>
                  </w:pPr>
                  <w:r>
                    <w:rPr>
                      <w:rFonts w:hint="eastAsia"/>
                      <w:color w:val="auto"/>
                    </w:rPr>
                    <w:t>废混凝土</w:t>
                  </w:r>
                </w:p>
              </w:tc>
              <w:tc>
                <w:tcPr>
                  <w:tcW w:w="1042" w:type="pct"/>
                  <w:vAlign w:val="center"/>
                </w:tcPr>
                <w:p>
                  <w:pPr>
                    <w:pStyle w:val="39"/>
                    <w:jc w:val="center"/>
                    <w:rPr>
                      <w:color w:val="auto"/>
                    </w:rPr>
                  </w:pPr>
                  <w:r>
                    <w:rPr>
                      <w:rFonts w:hint="eastAsia"/>
                      <w:color w:val="auto"/>
                    </w:rPr>
                    <w:t>2.5</w:t>
                  </w:r>
                </w:p>
              </w:tc>
              <w:tc>
                <w:tcPr>
                  <w:tcW w:w="2636" w:type="pct"/>
                  <w:vAlign w:val="center"/>
                </w:tcPr>
                <w:p>
                  <w:pPr>
                    <w:pStyle w:val="39"/>
                    <w:jc w:val="center"/>
                    <w:rPr>
                      <w:color w:val="auto"/>
                    </w:rPr>
                  </w:pPr>
                  <w:r>
                    <w:rPr>
                      <w:color w:val="auto"/>
                    </w:rPr>
                    <w:t>堆存</w:t>
                  </w:r>
                  <w:r>
                    <w:rPr>
                      <w:rFonts w:hint="eastAsia"/>
                      <w:color w:val="auto"/>
                    </w:rPr>
                    <w:t>于</w:t>
                  </w:r>
                  <w:r>
                    <w:rPr>
                      <w:color w:val="auto"/>
                    </w:rPr>
                    <w:t>原料</w:t>
                  </w:r>
                  <w:r>
                    <w:rPr>
                      <w:rFonts w:hint="eastAsia"/>
                      <w:color w:val="auto"/>
                    </w:rPr>
                    <w:t>库</w:t>
                  </w:r>
                  <w:r>
                    <w:rPr>
                      <w:color w:val="auto"/>
                    </w:rPr>
                    <w:t>一侧，</w:t>
                  </w:r>
                  <w:r>
                    <w:rPr>
                      <w:rFonts w:hint="eastAsia"/>
                      <w:color w:val="auto"/>
                    </w:rPr>
                    <w:t>定期外售，可作为填方材料外运处理，也可用于筑路等</w:t>
                  </w:r>
                  <w:r>
                    <w:rPr>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452" w:type="pct"/>
                  <w:vAlign w:val="center"/>
                </w:tcPr>
                <w:p>
                  <w:pPr>
                    <w:pStyle w:val="39"/>
                    <w:jc w:val="center"/>
                    <w:rPr>
                      <w:color w:val="auto"/>
                    </w:rPr>
                  </w:pPr>
                  <w:r>
                    <w:rPr>
                      <w:rFonts w:hint="eastAsia"/>
                      <w:color w:val="auto"/>
                    </w:rPr>
                    <w:t>2</w:t>
                  </w:r>
                </w:p>
              </w:tc>
              <w:tc>
                <w:tcPr>
                  <w:tcW w:w="868" w:type="pct"/>
                  <w:vAlign w:val="center"/>
                </w:tcPr>
                <w:p>
                  <w:pPr>
                    <w:pStyle w:val="39"/>
                    <w:jc w:val="center"/>
                    <w:rPr>
                      <w:color w:val="auto"/>
                    </w:rPr>
                  </w:pPr>
                  <w:r>
                    <w:rPr>
                      <w:rFonts w:hint="eastAsia"/>
                      <w:color w:val="auto"/>
                    </w:rPr>
                    <w:t>除尘灰</w:t>
                  </w:r>
                </w:p>
              </w:tc>
              <w:tc>
                <w:tcPr>
                  <w:tcW w:w="1042" w:type="pct"/>
                  <w:vAlign w:val="center"/>
                </w:tcPr>
                <w:p>
                  <w:pPr>
                    <w:pStyle w:val="39"/>
                    <w:jc w:val="center"/>
                    <w:rPr>
                      <w:color w:val="auto"/>
                    </w:rPr>
                  </w:pPr>
                  <w:r>
                    <w:rPr>
                      <w:rFonts w:hint="eastAsia"/>
                      <w:color w:val="auto"/>
                    </w:rPr>
                    <w:t>11.63</w:t>
                  </w:r>
                </w:p>
              </w:tc>
              <w:tc>
                <w:tcPr>
                  <w:tcW w:w="2636" w:type="pct"/>
                  <w:vAlign w:val="center"/>
                </w:tcPr>
                <w:p>
                  <w:pPr>
                    <w:pStyle w:val="39"/>
                    <w:jc w:val="center"/>
                    <w:rPr>
                      <w:color w:val="auto"/>
                    </w:rPr>
                  </w:pPr>
                  <w:r>
                    <w:rPr>
                      <w:rFonts w:hint="eastAsia"/>
                      <w:color w:val="auto"/>
                    </w:rPr>
                    <w:t>回用于生产。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2" w:type="pct"/>
                  <w:vAlign w:val="center"/>
                </w:tcPr>
                <w:p>
                  <w:pPr>
                    <w:pStyle w:val="39"/>
                    <w:jc w:val="center"/>
                    <w:rPr>
                      <w:color w:val="auto"/>
                    </w:rPr>
                  </w:pPr>
                  <w:r>
                    <w:rPr>
                      <w:rFonts w:hint="eastAsia"/>
                      <w:color w:val="auto"/>
                    </w:rPr>
                    <w:t>3</w:t>
                  </w:r>
                </w:p>
              </w:tc>
              <w:tc>
                <w:tcPr>
                  <w:tcW w:w="868" w:type="pct"/>
                  <w:vAlign w:val="center"/>
                </w:tcPr>
                <w:p>
                  <w:pPr>
                    <w:pStyle w:val="39"/>
                    <w:jc w:val="center"/>
                    <w:rPr>
                      <w:color w:val="auto"/>
                    </w:rPr>
                  </w:pPr>
                  <w:r>
                    <w:rPr>
                      <w:rFonts w:hint="eastAsia"/>
                      <w:color w:val="auto"/>
                    </w:rPr>
                    <w:t>沉淀池沉渣</w:t>
                  </w:r>
                </w:p>
              </w:tc>
              <w:tc>
                <w:tcPr>
                  <w:tcW w:w="1042" w:type="pct"/>
                  <w:vAlign w:val="center"/>
                </w:tcPr>
                <w:p>
                  <w:pPr>
                    <w:pStyle w:val="39"/>
                    <w:jc w:val="center"/>
                    <w:rPr>
                      <w:color w:val="auto"/>
                    </w:rPr>
                  </w:pPr>
                  <w:r>
                    <w:rPr>
                      <w:rFonts w:hint="eastAsia"/>
                      <w:color w:val="auto"/>
                    </w:rPr>
                    <w:t>3</w:t>
                  </w:r>
                </w:p>
              </w:tc>
              <w:tc>
                <w:tcPr>
                  <w:tcW w:w="2636" w:type="pct"/>
                  <w:vAlign w:val="center"/>
                </w:tcPr>
                <w:p>
                  <w:pPr>
                    <w:pStyle w:val="39"/>
                    <w:jc w:val="center"/>
                    <w:rPr>
                      <w:color w:val="auto"/>
                    </w:rPr>
                  </w:pPr>
                  <w:r>
                    <w:rPr>
                      <w:rFonts w:hint="eastAsia"/>
                      <w:color w:val="auto"/>
                    </w:rPr>
                    <w:t>定期外售，可作为填方材料外运处理，也可用于筑路等</w:t>
                  </w:r>
                  <w:r>
                    <w:rPr>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452" w:type="pct"/>
                  <w:vAlign w:val="center"/>
                </w:tcPr>
                <w:p>
                  <w:pPr>
                    <w:pStyle w:val="39"/>
                    <w:jc w:val="center"/>
                    <w:rPr>
                      <w:color w:val="auto"/>
                    </w:rPr>
                  </w:pPr>
                  <w:r>
                    <w:rPr>
                      <w:rFonts w:hint="eastAsia"/>
                      <w:color w:val="auto"/>
                    </w:rPr>
                    <w:t>4</w:t>
                  </w:r>
                </w:p>
              </w:tc>
              <w:tc>
                <w:tcPr>
                  <w:tcW w:w="868" w:type="pct"/>
                  <w:vAlign w:val="center"/>
                </w:tcPr>
                <w:p>
                  <w:pPr>
                    <w:pStyle w:val="39"/>
                    <w:jc w:val="center"/>
                    <w:rPr>
                      <w:color w:val="auto"/>
                    </w:rPr>
                  </w:pPr>
                  <w:r>
                    <w:rPr>
                      <w:rFonts w:hint="eastAsia"/>
                      <w:color w:val="auto"/>
                    </w:rPr>
                    <w:t>生活垃圾</w:t>
                  </w:r>
                </w:p>
              </w:tc>
              <w:tc>
                <w:tcPr>
                  <w:tcW w:w="1042" w:type="pct"/>
                  <w:vAlign w:val="center"/>
                </w:tcPr>
                <w:p>
                  <w:pPr>
                    <w:pStyle w:val="39"/>
                    <w:jc w:val="center"/>
                    <w:rPr>
                      <w:color w:val="auto"/>
                    </w:rPr>
                  </w:pPr>
                  <w:r>
                    <w:rPr>
                      <w:rFonts w:hint="eastAsia"/>
                      <w:color w:val="auto"/>
                    </w:rPr>
                    <w:t>0.38</w:t>
                  </w:r>
                </w:p>
              </w:tc>
              <w:tc>
                <w:tcPr>
                  <w:tcW w:w="2636" w:type="pct"/>
                  <w:vAlign w:val="center"/>
                </w:tcPr>
                <w:p>
                  <w:pPr>
                    <w:pStyle w:val="39"/>
                    <w:jc w:val="center"/>
                    <w:rPr>
                      <w:color w:val="auto"/>
                    </w:rPr>
                  </w:pPr>
                  <w:r>
                    <w:rPr>
                      <w:color w:val="auto"/>
                    </w:rPr>
                    <w:t>收集后外售。</w:t>
                  </w:r>
                </w:p>
              </w:tc>
            </w:tr>
          </w:tbl>
          <w:p>
            <w:pPr>
              <w:ind w:firstLine="482"/>
              <w:rPr>
                <w:b/>
                <w:bCs/>
                <w:color w:val="auto"/>
              </w:rPr>
            </w:pPr>
            <w:r>
              <w:rPr>
                <w:rFonts w:hint="eastAsia"/>
                <w:b/>
                <w:bCs/>
                <w:color w:val="auto"/>
              </w:rPr>
              <w:t>五、环境监测计划</w:t>
            </w:r>
          </w:p>
          <w:p>
            <w:pPr>
              <w:ind w:firstLine="480"/>
              <w:rPr>
                <w:color w:val="auto"/>
              </w:rPr>
            </w:pPr>
            <w:r>
              <w:rPr>
                <w:rFonts w:hint="eastAsia"/>
                <w:color w:val="auto"/>
              </w:rPr>
              <w:t>根据《排污单位自行监测技术指南 水泥工业》（</w:t>
            </w:r>
            <w:r>
              <w:rPr>
                <w:color w:val="auto"/>
              </w:rPr>
              <w:t xml:space="preserve">HJ </w:t>
            </w:r>
            <w:r>
              <w:rPr>
                <w:rFonts w:hint="eastAsia"/>
                <w:color w:val="auto"/>
              </w:rPr>
              <w:t>848</w:t>
            </w:r>
            <w:r>
              <w:rPr>
                <w:rFonts w:hint="eastAsia"/>
                <w:color w:val="auto"/>
                <w:lang w:val="en-US" w:eastAsia="zh-CN"/>
              </w:rPr>
              <w:t>-</w:t>
            </w:r>
            <w:r>
              <w:rPr>
                <w:color w:val="auto"/>
              </w:rPr>
              <w:t>2017</w:t>
            </w:r>
            <w:r>
              <w:rPr>
                <w:rFonts w:hint="eastAsia"/>
                <w:color w:val="auto"/>
              </w:rPr>
              <w:t>）以及拟建项目废气和噪声等污染源的产、排情况，评价建议本项目环境监测的具体内容如下表所示：</w:t>
            </w:r>
          </w:p>
          <w:p>
            <w:pPr>
              <w:ind w:firstLine="480"/>
              <w:rPr>
                <w:color w:val="auto"/>
              </w:rPr>
            </w:pPr>
            <w:r>
              <w:rPr>
                <w:rFonts w:hint="eastAsia"/>
                <w:color w:val="auto"/>
              </w:rPr>
              <w:t>由于粉料筒仓及搅拌仓不具备监测条件，故仅对厂界无组织排放进行监测。本项目环境监测计划见下表。</w:t>
            </w:r>
          </w:p>
          <w:p>
            <w:pPr>
              <w:pStyle w:val="25"/>
              <w:rPr>
                <w:color w:val="auto"/>
              </w:rPr>
            </w:pPr>
            <w:r>
              <w:rPr>
                <w:rFonts w:hint="eastAsia"/>
                <w:color w:val="auto"/>
              </w:rPr>
              <w:t>表4-12  环境监测计划</w:t>
            </w:r>
          </w:p>
          <w:tbl>
            <w:tblPr>
              <w:tblStyle w:val="17"/>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344"/>
              <w:gridCol w:w="1845"/>
              <w:gridCol w:w="1047"/>
              <w:gridCol w:w="286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456" w:type="pct"/>
                  <w:vAlign w:val="center"/>
                </w:tcPr>
                <w:p>
                  <w:pPr>
                    <w:pStyle w:val="39"/>
                    <w:jc w:val="center"/>
                    <w:rPr>
                      <w:b/>
                      <w:bCs/>
                      <w:color w:val="auto"/>
                    </w:rPr>
                  </w:pPr>
                  <w:r>
                    <w:rPr>
                      <w:b/>
                      <w:bCs/>
                      <w:color w:val="auto"/>
                    </w:rPr>
                    <w:t>类别</w:t>
                  </w:r>
                </w:p>
              </w:tc>
              <w:tc>
                <w:tcPr>
                  <w:tcW w:w="860" w:type="pct"/>
                  <w:vAlign w:val="center"/>
                </w:tcPr>
                <w:p>
                  <w:pPr>
                    <w:pStyle w:val="39"/>
                    <w:jc w:val="center"/>
                    <w:rPr>
                      <w:b/>
                      <w:bCs/>
                      <w:color w:val="auto"/>
                    </w:rPr>
                  </w:pPr>
                  <w:r>
                    <w:rPr>
                      <w:b/>
                      <w:bCs/>
                      <w:color w:val="auto"/>
                    </w:rPr>
                    <w:t>监测位置</w:t>
                  </w:r>
                </w:p>
              </w:tc>
              <w:tc>
                <w:tcPr>
                  <w:tcW w:w="1181" w:type="pct"/>
                  <w:vAlign w:val="center"/>
                </w:tcPr>
                <w:p>
                  <w:pPr>
                    <w:pStyle w:val="39"/>
                    <w:jc w:val="center"/>
                    <w:rPr>
                      <w:b/>
                      <w:bCs/>
                      <w:color w:val="auto"/>
                    </w:rPr>
                  </w:pPr>
                  <w:r>
                    <w:rPr>
                      <w:b/>
                      <w:bCs/>
                      <w:color w:val="auto"/>
                    </w:rPr>
                    <w:t>监测因子</w:t>
                  </w:r>
                </w:p>
              </w:tc>
              <w:tc>
                <w:tcPr>
                  <w:tcW w:w="670" w:type="pct"/>
                  <w:vAlign w:val="center"/>
                </w:tcPr>
                <w:p>
                  <w:pPr>
                    <w:pStyle w:val="39"/>
                    <w:jc w:val="center"/>
                    <w:rPr>
                      <w:b/>
                      <w:bCs/>
                      <w:color w:val="auto"/>
                    </w:rPr>
                  </w:pPr>
                  <w:r>
                    <w:rPr>
                      <w:b/>
                      <w:bCs/>
                      <w:color w:val="auto"/>
                    </w:rPr>
                    <w:t>监测频率</w:t>
                  </w:r>
                </w:p>
              </w:tc>
              <w:tc>
                <w:tcPr>
                  <w:tcW w:w="1831" w:type="pct"/>
                  <w:vAlign w:val="center"/>
                </w:tcPr>
                <w:p>
                  <w:pPr>
                    <w:pStyle w:val="39"/>
                    <w:jc w:val="center"/>
                    <w:rPr>
                      <w:b/>
                      <w:bCs/>
                      <w:color w:val="auto"/>
                    </w:rPr>
                  </w:pPr>
                  <w:r>
                    <w:rPr>
                      <w:b/>
                      <w:bCs/>
                      <w:color w:val="auto"/>
                    </w:rPr>
                    <w:t>执行标准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456" w:type="pct"/>
                  <w:vAlign w:val="center"/>
                </w:tcPr>
                <w:p>
                  <w:pPr>
                    <w:pStyle w:val="39"/>
                    <w:jc w:val="center"/>
                    <w:rPr>
                      <w:color w:val="auto"/>
                    </w:rPr>
                  </w:pPr>
                  <w:r>
                    <w:rPr>
                      <w:color w:val="auto"/>
                    </w:rPr>
                    <w:t>废气</w:t>
                  </w:r>
                </w:p>
              </w:tc>
              <w:tc>
                <w:tcPr>
                  <w:tcW w:w="860" w:type="pct"/>
                  <w:vAlign w:val="center"/>
                </w:tcPr>
                <w:p>
                  <w:pPr>
                    <w:pStyle w:val="39"/>
                    <w:jc w:val="center"/>
                    <w:rPr>
                      <w:color w:val="auto"/>
                    </w:rPr>
                  </w:pPr>
                  <w:r>
                    <w:rPr>
                      <w:color w:val="auto"/>
                    </w:rPr>
                    <w:t>厂界无组织</w:t>
                  </w:r>
                </w:p>
              </w:tc>
              <w:tc>
                <w:tcPr>
                  <w:tcW w:w="1181" w:type="pct"/>
                  <w:vAlign w:val="center"/>
                </w:tcPr>
                <w:p>
                  <w:pPr>
                    <w:pStyle w:val="39"/>
                    <w:jc w:val="center"/>
                    <w:rPr>
                      <w:color w:val="auto"/>
                    </w:rPr>
                  </w:pPr>
                  <w:r>
                    <w:rPr>
                      <w:color w:val="auto"/>
                    </w:rPr>
                    <w:t>颗粒物</w:t>
                  </w:r>
                </w:p>
              </w:tc>
              <w:tc>
                <w:tcPr>
                  <w:tcW w:w="670" w:type="pct"/>
                  <w:vAlign w:val="center"/>
                </w:tcPr>
                <w:p>
                  <w:pPr>
                    <w:pStyle w:val="39"/>
                    <w:jc w:val="center"/>
                    <w:rPr>
                      <w:color w:val="auto"/>
                    </w:rPr>
                  </w:pPr>
                  <w:r>
                    <w:rPr>
                      <w:rFonts w:hint="eastAsia"/>
                      <w:color w:val="auto"/>
                    </w:rPr>
                    <w:t>每季度</w:t>
                  </w:r>
                  <w:r>
                    <w:rPr>
                      <w:color w:val="auto"/>
                    </w:rPr>
                    <w:t>一次</w:t>
                  </w:r>
                </w:p>
              </w:tc>
              <w:tc>
                <w:tcPr>
                  <w:tcW w:w="1831" w:type="pct"/>
                  <w:vAlign w:val="center"/>
                </w:tcPr>
                <w:p>
                  <w:pPr>
                    <w:pStyle w:val="39"/>
                    <w:jc w:val="center"/>
                    <w:rPr>
                      <w:color w:val="auto"/>
                    </w:rPr>
                  </w:pPr>
                  <w:r>
                    <w:rPr>
                      <w:color w:val="auto"/>
                    </w:rPr>
                    <w:t>《水泥工业大气污染物排放标准》（GB4915-2013）中表3大气污染物无组织排放限值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456" w:type="pct"/>
                  <w:vAlign w:val="center"/>
                </w:tcPr>
                <w:p>
                  <w:pPr>
                    <w:pStyle w:val="39"/>
                    <w:jc w:val="center"/>
                    <w:rPr>
                      <w:color w:val="auto"/>
                    </w:rPr>
                  </w:pPr>
                  <w:r>
                    <w:rPr>
                      <w:rFonts w:hint="eastAsia"/>
                      <w:color w:val="auto"/>
                    </w:rPr>
                    <w:t>噪声</w:t>
                  </w:r>
                </w:p>
              </w:tc>
              <w:tc>
                <w:tcPr>
                  <w:tcW w:w="860" w:type="pct"/>
                  <w:vAlign w:val="center"/>
                </w:tcPr>
                <w:p>
                  <w:pPr>
                    <w:pStyle w:val="39"/>
                    <w:jc w:val="center"/>
                    <w:rPr>
                      <w:color w:val="auto"/>
                    </w:rPr>
                  </w:pPr>
                  <w:r>
                    <w:rPr>
                      <w:rFonts w:hint="eastAsia"/>
                      <w:color w:val="auto"/>
                    </w:rPr>
                    <w:t>厂界</w:t>
                  </w:r>
                </w:p>
              </w:tc>
              <w:tc>
                <w:tcPr>
                  <w:tcW w:w="1181" w:type="pct"/>
                  <w:vAlign w:val="center"/>
                </w:tcPr>
                <w:p>
                  <w:pPr>
                    <w:pStyle w:val="39"/>
                    <w:jc w:val="center"/>
                    <w:rPr>
                      <w:color w:val="auto"/>
                    </w:rPr>
                  </w:pPr>
                  <w:r>
                    <w:rPr>
                      <w:rFonts w:hint="eastAsia"/>
                      <w:color w:val="auto"/>
                    </w:rPr>
                    <w:t>等效A声级</w:t>
                  </w:r>
                </w:p>
              </w:tc>
              <w:tc>
                <w:tcPr>
                  <w:tcW w:w="670" w:type="pct"/>
                  <w:vAlign w:val="center"/>
                </w:tcPr>
                <w:p>
                  <w:pPr>
                    <w:pStyle w:val="39"/>
                    <w:jc w:val="center"/>
                    <w:rPr>
                      <w:color w:val="auto"/>
                    </w:rPr>
                  </w:pPr>
                  <w:r>
                    <w:rPr>
                      <w:rFonts w:hint="eastAsia"/>
                      <w:color w:val="auto"/>
                    </w:rPr>
                    <w:t>每季度</w:t>
                  </w:r>
                  <w:r>
                    <w:rPr>
                      <w:color w:val="auto"/>
                    </w:rPr>
                    <w:t>一次</w:t>
                  </w:r>
                </w:p>
              </w:tc>
              <w:tc>
                <w:tcPr>
                  <w:tcW w:w="1831" w:type="pct"/>
                  <w:vAlign w:val="center"/>
                </w:tcPr>
                <w:p>
                  <w:pPr>
                    <w:pStyle w:val="39"/>
                    <w:jc w:val="center"/>
                    <w:rPr>
                      <w:color w:val="auto"/>
                    </w:rPr>
                  </w:pPr>
                  <w:r>
                    <w:rPr>
                      <w:rFonts w:hint="eastAsia"/>
                      <w:color w:val="auto"/>
                    </w:rPr>
                    <w:t>《工业企业厂界环境噪声排放标准》（GB12348-2008）1类标准</w:t>
                  </w:r>
                </w:p>
              </w:tc>
            </w:tr>
          </w:tbl>
          <w:p>
            <w:pPr>
              <w:ind w:firstLine="482"/>
              <w:rPr>
                <w:b/>
                <w:bCs/>
                <w:color w:val="auto"/>
              </w:rPr>
            </w:pPr>
            <w:r>
              <w:rPr>
                <w:rFonts w:hint="eastAsia"/>
                <w:b/>
                <w:bCs/>
                <w:color w:val="auto"/>
              </w:rPr>
              <w:t>六、建设项目环境保护“三同时”验收内容</w:t>
            </w:r>
          </w:p>
          <w:p>
            <w:pPr>
              <w:ind w:firstLine="480"/>
              <w:rPr>
                <w:color w:val="auto"/>
              </w:rPr>
            </w:pPr>
            <w:r>
              <w:rPr>
                <w:rFonts w:hint="eastAsia"/>
                <w:color w:val="auto"/>
              </w:rPr>
              <w:t>建设项目环境保护</w:t>
            </w:r>
            <w:r>
              <w:rPr>
                <w:color w:val="auto"/>
              </w:rPr>
              <w:t>“</w:t>
            </w:r>
            <w:r>
              <w:rPr>
                <w:rFonts w:hint="eastAsia"/>
                <w:color w:val="auto"/>
              </w:rPr>
              <w:t>三同时</w:t>
            </w:r>
            <w:r>
              <w:rPr>
                <w:color w:val="auto"/>
              </w:rPr>
              <w:t>”</w:t>
            </w:r>
            <w:r>
              <w:rPr>
                <w:rFonts w:hint="eastAsia"/>
                <w:color w:val="auto"/>
              </w:rPr>
              <w:t>验收内容见下表。</w:t>
            </w:r>
          </w:p>
          <w:p>
            <w:pPr>
              <w:pStyle w:val="25"/>
              <w:rPr>
                <w:color w:val="auto"/>
              </w:rPr>
            </w:pPr>
            <w:r>
              <w:rPr>
                <w:rFonts w:hint="eastAsia"/>
                <w:color w:val="auto"/>
              </w:rPr>
              <w:t>表4-1</w:t>
            </w:r>
            <w:r>
              <w:rPr>
                <w:rFonts w:hint="eastAsia"/>
                <w:color w:val="auto"/>
                <w:lang w:val="en-US" w:eastAsia="zh-CN"/>
              </w:rPr>
              <w:t>3</w:t>
            </w:r>
            <w:r>
              <w:rPr>
                <w:rFonts w:hint="eastAsia"/>
                <w:color w:val="auto"/>
              </w:rPr>
              <w:t>建设项目环境保护“三同时”验收一览表</w:t>
            </w:r>
          </w:p>
          <w:tbl>
            <w:tblPr>
              <w:tblStyle w:val="17"/>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5"/>
              <w:gridCol w:w="835"/>
              <w:gridCol w:w="1028"/>
              <w:gridCol w:w="1371"/>
              <w:gridCol w:w="1157"/>
              <w:gridCol w:w="1211"/>
              <w:gridCol w:w="174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97" w:type="pct"/>
                  <w:vAlign w:val="center"/>
                </w:tcPr>
                <w:p>
                  <w:pPr>
                    <w:pStyle w:val="39"/>
                    <w:jc w:val="center"/>
                    <w:rPr>
                      <w:color w:val="auto"/>
                    </w:rPr>
                  </w:pPr>
                  <w:r>
                    <w:rPr>
                      <w:color w:val="auto"/>
                    </w:rPr>
                    <w:t>类别</w:t>
                  </w:r>
                </w:p>
              </w:tc>
              <w:tc>
                <w:tcPr>
                  <w:tcW w:w="534" w:type="pct"/>
                  <w:vAlign w:val="center"/>
                </w:tcPr>
                <w:p>
                  <w:pPr>
                    <w:pStyle w:val="39"/>
                    <w:jc w:val="center"/>
                    <w:rPr>
                      <w:color w:val="auto"/>
                    </w:rPr>
                  </w:pPr>
                  <w:r>
                    <w:rPr>
                      <w:color w:val="auto"/>
                    </w:rPr>
                    <w:t>污染源</w:t>
                  </w:r>
                </w:p>
              </w:tc>
              <w:tc>
                <w:tcPr>
                  <w:tcW w:w="658" w:type="pct"/>
                  <w:vAlign w:val="center"/>
                </w:tcPr>
                <w:p>
                  <w:pPr>
                    <w:pStyle w:val="39"/>
                    <w:jc w:val="center"/>
                    <w:rPr>
                      <w:color w:val="auto"/>
                    </w:rPr>
                  </w:pPr>
                  <w:r>
                    <w:rPr>
                      <w:color w:val="auto"/>
                    </w:rPr>
                    <w:t>污染物</w:t>
                  </w:r>
                </w:p>
              </w:tc>
              <w:tc>
                <w:tcPr>
                  <w:tcW w:w="877" w:type="pct"/>
                  <w:vAlign w:val="center"/>
                </w:tcPr>
                <w:p>
                  <w:pPr>
                    <w:pStyle w:val="39"/>
                    <w:jc w:val="center"/>
                    <w:rPr>
                      <w:color w:val="auto"/>
                    </w:rPr>
                  </w:pPr>
                  <w:r>
                    <w:rPr>
                      <w:color w:val="auto"/>
                    </w:rPr>
                    <w:t>环保措施</w:t>
                  </w:r>
                </w:p>
              </w:tc>
              <w:tc>
                <w:tcPr>
                  <w:tcW w:w="741" w:type="pct"/>
                  <w:vAlign w:val="center"/>
                </w:tcPr>
                <w:p>
                  <w:pPr>
                    <w:pStyle w:val="39"/>
                    <w:jc w:val="center"/>
                    <w:rPr>
                      <w:color w:val="auto"/>
                    </w:rPr>
                  </w:pPr>
                  <w:r>
                    <w:rPr>
                      <w:color w:val="auto"/>
                    </w:rPr>
                    <w:t>验收因子</w:t>
                  </w:r>
                </w:p>
              </w:tc>
              <w:tc>
                <w:tcPr>
                  <w:tcW w:w="775" w:type="pct"/>
                  <w:vAlign w:val="center"/>
                </w:tcPr>
                <w:p>
                  <w:pPr>
                    <w:pStyle w:val="39"/>
                    <w:jc w:val="center"/>
                    <w:rPr>
                      <w:color w:val="auto"/>
                    </w:rPr>
                  </w:pPr>
                  <w:r>
                    <w:rPr>
                      <w:color w:val="auto"/>
                    </w:rPr>
                    <w:t>监测点位及频次</w:t>
                  </w:r>
                </w:p>
              </w:tc>
              <w:tc>
                <w:tcPr>
                  <w:tcW w:w="1115" w:type="pct"/>
                  <w:vAlign w:val="center"/>
                </w:tcPr>
                <w:p>
                  <w:pPr>
                    <w:pStyle w:val="39"/>
                    <w:jc w:val="center"/>
                    <w:rPr>
                      <w:color w:val="auto"/>
                    </w:rPr>
                  </w:pPr>
                  <w:r>
                    <w:rPr>
                      <w:color w:val="auto"/>
                    </w:rPr>
                    <w:t>验收标准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97" w:type="pct"/>
                  <w:vMerge w:val="restart"/>
                  <w:vAlign w:val="center"/>
                </w:tcPr>
                <w:p>
                  <w:pPr>
                    <w:pStyle w:val="39"/>
                    <w:jc w:val="center"/>
                    <w:rPr>
                      <w:color w:val="auto"/>
                    </w:rPr>
                  </w:pPr>
                  <w:r>
                    <w:rPr>
                      <w:color w:val="auto"/>
                    </w:rPr>
                    <w:t>废气</w:t>
                  </w:r>
                </w:p>
              </w:tc>
              <w:tc>
                <w:tcPr>
                  <w:tcW w:w="534" w:type="pct"/>
                  <w:vAlign w:val="center"/>
                </w:tcPr>
                <w:p>
                  <w:pPr>
                    <w:pStyle w:val="39"/>
                    <w:jc w:val="center"/>
                    <w:rPr>
                      <w:color w:val="auto"/>
                    </w:rPr>
                  </w:pPr>
                  <w:r>
                    <w:rPr>
                      <w:rFonts w:hint="eastAsia"/>
                      <w:color w:val="auto"/>
                    </w:rPr>
                    <w:t>运输车辆产生的扬尘</w:t>
                  </w:r>
                </w:p>
              </w:tc>
              <w:tc>
                <w:tcPr>
                  <w:tcW w:w="658" w:type="pct"/>
                  <w:vAlign w:val="center"/>
                </w:tcPr>
                <w:p>
                  <w:pPr>
                    <w:pStyle w:val="39"/>
                    <w:jc w:val="center"/>
                    <w:rPr>
                      <w:color w:val="auto"/>
                    </w:rPr>
                  </w:pPr>
                  <w:r>
                    <w:rPr>
                      <w:color w:val="auto"/>
                    </w:rPr>
                    <w:t>颗粒物</w:t>
                  </w:r>
                </w:p>
              </w:tc>
              <w:tc>
                <w:tcPr>
                  <w:tcW w:w="877" w:type="pct"/>
                  <w:vAlign w:val="center"/>
                </w:tcPr>
                <w:p>
                  <w:pPr>
                    <w:pStyle w:val="39"/>
                    <w:jc w:val="center"/>
                    <w:rPr>
                      <w:color w:val="auto"/>
                    </w:rPr>
                  </w:pPr>
                  <w:r>
                    <w:rPr>
                      <w:rFonts w:hint="eastAsia"/>
                      <w:color w:val="auto"/>
                    </w:rPr>
                    <w:t>路面清扫+洒水</w:t>
                  </w:r>
                </w:p>
              </w:tc>
              <w:tc>
                <w:tcPr>
                  <w:tcW w:w="741" w:type="pct"/>
                  <w:vAlign w:val="center"/>
                </w:tcPr>
                <w:p>
                  <w:pPr>
                    <w:pStyle w:val="39"/>
                    <w:jc w:val="center"/>
                    <w:rPr>
                      <w:color w:val="auto"/>
                    </w:rPr>
                  </w:pPr>
                  <w:r>
                    <w:rPr>
                      <w:color w:val="auto"/>
                    </w:rPr>
                    <w:t>颗粒物</w:t>
                  </w:r>
                </w:p>
              </w:tc>
              <w:tc>
                <w:tcPr>
                  <w:tcW w:w="775" w:type="pct"/>
                  <w:vMerge w:val="restart"/>
                  <w:vAlign w:val="center"/>
                </w:tcPr>
                <w:p>
                  <w:pPr>
                    <w:pStyle w:val="39"/>
                    <w:jc w:val="center"/>
                    <w:rPr>
                      <w:color w:val="auto"/>
                    </w:rPr>
                  </w:pPr>
                  <w:r>
                    <w:rPr>
                      <w:color w:val="auto"/>
                    </w:rPr>
                    <w:t>厂界；3次/d，共监测2天</w:t>
                  </w:r>
                </w:p>
              </w:tc>
              <w:tc>
                <w:tcPr>
                  <w:tcW w:w="1115" w:type="pct"/>
                  <w:vMerge w:val="restart"/>
                  <w:vAlign w:val="center"/>
                </w:tcPr>
                <w:p>
                  <w:pPr>
                    <w:pStyle w:val="39"/>
                    <w:jc w:val="center"/>
                    <w:rPr>
                      <w:color w:val="auto"/>
                    </w:rPr>
                  </w:pPr>
                  <w:r>
                    <w:rPr>
                      <w:color w:val="auto"/>
                    </w:rPr>
                    <w:t>《水泥工业大气污染物排放标准》（GB4915-2013）中表3大气污染物无组织排放限值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97" w:type="pct"/>
                  <w:vMerge w:val="continue"/>
                  <w:vAlign w:val="center"/>
                </w:tcPr>
                <w:p>
                  <w:pPr>
                    <w:pStyle w:val="39"/>
                    <w:jc w:val="center"/>
                    <w:rPr>
                      <w:color w:val="auto"/>
                    </w:rPr>
                  </w:pPr>
                </w:p>
              </w:tc>
              <w:tc>
                <w:tcPr>
                  <w:tcW w:w="534" w:type="pct"/>
                  <w:vAlign w:val="center"/>
                </w:tcPr>
                <w:p>
                  <w:pPr>
                    <w:pStyle w:val="39"/>
                    <w:jc w:val="center"/>
                    <w:rPr>
                      <w:color w:val="auto"/>
                    </w:rPr>
                  </w:pPr>
                  <w:r>
                    <w:rPr>
                      <w:rFonts w:hint="eastAsia"/>
                      <w:color w:val="auto"/>
                    </w:rPr>
                    <w:t>砂石装卸、堆放产生扬尘</w:t>
                  </w:r>
                </w:p>
              </w:tc>
              <w:tc>
                <w:tcPr>
                  <w:tcW w:w="658" w:type="pct"/>
                  <w:vAlign w:val="center"/>
                </w:tcPr>
                <w:p>
                  <w:pPr>
                    <w:pStyle w:val="39"/>
                    <w:jc w:val="center"/>
                    <w:rPr>
                      <w:color w:val="auto"/>
                    </w:rPr>
                  </w:pPr>
                  <w:r>
                    <w:rPr>
                      <w:color w:val="auto"/>
                    </w:rPr>
                    <w:t>颗粒物</w:t>
                  </w:r>
                </w:p>
              </w:tc>
              <w:tc>
                <w:tcPr>
                  <w:tcW w:w="877" w:type="pct"/>
                  <w:vAlign w:val="center"/>
                </w:tcPr>
                <w:p>
                  <w:pPr>
                    <w:pStyle w:val="39"/>
                    <w:jc w:val="center"/>
                    <w:rPr>
                      <w:color w:val="auto"/>
                    </w:rPr>
                  </w:pPr>
                  <w:r>
                    <w:rPr>
                      <w:rFonts w:hint="eastAsia"/>
                      <w:color w:val="auto"/>
                    </w:rPr>
                    <w:t>密闭原料库+洒水抑尘</w:t>
                  </w:r>
                </w:p>
              </w:tc>
              <w:tc>
                <w:tcPr>
                  <w:tcW w:w="741" w:type="pct"/>
                  <w:vAlign w:val="center"/>
                </w:tcPr>
                <w:p>
                  <w:pPr>
                    <w:pStyle w:val="39"/>
                    <w:jc w:val="center"/>
                    <w:rPr>
                      <w:color w:val="auto"/>
                    </w:rPr>
                  </w:pPr>
                  <w:r>
                    <w:rPr>
                      <w:color w:val="auto"/>
                    </w:rPr>
                    <w:t>颗粒物</w:t>
                  </w:r>
                </w:p>
              </w:tc>
              <w:tc>
                <w:tcPr>
                  <w:tcW w:w="775" w:type="pct"/>
                  <w:vMerge w:val="continue"/>
                  <w:vAlign w:val="center"/>
                </w:tcPr>
                <w:p>
                  <w:pPr>
                    <w:pStyle w:val="39"/>
                    <w:jc w:val="center"/>
                    <w:rPr>
                      <w:color w:val="auto"/>
                    </w:rPr>
                  </w:pPr>
                </w:p>
              </w:tc>
              <w:tc>
                <w:tcPr>
                  <w:tcW w:w="1115" w:type="pct"/>
                  <w:vMerge w:val="continue"/>
                  <w:vAlign w:val="center"/>
                </w:tcPr>
                <w:p>
                  <w:pPr>
                    <w:pStyle w:val="39"/>
                    <w:jc w:val="center"/>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97" w:type="pct"/>
                  <w:vMerge w:val="continue"/>
                  <w:vAlign w:val="center"/>
                </w:tcPr>
                <w:p>
                  <w:pPr>
                    <w:pStyle w:val="39"/>
                    <w:jc w:val="center"/>
                    <w:rPr>
                      <w:color w:val="auto"/>
                    </w:rPr>
                  </w:pPr>
                </w:p>
              </w:tc>
              <w:tc>
                <w:tcPr>
                  <w:tcW w:w="534" w:type="pct"/>
                  <w:vAlign w:val="center"/>
                </w:tcPr>
                <w:p>
                  <w:pPr>
                    <w:pStyle w:val="39"/>
                    <w:jc w:val="center"/>
                    <w:rPr>
                      <w:color w:val="auto"/>
                    </w:rPr>
                  </w:pPr>
                  <w:r>
                    <w:rPr>
                      <w:rFonts w:hint="eastAsia"/>
                      <w:color w:val="auto"/>
                    </w:rPr>
                    <w:t>筒仓呼吸孔及库底粉尘</w:t>
                  </w:r>
                </w:p>
              </w:tc>
              <w:tc>
                <w:tcPr>
                  <w:tcW w:w="658" w:type="pct"/>
                  <w:vAlign w:val="center"/>
                </w:tcPr>
                <w:p>
                  <w:pPr>
                    <w:pStyle w:val="39"/>
                    <w:jc w:val="center"/>
                    <w:rPr>
                      <w:color w:val="auto"/>
                    </w:rPr>
                  </w:pPr>
                  <w:r>
                    <w:rPr>
                      <w:rFonts w:hint="eastAsia"/>
                      <w:color w:val="auto"/>
                    </w:rPr>
                    <w:t>颗粒物</w:t>
                  </w:r>
                </w:p>
              </w:tc>
              <w:tc>
                <w:tcPr>
                  <w:tcW w:w="877" w:type="pct"/>
                  <w:vAlign w:val="center"/>
                </w:tcPr>
                <w:p>
                  <w:pPr>
                    <w:pStyle w:val="39"/>
                    <w:jc w:val="center"/>
                    <w:rPr>
                      <w:color w:val="auto"/>
                    </w:rPr>
                  </w:pPr>
                  <w:r>
                    <w:rPr>
                      <w:rFonts w:hint="eastAsia"/>
                      <w:color w:val="auto"/>
                    </w:rPr>
                    <w:t>脉冲袋式除尘器+仓顶（21m）排放（有组织）</w:t>
                  </w:r>
                </w:p>
              </w:tc>
              <w:tc>
                <w:tcPr>
                  <w:tcW w:w="741" w:type="pct"/>
                  <w:vAlign w:val="center"/>
                </w:tcPr>
                <w:p>
                  <w:pPr>
                    <w:pStyle w:val="39"/>
                    <w:jc w:val="center"/>
                    <w:rPr>
                      <w:color w:val="auto"/>
                    </w:rPr>
                  </w:pPr>
                  <w:r>
                    <w:rPr>
                      <w:color w:val="auto"/>
                    </w:rPr>
                    <w:t>—</w:t>
                  </w:r>
                </w:p>
              </w:tc>
              <w:tc>
                <w:tcPr>
                  <w:tcW w:w="775" w:type="pct"/>
                  <w:vAlign w:val="center"/>
                </w:tcPr>
                <w:p>
                  <w:pPr>
                    <w:pStyle w:val="39"/>
                    <w:jc w:val="center"/>
                    <w:rPr>
                      <w:color w:val="auto"/>
                    </w:rPr>
                  </w:pPr>
                  <w:r>
                    <w:rPr>
                      <w:color w:val="auto"/>
                    </w:rPr>
                    <w:t>—</w:t>
                  </w:r>
                </w:p>
              </w:tc>
              <w:tc>
                <w:tcPr>
                  <w:tcW w:w="1115" w:type="pct"/>
                  <w:vAlign w:val="center"/>
                </w:tcPr>
                <w:p>
                  <w:pPr>
                    <w:pStyle w:val="39"/>
                    <w:jc w:val="center"/>
                    <w:rPr>
                      <w:color w:val="auto"/>
                    </w:rPr>
                  </w:pPr>
                  <w:r>
                    <w:rPr>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97" w:type="pct"/>
                  <w:vMerge w:val="continue"/>
                  <w:vAlign w:val="center"/>
                </w:tcPr>
                <w:p>
                  <w:pPr>
                    <w:pStyle w:val="39"/>
                    <w:jc w:val="center"/>
                    <w:rPr>
                      <w:color w:val="auto"/>
                    </w:rPr>
                  </w:pPr>
                </w:p>
              </w:tc>
              <w:tc>
                <w:tcPr>
                  <w:tcW w:w="534" w:type="pct"/>
                  <w:vAlign w:val="center"/>
                </w:tcPr>
                <w:p>
                  <w:pPr>
                    <w:pStyle w:val="39"/>
                    <w:jc w:val="center"/>
                    <w:rPr>
                      <w:color w:val="auto"/>
                    </w:rPr>
                  </w:pPr>
                  <w:r>
                    <w:rPr>
                      <w:rFonts w:hint="eastAsia"/>
                      <w:color w:val="auto"/>
                    </w:rPr>
                    <w:t>搅拌粉尘</w:t>
                  </w:r>
                </w:p>
              </w:tc>
              <w:tc>
                <w:tcPr>
                  <w:tcW w:w="658" w:type="pct"/>
                  <w:vAlign w:val="center"/>
                </w:tcPr>
                <w:p>
                  <w:pPr>
                    <w:pStyle w:val="39"/>
                    <w:jc w:val="center"/>
                    <w:rPr>
                      <w:color w:val="auto"/>
                    </w:rPr>
                  </w:pPr>
                  <w:r>
                    <w:rPr>
                      <w:rFonts w:hint="eastAsia"/>
                      <w:color w:val="auto"/>
                    </w:rPr>
                    <w:t>颗粒物</w:t>
                  </w:r>
                </w:p>
              </w:tc>
              <w:tc>
                <w:tcPr>
                  <w:tcW w:w="877" w:type="pct"/>
                  <w:vAlign w:val="center"/>
                </w:tcPr>
                <w:p>
                  <w:pPr>
                    <w:pStyle w:val="39"/>
                    <w:jc w:val="center"/>
                    <w:rPr>
                      <w:color w:val="auto"/>
                    </w:rPr>
                  </w:pPr>
                  <w:r>
                    <w:rPr>
                      <w:color w:val="auto"/>
                    </w:rPr>
                    <w:t>脉冲袋式除尘器</w:t>
                  </w:r>
                  <w:r>
                    <w:rPr>
                      <w:rFonts w:hint="eastAsia"/>
                      <w:color w:val="auto"/>
                    </w:rPr>
                    <w:t>二级除尘</w:t>
                  </w:r>
                  <w:r>
                    <w:rPr>
                      <w:color w:val="auto"/>
                    </w:rPr>
                    <w:t>+仓顶</w:t>
                  </w:r>
                  <w:r>
                    <w:rPr>
                      <w:rFonts w:hint="eastAsia"/>
                      <w:color w:val="auto"/>
                    </w:rPr>
                    <w:t>（11m）</w:t>
                  </w:r>
                  <w:r>
                    <w:rPr>
                      <w:color w:val="auto"/>
                    </w:rPr>
                    <w:t>排放（</w:t>
                  </w:r>
                  <w:r>
                    <w:rPr>
                      <w:rFonts w:hint="eastAsia"/>
                      <w:color w:val="auto"/>
                    </w:rPr>
                    <w:t>有</w:t>
                  </w:r>
                  <w:r>
                    <w:rPr>
                      <w:color w:val="auto"/>
                    </w:rPr>
                    <w:t>组织）</w:t>
                  </w:r>
                </w:p>
              </w:tc>
              <w:tc>
                <w:tcPr>
                  <w:tcW w:w="741" w:type="pct"/>
                  <w:vAlign w:val="center"/>
                </w:tcPr>
                <w:p>
                  <w:pPr>
                    <w:pStyle w:val="39"/>
                    <w:jc w:val="center"/>
                    <w:rPr>
                      <w:color w:val="auto"/>
                    </w:rPr>
                  </w:pPr>
                  <w:r>
                    <w:rPr>
                      <w:color w:val="auto"/>
                    </w:rPr>
                    <w:t>—</w:t>
                  </w:r>
                </w:p>
              </w:tc>
              <w:tc>
                <w:tcPr>
                  <w:tcW w:w="775" w:type="pct"/>
                  <w:vAlign w:val="center"/>
                </w:tcPr>
                <w:p>
                  <w:pPr>
                    <w:pStyle w:val="39"/>
                    <w:jc w:val="center"/>
                    <w:rPr>
                      <w:color w:val="auto"/>
                    </w:rPr>
                  </w:pPr>
                  <w:r>
                    <w:rPr>
                      <w:color w:val="auto"/>
                    </w:rPr>
                    <w:t>—</w:t>
                  </w:r>
                </w:p>
              </w:tc>
              <w:tc>
                <w:tcPr>
                  <w:tcW w:w="1115" w:type="pct"/>
                  <w:vAlign w:val="center"/>
                </w:tcPr>
                <w:p>
                  <w:pPr>
                    <w:pStyle w:val="39"/>
                    <w:jc w:val="center"/>
                    <w:rPr>
                      <w:color w:val="auto"/>
                    </w:rPr>
                  </w:pPr>
                  <w:r>
                    <w:rPr>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297" w:type="pct"/>
                  <w:vMerge w:val="restart"/>
                  <w:vAlign w:val="center"/>
                </w:tcPr>
                <w:p>
                  <w:pPr>
                    <w:pStyle w:val="39"/>
                    <w:jc w:val="center"/>
                    <w:rPr>
                      <w:color w:val="auto"/>
                    </w:rPr>
                  </w:pPr>
                  <w:r>
                    <w:rPr>
                      <w:color w:val="auto"/>
                    </w:rPr>
                    <w:t>废水</w:t>
                  </w:r>
                </w:p>
              </w:tc>
              <w:tc>
                <w:tcPr>
                  <w:tcW w:w="534" w:type="pct"/>
                  <w:vAlign w:val="center"/>
                </w:tcPr>
                <w:p>
                  <w:pPr>
                    <w:pStyle w:val="39"/>
                    <w:jc w:val="center"/>
                    <w:rPr>
                      <w:color w:val="auto"/>
                    </w:rPr>
                  </w:pPr>
                  <w:r>
                    <w:rPr>
                      <w:color w:val="auto"/>
                    </w:rPr>
                    <w:t>设备清洗废水</w:t>
                  </w:r>
                </w:p>
              </w:tc>
              <w:tc>
                <w:tcPr>
                  <w:tcW w:w="658" w:type="pct"/>
                  <w:vMerge w:val="restart"/>
                  <w:vAlign w:val="center"/>
                </w:tcPr>
                <w:p>
                  <w:pPr>
                    <w:pStyle w:val="39"/>
                    <w:jc w:val="center"/>
                    <w:rPr>
                      <w:color w:val="auto"/>
                    </w:rPr>
                  </w:pPr>
                  <w:r>
                    <w:rPr>
                      <w:color w:val="auto"/>
                    </w:rPr>
                    <w:t>SS</w:t>
                  </w:r>
                </w:p>
              </w:tc>
              <w:tc>
                <w:tcPr>
                  <w:tcW w:w="877" w:type="pct"/>
                  <w:vMerge w:val="restart"/>
                  <w:vAlign w:val="center"/>
                </w:tcPr>
                <w:p>
                  <w:pPr>
                    <w:pStyle w:val="39"/>
                    <w:jc w:val="center"/>
                    <w:rPr>
                      <w:color w:val="auto"/>
                    </w:rPr>
                  </w:pPr>
                  <w:r>
                    <w:rPr>
                      <w:color w:val="auto"/>
                    </w:rPr>
                    <w:t>全部回用于</w:t>
                  </w:r>
                  <w:r>
                    <w:rPr>
                      <w:rFonts w:hint="eastAsia"/>
                      <w:color w:val="auto"/>
                    </w:rPr>
                    <w:t>生产</w:t>
                  </w:r>
                  <w:r>
                    <w:rPr>
                      <w:color w:val="auto"/>
                    </w:rPr>
                    <w:t>，直接排放至项目沉淀池（</w:t>
                  </w:r>
                  <w:r>
                    <w:rPr>
                      <w:rFonts w:hint="eastAsia"/>
                      <w:color w:val="auto"/>
                    </w:rPr>
                    <w:t>1</w:t>
                  </w:r>
                  <w:r>
                    <w:rPr>
                      <w:color w:val="auto"/>
                    </w:rPr>
                    <w:t>0m</w:t>
                  </w:r>
                  <w:r>
                    <w:rPr>
                      <w:color w:val="auto"/>
                      <w:vertAlign w:val="superscript"/>
                    </w:rPr>
                    <w:t>3</w:t>
                  </w:r>
                  <w:r>
                    <w:rPr>
                      <w:color w:val="auto"/>
                    </w:rPr>
                    <w:t>）。</w:t>
                  </w:r>
                </w:p>
              </w:tc>
              <w:tc>
                <w:tcPr>
                  <w:tcW w:w="741" w:type="pct"/>
                  <w:vMerge w:val="restart"/>
                  <w:vAlign w:val="center"/>
                </w:tcPr>
                <w:p>
                  <w:pPr>
                    <w:pStyle w:val="39"/>
                    <w:jc w:val="center"/>
                    <w:rPr>
                      <w:color w:val="auto"/>
                    </w:rPr>
                  </w:pPr>
                  <w:r>
                    <w:rPr>
                      <w:color w:val="auto"/>
                    </w:rPr>
                    <w:t>—</w:t>
                  </w:r>
                </w:p>
              </w:tc>
              <w:tc>
                <w:tcPr>
                  <w:tcW w:w="775" w:type="pct"/>
                  <w:vMerge w:val="restart"/>
                  <w:vAlign w:val="center"/>
                </w:tcPr>
                <w:p>
                  <w:pPr>
                    <w:pStyle w:val="39"/>
                    <w:jc w:val="center"/>
                    <w:rPr>
                      <w:color w:val="auto"/>
                    </w:rPr>
                  </w:pPr>
                  <w:r>
                    <w:rPr>
                      <w:color w:val="auto"/>
                    </w:rPr>
                    <w:t>—</w:t>
                  </w:r>
                </w:p>
              </w:tc>
              <w:tc>
                <w:tcPr>
                  <w:tcW w:w="1115" w:type="pct"/>
                  <w:vMerge w:val="restart"/>
                  <w:vAlign w:val="center"/>
                </w:tcPr>
                <w:p>
                  <w:pPr>
                    <w:pStyle w:val="39"/>
                    <w:jc w:val="center"/>
                    <w:rPr>
                      <w:color w:val="auto"/>
                    </w:rPr>
                  </w:pPr>
                  <w:r>
                    <w:rPr>
                      <w:color w:val="auto"/>
                    </w:rPr>
                    <w:t>不外排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97" w:type="pct"/>
                  <w:vMerge w:val="continue"/>
                  <w:vAlign w:val="center"/>
                </w:tcPr>
                <w:p>
                  <w:pPr>
                    <w:pStyle w:val="39"/>
                    <w:jc w:val="center"/>
                    <w:rPr>
                      <w:color w:val="auto"/>
                    </w:rPr>
                  </w:pPr>
                </w:p>
              </w:tc>
              <w:tc>
                <w:tcPr>
                  <w:tcW w:w="534" w:type="pct"/>
                  <w:vAlign w:val="center"/>
                </w:tcPr>
                <w:p>
                  <w:pPr>
                    <w:pStyle w:val="39"/>
                    <w:jc w:val="center"/>
                    <w:rPr>
                      <w:color w:val="auto"/>
                    </w:rPr>
                  </w:pPr>
                  <w:r>
                    <w:rPr>
                      <w:rFonts w:hint="eastAsia"/>
                      <w:color w:val="auto"/>
                    </w:rPr>
                    <w:t>场地冲洗</w:t>
                  </w:r>
                </w:p>
              </w:tc>
              <w:tc>
                <w:tcPr>
                  <w:tcW w:w="658" w:type="pct"/>
                  <w:vMerge w:val="continue"/>
                  <w:vAlign w:val="center"/>
                </w:tcPr>
                <w:p>
                  <w:pPr>
                    <w:pStyle w:val="39"/>
                    <w:jc w:val="center"/>
                    <w:rPr>
                      <w:color w:val="auto"/>
                    </w:rPr>
                  </w:pPr>
                </w:p>
              </w:tc>
              <w:tc>
                <w:tcPr>
                  <w:tcW w:w="877" w:type="pct"/>
                  <w:vMerge w:val="continue"/>
                  <w:vAlign w:val="center"/>
                </w:tcPr>
                <w:p>
                  <w:pPr>
                    <w:pStyle w:val="39"/>
                    <w:jc w:val="center"/>
                    <w:rPr>
                      <w:color w:val="auto"/>
                    </w:rPr>
                  </w:pPr>
                </w:p>
              </w:tc>
              <w:tc>
                <w:tcPr>
                  <w:tcW w:w="741" w:type="pct"/>
                  <w:vMerge w:val="continue"/>
                  <w:vAlign w:val="center"/>
                </w:tcPr>
                <w:p>
                  <w:pPr>
                    <w:pStyle w:val="39"/>
                    <w:jc w:val="center"/>
                    <w:rPr>
                      <w:color w:val="auto"/>
                    </w:rPr>
                  </w:pPr>
                </w:p>
              </w:tc>
              <w:tc>
                <w:tcPr>
                  <w:tcW w:w="775" w:type="pct"/>
                  <w:vMerge w:val="continue"/>
                  <w:vAlign w:val="center"/>
                </w:tcPr>
                <w:p>
                  <w:pPr>
                    <w:pStyle w:val="39"/>
                    <w:jc w:val="center"/>
                    <w:rPr>
                      <w:color w:val="auto"/>
                    </w:rPr>
                  </w:pPr>
                </w:p>
              </w:tc>
              <w:tc>
                <w:tcPr>
                  <w:tcW w:w="1115" w:type="pct"/>
                  <w:vMerge w:val="continue"/>
                  <w:vAlign w:val="center"/>
                </w:tcPr>
                <w:p>
                  <w:pPr>
                    <w:pStyle w:val="39"/>
                    <w:jc w:val="center"/>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297" w:type="pct"/>
                  <w:vMerge w:val="continue"/>
                  <w:vAlign w:val="center"/>
                </w:tcPr>
                <w:p>
                  <w:pPr>
                    <w:pStyle w:val="39"/>
                    <w:jc w:val="center"/>
                    <w:rPr>
                      <w:color w:val="auto"/>
                    </w:rPr>
                  </w:pPr>
                </w:p>
              </w:tc>
              <w:tc>
                <w:tcPr>
                  <w:tcW w:w="534" w:type="pct"/>
                  <w:vAlign w:val="center"/>
                </w:tcPr>
                <w:p>
                  <w:pPr>
                    <w:pStyle w:val="39"/>
                    <w:jc w:val="center"/>
                    <w:rPr>
                      <w:color w:val="auto"/>
                    </w:rPr>
                  </w:pPr>
                  <w:r>
                    <w:rPr>
                      <w:color w:val="auto"/>
                    </w:rPr>
                    <w:t>生活污水</w:t>
                  </w:r>
                </w:p>
              </w:tc>
              <w:tc>
                <w:tcPr>
                  <w:tcW w:w="658" w:type="pct"/>
                  <w:vAlign w:val="center"/>
                </w:tcPr>
                <w:p>
                  <w:pPr>
                    <w:pStyle w:val="39"/>
                    <w:jc w:val="center"/>
                    <w:rPr>
                      <w:color w:val="auto"/>
                    </w:rPr>
                  </w:pPr>
                  <w:r>
                    <w:rPr>
                      <w:color w:val="auto"/>
                    </w:rPr>
                    <w:t>pH、CODcr、BOD</w:t>
                  </w:r>
                  <w:r>
                    <w:rPr>
                      <w:color w:val="auto"/>
                      <w:vertAlign w:val="subscript"/>
                    </w:rPr>
                    <w:t>5</w:t>
                  </w:r>
                  <w:r>
                    <w:rPr>
                      <w:color w:val="auto"/>
                    </w:rPr>
                    <w:t>、氨氮及SS等</w:t>
                  </w:r>
                </w:p>
              </w:tc>
              <w:tc>
                <w:tcPr>
                  <w:tcW w:w="877" w:type="pct"/>
                  <w:vAlign w:val="center"/>
                </w:tcPr>
                <w:p>
                  <w:pPr>
                    <w:pStyle w:val="39"/>
                    <w:jc w:val="center"/>
                    <w:rPr>
                      <w:color w:val="auto"/>
                    </w:rPr>
                  </w:pPr>
                  <w:r>
                    <w:rPr>
                      <w:color w:val="auto"/>
                    </w:rPr>
                    <w:t>经化粪池处理后</w:t>
                  </w:r>
                  <w:r>
                    <w:rPr>
                      <w:rFonts w:hint="eastAsia"/>
                      <w:color w:val="auto"/>
                    </w:rPr>
                    <w:t>定期拉运至内</w:t>
                  </w:r>
                  <w:r>
                    <w:rPr>
                      <w:rFonts w:hint="eastAsia"/>
                      <w:snapToGrid w:val="0"/>
                      <w:color w:val="auto"/>
                    </w:rPr>
                    <w:t>至内蒙古皓淇环境卫生管理有限公司污水处理厂</w:t>
                  </w:r>
                  <w:r>
                    <w:rPr>
                      <w:color w:val="auto"/>
                    </w:rPr>
                    <w:t>。</w:t>
                  </w:r>
                </w:p>
              </w:tc>
              <w:tc>
                <w:tcPr>
                  <w:tcW w:w="741" w:type="pct"/>
                  <w:vAlign w:val="center"/>
                </w:tcPr>
                <w:p>
                  <w:pPr>
                    <w:pStyle w:val="39"/>
                    <w:jc w:val="center"/>
                    <w:rPr>
                      <w:color w:val="auto"/>
                    </w:rPr>
                  </w:pPr>
                  <w:r>
                    <w:rPr>
                      <w:color w:val="auto"/>
                    </w:rPr>
                    <w:t>—</w:t>
                  </w:r>
                </w:p>
              </w:tc>
              <w:tc>
                <w:tcPr>
                  <w:tcW w:w="775" w:type="pct"/>
                  <w:vAlign w:val="center"/>
                </w:tcPr>
                <w:p>
                  <w:pPr>
                    <w:pStyle w:val="39"/>
                    <w:jc w:val="center"/>
                    <w:rPr>
                      <w:color w:val="auto"/>
                    </w:rPr>
                  </w:pPr>
                  <w:r>
                    <w:rPr>
                      <w:color w:val="auto"/>
                    </w:rPr>
                    <w:t>—</w:t>
                  </w:r>
                </w:p>
              </w:tc>
              <w:tc>
                <w:tcPr>
                  <w:tcW w:w="1115" w:type="pct"/>
                  <w:vAlign w:val="center"/>
                </w:tcPr>
                <w:p>
                  <w:pPr>
                    <w:pStyle w:val="39"/>
                    <w:jc w:val="center"/>
                    <w:rPr>
                      <w:color w:val="auto"/>
                    </w:rPr>
                  </w:pPr>
                  <w:r>
                    <w:rPr>
                      <w:color w:val="auto"/>
                    </w:rPr>
                    <w:t>不外排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297" w:type="pct"/>
                  <w:vMerge w:val="restart"/>
                  <w:vAlign w:val="center"/>
                </w:tcPr>
                <w:p>
                  <w:pPr>
                    <w:pStyle w:val="39"/>
                    <w:jc w:val="center"/>
                    <w:rPr>
                      <w:color w:val="auto"/>
                    </w:rPr>
                  </w:pPr>
                  <w:r>
                    <w:rPr>
                      <w:color w:val="auto"/>
                    </w:rPr>
                    <w:t>固废</w:t>
                  </w:r>
                </w:p>
              </w:tc>
              <w:tc>
                <w:tcPr>
                  <w:tcW w:w="534" w:type="pct"/>
                  <w:vAlign w:val="center"/>
                </w:tcPr>
                <w:p>
                  <w:pPr>
                    <w:pStyle w:val="39"/>
                    <w:jc w:val="center"/>
                    <w:rPr>
                      <w:color w:val="auto"/>
                    </w:rPr>
                  </w:pPr>
                  <w:r>
                    <w:rPr>
                      <w:rFonts w:hint="eastAsia"/>
                      <w:color w:val="auto"/>
                    </w:rPr>
                    <w:t>废混凝土</w:t>
                  </w:r>
                </w:p>
              </w:tc>
              <w:tc>
                <w:tcPr>
                  <w:tcW w:w="658" w:type="pct"/>
                  <w:vAlign w:val="center"/>
                </w:tcPr>
                <w:p>
                  <w:pPr>
                    <w:pStyle w:val="39"/>
                    <w:jc w:val="center"/>
                    <w:rPr>
                      <w:color w:val="auto"/>
                    </w:rPr>
                  </w:pPr>
                  <w:r>
                    <w:rPr>
                      <w:rFonts w:hint="eastAsia"/>
                      <w:color w:val="auto"/>
                    </w:rPr>
                    <w:t>废混凝土</w:t>
                  </w:r>
                </w:p>
              </w:tc>
              <w:tc>
                <w:tcPr>
                  <w:tcW w:w="877" w:type="pct"/>
                  <w:vAlign w:val="center"/>
                </w:tcPr>
                <w:p>
                  <w:pPr>
                    <w:pStyle w:val="39"/>
                    <w:jc w:val="center"/>
                    <w:rPr>
                      <w:color w:val="auto"/>
                    </w:rPr>
                  </w:pPr>
                  <w:r>
                    <w:rPr>
                      <w:rFonts w:hint="eastAsia"/>
                      <w:color w:val="auto"/>
                      <w:szCs w:val="21"/>
                    </w:rPr>
                    <w:t>回收</w:t>
                  </w:r>
                  <w:r>
                    <w:rPr>
                      <w:color w:val="auto"/>
                      <w:szCs w:val="21"/>
                    </w:rPr>
                    <w:t>作为道路建设的路面铺垫料或地面平整的填料综合利用</w:t>
                  </w:r>
                </w:p>
              </w:tc>
              <w:tc>
                <w:tcPr>
                  <w:tcW w:w="741" w:type="pct"/>
                  <w:vMerge w:val="restart"/>
                  <w:vAlign w:val="center"/>
                </w:tcPr>
                <w:p>
                  <w:pPr>
                    <w:pStyle w:val="39"/>
                    <w:jc w:val="center"/>
                    <w:rPr>
                      <w:color w:val="auto"/>
                    </w:rPr>
                  </w:pPr>
                  <w:r>
                    <w:rPr>
                      <w:color w:val="auto"/>
                    </w:rPr>
                    <w:t>—</w:t>
                  </w:r>
                </w:p>
              </w:tc>
              <w:tc>
                <w:tcPr>
                  <w:tcW w:w="775" w:type="pct"/>
                  <w:vMerge w:val="restart"/>
                  <w:vAlign w:val="center"/>
                </w:tcPr>
                <w:p>
                  <w:pPr>
                    <w:pStyle w:val="39"/>
                    <w:jc w:val="center"/>
                    <w:rPr>
                      <w:color w:val="auto"/>
                    </w:rPr>
                  </w:pPr>
                  <w:r>
                    <w:rPr>
                      <w:color w:val="auto"/>
                    </w:rPr>
                    <w:t>—</w:t>
                  </w:r>
                </w:p>
              </w:tc>
              <w:tc>
                <w:tcPr>
                  <w:tcW w:w="1115" w:type="pct"/>
                  <w:vMerge w:val="restart"/>
                  <w:vAlign w:val="center"/>
                </w:tcPr>
                <w:p>
                  <w:pPr>
                    <w:pStyle w:val="39"/>
                    <w:jc w:val="center"/>
                    <w:rPr>
                      <w:color w:val="auto"/>
                    </w:rPr>
                  </w:pPr>
                  <w:r>
                    <w:rPr>
                      <w:color w:val="auto"/>
                    </w:rPr>
                    <w:t>《一般工业固体废物贮存和填埋污染控制标准》（GB18599-2020）标准要求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97" w:type="pct"/>
                  <w:vMerge w:val="continue"/>
                  <w:vAlign w:val="center"/>
                </w:tcPr>
                <w:p>
                  <w:pPr>
                    <w:pStyle w:val="39"/>
                    <w:jc w:val="center"/>
                    <w:rPr>
                      <w:color w:val="auto"/>
                    </w:rPr>
                  </w:pPr>
                </w:p>
              </w:tc>
              <w:tc>
                <w:tcPr>
                  <w:tcW w:w="534" w:type="pct"/>
                  <w:vAlign w:val="center"/>
                </w:tcPr>
                <w:p>
                  <w:pPr>
                    <w:pStyle w:val="39"/>
                    <w:jc w:val="center"/>
                    <w:rPr>
                      <w:color w:val="auto"/>
                    </w:rPr>
                  </w:pPr>
                  <w:r>
                    <w:rPr>
                      <w:rFonts w:hint="eastAsia"/>
                      <w:color w:val="auto"/>
                    </w:rPr>
                    <w:t>除尘器</w:t>
                  </w:r>
                </w:p>
              </w:tc>
              <w:tc>
                <w:tcPr>
                  <w:tcW w:w="658" w:type="pct"/>
                  <w:vAlign w:val="center"/>
                </w:tcPr>
                <w:p>
                  <w:pPr>
                    <w:pStyle w:val="39"/>
                    <w:jc w:val="center"/>
                    <w:rPr>
                      <w:color w:val="auto"/>
                    </w:rPr>
                  </w:pPr>
                  <w:r>
                    <w:rPr>
                      <w:rFonts w:hint="eastAsia"/>
                      <w:color w:val="auto"/>
                    </w:rPr>
                    <w:t>除尘灰</w:t>
                  </w:r>
                </w:p>
              </w:tc>
              <w:tc>
                <w:tcPr>
                  <w:tcW w:w="877" w:type="pct"/>
                  <w:vAlign w:val="center"/>
                </w:tcPr>
                <w:p>
                  <w:pPr>
                    <w:pStyle w:val="39"/>
                    <w:jc w:val="center"/>
                    <w:rPr>
                      <w:color w:val="auto"/>
                    </w:rPr>
                  </w:pPr>
                  <w:r>
                    <w:rPr>
                      <w:color w:val="auto"/>
                      <w:szCs w:val="21"/>
                    </w:rPr>
                    <w:t>收集处理后</w:t>
                  </w:r>
                  <w:r>
                    <w:rPr>
                      <w:rFonts w:hint="eastAsia"/>
                      <w:color w:val="auto"/>
                      <w:szCs w:val="21"/>
                    </w:rPr>
                    <w:t>作</w:t>
                  </w:r>
                  <w:r>
                    <w:rPr>
                      <w:color w:val="auto"/>
                      <w:szCs w:val="21"/>
                    </w:rPr>
                    <w:t>为原料回用到生产中。</w:t>
                  </w:r>
                </w:p>
              </w:tc>
              <w:tc>
                <w:tcPr>
                  <w:tcW w:w="741" w:type="pct"/>
                  <w:vMerge w:val="continue"/>
                  <w:vAlign w:val="center"/>
                </w:tcPr>
                <w:p>
                  <w:pPr>
                    <w:pStyle w:val="39"/>
                    <w:jc w:val="center"/>
                    <w:rPr>
                      <w:color w:val="auto"/>
                    </w:rPr>
                  </w:pPr>
                </w:p>
              </w:tc>
              <w:tc>
                <w:tcPr>
                  <w:tcW w:w="775" w:type="pct"/>
                  <w:vMerge w:val="continue"/>
                  <w:vAlign w:val="center"/>
                </w:tcPr>
                <w:p>
                  <w:pPr>
                    <w:pStyle w:val="39"/>
                    <w:jc w:val="center"/>
                    <w:rPr>
                      <w:color w:val="auto"/>
                    </w:rPr>
                  </w:pPr>
                </w:p>
              </w:tc>
              <w:tc>
                <w:tcPr>
                  <w:tcW w:w="1115" w:type="pct"/>
                  <w:vMerge w:val="continue"/>
                  <w:vAlign w:val="center"/>
                </w:tcPr>
                <w:p>
                  <w:pPr>
                    <w:pStyle w:val="39"/>
                    <w:jc w:val="center"/>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97" w:type="pct"/>
                  <w:vMerge w:val="continue"/>
                  <w:vAlign w:val="center"/>
                </w:tcPr>
                <w:p>
                  <w:pPr>
                    <w:pStyle w:val="39"/>
                    <w:jc w:val="center"/>
                    <w:rPr>
                      <w:color w:val="auto"/>
                    </w:rPr>
                  </w:pPr>
                </w:p>
              </w:tc>
              <w:tc>
                <w:tcPr>
                  <w:tcW w:w="534" w:type="pct"/>
                  <w:vAlign w:val="center"/>
                </w:tcPr>
                <w:p>
                  <w:pPr>
                    <w:pStyle w:val="39"/>
                    <w:jc w:val="center"/>
                    <w:rPr>
                      <w:color w:val="auto"/>
                    </w:rPr>
                  </w:pPr>
                  <w:r>
                    <w:rPr>
                      <w:rFonts w:hint="eastAsia"/>
                      <w:color w:val="auto"/>
                    </w:rPr>
                    <w:t>沉淀池</w:t>
                  </w:r>
                </w:p>
              </w:tc>
              <w:tc>
                <w:tcPr>
                  <w:tcW w:w="658" w:type="pct"/>
                  <w:vAlign w:val="center"/>
                </w:tcPr>
                <w:p>
                  <w:pPr>
                    <w:pStyle w:val="39"/>
                    <w:jc w:val="center"/>
                    <w:rPr>
                      <w:color w:val="auto"/>
                    </w:rPr>
                  </w:pPr>
                  <w:r>
                    <w:rPr>
                      <w:rFonts w:hint="eastAsia"/>
                      <w:color w:val="auto"/>
                    </w:rPr>
                    <w:t>沉淀池沉渣</w:t>
                  </w:r>
                </w:p>
              </w:tc>
              <w:tc>
                <w:tcPr>
                  <w:tcW w:w="877" w:type="pct"/>
                  <w:vAlign w:val="center"/>
                </w:tcPr>
                <w:p>
                  <w:pPr>
                    <w:pStyle w:val="39"/>
                    <w:jc w:val="center"/>
                    <w:rPr>
                      <w:color w:val="auto"/>
                    </w:rPr>
                  </w:pPr>
                  <w:r>
                    <w:rPr>
                      <w:color w:val="auto"/>
                      <w:szCs w:val="21"/>
                    </w:rPr>
                    <w:t>作为道路建设的路面铺垫料或地面平整的填料综合利用</w:t>
                  </w:r>
                </w:p>
              </w:tc>
              <w:tc>
                <w:tcPr>
                  <w:tcW w:w="741" w:type="pct"/>
                  <w:vMerge w:val="continue"/>
                  <w:vAlign w:val="center"/>
                </w:tcPr>
                <w:p>
                  <w:pPr>
                    <w:pStyle w:val="39"/>
                    <w:jc w:val="center"/>
                    <w:rPr>
                      <w:color w:val="auto"/>
                    </w:rPr>
                  </w:pPr>
                </w:p>
              </w:tc>
              <w:tc>
                <w:tcPr>
                  <w:tcW w:w="775" w:type="pct"/>
                  <w:vMerge w:val="continue"/>
                  <w:vAlign w:val="center"/>
                </w:tcPr>
                <w:p>
                  <w:pPr>
                    <w:pStyle w:val="39"/>
                    <w:jc w:val="center"/>
                    <w:rPr>
                      <w:color w:val="auto"/>
                    </w:rPr>
                  </w:pPr>
                </w:p>
              </w:tc>
              <w:tc>
                <w:tcPr>
                  <w:tcW w:w="1115" w:type="pct"/>
                  <w:vMerge w:val="continue"/>
                  <w:vAlign w:val="center"/>
                </w:tcPr>
                <w:p>
                  <w:pPr>
                    <w:pStyle w:val="39"/>
                    <w:jc w:val="center"/>
                    <w:rPr>
                      <w:color w:val="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297" w:type="pct"/>
                  <w:vMerge w:val="continue"/>
                  <w:vAlign w:val="center"/>
                </w:tcPr>
                <w:p>
                  <w:pPr>
                    <w:pStyle w:val="39"/>
                    <w:jc w:val="center"/>
                    <w:rPr>
                      <w:color w:val="auto"/>
                    </w:rPr>
                  </w:pPr>
                </w:p>
              </w:tc>
              <w:tc>
                <w:tcPr>
                  <w:tcW w:w="534" w:type="pct"/>
                  <w:vAlign w:val="center"/>
                </w:tcPr>
                <w:p>
                  <w:pPr>
                    <w:pStyle w:val="39"/>
                    <w:jc w:val="center"/>
                    <w:rPr>
                      <w:color w:val="auto"/>
                    </w:rPr>
                  </w:pPr>
                  <w:r>
                    <w:rPr>
                      <w:color w:val="auto"/>
                    </w:rPr>
                    <w:t>员工</w:t>
                  </w:r>
                </w:p>
              </w:tc>
              <w:tc>
                <w:tcPr>
                  <w:tcW w:w="658" w:type="pct"/>
                  <w:vAlign w:val="center"/>
                </w:tcPr>
                <w:p>
                  <w:pPr>
                    <w:pStyle w:val="39"/>
                    <w:jc w:val="center"/>
                    <w:rPr>
                      <w:color w:val="auto"/>
                    </w:rPr>
                  </w:pPr>
                  <w:r>
                    <w:rPr>
                      <w:color w:val="auto"/>
                    </w:rPr>
                    <w:t>生活垃圾</w:t>
                  </w:r>
                </w:p>
              </w:tc>
              <w:tc>
                <w:tcPr>
                  <w:tcW w:w="877" w:type="pct"/>
                  <w:vAlign w:val="center"/>
                </w:tcPr>
                <w:p>
                  <w:pPr>
                    <w:pStyle w:val="39"/>
                    <w:jc w:val="center"/>
                    <w:rPr>
                      <w:color w:val="auto"/>
                    </w:rPr>
                  </w:pPr>
                  <w:r>
                    <w:rPr>
                      <w:color w:val="auto"/>
                    </w:rPr>
                    <w:t>设垃圾桶集中收集后，委托当地环卫部门清运处理</w:t>
                  </w:r>
                </w:p>
              </w:tc>
              <w:tc>
                <w:tcPr>
                  <w:tcW w:w="741" w:type="pct"/>
                  <w:vAlign w:val="center"/>
                </w:tcPr>
                <w:p>
                  <w:pPr>
                    <w:pStyle w:val="39"/>
                    <w:jc w:val="center"/>
                    <w:rPr>
                      <w:color w:val="auto"/>
                    </w:rPr>
                  </w:pPr>
                  <w:r>
                    <w:rPr>
                      <w:color w:val="auto"/>
                    </w:rPr>
                    <w:t>—</w:t>
                  </w:r>
                </w:p>
              </w:tc>
              <w:tc>
                <w:tcPr>
                  <w:tcW w:w="775" w:type="pct"/>
                  <w:vAlign w:val="center"/>
                </w:tcPr>
                <w:p>
                  <w:pPr>
                    <w:pStyle w:val="39"/>
                    <w:jc w:val="center"/>
                    <w:rPr>
                      <w:color w:val="auto"/>
                    </w:rPr>
                  </w:pPr>
                  <w:r>
                    <w:rPr>
                      <w:color w:val="auto"/>
                    </w:rPr>
                    <w:t>—</w:t>
                  </w:r>
                </w:p>
              </w:tc>
              <w:tc>
                <w:tcPr>
                  <w:tcW w:w="1115" w:type="pct"/>
                  <w:vAlign w:val="center"/>
                </w:tcPr>
                <w:p>
                  <w:pPr>
                    <w:pStyle w:val="39"/>
                    <w:jc w:val="center"/>
                    <w:rPr>
                      <w:color w:val="auto"/>
                    </w:rPr>
                  </w:pPr>
                  <w:r>
                    <w:rPr>
                      <w:color w:val="auto"/>
                    </w:rPr>
                    <w:t>妥善处理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90" w:hRule="atLeast"/>
              </w:trPr>
              <w:tc>
                <w:tcPr>
                  <w:tcW w:w="297" w:type="pct"/>
                  <w:vAlign w:val="center"/>
                </w:tcPr>
                <w:p>
                  <w:pPr>
                    <w:pStyle w:val="39"/>
                    <w:jc w:val="center"/>
                    <w:rPr>
                      <w:color w:val="auto"/>
                    </w:rPr>
                  </w:pPr>
                  <w:r>
                    <w:rPr>
                      <w:color w:val="auto"/>
                    </w:rPr>
                    <w:t>噪声</w:t>
                  </w:r>
                </w:p>
              </w:tc>
              <w:tc>
                <w:tcPr>
                  <w:tcW w:w="534" w:type="pct"/>
                  <w:vAlign w:val="center"/>
                </w:tcPr>
                <w:p>
                  <w:pPr>
                    <w:pStyle w:val="39"/>
                    <w:jc w:val="center"/>
                    <w:rPr>
                      <w:color w:val="auto"/>
                    </w:rPr>
                  </w:pPr>
                  <w:r>
                    <w:rPr>
                      <w:color w:val="auto"/>
                    </w:rPr>
                    <w:t>设备</w:t>
                  </w:r>
                </w:p>
              </w:tc>
              <w:tc>
                <w:tcPr>
                  <w:tcW w:w="658" w:type="pct"/>
                  <w:vAlign w:val="center"/>
                </w:tcPr>
                <w:p>
                  <w:pPr>
                    <w:pStyle w:val="39"/>
                    <w:jc w:val="center"/>
                    <w:rPr>
                      <w:color w:val="auto"/>
                    </w:rPr>
                  </w:pPr>
                  <w:r>
                    <w:rPr>
                      <w:color w:val="auto"/>
                    </w:rPr>
                    <w:t>噪声</w:t>
                  </w:r>
                </w:p>
              </w:tc>
              <w:tc>
                <w:tcPr>
                  <w:tcW w:w="877" w:type="pct"/>
                  <w:vAlign w:val="center"/>
                </w:tcPr>
                <w:p>
                  <w:pPr>
                    <w:pStyle w:val="39"/>
                    <w:jc w:val="center"/>
                    <w:rPr>
                      <w:color w:val="auto"/>
                    </w:rPr>
                  </w:pPr>
                  <w:r>
                    <w:rPr>
                      <w:color w:val="auto"/>
                      <w:szCs w:val="21"/>
                    </w:rPr>
                    <w:t>减振、隔声、消声等</w:t>
                  </w:r>
                </w:p>
              </w:tc>
              <w:tc>
                <w:tcPr>
                  <w:tcW w:w="741" w:type="pct"/>
                  <w:vAlign w:val="center"/>
                </w:tcPr>
                <w:p>
                  <w:pPr>
                    <w:pStyle w:val="39"/>
                    <w:jc w:val="center"/>
                    <w:rPr>
                      <w:color w:val="auto"/>
                    </w:rPr>
                  </w:pPr>
                  <w:r>
                    <w:rPr>
                      <w:color w:val="auto"/>
                    </w:rPr>
                    <w:t>厂界排放至：</w:t>
                  </w:r>
                </w:p>
                <w:p>
                  <w:pPr>
                    <w:pStyle w:val="39"/>
                    <w:jc w:val="center"/>
                    <w:rPr>
                      <w:color w:val="auto"/>
                    </w:rPr>
                  </w:pPr>
                  <w:r>
                    <w:rPr>
                      <w:color w:val="auto"/>
                    </w:rPr>
                    <w:t>昼间≤</w:t>
                  </w:r>
                  <w:r>
                    <w:rPr>
                      <w:rFonts w:hint="eastAsia"/>
                      <w:color w:val="auto"/>
                    </w:rPr>
                    <w:t>55</w:t>
                  </w:r>
                  <w:r>
                    <w:rPr>
                      <w:color w:val="auto"/>
                    </w:rPr>
                    <w:t>dB</w:t>
                  </w:r>
                  <w:r>
                    <w:rPr>
                      <w:rFonts w:hint="eastAsia"/>
                      <w:color w:val="auto"/>
                      <w:lang w:eastAsia="zh-CN"/>
                    </w:rPr>
                    <w:t>（</w:t>
                  </w:r>
                  <w:r>
                    <w:rPr>
                      <w:color w:val="auto"/>
                    </w:rPr>
                    <w:t>A</w:t>
                  </w:r>
                  <w:r>
                    <w:rPr>
                      <w:rFonts w:hint="eastAsia"/>
                      <w:color w:val="auto"/>
                      <w:lang w:eastAsia="zh-CN"/>
                    </w:rPr>
                    <w:t>）</w:t>
                  </w:r>
                </w:p>
                <w:p>
                  <w:pPr>
                    <w:pStyle w:val="39"/>
                    <w:jc w:val="center"/>
                    <w:rPr>
                      <w:color w:val="auto"/>
                    </w:rPr>
                  </w:pPr>
                  <w:r>
                    <w:rPr>
                      <w:color w:val="auto"/>
                    </w:rPr>
                    <w:t>夜间≤</w:t>
                  </w:r>
                  <w:r>
                    <w:rPr>
                      <w:rFonts w:hint="eastAsia"/>
                      <w:color w:val="auto"/>
                    </w:rPr>
                    <w:t>45</w:t>
                  </w:r>
                  <w:r>
                    <w:rPr>
                      <w:color w:val="auto"/>
                    </w:rPr>
                    <w:t>dB</w:t>
                  </w:r>
                  <w:r>
                    <w:rPr>
                      <w:rFonts w:hint="eastAsia"/>
                      <w:color w:val="auto"/>
                      <w:lang w:eastAsia="zh-CN"/>
                    </w:rPr>
                    <w:t>（</w:t>
                  </w:r>
                  <w:r>
                    <w:rPr>
                      <w:color w:val="auto"/>
                    </w:rPr>
                    <w:t>A</w:t>
                  </w:r>
                  <w:r>
                    <w:rPr>
                      <w:rFonts w:hint="eastAsia"/>
                      <w:color w:val="auto"/>
                      <w:lang w:eastAsia="zh-CN"/>
                    </w:rPr>
                    <w:t>）</w:t>
                  </w:r>
                </w:p>
              </w:tc>
              <w:tc>
                <w:tcPr>
                  <w:tcW w:w="775" w:type="pct"/>
                  <w:vAlign w:val="center"/>
                </w:tcPr>
                <w:p>
                  <w:pPr>
                    <w:pStyle w:val="39"/>
                    <w:jc w:val="center"/>
                    <w:rPr>
                      <w:color w:val="auto"/>
                    </w:rPr>
                  </w:pPr>
                  <w:r>
                    <w:rPr>
                      <w:color w:val="auto"/>
                    </w:rPr>
                    <w:t>厂界：</w:t>
                  </w:r>
                </w:p>
                <w:p>
                  <w:pPr>
                    <w:pStyle w:val="39"/>
                    <w:jc w:val="center"/>
                    <w:rPr>
                      <w:color w:val="auto"/>
                    </w:rPr>
                  </w:pPr>
                  <w:r>
                    <w:rPr>
                      <w:color w:val="auto"/>
                    </w:rPr>
                    <w:t>连续监测2天，昼夜各1次</w:t>
                  </w:r>
                </w:p>
              </w:tc>
              <w:tc>
                <w:tcPr>
                  <w:tcW w:w="1115" w:type="pct"/>
                  <w:vAlign w:val="center"/>
                </w:tcPr>
                <w:p>
                  <w:pPr>
                    <w:pStyle w:val="39"/>
                    <w:jc w:val="center"/>
                    <w:rPr>
                      <w:color w:val="auto"/>
                    </w:rPr>
                  </w:pPr>
                  <w:r>
                    <w:rPr>
                      <w:color w:val="auto"/>
                    </w:rPr>
                    <w:t>《工业企业厂界环境噪声排放标准》（GB12348-2008）中</w:t>
                  </w:r>
                  <w:r>
                    <w:rPr>
                      <w:rFonts w:hint="eastAsia"/>
                      <w:color w:val="auto"/>
                    </w:rPr>
                    <w:t>1</w:t>
                  </w:r>
                  <w:r>
                    <w:rPr>
                      <w:color w:val="auto"/>
                    </w:rPr>
                    <w:t>类标准要求</w:t>
                  </w:r>
                </w:p>
              </w:tc>
            </w:tr>
          </w:tbl>
          <w:p>
            <w:pPr>
              <w:ind w:firstLine="482"/>
              <w:rPr>
                <w:color w:val="auto"/>
              </w:rPr>
            </w:pPr>
            <w:r>
              <w:rPr>
                <w:rFonts w:hint="eastAsia"/>
                <w:b/>
                <w:bCs/>
                <w:color w:val="auto"/>
              </w:rPr>
              <w:t>七、环保投资估算</w:t>
            </w:r>
          </w:p>
          <w:p>
            <w:pPr>
              <w:ind w:firstLine="480"/>
              <w:rPr>
                <w:color w:val="auto"/>
              </w:rPr>
            </w:pPr>
            <w:r>
              <w:rPr>
                <w:rFonts w:hint="eastAsia"/>
                <w:color w:val="auto"/>
              </w:rPr>
              <w:t>本项目总投资为200万元，其中环保投资51.5万元，占总投资的25.75</w:t>
            </w:r>
            <w:r>
              <w:rPr>
                <w:color w:val="auto"/>
              </w:rPr>
              <w:t>%</w:t>
            </w:r>
            <w:r>
              <w:rPr>
                <w:rFonts w:hint="eastAsia"/>
                <w:color w:val="auto"/>
              </w:rPr>
              <w:t>。本项目污染防治措施及环保投资情况见下表。</w:t>
            </w:r>
          </w:p>
          <w:p>
            <w:pPr>
              <w:pStyle w:val="25"/>
              <w:rPr>
                <w:color w:val="auto"/>
              </w:rPr>
            </w:pPr>
            <w:r>
              <w:rPr>
                <w:rFonts w:hint="eastAsia"/>
                <w:color w:val="auto"/>
              </w:rPr>
              <w:t>表4-14环保投资估算一览表</w:t>
            </w:r>
          </w:p>
          <w:tbl>
            <w:tblPr>
              <w:tblStyle w:val="17"/>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02"/>
              <w:gridCol w:w="990"/>
              <w:gridCol w:w="1640"/>
              <w:gridCol w:w="936"/>
              <w:gridCol w:w="1951"/>
              <w:gridCol w:w="745"/>
              <w:gridCol w:w="104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321" w:type="pct"/>
                  <w:vAlign w:val="center"/>
                </w:tcPr>
                <w:p>
                  <w:pPr>
                    <w:pStyle w:val="39"/>
                    <w:jc w:val="center"/>
                    <w:rPr>
                      <w:b/>
                      <w:bCs/>
                      <w:color w:val="auto"/>
                    </w:rPr>
                  </w:pPr>
                  <w:r>
                    <w:rPr>
                      <w:b/>
                      <w:bCs/>
                      <w:color w:val="auto"/>
                    </w:rPr>
                    <w:t>序号</w:t>
                  </w:r>
                </w:p>
              </w:tc>
              <w:tc>
                <w:tcPr>
                  <w:tcW w:w="633" w:type="pct"/>
                  <w:vAlign w:val="center"/>
                </w:tcPr>
                <w:p>
                  <w:pPr>
                    <w:pStyle w:val="39"/>
                    <w:jc w:val="center"/>
                    <w:rPr>
                      <w:b/>
                      <w:bCs/>
                      <w:color w:val="auto"/>
                    </w:rPr>
                  </w:pPr>
                  <w:r>
                    <w:rPr>
                      <w:b/>
                      <w:bCs/>
                      <w:color w:val="auto"/>
                    </w:rPr>
                    <w:t>项目名称</w:t>
                  </w:r>
                </w:p>
              </w:tc>
              <w:tc>
                <w:tcPr>
                  <w:tcW w:w="1049" w:type="pct"/>
                  <w:vAlign w:val="center"/>
                </w:tcPr>
                <w:p>
                  <w:pPr>
                    <w:pStyle w:val="39"/>
                    <w:jc w:val="center"/>
                    <w:rPr>
                      <w:b/>
                      <w:bCs/>
                      <w:color w:val="auto"/>
                    </w:rPr>
                  </w:pPr>
                  <w:r>
                    <w:rPr>
                      <w:b/>
                      <w:bCs/>
                      <w:color w:val="auto"/>
                    </w:rPr>
                    <w:t>污染源</w:t>
                  </w:r>
                </w:p>
              </w:tc>
              <w:tc>
                <w:tcPr>
                  <w:tcW w:w="599" w:type="pct"/>
                  <w:vAlign w:val="center"/>
                </w:tcPr>
                <w:p>
                  <w:pPr>
                    <w:pStyle w:val="39"/>
                    <w:jc w:val="center"/>
                    <w:rPr>
                      <w:b/>
                      <w:bCs/>
                      <w:color w:val="auto"/>
                    </w:rPr>
                  </w:pPr>
                  <w:r>
                    <w:rPr>
                      <w:b/>
                      <w:bCs/>
                      <w:color w:val="auto"/>
                    </w:rPr>
                    <w:t>污染因子</w:t>
                  </w:r>
                </w:p>
              </w:tc>
              <w:tc>
                <w:tcPr>
                  <w:tcW w:w="1248" w:type="pct"/>
                  <w:vAlign w:val="center"/>
                </w:tcPr>
                <w:p>
                  <w:pPr>
                    <w:pStyle w:val="39"/>
                    <w:jc w:val="center"/>
                    <w:rPr>
                      <w:b/>
                      <w:bCs/>
                      <w:color w:val="auto"/>
                    </w:rPr>
                  </w:pPr>
                  <w:r>
                    <w:rPr>
                      <w:b/>
                      <w:bCs/>
                      <w:color w:val="auto"/>
                    </w:rPr>
                    <w:t>环保措施</w:t>
                  </w:r>
                </w:p>
              </w:tc>
              <w:tc>
                <w:tcPr>
                  <w:tcW w:w="477" w:type="pct"/>
                  <w:vAlign w:val="center"/>
                </w:tcPr>
                <w:p>
                  <w:pPr>
                    <w:pStyle w:val="39"/>
                    <w:jc w:val="center"/>
                    <w:rPr>
                      <w:b/>
                      <w:bCs/>
                      <w:color w:val="auto"/>
                    </w:rPr>
                  </w:pPr>
                  <w:r>
                    <w:rPr>
                      <w:b/>
                      <w:bCs/>
                      <w:color w:val="auto"/>
                    </w:rPr>
                    <w:t>数量</w:t>
                  </w:r>
                </w:p>
              </w:tc>
              <w:tc>
                <w:tcPr>
                  <w:tcW w:w="670" w:type="pct"/>
                  <w:vAlign w:val="center"/>
                </w:tcPr>
                <w:p>
                  <w:pPr>
                    <w:pStyle w:val="39"/>
                    <w:jc w:val="center"/>
                    <w:rPr>
                      <w:b/>
                      <w:bCs/>
                      <w:color w:val="auto"/>
                    </w:rPr>
                  </w:pPr>
                  <w:r>
                    <w:rPr>
                      <w:b/>
                      <w:bCs/>
                      <w:color w:val="auto"/>
                    </w:rPr>
                    <w:t>投资（万元）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1" w:hRule="atLeast"/>
                <w:jc w:val="center"/>
              </w:trPr>
              <w:tc>
                <w:tcPr>
                  <w:tcW w:w="321" w:type="pct"/>
                  <w:vMerge w:val="restart"/>
                  <w:vAlign w:val="center"/>
                </w:tcPr>
                <w:p>
                  <w:pPr>
                    <w:pStyle w:val="39"/>
                    <w:jc w:val="center"/>
                    <w:rPr>
                      <w:color w:val="auto"/>
                    </w:rPr>
                  </w:pPr>
                  <w:r>
                    <w:rPr>
                      <w:rFonts w:hint="eastAsia"/>
                      <w:color w:val="auto"/>
                    </w:rPr>
                    <w:t>1</w:t>
                  </w:r>
                </w:p>
              </w:tc>
              <w:tc>
                <w:tcPr>
                  <w:tcW w:w="633" w:type="pct"/>
                  <w:vMerge w:val="restart"/>
                  <w:vAlign w:val="center"/>
                </w:tcPr>
                <w:p>
                  <w:pPr>
                    <w:pStyle w:val="39"/>
                    <w:jc w:val="center"/>
                    <w:rPr>
                      <w:color w:val="auto"/>
                    </w:rPr>
                  </w:pPr>
                  <w:r>
                    <w:rPr>
                      <w:color w:val="auto"/>
                    </w:rPr>
                    <w:t>废气治理</w:t>
                  </w:r>
                </w:p>
              </w:tc>
              <w:tc>
                <w:tcPr>
                  <w:tcW w:w="1049" w:type="pct"/>
                  <w:vAlign w:val="center"/>
                </w:tcPr>
                <w:p>
                  <w:pPr>
                    <w:pStyle w:val="39"/>
                    <w:jc w:val="center"/>
                    <w:rPr>
                      <w:color w:val="auto"/>
                    </w:rPr>
                  </w:pPr>
                  <w:r>
                    <w:rPr>
                      <w:rFonts w:hint="eastAsia"/>
                      <w:color w:val="auto"/>
                    </w:rPr>
                    <w:t>运输车辆产生的扬尘</w:t>
                  </w:r>
                </w:p>
              </w:tc>
              <w:tc>
                <w:tcPr>
                  <w:tcW w:w="599" w:type="pct"/>
                  <w:vAlign w:val="center"/>
                </w:tcPr>
                <w:p>
                  <w:pPr>
                    <w:pStyle w:val="39"/>
                    <w:jc w:val="center"/>
                    <w:rPr>
                      <w:color w:val="auto"/>
                    </w:rPr>
                  </w:pPr>
                  <w:r>
                    <w:rPr>
                      <w:rFonts w:hint="eastAsia"/>
                      <w:color w:val="auto"/>
                    </w:rPr>
                    <w:t>颗粒物</w:t>
                  </w:r>
                </w:p>
              </w:tc>
              <w:tc>
                <w:tcPr>
                  <w:tcW w:w="1248" w:type="pct"/>
                  <w:vAlign w:val="center"/>
                </w:tcPr>
                <w:p>
                  <w:pPr>
                    <w:pStyle w:val="39"/>
                    <w:jc w:val="center"/>
                    <w:rPr>
                      <w:color w:val="auto"/>
                    </w:rPr>
                  </w:pPr>
                  <w:r>
                    <w:rPr>
                      <w:rFonts w:hint="eastAsia"/>
                      <w:color w:val="auto"/>
                    </w:rPr>
                    <w:t>道路清扫+洒水</w:t>
                  </w:r>
                </w:p>
              </w:tc>
              <w:tc>
                <w:tcPr>
                  <w:tcW w:w="477" w:type="pct"/>
                  <w:vAlign w:val="center"/>
                </w:tcPr>
                <w:p>
                  <w:pPr>
                    <w:pStyle w:val="39"/>
                    <w:jc w:val="center"/>
                    <w:rPr>
                      <w:color w:val="auto"/>
                    </w:rPr>
                  </w:pPr>
                  <w:r>
                    <w:rPr>
                      <w:rFonts w:hint="eastAsia"/>
                      <w:color w:val="auto"/>
                    </w:rPr>
                    <w:t>/</w:t>
                  </w:r>
                </w:p>
              </w:tc>
              <w:tc>
                <w:tcPr>
                  <w:tcW w:w="670" w:type="pct"/>
                  <w:vAlign w:val="center"/>
                </w:tcPr>
                <w:p>
                  <w:pPr>
                    <w:pStyle w:val="39"/>
                    <w:jc w:val="center"/>
                    <w:rPr>
                      <w:color w:val="auto"/>
                    </w:rPr>
                  </w:pPr>
                  <w:r>
                    <w:rPr>
                      <w:rFonts w:hint="eastAsia"/>
                      <w:color w:val="auto"/>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1" w:hRule="atLeast"/>
                <w:jc w:val="center"/>
              </w:trPr>
              <w:tc>
                <w:tcPr>
                  <w:tcW w:w="321" w:type="pct"/>
                  <w:vMerge w:val="continue"/>
                  <w:vAlign w:val="center"/>
                </w:tcPr>
                <w:p>
                  <w:pPr>
                    <w:pStyle w:val="39"/>
                    <w:jc w:val="center"/>
                    <w:rPr>
                      <w:color w:val="auto"/>
                    </w:rPr>
                  </w:pPr>
                </w:p>
              </w:tc>
              <w:tc>
                <w:tcPr>
                  <w:tcW w:w="633" w:type="pct"/>
                  <w:vMerge w:val="continue"/>
                  <w:vAlign w:val="center"/>
                </w:tcPr>
                <w:p>
                  <w:pPr>
                    <w:pStyle w:val="39"/>
                    <w:jc w:val="center"/>
                    <w:rPr>
                      <w:color w:val="auto"/>
                    </w:rPr>
                  </w:pPr>
                </w:p>
              </w:tc>
              <w:tc>
                <w:tcPr>
                  <w:tcW w:w="1049" w:type="pct"/>
                  <w:vAlign w:val="center"/>
                </w:tcPr>
                <w:p>
                  <w:pPr>
                    <w:pStyle w:val="39"/>
                    <w:jc w:val="center"/>
                    <w:rPr>
                      <w:color w:val="auto"/>
                    </w:rPr>
                  </w:pPr>
                  <w:r>
                    <w:rPr>
                      <w:rFonts w:hint="eastAsia"/>
                      <w:color w:val="auto"/>
                    </w:rPr>
                    <w:t>筒仓呼吸孔及库底粉尘</w:t>
                  </w:r>
                </w:p>
              </w:tc>
              <w:tc>
                <w:tcPr>
                  <w:tcW w:w="599" w:type="pct"/>
                  <w:vAlign w:val="center"/>
                </w:tcPr>
                <w:p>
                  <w:pPr>
                    <w:pStyle w:val="39"/>
                    <w:jc w:val="center"/>
                    <w:rPr>
                      <w:color w:val="auto"/>
                    </w:rPr>
                  </w:pPr>
                  <w:r>
                    <w:rPr>
                      <w:rFonts w:hint="eastAsia"/>
                      <w:color w:val="auto"/>
                    </w:rPr>
                    <w:t>颗粒物</w:t>
                  </w:r>
                </w:p>
              </w:tc>
              <w:tc>
                <w:tcPr>
                  <w:tcW w:w="1248" w:type="pct"/>
                  <w:vAlign w:val="center"/>
                </w:tcPr>
                <w:p>
                  <w:pPr>
                    <w:pStyle w:val="39"/>
                    <w:jc w:val="center"/>
                    <w:rPr>
                      <w:color w:val="auto"/>
                    </w:rPr>
                  </w:pPr>
                  <w:r>
                    <w:rPr>
                      <w:rFonts w:hint="eastAsia"/>
                      <w:color w:val="auto"/>
                    </w:rPr>
                    <w:t>脉冲袋式除尘器+仓顶排放</w:t>
                  </w:r>
                </w:p>
              </w:tc>
              <w:tc>
                <w:tcPr>
                  <w:tcW w:w="477" w:type="pct"/>
                  <w:vAlign w:val="center"/>
                </w:tcPr>
                <w:p>
                  <w:pPr>
                    <w:pStyle w:val="39"/>
                    <w:jc w:val="center"/>
                    <w:rPr>
                      <w:color w:val="auto"/>
                    </w:rPr>
                  </w:pPr>
                  <w:r>
                    <w:rPr>
                      <w:rFonts w:hint="eastAsia"/>
                      <w:color w:val="auto"/>
                    </w:rPr>
                    <w:t>4</w:t>
                  </w:r>
                </w:p>
              </w:tc>
              <w:tc>
                <w:tcPr>
                  <w:tcW w:w="670" w:type="pct"/>
                  <w:vAlign w:val="center"/>
                </w:tcPr>
                <w:p>
                  <w:pPr>
                    <w:pStyle w:val="39"/>
                    <w:jc w:val="center"/>
                    <w:rPr>
                      <w:color w:val="auto"/>
                    </w:rPr>
                  </w:pPr>
                  <w:r>
                    <w:rPr>
                      <w:rFonts w:hint="eastAsia"/>
                      <w:color w:val="auto"/>
                    </w:rPr>
                    <w:t>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1" w:hRule="atLeast"/>
                <w:jc w:val="center"/>
              </w:trPr>
              <w:tc>
                <w:tcPr>
                  <w:tcW w:w="321" w:type="pct"/>
                  <w:vMerge w:val="continue"/>
                  <w:vAlign w:val="center"/>
                </w:tcPr>
                <w:p>
                  <w:pPr>
                    <w:pStyle w:val="39"/>
                    <w:jc w:val="center"/>
                    <w:rPr>
                      <w:color w:val="auto"/>
                    </w:rPr>
                  </w:pPr>
                </w:p>
              </w:tc>
              <w:tc>
                <w:tcPr>
                  <w:tcW w:w="633" w:type="pct"/>
                  <w:vMerge w:val="continue"/>
                  <w:vAlign w:val="center"/>
                </w:tcPr>
                <w:p>
                  <w:pPr>
                    <w:pStyle w:val="39"/>
                    <w:jc w:val="center"/>
                    <w:rPr>
                      <w:color w:val="auto"/>
                    </w:rPr>
                  </w:pPr>
                </w:p>
              </w:tc>
              <w:tc>
                <w:tcPr>
                  <w:tcW w:w="1049" w:type="pct"/>
                  <w:vAlign w:val="center"/>
                </w:tcPr>
                <w:p>
                  <w:pPr>
                    <w:pStyle w:val="39"/>
                    <w:jc w:val="center"/>
                    <w:rPr>
                      <w:color w:val="auto"/>
                    </w:rPr>
                  </w:pPr>
                  <w:r>
                    <w:rPr>
                      <w:rFonts w:hint="eastAsia"/>
                      <w:color w:val="auto"/>
                    </w:rPr>
                    <w:t>搅拌粉尘</w:t>
                  </w:r>
                </w:p>
              </w:tc>
              <w:tc>
                <w:tcPr>
                  <w:tcW w:w="599" w:type="pct"/>
                  <w:vAlign w:val="center"/>
                </w:tcPr>
                <w:p>
                  <w:pPr>
                    <w:pStyle w:val="39"/>
                    <w:jc w:val="center"/>
                    <w:rPr>
                      <w:color w:val="auto"/>
                    </w:rPr>
                  </w:pPr>
                  <w:r>
                    <w:rPr>
                      <w:rFonts w:hint="eastAsia"/>
                      <w:color w:val="auto"/>
                    </w:rPr>
                    <w:t>颗粒物</w:t>
                  </w:r>
                </w:p>
              </w:tc>
              <w:tc>
                <w:tcPr>
                  <w:tcW w:w="1248" w:type="pct"/>
                  <w:vAlign w:val="center"/>
                </w:tcPr>
                <w:p>
                  <w:pPr>
                    <w:pStyle w:val="39"/>
                    <w:jc w:val="center"/>
                    <w:rPr>
                      <w:color w:val="auto"/>
                    </w:rPr>
                  </w:pPr>
                  <w:r>
                    <w:rPr>
                      <w:rFonts w:hint="eastAsia"/>
                      <w:color w:val="auto"/>
                    </w:rPr>
                    <w:t>脉冲袋式除尘器二级除尘+仓顶排放</w:t>
                  </w:r>
                </w:p>
              </w:tc>
              <w:tc>
                <w:tcPr>
                  <w:tcW w:w="477" w:type="pct"/>
                  <w:vAlign w:val="center"/>
                </w:tcPr>
                <w:p>
                  <w:pPr>
                    <w:pStyle w:val="39"/>
                    <w:jc w:val="center"/>
                    <w:rPr>
                      <w:color w:val="auto"/>
                    </w:rPr>
                  </w:pPr>
                  <w:r>
                    <w:rPr>
                      <w:rFonts w:hint="eastAsia"/>
                      <w:color w:val="auto"/>
                    </w:rPr>
                    <w:t>1</w:t>
                  </w:r>
                </w:p>
              </w:tc>
              <w:tc>
                <w:tcPr>
                  <w:tcW w:w="670" w:type="pct"/>
                  <w:vAlign w:val="center"/>
                </w:tcPr>
                <w:p>
                  <w:pPr>
                    <w:pStyle w:val="39"/>
                    <w:jc w:val="center"/>
                    <w:rPr>
                      <w:color w:val="auto"/>
                    </w:rPr>
                  </w:pPr>
                  <w:r>
                    <w:rPr>
                      <w:rFonts w:hint="eastAsia"/>
                      <w:color w:val="auto"/>
                    </w:rPr>
                    <w:t>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1" w:hRule="atLeast"/>
                <w:jc w:val="center"/>
              </w:trPr>
              <w:tc>
                <w:tcPr>
                  <w:tcW w:w="321" w:type="pct"/>
                  <w:vMerge w:val="continue"/>
                  <w:vAlign w:val="center"/>
                </w:tcPr>
                <w:p>
                  <w:pPr>
                    <w:pStyle w:val="39"/>
                    <w:jc w:val="center"/>
                    <w:rPr>
                      <w:color w:val="auto"/>
                    </w:rPr>
                  </w:pPr>
                </w:p>
              </w:tc>
              <w:tc>
                <w:tcPr>
                  <w:tcW w:w="633" w:type="pct"/>
                  <w:vMerge w:val="continue"/>
                  <w:vAlign w:val="center"/>
                </w:tcPr>
                <w:p>
                  <w:pPr>
                    <w:pStyle w:val="39"/>
                    <w:jc w:val="center"/>
                    <w:rPr>
                      <w:color w:val="auto"/>
                    </w:rPr>
                  </w:pPr>
                </w:p>
              </w:tc>
              <w:tc>
                <w:tcPr>
                  <w:tcW w:w="1049" w:type="pct"/>
                  <w:vAlign w:val="center"/>
                </w:tcPr>
                <w:p>
                  <w:pPr>
                    <w:pStyle w:val="39"/>
                    <w:jc w:val="center"/>
                    <w:rPr>
                      <w:color w:val="auto"/>
                    </w:rPr>
                  </w:pPr>
                  <w:r>
                    <w:rPr>
                      <w:rFonts w:hint="eastAsia"/>
                      <w:color w:val="auto"/>
                    </w:rPr>
                    <w:t>砂石装卸、堆放产生的扬尘</w:t>
                  </w:r>
                </w:p>
              </w:tc>
              <w:tc>
                <w:tcPr>
                  <w:tcW w:w="599" w:type="pct"/>
                  <w:vAlign w:val="center"/>
                </w:tcPr>
                <w:p>
                  <w:pPr>
                    <w:pStyle w:val="39"/>
                    <w:jc w:val="center"/>
                    <w:rPr>
                      <w:color w:val="auto"/>
                    </w:rPr>
                  </w:pPr>
                  <w:r>
                    <w:rPr>
                      <w:rFonts w:hint="eastAsia"/>
                      <w:color w:val="auto"/>
                    </w:rPr>
                    <w:t>颗粒物</w:t>
                  </w:r>
                </w:p>
              </w:tc>
              <w:tc>
                <w:tcPr>
                  <w:tcW w:w="1248" w:type="pct"/>
                  <w:vAlign w:val="center"/>
                </w:tcPr>
                <w:p>
                  <w:pPr>
                    <w:pStyle w:val="39"/>
                    <w:jc w:val="center"/>
                    <w:rPr>
                      <w:color w:val="auto"/>
                    </w:rPr>
                  </w:pPr>
                  <w:r>
                    <w:rPr>
                      <w:rFonts w:hint="eastAsia"/>
                      <w:color w:val="auto"/>
                    </w:rPr>
                    <w:t>全封闭厂房+洒水车洒水抑尘</w:t>
                  </w:r>
                </w:p>
              </w:tc>
              <w:tc>
                <w:tcPr>
                  <w:tcW w:w="477" w:type="pct"/>
                  <w:vAlign w:val="center"/>
                </w:tcPr>
                <w:p>
                  <w:pPr>
                    <w:pStyle w:val="39"/>
                    <w:jc w:val="center"/>
                    <w:rPr>
                      <w:color w:val="auto"/>
                    </w:rPr>
                  </w:pPr>
                  <w:r>
                    <w:rPr>
                      <w:rFonts w:hint="eastAsia"/>
                      <w:color w:val="auto"/>
                    </w:rPr>
                    <w:t>1</w:t>
                  </w:r>
                </w:p>
              </w:tc>
              <w:tc>
                <w:tcPr>
                  <w:tcW w:w="670" w:type="pct"/>
                  <w:vAlign w:val="center"/>
                </w:tcPr>
                <w:p>
                  <w:pPr>
                    <w:pStyle w:val="39"/>
                    <w:jc w:val="center"/>
                    <w:rPr>
                      <w:color w:val="auto"/>
                    </w:rPr>
                  </w:pPr>
                  <w:r>
                    <w:rPr>
                      <w:rFonts w:hint="eastAsia"/>
                      <w:color w:val="auto"/>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1" w:hRule="atLeast"/>
                <w:jc w:val="center"/>
              </w:trPr>
              <w:tc>
                <w:tcPr>
                  <w:tcW w:w="321" w:type="pct"/>
                  <w:vMerge w:val="continue"/>
                  <w:vAlign w:val="center"/>
                </w:tcPr>
                <w:p>
                  <w:pPr>
                    <w:pStyle w:val="39"/>
                    <w:jc w:val="center"/>
                    <w:rPr>
                      <w:color w:val="auto"/>
                    </w:rPr>
                  </w:pPr>
                </w:p>
              </w:tc>
              <w:tc>
                <w:tcPr>
                  <w:tcW w:w="633" w:type="pct"/>
                  <w:vMerge w:val="continue"/>
                  <w:vAlign w:val="center"/>
                </w:tcPr>
                <w:p>
                  <w:pPr>
                    <w:pStyle w:val="39"/>
                    <w:jc w:val="center"/>
                    <w:rPr>
                      <w:color w:val="auto"/>
                    </w:rPr>
                  </w:pPr>
                </w:p>
              </w:tc>
              <w:tc>
                <w:tcPr>
                  <w:tcW w:w="1049" w:type="pct"/>
                  <w:vAlign w:val="center"/>
                </w:tcPr>
                <w:p>
                  <w:pPr>
                    <w:pStyle w:val="39"/>
                    <w:jc w:val="center"/>
                    <w:rPr>
                      <w:color w:val="auto"/>
                    </w:rPr>
                  </w:pPr>
                  <w:r>
                    <w:rPr>
                      <w:rFonts w:hint="eastAsia"/>
                      <w:color w:val="auto"/>
                    </w:rPr>
                    <w:t>砂石配料、投料、皮带输送产生的无组织粉尘</w:t>
                  </w:r>
                </w:p>
              </w:tc>
              <w:tc>
                <w:tcPr>
                  <w:tcW w:w="599" w:type="pct"/>
                  <w:vAlign w:val="center"/>
                </w:tcPr>
                <w:p>
                  <w:pPr>
                    <w:pStyle w:val="39"/>
                    <w:jc w:val="center"/>
                    <w:rPr>
                      <w:color w:val="auto"/>
                    </w:rPr>
                  </w:pPr>
                  <w:r>
                    <w:rPr>
                      <w:rFonts w:hint="eastAsia"/>
                      <w:color w:val="auto"/>
                    </w:rPr>
                    <w:t>颗粒物</w:t>
                  </w:r>
                </w:p>
              </w:tc>
              <w:tc>
                <w:tcPr>
                  <w:tcW w:w="1248" w:type="pct"/>
                  <w:vAlign w:val="center"/>
                </w:tcPr>
                <w:p>
                  <w:pPr>
                    <w:pStyle w:val="39"/>
                    <w:jc w:val="center"/>
                    <w:rPr>
                      <w:color w:val="auto"/>
                    </w:rPr>
                  </w:pPr>
                  <w:r>
                    <w:rPr>
                      <w:rFonts w:hint="eastAsia"/>
                      <w:color w:val="auto"/>
                    </w:rPr>
                    <w:t>全封闭料斗+雾炮抑尘</w:t>
                  </w:r>
                </w:p>
              </w:tc>
              <w:tc>
                <w:tcPr>
                  <w:tcW w:w="477" w:type="pct"/>
                  <w:vAlign w:val="center"/>
                </w:tcPr>
                <w:p>
                  <w:pPr>
                    <w:pStyle w:val="39"/>
                    <w:jc w:val="center"/>
                    <w:rPr>
                      <w:color w:val="auto"/>
                    </w:rPr>
                  </w:pPr>
                  <w:r>
                    <w:rPr>
                      <w:rFonts w:hint="eastAsia"/>
                      <w:color w:val="auto"/>
                    </w:rPr>
                    <w:t>1</w:t>
                  </w:r>
                </w:p>
              </w:tc>
              <w:tc>
                <w:tcPr>
                  <w:tcW w:w="670" w:type="pct"/>
                  <w:vAlign w:val="center"/>
                </w:tcPr>
                <w:p>
                  <w:pPr>
                    <w:pStyle w:val="39"/>
                    <w:jc w:val="center"/>
                    <w:rPr>
                      <w:color w:val="auto"/>
                    </w:rPr>
                  </w:pPr>
                  <w:r>
                    <w:rPr>
                      <w:rFonts w:hint="eastAsia"/>
                      <w:color w:val="auto"/>
                    </w:rPr>
                    <w:t>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321" w:type="pct"/>
                  <w:vMerge w:val="restart"/>
                  <w:vAlign w:val="center"/>
                </w:tcPr>
                <w:p>
                  <w:pPr>
                    <w:pStyle w:val="39"/>
                    <w:jc w:val="center"/>
                    <w:rPr>
                      <w:color w:val="auto"/>
                    </w:rPr>
                  </w:pPr>
                  <w:r>
                    <w:rPr>
                      <w:rFonts w:hint="eastAsia"/>
                      <w:color w:val="auto"/>
                    </w:rPr>
                    <w:t>2</w:t>
                  </w:r>
                </w:p>
              </w:tc>
              <w:tc>
                <w:tcPr>
                  <w:tcW w:w="633" w:type="pct"/>
                  <w:vMerge w:val="restart"/>
                  <w:vAlign w:val="center"/>
                </w:tcPr>
                <w:p>
                  <w:pPr>
                    <w:pStyle w:val="39"/>
                    <w:jc w:val="center"/>
                    <w:rPr>
                      <w:color w:val="auto"/>
                    </w:rPr>
                  </w:pPr>
                  <w:r>
                    <w:rPr>
                      <w:color w:val="auto"/>
                    </w:rPr>
                    <w:t>废水治理</w:t>
                  </w:r>
                </w:p>
              </w:tc>
              <w:tc>
                <w:tcPr>
                  <w:tcW w:w="1049" w:type="pct"/>
                  <w:vAlign w:val="center"/>
                </w:tcPr>
                <w:p>
                  <w:pPr>
                    <w:pStyle w:val="39"/>
                    <w:jc w:val="center"/>
                    <w:rPr>
                      <w:color w:val="auto"/>
                    </w:rPr>
                  </w:pPr>
                  <w:r>
                    <w:rPr>
                      <w:color w:val="auto"/>
                    </w:rPr>
                    <w:t>工作人员</w:t>
                  </w:r>
                </w:p>
              </w:tc>
              <w:tc>
                <w:tcPr>
                  <w:tcW w:w="599" w:type="pct"/>
                  <w:vAlign w:val="center"/>
                </w:tcPr>
                <w:p>
                  <w:pPr>
                    <w:pStyle w:val="39"/>
                    <w:jc w:val="center"/>
                    <w:rPr>
                      <w:color w:val="auto"/>
                    </w:rPr>
                  </w:pPr>
                  <w:r>
                    <w:rPr>
                      <w:color w:val="auto"/>
                    </w:rPr>
                    <w:t>生活污水</w:t>
                  </w:r>
                </w:p>
              </w:tc>
              <w:tc>
                <w:tcPr>
                  <w:tcW w:w="1248" w:type="pct"/>
                  <w:vAlign w:val="center"/>
                </w:tcPr>
                <w:p>
                  <w:pPr>
                    <w:pStyle w:val="39"/>
                    <w:jc w:val="center"/>
                    <w:rPr>
                      <w:color w:val="auto"/>
                    </w:rPr>
                  </w:pPr>
                  <w:r>
                    <w:rPr>
                      <w:color w:val="auto"/>
                    </w:rPr>
                    <w:t>防渗化粪池</w:t>
                  </w:r>
                </w:p>
              </w:tc>
              <w:tc>
                <w:tcPr>
                  <w:tcW w:w="477" w:type="pct"/>
                  <w:vAlign w:val="center"/>
                </w:tcPr>
                <w:p>
                  <w:pPr>
                    <w:pStyle w:val="39"/>
                    <w:jc w:val="center"/>
                    <w:rPr>
                      <w:color w:val="auto"/>
                    </w:rPr>
                  </w:pPr>
                  <w:r>
                    <w:rPr>
                      <w:color w:val="auto"/>
                    </w:rPr>
                    <w:t>1</w:t>
                  </w:r>
                </w:p>
              </w:tc>
              <w:tc>
                <w:tcPr>
                  <w:tcW w:w="670" w:type="pct"/>
                  <w:vAlign w:val="center"/>
                </w:tcPr>
                <w:p>
                  <w:pPr>
                    <w:pStyle w:val="39"/>
                    <w:jc w:val="center"/>
                    <w:rPr>
                      <w:color w:val="auto"/>
                    </w:rPr>
                  </w:pPr>
                  <w:r>
                    <w:rPr>
                      <w:rFonts w:hint="eastAsia"/>
                      <w:color w:val="auto"/>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321" w:type="pct"/>
                  <w:vMerge w:val="continue"/>
                  <w:vAlign w:val="center"/>
                </w:tcPr>
                <w:p>
                  <w:pPr>
                    <w:pStyle w:val="39"/>
                    <w:jc w:val="center"/>
                    <w:rPr>
                      <w:color w:val="auto"/>
                    </w:rPr>
                  </w:pPr>
                </w:p>
              </w:tc>
              <w:tc>
                <w:tcPr>
                  <w:tcW w:w="633" w:type="pct"/>
                  <w:vMerge w:val="continue"/>
                  <w:vAlign w:val="center"/>
                </w:tcPr>
                <w:p>
                  <w:pPr>
                    <w:pStyle w:val="39"/>
                    <w:jc w:val="center"/>
                    <w:rPr>
                      <w:color w:val="auto"/>
                    </w:rPr>
                  </w:pPr>
                </w:p>
              </w:tc>
              <w:tc>
                <w:tcPr>
                  <w:tcW w:w="1049" w:type="pct"/>
                  <w:vAlign w:val="center"/>
                </w:tcPr>
                <w:p>
                  <w:pPr>
                    <w:pStyle w:val="39"/>
                    <w:jc w:val="center"/>
                    <w:rPr>
                      <w:color w:val="auto"/>
                    </w:rPr>
                  </w:pPr>
                  <w:r>
                    <w:rPr>
                      <w:rFonts w:hint="eastAsia"/>
                      <w:color w:val="auto"/>
                    </w:rPr>
                    <w:t>生产废水</w:t>
                  </w:r>
                </w:p>
              </w:tc>
              <w:tc>
                <w:tcPr>
                  <w:tcW w:w="599" w:type="pct"/>
                  <w:vAlign w:val="center"/>
                </w:tcPr>
                <w:p>
                  <w:pPr>
                    <w:pStyle w:val="39"/>
                    <w:jc w:val="center"/>
                    <w:rPr>
                      <w:color w:val="auto"/>
                    </w:rPr>
                  </w:pPr>
                  <w:r>
                    <w:rPr>
                      <w:rFonts w:hint="eastAsia"/>
                      <w:color w:val="auto"/>
                    </w:rPr>
                    <w:t>SS</w:t>
                  </w:r>
                </w:p>
              </w:tc>
              <w:tc>
                <w:tcPr>
                  <w:tcW w:w="1248" w:type="pct"/>
                  <w:vAlign w:val="center"/>
                </w:tcPr>
                <w:p>
                  <w:pPr>
                    <w:pStyle w:val="39"/>
                    <w:jc w:val="center"/>
                    <w:rPr>
                      <w:color w:val="auto"/>
                    </w:rPr>
                  </w:pPr>
                  <w:r>
                    <w:rPr>
                      <w:rFonts w:hint="eastAsia"/>
                      <w:color w:val="auto"/>
                    </w:rPr>
                    <w:t>沉淀池</w:t>
                  </w:r>
                </w:p>
              </w:tc>
              <w:tc>
                <w:tcPr>
                  <w:tcW w:w="477" w:type="pct"/>
                  <w:vAlign w:val="center"/>
                </w:tcPr>
                <w:p>
                  <w:pPr>
                    <w:pStyle w:val="39"/>
                    <w:jc w:val="center"/>
                    <w:rPr>
                      <w:color w:val="auto"/>
                    </w:rPr>
                  </w:pPr>
                  <w:r>
                    <w:rPr>
                      <w:color w:val="auto"/>
                    </w:rPr>
                    <w:t>1</w:t>
                  </w:r>
                </w:p>
              </w:tc>
              <w:tc>
                <w:tcPr>
                  <w:tcW w:w="670" w:type="pct"/>
                  <w:vAlign w:val="center"/>
                </w:tcPr>
                <w:p>
                  <w:pPr>
                    <w:pStyle w:val="39"/>
                    <w:jc w:val="center"/>
                    <w:rPr>
                      <w:color w:val="auto"/>
                    </w:rPr>
                  </w:pPr>
                  <w:r>
                    <w:rPr>
                      <w:rFonts w:hint="eastAsia"/>
                      <w:color w:val="auto"/>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321" w:type="pct"/>
                  <w:vAlign w:val="center"/>
                </w:tcPr>
                <w:p>
                  <w:pPr>
                    <w:pStyle w:val="39"/>
                    <w:jc w:val="center"/>
                    <w:rPr>
                      <w:color w:val="auto"/>
                    </w:rPr>
                  </w:pPr>
                  <w:r>
                    <w:rPr>
                      <w:rFonts w:hint="eastAsia"/>
                      <w:color w:val="auto"/>
                    </w:rPr>
                    <w:t>3</w:t>
                  </w:r>
                </w:p>
              </w:tc>
              <w:tc>
                <w:tcPr>
                  <w:tcW w:w="633" w:type="pct"/>
                  <w:vAlign w:val="center"/>
                </w:tcPr>
                <w:p>
                  <w:pPr>
                    <w:pStyle w:val="39"/>
                    <w:jc w:val="center"/>
                    <w:rPr>
                      <w:color w:val="auto"/>
                    </w:rPr>
                  </w:pPr>
                  <w:r>
                    <w:rPr>
                      <w:color w:val="auto"/>
                    </w:rPr>
                    <w:t>噪声治理</w:t>
                  </w:r>
                </w:p>
              </w:tc>
              <w:tc>
                <w:tcPr>
                  <w:tcW w:w="1049" w:type="pct"/>
                  <w:vAlign w:val="center"/>
                </w:tcPr>
                <w:p>
                  <w:pPr>
                    <w:pStyle w:val="39"/>
                    <w:jc w:val="center"/>
                    <w:rPr>
                      <w:color w:val="auto"/>
                    </w:rPr>
                  </w:pPr>
                  <w:r>
                    <w:rPr>
                      <w:color w:val="auto"/>
                    </w:rPr>
                    <w:t>生产设备</w:t>
                  </w:r>
                </w:p>
              </w:tc>
              <w:tc>
                <w:tcPr>
                  <w:tcW w:w="599" w:type="pct"/>
                  <w:vAlign w:val="center"/>
                </w:tcPr>
                <w:p>
                  <w:pPr>
                    <w:pStyle w:val="39"/>
                    <w:jc w:val="center"/>
                    <w:rPr>
                      <w:color w:val="auto"/>
                    </w:rPr>
                  </w:pPr>
                  <w:r>
                    <w:rPr>
                      <w:color w:val="auto"/>
                    </w:rPr>
                    <w:t>等效连续A声级</w:t>
                  </w:r>
                </w:p>
              </w:tc>
              <w:tc>
                <w:tcPr>
                  <w:tcW w:w="1248" w:type="pct"/>
                  <w:vAlign w:val="center"/>
                </w:tcPr>
                <w:p>
                  <w:pPr>
                    <w:pStyle w:val="39"/>
                    <w:jc w:val="center"/>
                    <w:rPr>
                      <w:color w:val="auto"/>
                    </w:rPr>
                  </w:pPr>
                  <w:r>
                    <w:rPr>
                      <w:color w:val="auto"/>
                    </w:rPr>
                    <w:t>减振垫</w:t>
                  </w:r>
                </w:p>
              </w:tc>
              <w:tc>
                <w:tcPr>
                  <w:tcW w:w="477" w:type="pct"/>
                  <w:vAlign w:val="center"/>
                </w:tcPr>
                <w:p>
                  <w:pPr>
                    <w:pStyle w:val="39"/>
                    <w:jc w:val="center"/>
                    <w:rPr>
                      <w:color w:val="auto"/>
                    </w:rPr>
                  </w:pPr>
                  <w:r>
                    <w:rPr>
                      <w:rFonts w:hint="eastAsia"/>
                      <w:color w:val="auto"/>
                    </w:rPr>
                    <w:t>/</w:t>
                  </w:r>
                </w:p>
              </w:tc>
              <w:tc>
                <w:tcPr>
                  <w:tcW w:w="670" w:type="pct"/>
                  <w:vAlign w:val="center"/>
                </w:tcPr>
                <w:p>
                  <w:pPr>
                    <w:pStyle w:val="39"/>
                    <w:jc w:val="center"/>
                    <w:rPr>
                      <w:color w:val="auto"/>
                    </w:rPr>
                  </w:pPr>
                  <w:r>
                    <w:rPr>
                      <w:rFonts w:hint="eastAsia"/>
                      <w:color w:val="auto"/>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666" w:hRule="atLeast"/>
                <w:jc w:val="center"/>
              </w:trPr>
              <w:tc>
                <w:tcPr>
                  <w:tcW w:w="321" w:type="pct"/>
                  <w:vAlign w:val="center"/>
                </w:tcPr>
                <w:p>
                  <w:pPr>
                    <w:pStyle w:val="39"/>
                    <w:jc w:val="center"/>
                    <w:rPr>
                      <w:color w:val="auto"/>
                    </w:rPr>
                  </w:pPr>
                  <w:r>
                    <w:rPr>
                      <w:rFonts w:hint="eastAsia"/>
                      <w:color w:val="auto"/>
                    </w:rPr>
                    <w:t>4</w:t>
                  </w:r>
                </w:p>
              </w:tc>
              <w:tc>
                <w:tcPr>
                  <w:tcW w:w="633" w:type="pct"/>
                  <w:vAlign w:val="center"/>
                </w:tcPr>
                <w:p>
                  <w:pPr>
                    <w:pStyle w:val="39"/>
                    <w:jc w:val="center"/>
                    <w:rPr>
                      <w:color w:val="auto"/>
                    </w:rPr>
                  </w:pPr>
                  <w:r>
                    <w:rPr>
                      <w:color w:val="auto"/>
                    </w:rPr>
                    <w:t>固废治理</w:t>
                  </w:r>
                </w:p>
              </w:tc>
              <w:tc>
                <w:tcPr>
                  <w:tcW w:w="2897" w:type="pct"/>
                  <w:gridSpan w:val="3"/>
                  <w:vAlign w:val="center"/>
                </w:tcPr>
                <w:p>
                  <w:pPr>
                    <w:pStyle w:val="39"/>
                    <w:rPr>
                      <w:color w:val="auto"/>
                    </w:rPr>
                  </w:pPr>
                  <w:r>
                    <w:rPr>
                      <w:rFonts w:hint="eastAsia"/>
                      <w:color w:val="auto"/>
                    </w:rPr>
                    <w:t>生产废料、沉渣作为道路建设的路面铺垫料或者地面平整的填料综合利用。</w:t>
                  </w:r>
                </w:p>
                <w:p>
                  <w:pPr>
                    <w:pStyle w:val="39"/>
                    <w:rPr>
                      <w:color w:val="auto"/>
                    </w:rPr>
                  </w:pPr>
                  <w:r>
                    <w:rPr>
                      <w:rFonts w:hint="eastAsia"/>
                      <w:color w:val="auto"/>
                    </w:rPr>
                    <w:t>除尘器收集后会产生粉尘</w:t>
                  </w:r>
                  <w:r>
                    <w:rPr>
                      <w:rFonts w:hint="eastAsia"/>
                      <w:color w:val="auto"/>
                      <w:lang w:eastAsia="zh-CN"/>
                    </w:rPr>
                    <w:t>，</w:t>
                  </w:r>
                  <w:r>
                    <w:rPr>
                      <w:rFonts w:hint="eastAsia"/>
                      <w:color w:val="auto"/>
                    </w:rPr>
                    <w:t>经过处理后可作为原料回用到生产中。</w:t>
                  </w:r>
                </w:p>
                <w:p>
                  <w:pPr>
                    <w:pStyle w:val="39"/>
                    <w:rPr>
                      <w:color w:val="auto"/>
                    </w:rPr>
                  </w:pPr>
                  <w:r>
                    <w:rPr>
                      <w:rFonts w:hint="eastAsia"/>
                      <w:color w:val="auto"/>
                    </w:rPr>
                    <w:t>项目员工生活垃圾采用垃圾箱集中收集后定期由环卫工人统一清运。</w:t>
                  </w:r>
                </w:p>
              </w:tc>
              <w:tc>
                <w:tcPr>
                  <w:tcW w:w="477" w:type="pct"/>
                  <w:vAlign w:val="center"/>
                </w:tcPr>
                <w:p>
                  <w:pPr>
                    <w:pStyle w:val="39"/>
                    <w:jc w:val="center"/>
                    <w:rPr>
                      <w:color w:val="auto"/>
                    </w:rPr>
                  </w:pPr>
                  <w:r>
                    <w:rPr>
                      <w:rFonts w:hint="eastAsia"/>
                      <w:color w:val="auto"/>
                    </w:rPr>
                    <w:t>/</w:t>
                  </w:r>
                </w:p>
              </w:tc>
              <w:tc>
                <w:tcPr>
                  <w:tcW w:w="670" w:type="pct"/>
                  <w:vAlign w:val="center"/>
                </w:tcPr>
                <w:p>
                  <w:pPr>
                    <w:pStyle w:val="39"/>
                    <w:jc w:val="center"/>
                    <w:rPr>
                      <w:color w:val="auto"/>
                    </w:rPr>
                  </w:pPr>
                  <w:r>
                    <w:rPr>
                      <w:rFonts w:hint="eastAsia"/>
                      <w:color w:val="auto"/>
                    </w:rPr>
                    <w:t>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321" w:type="pct"/>
                  <w:vAlign w:val="center"/>
                </w:tcPr>
                <w:p>
                  <w:pPr>
                    <w:pStyle w:val="39"/>
                    <w:jc w:val="center"/>
                    <w:rPr>
                      <w:color w:val="auto"/>
                    </w:rPr>
                  </w:pPr>
                  <w:r>
                    <w:rPr>
                      <w:rFonts w:hint="eastAsia"/>
                      <w:color w:val="auto"/>
                    </w:rPr>
                    <w:t>5</w:t>
                  </w:r>
                </w:p>
              </w:tc>
              <w:tc>
                <w:tcPr>
                  <w:tcW w:w="633" w:type="pct"/>
                  <w:vAlign w:val="center"/>
                </w:tcPr>
                <w:p>
                  <w:pPr>
                    <w:pStyle w:val="39"/>
                    <w:jc w:val="center"/>
                    <w:rPr>
                      <w:color w:val="auto"/>
                    </w:rPr>
                  </w:pPr>
                  <w:r>
                    <w:rPr>
                      <w:rFonts w:hint="eastAsia"/>
                      <w:color w:val="auto"/>
                    </w:rPr>
                    <w:t>厂区硬化</w:t>
                  </w:r>
                </w:p>
              </w:tc>
              <w:tc>
                <w:tcPr>
                  <w:tcW w:w="2897" w:type="pct"/>
                  <w:gridSpan w:val="3"/>
                  <w:vAlign w:val="center"/>
                </w:tcPr>
                <w:p>
                  <w:pPr>
                    <w:pStyle w:val="39"/>
                    <w:jc w:val="center"/>
                    <w:rPr>
                      <w:color w:val="auto"/>
                    </w:rPr>
                  </w:pPr>
                  <w:r>
                    <w:rPr>
                      <w:rFonts w:hint="eastAsia"/>
                      <w:color w:val="auto"/>
                    </w:rPr>
                    <w:t>/</w:t>
                  </w:r>
                </w:p>
              </w:tc>
              <w:tc>
                <w:tcPr>
                  <w:tcW w:w="477" w:type="pct"/>
                  <w:vAlign w:val="center"/>
                </w:tcPr>
                <w:p>
                  <w:pPr>
                    <w:pStyle w:val="39"/>
                    <w:jc w:val="center"/>
                    <w:rPr>
                      <w:color w:val="auto"/>
                    </w:rPr>
                  </w:pPr>
                  <w:r>
                    <w:rPr>
                      <w:rFonts w:hint="eastAsia"/>
                      <w:color w:val="auto"/>
                    </w:rPr>
                    <w:t>/</w:t>
                  </w:r>
                </w:p>
              </w:tc>
              <w:tc>
                <w:tcPr>
                  <w:tcW w:w="670" w:type="pct"/>
                  <w:vAlign w:val="center"/>
                </w:tcPr>
                <w:p>
                  <w:pPr>
                    <w:pStyle w:val="39"/>
                    <w:jc w:val="center"/>
                    <w:rPr>
                      <w:color w:val="auto"/>
                    </w:rPr>
                  </w:pPr>
                  <w:r>
                    <w:rPr>
                      <w:rFonts w:hint="eastAsia"/>
                      <w:color w:val="auto"/>
                    </w:rPr>
                    <w:t>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321" w:type="pct"/>
                  <w:vAlign w:val="center"/>
                </w:tcPr>
                <w:p>
                  <w:pPr>
                    <w:pStyle w:val="39"/>
                    <w:jc w:val="center"/>
                    <w:rPr>
                      <w:color w:val="auto"/>
                    </w:rPr>
                  </w:pPr>
                  <w:r>
                    <w:rPr>
                      <w:rFonts w:hint="eastAsia"/>
                      <w:color w:val="auto"/>
                    </w:rPr>
                    <w:t>6</w:t>
                  </w:r>
                </w:p>
              </w:tc>
              <w:tc>
                <w:tcPr>
                  <w:tcW w:w="633" w:type="pct"/>
                  <w:vAlign w:val="center"/>
                </w:tcPr>
                <w:p>
                  <w:pPr>
                    <w:pStyle w:val="39"/>
                    <w:jc w:val="center"/>
                    <w:rPr>
                      <w:color w:val="auto"/>
                    </w:rPr>
                  </w:pPr>
                  <w:r>
                    <w:rPr>
                      <w:rFonts w:hint="eastAsia"/>
                      <w:color w:val="auto"/>
                    </w:rPr>
                    <w:t>厂区绿化</w:t>
                  </w:r>
                </w:p>
              </w:tc>
              <w:tc>
                <w:tcPr>
                  <w:tcW w:w="2897" w:type="pct"/>
                  <w:gridSpan w:val="3"/>
                  <w:vAlign w:val="center"/>
                </w:tcPr>
                <w:p>
                  <w:pPr>
                    <w:pStyle w:val="39"/>
                    <w:jc w:val="center"/>
                    <w:rPr>
                      <w:color w:val="auto"/>
                    </w:rPr>
                  </w:pPr>
                  <w:r>
                    <w:rPr>
                      <w:rFonts w:hint="eastAsia"/>
                      <w:color w:val="auto"/>
                    </w:rPr>
                    <w:t>/</w:t>
                  </w:r>
                </w:p>
              </w:tc>
              <w:tc>
                <w:tcPr>
                  <w:tcW w:w="477" w:type="pct"/>
                  <w:vAlign w:val="center"/>
                </w:tcPr>
                <w:p>
                  <w:pPr>
                    <w:pStyle w:val="39"/>
                    <w:jc w:val="center"/>
                    <w:rPr>
                      <w:color w:val="auto"/>
                    </w:rPr>
                  </w:pPr>
                  <w:r>
                    <w:rPr>
                      <w:rFonts w:hint="eastAsia"/>
                      <w:color w:val="auto"/>
                    </w:rPr>
                    <w:t>/</w:t>
                  </w:r>
                </w:p>
              </w:tc>
              <w:tc>
                <w:tcPr>
                  <w:tcW w:w="670" w:type="pct"/>
                  <w:vAlign w:val="center"/>
                </w:tcPr>
                <w:p>
                  <w:pPr>
                    <w:pStyle w:val="39"/>
                    <w:jc w:val="center"/>
                    <w:rPr>
                      <w:color w:val="auto"/>
                    </w:rPr>
                  </w:pPr>
                  <w:r>
                    <w:rPr>
                      <w:rFonts w:hint="eastAsia"/>
                      <w:color w:val="auto"/>
                    </w:rPr>
                    <w:t>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954" w:type="pct"/>
                  <w:gridSpan w:val="2"/>
                  <w:vAlign w:val="center"/>
                </w:tcPr>
                <w:p>
                  <w:pPr>
                    <w:pStyle w:val="39"/>
                    <w:jc w:val="center"/>
                    <w:rPr>
                      <w:color w:val="auto"/>
                    </w:rPr>
                  </w:pPr>
                  <w:r>
                    <w:rPr>
                      <w:rFonts w:hint="eastAsia"/>
                      <w:color w:val="auto"/>
                    </w:rPr>
                    <w:t>合计</w:t>
                  </w:r>
                </w:p>
              </w:tc>
              <w:tc>
                <w:tcPr>
                  <w:tcW w:w="3374" w:type="pct"/>
                  <w:gridSpan w:val="4"/>
                  <w:vAlign w:val="center"/>
                </w:tcPr>
                <w:p>
                  <w:pPr>
                    <w:pStyle w:val="39"/>
                    <w:jc w:val="center"/>
                    <w:rPr>
                      <w:color w:val="auto"/>
                    </w:rPr>
                  </w:pPr>
                  <w:r>
                    <w:rPr>
                      <w:color w:val="auto"/>
                    </w:rPr>
                    <w:t>/</w:t>
                  </w:r>
                </w:p>
              </w:tc>
              <w:tc>
                <w:tcPr>
                  <w:tcW w:w="670" w:type="pct"/>
                  <w:vAlign w:val="center"/>
                </w:tcPr>
                <w:p>
                  <w:pPr>
                    <w:pStyle w:val="39"/>
                    <w:jc w:val="center"/>
                    <w:rPr>
                      <w:color w:val="auto"/>
                    </w:rPr>
                  </w:pPr>
                  <w:r>
                    <w:rPr>
                      <w:rFonts w:hint="eastAsia"/>
                      <w:color w:val="auto"/>
                    </w:rPr>
                    <w:t>51.5</w:t>
                  </w:r>
                </w:p>
              </w:tc>
            </w:tr>
            <w:bookmarkEnd w:id="10"/>
            <w:bookmarkEnd w:id="11"/>
          </w:tbl>
          <w:p>
            <w:pPr>
              <w:ind w:firstLine="0" w:firstLineChars="0"/>
              <w:rPr>
                <w:b/>
                <w:bCs/>
                <w:color w:val="auto"/>
              </w:rPr>
            </w:pPr>
          </w:p>
        </w:tc>
      </w:tr>
    </w:tbl>
    <w:p>
      <w:pPr>
        <w:ind w:firstLine="0" w:firstLineChars="0"/>
        <w:jc w:val="center"/>
        <w:rPr>
          <w:rFonts w:ascii="宋体" w:hAnsi="宋体" w:cs="宋体"/>
          <w:bCs/>
          <w:szCs w:val="21"/>
        </w:rPr>
        <w:sectPr>
          <w:pgSz w:w="11906" w:h="16838"/>
          <w:pgMar w:top="1440" w:right="1800" w:bottom="1440" w:left="1800" w:header="992" w:footer="992" w:gutter="0"/>
          <w:cols w:space="425" w:num="1"/>
          <w:docGrid w:type="lines" w:linePitch="312" w:charSpace="0"/>
        </w:sectPr>
      </w:pPr>
    </w:p>
    <w:bookmarkEnd w:id="9"/>
    <w:p>
      <w:pPr>
        <w:pStyle w:val="2"/>
        <w:ind w:firstLine="640"/>
        <w:jc w:val="center"/>
        <w:rPr>
          <w:snapToGrid w:val="0"/>
        </w:rPr>
      </w:pPr>
      <w:bookmarkStart w:id="12" w:name="_Toc144507129"/>
      <w:r>
        <w:rPr>
          <w:rFonts w:hint="eastAsia"/>
          <w:snapToGrid w:val="0"/>
        </w:rPr>
        <w:t>五</w:t>
      </w:r>
      <w:bookmarkStart w:id="13" w:name="_Hlk54167917"/>
      <w:r>
        <w:rPr>
          <w:rFonts w:hint="eastAsia"/>
          <w:snapToGrid w:val="0"/>
          <w:lang w:eastAsia="zh-CN"/>
        </w:rPr>
        <w:t>、</w:t>
      </w:r>
      <w:r>
        <w:rPr>
          <w:rFonts w:hint="eastAsia"/>
          <w:snapToGrid w:val="0"/>
        </w:rPr>
        <w:t>环境保护措施监督检查清单</w:t>
      </w:r>
      <w:bookmarkEnd w:id="12"/>
      <w:bookmarkEnd w:id="13"/>
    </w:p>
    <w:tbl>
      <w:tblPr>
        <w:tblStyle w:val="17"/>
        <w:tblW w:w="8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61"/>
        <w:gridCol w:w="1711"/>
        <w:gridCol w:w="1134"/>
        <w:gridCol w:w="2356"/>
        <w:gridCol w:w="2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2" w:hRule="atLeast"/>
          <w:jc w:val="center"/>
        </w:trPr>
        <w:tc>
          <w:tcPr>
            <w:tcW w:w="1261" w:type="dxa"/>
            <w:tcBorders>
              <w:tl2br w:val="single" w:color="auto" w:sz="4" w:space="0"/>
            </w:tcBorders>
            <w:vAlign w:val="center"/>
          </w:tcPr>
          <w:p>
            <w:pPr>
              <w:spacing w:line="240" w:lineRule="auto"/>
              <w:ind w:firstLine="0" w:firstLineChars="0"/>
              <w:jc w:val="center"/>
              <w:rPr>
                <w:b/>
                <w:bCs/>
                <w:snapToGrid w:val="0"/>
                <w:color w:val="auto"/>
              </w:rPr>
            </w:pPr>
            <w:r>
              <w:rPr>
                <w:rFonts w:hint="eastAsia"/>
                <w:b/>
                <w:bCs/>
                <w:snapToGrid w:val="0"/>
                <w:color w:val="auto"/>
              </w:rPr>
              <w:t xml:space="preserve">    </w:t>
            </w:r>
            <w:r>
              <w:rPr>
                <w:b/>
                <w:bCs/>
                <w:snapToGrid w:val="0"/>
                <w:color w:val="auto"/>
              </w:rPr>
              <w:t>内容</w:t>
            </w:r>
          </w:p>
          <w:p>
            <w:pPr>
              <w:spacing w:line="240" w:lineRule="auto"/>
              <w:ind w:firstLine="0" w:firstLineChars="0"/>
              <w:rPr>
                <w:b/>
                <w:bCs/>
                <w:snapToGrid w:val="0"/>
                <w:color w:val="auto"/>
              </w:rPr>
            </w:pPr>
            <w:r>
              <w:rPr>
                <w:b/>
                <w:bCs/>
                <w:snapToGrid w:val="0"/>
                <w:color w:val="auto"/>
              </w:rPr>
              <w:t>要素</w:t>
            </w:r>
          </w:p>
        </w:tc>
        <w:tc>
          <w:tcPr>
            <w:tcW w:w="1711" w:type="dxa"/>
            <w:vAlign w:val="center"/>
          </w:tcPr>
          <w:p>
            <w:pPr>
              <w:spacing w:line="240" w:lineRule="auto"/>
              <w:ind w:firstLine="0" w:firstLineChars="0"/>
              <w:jc w:val="center"/>
              <w:rPr>
                <w:b/>
                <w:bCs/>
                <w:snapToGrid w:val="0"/>
                <w:color w:val="auto"/>
              </w:rPr>
            </w:pPr>
            <w:r>
              <w:rPr>
                <w:b/>
                <w:bCs/>
                <w:snapToGrid w:val="0"/>
                <w:color w:val="auto"/>
              </w:rPr>
              <w:t>排放口</w:t>
            </w:r>
            <w:r>
              <w:rPr>
                <w:rFonts w:hint="eastAsia"/>
                <w:b/>
                <w:bCs/>
                <w:snapToGrid w:val="0"/>
                <w:color w:val="auto"/>
              </w:rPr>
              <w:t>（</w:t>
            </w:r>
            <w:r>
              <w:rPr>
                <w:b/>
                <w:bCs/>
                <w:snapToGrid w:val="0"/>
                <w:color w:val="auto"/>
              </w:rPr>
              <w:t>编号、名称</w:t>
            </w:r>
            <w:r>
              <w:rPr>
                <w:rFonts w:hint="eastAsia"/>
                <w:b/>
                <w:bCs/>
                <w:snapToGrid w:val="0"/>
                <w:color w:val="auto"/>
              </w:rPr>
              <w:t>）</w:t>
            </w:r>
            <w:r>
              <w:rPr>
                <w:b/>
                <w:bCs/>
                <w:snapToGrid w:val="0"/>
                <w:color w:val="auto"/>
              </w:rPr>
              <w:t>/污染源</w:t>
            </w:r>
          </w:p>
        </w:tc>
        <w:tc>
          <w:tcPr>
            <w:tcW w:w="1134" w:type="dxa"/>
            <w:vAlign w:val="center"/>
          </w:tcPr>
          <w:p>
            <w:pPr>
              <w:spacing w:line="240" w:lineRule="auto"/>
              <w:ind w:firstLine="0" w:firstLineChars="0"/>
              <w:jc w:val="center"/>
              <w:rPr>
                <w:b/>
                <w:bCs/>
                <w:snapToGrid w:val="0"/>
                <w:color w:val="auto"/>
              </w:rPr>
            </w:pPr>
            <w:r>
              <w:rPr>
                <w:b/>
                <w:bCs/>
                <w:snapToGrid w:val="0"/>
                <w:color w:val="auto"/>
              </w:rPr>
              <w:t>污染物项目</w:t>
            </w:r>
          </w:p>
        </w:tc>
        <w:tc>
          <w:tcPr>
            <w:tcW w:w="2356" w:type="dxa"/>
            <w:vAlign w:val="center"/>
          </w:tcPr>
          <w:p>
            <w:pPr>
              <w:spacing w:line="240" w:lineRule="auto"/>
              <w:ind w:firstLine="0" w:firstLineChars="0"/>
              <w:jc w:val="center"/>
              <w:rPr>
                <w:b/>
                <w:bCs/>
                <w:snapToGrid w:val="0"/>
                <w:color w:val="auto"/>
              </w:rPr>
            </w:pPr>
            <w:r>
              <w:rPr>
                <w:b/>
                <w:bCs/>
                <w:snapToGrid w:val="0"/>
                <w:color w:val="auto"/>
              </w:rPr>
              <w:t>环境保护措施</w:t>
            </w:r>
          </w:p>
        </w:tc>
        <w:tc>
          <w:tcPr>
            <w:tcW w:w="2193" w:type="dxa"/>
            <w:vAlign w:val="center"/>
          </w:tcPr>
          <w:p>
            <w:pPr>
              <w:spacing w:line="240" w:lineRule="auto"/>
              <w:ind w:firstLine="0" w:firstLineChars="0"/>
              <w:jc w:val="center"/>
              <w:rPr>
                <w:b/>
                <w:bCs/>
                <w:snapToGrid w:val="0"/>
                <w:color w:val="auto"/>
              </w:rPr>
            </w:pPr>
            <w:r>
              <w:rPr>
                <w:b/>
                <w:bCs/>
                <w:snapToGrid w:val="0"/>
                <w:color w:val="auto"/>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5" w:hRule="atLeast"/>
          <w:jc w:val="center"/>
        </w:trPr>
        <w:tc>
          <w:tcPr>
            <w:tcW w:w="1261" w:type="dxa"/>
            <w:vMerge w:val="restart"/>
            <w:vAlign w:val="center"/>
          </w:tcPr>
          <w:p>
            <w:pPr>
              <w:spacing w:line="240" w:lineRule="auto"/>
              <w:ind w:firstLine="0" w:firstLineChars="0"/>
              <w:jc w:val="center"/>
              <w:rPr>
                <w:snapToGrid w:val="0"/>
                <w:color w:val="auto"/>
              </w:rPr>
            </w:pPr>
            <w:r>
              <w:rPr>
                <w:rFonts w:hint="eastAsia"/>
                <w:snapToGrid w:val="0"/>
                <w:color w:val="auto"/>
              </w:rPr>
              <w:t>大气环境</w:t>
            </w:r>
          </w:p>
        </w:tc>
        <w:tc>
          <w:tcPr>
            <w:tcW w:w="1711" w:type="dxa"/>
            <w:vAlign w:val="center"/>
          </w:tcPr>
          <w:p>
            <w:pPr>
              <w:spacing w:line="240" w:lineRule="auto"/>
              <w:ind w:firstLine="0" w:firstLineChars="0"/>
              <w:jc w:val="center"/>
              <w:rPr>
                <w:snapToGrid w:val="0"/>
                <w:color w:val="auto"/>
              </w:rPr>
            </w:pPr>
            <w:r>
              <w:rPr>
                <w:rFonts w:hint="eastAsia"/>
                <w:snapToGrid w:val="0"/>
                <w:color w:val="auto"/>
              </w:rPr>
              <w:t>运输汽车产生的扬尘</w:t>
            </w:r>
          </w:p>
        </w:tc>
        <w:tc>
          <w:tcPr>
            <w:tcW w:w="1134" w:type="dxa"/>
            <w:vAlign w:val="center"/>
          </w:tcPr>
          <w:p>
            <w:pPr>
              <w:spacing w:line="240" w:lineRule="auto"/>
              <w:ind w:firstLine="0" w:firstLineChars="0"/>
              <w:jc w:val="center"/>
              <w:rPr>
                <w:snapToGrid w:val="0"/>
                <w:color w:val="auto"/>
              </w:rPr>
            </w:pPr>
            <w:r>
              <w:rPr>
                <w:rFonts w:hint="eastAsia"/>
                <w:snapToGrid w:val="0"/>
                <w:color w:val="auto"/>
              </w:rPr>
              <w:t>颗粒物</w:t>
            </w:r>
          </w:p>
        </w:tc>
        <w:tc>
          <w:tcPr>
            <w:tcW w:w="2356" w:type="dxa"/>
            <w:vAlign w:val="center"/>
          </w:tcPr>
          <w:p>
            <w:pPr>
              <w:spacing w:line="240" w:lineRule="auto"/>
              <w:ind w:firstLine="0" w:firstLineChars="0"/>
              <w:jc w:val="center"/>
              <w:rPr>
                <w:snapToGrid w:val="0"/>
                <w:color w:val="auto"/>
              </w:rPr>
            </w:pPr>
            <w:r>
              <w:rPr>
                <w:rFonts w:hint="eastAsia"/>
                <w:snapToGrid w:val="0"/>
                <w:color w:val="auto"/>
              </w:rPr>
              <w:t>清扫道路+洒水车（1辆）洒水</w:t>
            </w:r>
          </w:p>
        </w:tc>
        <w:tc>
          <w:tcPr>
            <w:tcW w:w="2193" w:type="dxa"/>
            <w:vMerge w:val="restart"/>
            <w:vAlign w:val="center"/>
          </w:tcPr>
          <w:p>
            <w:pPr>
              <w:spacing w:line="240" w:lineRule="auto"/>
              <w:ind w:firstLine="0" w:firstLineChars="0"/>
              <w:jc w:val="center"/>
              <w:rPr>
                <w:snapToGrid w:val="0"/>
                <w:color w:val="auto"/>
              </w:rPr>
            </w:pPr>
            <w:r>
              <w:rPr>
                <w:rFonts w:hint="eastAsia"/>
                <w:snapToGrid w:val="0"/>
                <w:color w:val="auto"/>
              </w:rPr>
              <w:t>水泥《工业大气污染物排放标准》（GB4915-2013）表3标准限值要求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jc w:val="center"/>
        </w:trPr>
        <w:tc>
          <w:tcPr>
            <w:tcW w:w="1261" w:type="dxa"/>
            <w:vMerge w:val="continue"/>
            <w:vAlign w:val="center"/>
          </w:tcPr>
          <w:p>
            <w:pPr>
              <w:spacing w:line="240" w:lineRule="auto"/>
              <w:ind w:firstLine="0" w:firstLineChars="0"/>
              <w:jc w:val="center"/>
              <w:rPr>
                <w:snapToGrid w:val="0"/>
                <w:color w:val="auto"/>
              </w:rPr>
            </w:pPr>
          </w:p>
        </w:tc>
        <w:tc>
          <w:tcPr>
            <w:tcW w:w="1711" w:type="dxa"/>
            <w:vAlign w:val="center"/>
          </w:tcPr>
          <w:p>
            <w:pPr>
              <w:spacing w:line="240" w:lineRule="auto"/>
              <w:ind w:firstLine="0" w:firstLineChars="0"/>
              <w:jc w:val="center"/>
              <w:rPr>
                <w:snapToGrid w:val="0"/>
                <w:color w:val="auto"/>
              </w:rPr>
            </w:pPr>
            <w:r>
              <w:rPr>
                <w:rFonts w:hint="eastAsia"/>
                <w:snapToGrid w:val="0"/>
                <w:color w:val="auto"/>
              </w:rPr>
              <w:t>砂石料装卸、堆存粉尘</w:t>
            </w:r>
          </w:p>
        </w:tc>
        <w:tc>
          <w:tcPr>
            <w:tcW w:w="1134" w:type="dxa"/>
            <w:vAlign w:val="center"/>
          </w:tcPr>
          <w:p>
            <w:pPr>
              <w:spacing w:line="240" w:lineRule="auto"/>
              <w:ind w:firstLine="0" w:firstLineChars="0"/>
              <w:jc w:val="center"/>
              <w:rPr>
                <w:snapToGrid w:val="0"/>
                <w:color w:val="auto"/>
              </w:rPr>
            </w:pPr>
            <w:r>
              <w:rPr>
                <w:rFonts w:hint="eastAsia"/>
                <w:snapToGrid w:val="0"/>
                <w:color w:val="auto"/>
              </w:rPr>
              <w:t>颗粒物</w:t>
            </w:r>
          </w:p>
        </w:tc>
        <w:tc>
          <w:tcPr>
            <w:tcW w:w="2356" w:type="dxa"/>
            <w:vAlign w:val="center"/>
          </w:tcPr>
          <w:p>
            <w:pPr>
              <w:spacing w:line="240" w:lineRule="auto"/>
              <w:ind w:firstLine="0" w:firstLineChars="0"/>
              <w:jc w:val="center"/>
              <w:rPr>
                <w:snapToGrid w:val="0"/>
                <w:color w:val="auto"/>
              </w:rPr>
            </w:pPr>
            <w:r>
              <w:rPr>
                <w:rFonts w:hint="eastAsia"/>
                <w:snapToGrid w:val="0"/>
                <w:color w:val="auto"/>
              </w:rPr>
              <w:t>密闭堆场+洒水车（1辆）洒水抑尘</w:t>
            </w:r>
          </w:p>
        </w:tc>
        <w:tc>
          <w:tcPr>
            <w:tcW w:w="2193" w:type="dxa"/>
            <w:vMerge w:val="continue"/>
            <w:vAlign w:val="center"/>
          </w:tcPr>
          <w:p>
            <w:pPr>
              <w:spacing w:line="240" w:lineRule="auto"/>
              <w:ind w:firstLine="0" w:firstLineChars="0"/>
              <w:jc w:val="center"/>
              <w:rPr>
                <w:snapToGrid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261" w:type="dxa"/>
            <w:vMerge w:val="continue"/>
            <w:vAlign w:val="center"/>
          </w:tcPr>
          <w:p>
            <w:pPr>
              <w:spacing w:line="240" w:lineRule="auto"/>
              <w:ind w:firstLine="0" w:firstLineChars="0"/>
              <w:jc w:val="center"/>
              <w:rPr>
                <w:snapToGrid w:val="0"/>
                <w:color w:val="auto"/>
              </w:rPr>
            </w:pPr>
          </w:p>
        </w:tc>
        <w:tc>
          <w:tcPr>
            <w:tcW w:w="1711" w:type="dxa"/>
            <w:vAlign w:val="center"/>
          </w:tcPr>
          <w:p>
            <w:pPr>
              <w:spacing w:line="240" w:lineRule="auto"/>
              <w:ind w:firstLine="0" w:firstLineChars="0"/>
              <w:jc w:val="center"/>
              <w:rPr>
                <w:snapToGrid w:val="0"/>
                <w:color w:val="auto"/>
              </w:rPr>
            </w:pPr>
            <w:r>
              <w:rPr>
                <w:rFonts w:hint="eastAsia"/>
                <w:snapToGrid w:val="0"/>
                <w:color w:val="auto"/>
              </w:rPr>
              <w:t>砂石料配料、投料、皮带输送产生的粉尘</w:t>
            </w:r>
          </w:p>
        </w:tc>
        <w:tc>
          <w:tcPr>
            <w:tcW w:w="1134" w:type="dxa"/>
            <w:vAlign w:val="center"/>
          </w:tcPr>
          <w:p>
            <w:pPr>
              <w:spacing w:line="240" w:lineRule="auto"/>
              <w:ind w:firstLine="0" w:firstLineChars="0"/>
              <w:jc w:val="center"/>
              <w:rPr>
                <w:snapToGrid w:val="0"/>
                <w:color w:val="auto"/>
              </w:rPr>
            </w:pPr>
            <w:r>
              <w:rPr>
                <w:rFonts w:hint="eastAsia"/>
                <w:snapToGrid w:val="0"/>
                <w:color w:val="auto"/>
              </w:rPr>
              <w:t>颗粒物</w:t>
            </w:r>
          </w:p>
        </w:tc>
        <w:tc>
          <w:tcPr>
            <w:tcW w:w="2356" w:type="dxa"/>
            <w:vAlign w:val="center"/>
          </w:tcPr>
          <w:p>
            <w:pPr>
              <w:spacing w:line="240" w:lineRule="auto"/>
              <w:ind w:firstLine="0" w:firstLineChars="0"/>
              <w:jc w:val="center"/>
              <w:rPr>
                <w:snapToGrid w:val="0"/>
                <w:color w:val="auto"/>
              </w:rPr>
            </w:pPr>
            <w:r>
              <w:rPr>
                <w:rFonts w:hint="eastAsia"/>
                <w:snapToGrid w:val="0"/>
                <w:color w:val="auto"/>
              </w:rPr>
              <w:t>全封闭料斗+雾炮抑尘</w:t>
            </w:r>
          </w:p>
        </w:tc>
        <w:tc>
          <w:tcPr>
            <w:tcW w:w="2193" w:type="dxa"/>
            <w:vMerge w:val="continue"/>
            <w:vAlign w:val="center"/>
          </w:tcPr>
          <w:p>
            <w:pPr>
              <w:spacing w:line="240" w:lineRule="auto"/>
              <w:ind w:firstLine="0" w:firstLineChars="0"/>
              <w:jc w:val="center"/>
              <w:rPr>
                <w:snapToGrid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1261" w:type="dxa"/>
            <w:vMerge w:val="continue"/>
            <w:vAlign w:val="center"/>
          </w:tcPr>
          <w:p>
            <w:pPr>
              <w:spacing w:line="240" w:lineRule="auto"/>
              <w:ind w:firstLine="0" w:firstLineChars="0"/>
              <w:jc w:val="center"/>
              <w:rPr>
                <w:snapToGrid w:val="0"/>
                <w:color w:val="auto"/>
              </w:rPr>
            </w:pPr>
          </w:p>
        </w:tc>
        <w:tc>
          <w:tcPr>
            <w:tcW w:w="1711" w:type="dxa"/>
            <w:vAlign w:val="center"/>
          </w:tcPr>
          <w:p>
            <w:pPr>
              <w:spacing w:line="240" w:lineRule="auto"/>
              <w:ind w:firstLine="0" w:firstLineChars="0"/>
              <w:jc w:val="center"/>
              <w:rPr>
                <w:snapToGrid w:val="0"/>
                <w:color w:val="auto"/>
              </w:rPr>
            </w:pPr>
            <w:r>
              <w:rPr>
                <w:rFonts w:hint="eastAsia"/>
                <w:snapToGrid w:val="0"/>
                <w:color w:val="auto"/>
              </w:rPr>
              <w:t>1#水泥筒仓</w:t>
            </w:r>
          </w:p>
        </w:tc>
        <w:tc>
          <w:tcPr>
            <w:tcW w:w="1134" w:type="dxa"/>
            <w:vAlign w:val="center"/>
          </w:tcPr>
          <w:p>
            <w:pPr>
              <w:spacing w:line="240" w:lineRule="auto"/>
              <w:ind w:firstLine="0" w:firstLineChars="0"/>
              <w:jc w:val="center"/>
              <w:rPr>
                <w:snapToGrid w:val="0"/>
                <w:color w:val="auto"/>
              </w:rPr>
            </w:pPr>
            <w:r>
              <w:rPr>
                <w:rFonts w:hint="eastAsia"/>
                <w:snapToGrid w:val="0"/>
                <w:color w:val="auto"/>
              </w:rPr>
              <w:t>颗粒物</w:t>
            </w:r>
          </w:p>
        </w:tc>
        <w:tc>
          <w:tcPr>
            <w:tcW w:w="2356" w:type="dxa"/>
            <w:vAlign w:val="center"/>
          </w:tcPr>
          <w:p>
            <w:pPr>
              <w:spacing w:line="240" w:lineRule="auto"/>
              <w:ind w:firstLine="0" w:firstLineChars="0"/>
              <w:jc w:val="center"/>
              <w:rPr>
                <w:snapToGrid w:val="0"/>
                <w:color w:val="auto"/>
              </w:rPr>
            </w:pPr>
            <w:r>
              <w:rPr>
                <w:rFonts w:hint="eastAsia"/>
                <w:snapToGrid w:val="0"/>
                <w:color w:val="auto"/>
              </w:rPr>
              <w:t>脉动袋式除尘器+仓顶（21m）排放（有组织）</w:t>
            </w:r>
          </w:p>
        </w:tc>
        <w:tc>
          <w:tcPr>
            <w:tcW w:w="2193" w:type="dxa"/>
            <w:vMerge w:val="restart"/>
            <w:vAlign w:val="center"/>
          </w:tcPr>
          <w:p>
            <w:pPr>
              <w:spacing w:line="240" w:lineRule="auto"/>
              <w:ind w:firstLine="0" w:firstLineChars="0"/>
              <w:jc w:val="center"/>
              <w:rPr>
                <w:snapToGrid w:val="0"/>
                <w:color w:val="auto"/>
              </w:rPr>
            </w:pPr>
            <w:r>
              <w:rPr>
                <w:rFonts w:hint="eastAsia"/>
                <w:snapToGrid w:val="0"/>
                <w:color w:val="auto"/>
              </w:rPr>
              <w:t>《水泥工业大气污染物排放标准》（GB4915-2013）表1标准限值要求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1261" w:type="dxa"/>
            <w:vMerge w:val="continue"/>
            <w:vAlign w:val="center"/>
          </w:tcPr>
          <w:p>
            <w:pPr>
              <w:spacing w:line="240" w:lineRule="auto"/>
              <w:ind w:firstLine="0" w:firstLineChars="0"/>
              <w:jc w:val="center"/>
              <w:rPr>
                <w:snapToGrid w:val="0"/>
                <w:color w:val="auto"/>
              </w:rPr>
            </w:pPr>
          </w:p>
        </w:tc>
        <w:tc>
          <w:tcPr>
            <w:tcW w:w="1711" w:type="dxa"/>
            <w:vAlign w:val="center"/>
          </w:tcPr>
          <w:p>
            <w:pPr>
              <w:spacing w:line="240" w:lineRule="auto"/>
              <w:ind w:firstLine="0" w:firstLineChars="0"/>
              <w:jc w:val="center"/>
              <w:rPr>
                <w:snapToGrid w:val="0"/>
                <w:color w:val="auto"/>
              </w:rPr>
            </w:pPr>
            <w:r>
              <w:rPr>
                <w:rFonts w:hint="eastAsia"/>
                <w:snapToGrid w:val="0"/>
                <w:color w:val="auto"/>
              </w:rPr>
              <w:t>2#水泥筒仓</w:t>
            </w:r>
          </w:p>
        </w:tc>
        <w:tc>
          <w:tcPr>
            <w:tcW w:w="1134" w:type="dxa"/>
            <w:vAlign w:val="center"/>
          </w:tcPr>
          <w:p>
            <w:pPr>
              <w:spacing w:line="240" w:lineRule="auto"/>
              <w:ind w:firstLine="0" w:firstLineChars="0"/>
              <w:jc w:val="center"/>
              <w:rPr>
                <w:snapToGrid w:val="0"/>
                <w:color w:val="auto"/>
              </w:rPr>
            </w:pPr>
            <w:r>
              <w:rPr>
                <w:rFonts w:hint="eastAsia"/>
                <w:snapToGrid w:val="0"/>
                <w:color w:val="auto"/>
              </w:rPr>
              <w:t>颗粒物</w:t>
            </w:r>
          </w:p>
        </w:tc>
        <w:tc>
          <w:tcPr>
            <w:tcW w:w="2356" w:type="dxa"/>
            <w:vAlign w:val="center"/>
          </w:tcPr>
          <w:p>
            <w:pPr>
              <w:spacing w:line="240" w:lineRule="auto"/>
              <w:ind w:firstLine="0" w:firstLineChars="0"/>
              <w:jc w:val="center"/>
              <w:rPr>
                <w:snapToGrid w:val="0"/>
                <w:color w:val="auto"/>
              </w:rPr>
            </w:pPr>
            <w:r>
              <w:rPr>
                <w:rFonts w:hint="eastAsia"/>
                <w:snapToGrid w:val="0"/>
                <w:color w:val="auto"/>
              </w:rPr>
              <w:t>脉动袋式除尘器+仓顶（21m）排放（有组织）</w:t>
            </w:r>
          </w:p>
        </w:tc>
        <w:tc>
          <w:tcPr>
            <w:tcW w:w="2193" w:type="dxa"/>
            <w:vMerge w:val="continue"/>
            <w:vAlign w:val="center"/>
          </w:tcPr>
          <w:p>
            <w:pPr>
              <w:spacing w:line="240" w:lineRule="auto"/>
              <w:ind w:firstLine="0" w:firstLineChars="0"/>
              <w:jc w:val="center"/>
              <w:rPr>
                <w:snapToGrid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1261" w:type="dxa"/>
            <w:vMerge w:val="continue"/>
            <w:vAlign w:val="center"/>
          </w:tcPr>
          <w:p>
            <w:pPr>
              <w:spacing w:line="240" w:lineRule="auto"/>
              <w:ind w:firstLine="0" w:firstLineChars="0"/>
              <w:jc w:val="center"/>
              <w:rPr>
                <w:snapToGrid w:val="0"/>
                <w:color w:val="auto"/>
              </w:rPr>
            </w:pPr>
          </w:p>
        </w:tc>
        <w:tc>
          <w:tcPr>
            <w:tcW w:w="1711" w:type="dxa"/>
            <w:vAlign w:val="center"/>
          </w:tcPr>
          <w:p>
            <w:pPr>
              <w:spacing w:line="240" w:lineRule="auto"/>
              <w:ind w:firstLine="0" w:firstLineChars="0"/>
              <w:jc w:val="center"/>
              <w:rPr>
                <w:snapToGrid w:val="0"/>
                <w:color w:val="auto"/>
              </w:rPr>
            </w:pPr>
            <w:r>
              <w:rPr>
                <w:rFonts w:hint="eastAsia"/>
                <w:snapToGrid w:val="0"/>
                <w:color w:val="auto"/>
              </w:rPr>
              <w:t>1#粉煤灰筒仓</w:t>
            </w:r>
          </w:p>
        </w:tc>
        <w:tc>
          <w:tcPr>
            <w:tcW w:w="1134" w:type="dxa"/>
            <w:vAlign w:val="center"/>
          </w:tcPr>
          <w:p>
            <w:pPr>
              <w:spacing w:line="240" w:lineRule="auto"/>
              <w:ind w:firstLine="0" w:firstLineChars="0"/>
              <w:jc w:val="center"/>
              <w:rPr>
                <w:snapToGrid w:val="0"/>
                <w:color w:val="auto"/>
              </w:rPr>
            </w:pPr>
            <w:r>
              <w:rPr>
                <w:rFonts w:hint="eastAsia"/>
                <w:snapToGrid w:val="0"/>
                <w:color w:val="auto"/>
              </w:rPr>
              <w:t>颗粒物</w:t>
            </w:r>
          </w:p>
        </w:tc>
        <w:tc>
          <w:tcPr>
            <w:tcW w:w="2356" w:type="dxa"/>
            <w:vAlign w:val="center"/>
          </w:tcPr>
          <w:p>
            <w:pPr>
              <w:spacing w:line="240" w:lineRule="auto"/>
              <w:ind w:firstLine="0" w:firstLineChars="0"/>
              <w:jc w:val="center"/>
              <w:rPr>
                <w:snapToGrid w:val="0"/>
                <w:color w:val="auto"/>
              </w:rPr>
            </w:pPr>
            <w:r>
              <w:rPr>
                <w:rFonts w:hint="eastAsia"/>
                <w:snapToGrid w:val="0"/>
                <w:color w:val="auto"/>
              </w:rPr>
              <w:t>脉动袋式除尘器+仓顶（21m）排放（有组织）</w:t>
            </w:r>
          </w:p>
        </w:tc>
        <w:tc>
          <w:tcPr>
            <w:tcW w:w="2193" w:type="dxa"/>
            <w:vMerge w:val="continue"/>
            <w:vAlign w:val="center"/>
          </w:tcPr>
          <w:p>
            <w:pPr>
              <w:spacing w:line="240" w:lineRule="auto"/>
              <w:ind w:firstLine="0" w:firstLineChars="0"/>
              <w:jc w:val="center"/>
              <w:rPr>
                <w:snapToGrid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1261" w:type="dxa"/>
            <w:vMerge w:val="continue"/>
            <w:vAlign w:val="center"/>
          </w:tcPr>
          <w:p>
            <w:pPr>
              <w:spacing w:line="240" w:lineRule="auto"/>
              <w:ind w:firstLine="0" w:firstLineChars="0"/>
              <w:jc w:val="center"/>
              <w:rPr>
                <w:snapToGrid w:val="0"/>
                <w:color w:val="auto"/>
              </w:rPr>
            </w:pPr>
          </w:p>
        </w:tc>
        <w:tc>
          <w:tcPr>
            <w:tcW w:w="1711" w:type="dxa"/>
            <w:vAlign w:val="center"/>
          </w:tcPr>
          <w:p>
            <w:pPr>
              <w:spacing w:line="240" w:lineRule="auto"/>
              <w:ind w:firstLine="0" w:firstLineChars="0"/>
              <w:jc w:val="center"/>
              <w:rPr>
                <w:snapToGrid w:val="0"/>
                <w:color w:val="auto"/>
              </w:rPr>
            </w:pPr>
            <w:r>
              <w:rPr>
                <w:rFonts w:hint="eastAsia"/>
                <w:snapToGrid w:val="0"/>
                <w:color w:val="auto"/>
              </w:rPr>
              <w:t>2#粉煤灰筒仓</w:t>
            </w:r>
          </w:p>
        </w:tc>
        <w:tc>
          <w:tcPr>
            <w:tcW w:w="1134" w:type="dxa"/>
            <w:vAlign w:val="center"/>
          </w:tcPr>
          <w:p>
            <w:pPr>
              <w:spacing w:line="240" w:lineRule="auto"/>
              <w:ind w:firstLine="0" w:firstLineChars="0"/>
              <w:jc w:val="center"/>
              <w:rPr>
                <w:snapToGrid w:val="0"/>
                <w:color w:val="auto"/>
              </w:rPr>
            </w:pPr>
            <w:r>
              <w:rPr>
                <w:rFonts w:hint="eastAsia"/>
                <w:snapToGrid w:val="0"/>
                <w:color w:val="auto"/>
              </w:rPr>
              <w:t>颗粒物</w:t>
            </w:r>
          </w:p>
        </w:tc>
        <w:tc>
          <w:tcPr>
            <w:tcW w:w="2356" w:type="dxa"/>
            <w:vAlign w:val="center"/>
          </w:tcPr>
          <w:p>
            <w:pPr>
              <w:spacing w:line="240" w:lineRule="auto"/>
              <w:ind w:firstLine="0" w:firstLineChars="0"/>
              <w:jc w:val="center"/>
              <w:rPr>
                <w:snapToGrid w:val="0"/>
                <w:color w:val="auto"/>
              </w:rPr>
            </w:pPr>
            <w:r>
              <w:rPr>
                <w:rFonts w:hint="eastAsia"/>
                <w:snapToGrid w:val="0"/>
                <w:color w:val="auto"/>
              </w:rPr>
              <w:t>脉动袋式除尘器+仓顶（21m）排放（有组织）</w:t>
            </w:r>
          </w:p>
        </w:tc>
        <w:tc>
          <w:tcPr>
            <w:tcW w:w="2193" w:type="dxa"/>
            <w:vMerge w:val="continue"/>
            <w:vAlign w:val="center"/>
          </w:tcPr>
          <w:p>
            <w:pPr>
              <w:spacing w:line="240" w:lineRule="auto"/>
              <w:ind w:firstLine="0" w:firstLineChars="0"/>
              <w:jc w:val="center"/>
              <w:rPr>
                <w:snapToGrid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1261" w:type="dxa"/>
            <w:vMerge w:val="continue"/>
            <w:vAlign w:val="center"/>
          </w:tcPr>
          <w:p>
            <w:pPr>
              <w:spacing w:line="240" w:lineRule="auto"/>
              <w:ind w:firstLine="0" w:firstLineChars="0"/>
              <w:jc w:val="center"/>
              <w:rPr>
                <w:snapToGrid w:val="0"/>
                <w:color w:val="auto"/>
              </w:rPr>
            </w:pPr>
          </w:p>
        </w:tc>
        <w:tc>
          <w:tcPr>
            <w:tcW w:w="1711" w:type="dxa"/>
            <w:vAlign w:val="center"/>
          </w:tcPr>
          <w:p>
            <w:pPr>
              <w:spacing w:line="240" w:lineRule="auto"/>
              <w:ind w:firstLine="0" w:firstLineChars="0"/>
              <w:jc w:val="center"/>
              <w:rPr>
                <w:snapToGrid w:val="0"/>
                <w:color w:val="auto"/>
              </w:rPr>
            </w:pPr>
            <w:r>
              <w:rPr>
                <w:rFonts w:hint="eastAsia"/>
                <w:snapToGrid w:val="0"/>
                <w:color w:val="auto"/>
              </w:rPr>
              <w:t>搅拌机</w:t>
            </w:r>
          </w:p>
        </w:tc>
        <w:tc>
          <w:tcPr>
            <w:tcW w:w="1134" w:type="dxa"/>
            <w:vAlign w:val="center"/>
          </w:tcPr>
          <w:p>
            <w:pPr>
              <w:spacing w:line="240" w:lineRule="auto"/>
              <w:ind w:firstLine="0" w:firstLineChars="0"/>
              <w:jc w:val="center"/>
              <w:rPr>
                <w:snapToGrid w:val="0"/>
                <w:color w:val="auto"/>
              </w:rPr>
            </w:pPr>
            <w:r>
              <w:rPr>
                <w:rFonts w:hint="eastAsia"/>
                <w:snapToGrid w:val="0"/>
                <w:color w:val="auto"/>
              </w:rPr>
              <w:t>颗粒物</w:t>
            </w:r>
          </w:p>
        </w:tc>
        <w:tc>
          <w:tcPr>
            <w:tcW w:w="2356" w:type="dxa"/>
            <w:vAlign w:val="center"/>
          </w:tcPr>
          <w:p>
            <w:pPr>
              <w:spacing w:line="240" w:lineRule="auto"/>
              <w:ind w:firstLine="0" w:firstLineChars="0"/>
              <w:jc w:val="center"/>
              <w:rPr>
                <w:snapToGrid w:val="0"/>
                <w:color w:val="auto"/>
              </w:rPr>
            </w:pPr>
            <w:r>
              <w:rPr>
                <w:rFonts w:hint="eastAsia"/>
                <w:snapToGrid w:val="0"/>
                <w:color w:val="auto"/>
              </w:rPr>
              <w:t>脉动袋式除尘器二级除尘+仓顶（11m）排放（有组织）</w:t>
            </w:r>
          </w:p>
        </w:tc>
        <w:tc>
          <w:tcPr>
            <w:tcW w:w="2193" w:type="dxa"/>
            <w:vMerge w:val="continue"/>
            <w:vAlign w:val="center"/>
          </w:tcPr>
          <w:p>
            <w:pPr>
              <w:spacing w:line="240" w:lineRule="auto"/>
              <w:ind w:firstLine="0" w:firstLineChars="0"/>
              <w:jc w:val="center"/>
              <w:rPr>
                <w:snapToGrid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1261" w:type="dxa"/>
            <w:vMerge w:val="restart"/>
            <w:vAlign w:val="center"/>
          </w:tcPr>
          <w:p>
            <w:pPr>
              <w:spacing w:line="240" w:lineRule="auto"/>
              <w:ind w:firstLine="0" w:firstLineChars="0"/>
              <w:jc w:val="center"/>
              <w:rPr>
                <w:snapToGrid w:val="0"/>
                <w:color w:val="auto"/>
              </w:rPr>
            </w:pPr>
            <w:r>
              <w:rPr>
                <w:rFonts w:hint="eastAsia"/>
                <w:snapToGrid w:val="0"/>
                <w:color w:val="auto"/>
              </w:rPr>
              <w:t>地表水环境</w:t>
            </w:r>
          </w:p>
        </w:tc>
        <w:tc>
          <w:tcPr>
            <w:tcW w:w="1711" w:type="dxa"/>
            <w:vAlign w:val="center"/>
          </w:tcPr>
          <w:p>
            <w:pPr>
              <w:spacing w:line="240" w:lineRule="auto"/>
              <w:ind w:firstLine="0" w:firstLineChars="0"/>
              <w:jc w:val="center"/>
              <w:rPr>
                <w:snapToGrid w:val="0"/>
                <w:color w:val="auto"/>
              </w:rPr>
            </w:pPr>
            <w:r>
              <w:rPr>
                <w:rFonts w:hint="eastAsia"/>
                <w:snapToGrid w:val="0"/>
                <w:color w:val="auto"/>
              </w:rPr>
              <w:t>设备清洗废水</w:t>
            </w:r>
          </w:p>
        </w:tc>
        <w:tc>
          <w:tcPr>
            <w:tcW w:w="1134" w:type="dxa"/>
            <w:vMerge w:val="restart"/>
            <w:vAlign w:val="center"/>
          </w:tcPr>
          <w:p>
            <w:pPr>
              <w:spacing w:line="240" w:lineRule="auto"/>
              <w:ind w:firstLine="0" w:firstLineChars="0"/>
              <w:jc w:val="center"/>
              <w:rPr>
                <w:snapToGrid w:val="0"/>
                <w:color w:val="auto"/>
              </w:rPr>
            </w:pPr>
            <w:r>
              <w:rPr>
                <w:rFonts w:hint="eastAsia"/>
                <w:snapToGrid w:val="0"/>
                <w:color w:val="auto"/>
              </w:rPr>
              <w:t>SS</w:t>
            </w:r>
          </w:p>
        </w:tc>
        <w:tc>
          <w:tcPr>
            <w:tcW w:w="2356" w:type="dxa"/>
            <w:vMerge w:val="restart"/>
            <w:vAlign w:val="center"/>
          </w:tcPr>
          <w:p>
            <w:pPr>
              <w:spacing w:line="240" w:lineRule="auto"/>
              <w:ind w:firstLine="0" w:firstLineChars="0"/>
              <w:jc w:val="center"/>
              <w:rPr>
                <w:snapToGrid w:val="0"/>
                <w:color w:val="auto"/>
              </w:rPr>
            </w:pPr>
            <w:r>
              <w:rPr>
                <w:rFonts w:hint="eastAsia"/>
                <w:snapToGrid w:val="0"/>
                <w:color w:val="auto"/>
              </w:rPr>
              <w:t>直接排放至项目沉淀池，澄清液全部回用于生产。</w:t>
            </w:r>
          </w:p>
        </w:tc>
        <w:tc>
          <w:tcPr>
            <w:tcW w:w="2193" w:type="dxa"/>
            <w:vMerge w:val="restart"/>
            <w:vAlign w:val="center"/>
          </w:tcPr>
          <w:p>
            <w:pPr>
              <w:spacing w:line="240" w:lineRule="auto"/>
              <w:ind w:firstLine="0" w:firstLineChars="0"/>
              <w:jc w:val="center"/>
              <w:rPr>
                <w:snapToGrid w:val="0"/>
                <w:color w:val="auto"/>
              </w:rPr>
            </w:pPr>
            <w:r>
              <w:rPr>
                <w:rFonts w:hint="eastAsia"/>
                <w:snapToGrid w:val="0"/>
                <w:color w:val="auto"/>
              </w:rPr>
              <w:t>无外排废水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jc w:val="center"/>
        </w:trPr>
        <w:tc>
          <w:tcPr>
            <w:tcW w:w="1261" w:type="dxa"/>
            <w:vMerge w:val="continue"/>
            <w:vAlign w:val="center"/>
          </w:tcPr>
          <w:p>
            <w:pPr>
              <w:spacing w:line="240" w:lineRule="auto"/>
              <w:ind w:firstLine="0" w:firstLineChars="0"/>
              <w:jc w:val="center"/>
              <w:rPr>
                <w:snapToGrid w:val="0"/>
                <w:color w:val="auto"/>
              </w:rPr>
            </w:pPr>
          </w:p>
        </w:tc>
        <w:tc>
          <w:tcPr>
            <w:tcW w:w="1711" w:type="dxa"/>
            <w:vAlign w:val="center"/>
          </w:tcPr>
          <w:p>
            <w:pPr>
              <w:spacing w:line="240" w:lineRule="auto"/>
              <w:ind w:firstLine="0" w:firstLineChars="0"/>
              <w:jc w:val="center"/>
              <w:rPr>
                <w:snapToGrid w:val="0"/>
                <w:color w:val="auto"/>
              </w:rPr>
            </w:pPr>
            <w:r>
              <w:rPr>
                <w:rFonts w:hint="eastAsia"/>
                <w:snapToGrid w:val="0"/>
                <w:color w:val="auto"/>
              </w:rPr>
              <w:t>冲洗地面废水</w:t>
            </w:r>
          </w:p>
        </w:tc>
        <w:tc>
          <w:tcPr>
            <w:tcW w:w="1134" w:type="dxa"/>
            <w:vMerge w:val="continue"/>
            <w:vAlign w:val="center"/>
          </w:tcPr>
          <w:p>
            <w:pPr>
              <w:spacing w:line="240" w:lineRule="auto"/>
              <w:ind w:firstLine="0" w:firstLineChars="0"/>
              <w:jc w:val="center"/>
              <w:rPr>
                <w:snapToGrid w:val="0"/>
                <w:color w:val="auto"/>
              </w:rPr>
            </w:pPr>
          </w:p>
        </w:tc>
        <w:tc>
          <w:tcPr>
            <w:tcW w:w="2356" w:type="dxa"/>
            <w:vMerge w:val="continue"/>
            <w:vAlign w:val="center"/>
          </w:tcPr>
          <w:p>
            <w:pPr>
              <w:spacing w:line="240" w:lineRule="auto"/>
              <w:ind w:firstLine="0" w:firstLineChars="0"/>
              <w:jc w:val="center"/>
              <w:rPr>
                <w:snapToGrid w:val="0"/>
                <w:color w:val="auto"/>
              </w:rPr>
            </w:pPr>
          </w:p>
        </w:tc>
        <w:tc>
          <w:tcPr>
            <w:tcW w:w="2193" w:type="dxa"/>
            <w:vMerge w:val="continue"/>
            <w:vAlign w:val="center"/>
          </w:tcPr>
          <w:p>
            <w:pPr>
              <w:spacing w:line="240" w:lineRule="auto"/>
              <w:ind w:firstLine="0" w:firstLineChars="0"/>
              <w:jc w:val="center"/>
              <w:rPr>
                <w:snapToGrid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jc w:val="center"/>
        </w:trPr>
        <w:tc>
          <w:tcPr>
            <w:tcW w:w="1261" w:type="dxa"/>
            <w:vMerge w:val="continue"/>
            <w:vAlign w:val="center"/>
          </w:tcPr>
          <w:p>
            <w:pPr>
              <w:spacing w:line="240" w:lineRule="auto"/>
              <w:ind w:firstLine="0" w:firstLineChars="0"/>
              <w:jc w:val="center"/>
              <w:rPr>
                <w:snapToGrid w:val="0"/>
                <w:color w:val="auto"/>
              </w:rPr>
            </w:pPr>
          </w:p>
        </w:tc>
        <w:tc>
          <w:tcPr>
            <w:tcW w:w="1711" w:type="dxa"/>
            <w:vAlign w:val="center"/>
          </w:tcPr>
          <w:p>
            <w:pPr>
              <w:spacing w:line="240" w:lineRule="auto"/>
              <w:ind w:firstLine="0" w:firstLineChars="0"/>
              <w:jc w:val="center"/>
              <w:rPr>
                <w:snapToGrid w:val="0"/>
                <w:color w:val="auto"/>
              </w:rPr>
            </w:pPr>
            <w:r>
              <w:rPr>
                <w:rFonts w:hint="eastAsia"/>
                <w:snapToGrid w:val="0"/>
                <w:color w:val="auto"/>
              </w:rPr>
              <w:t>生活污水</w:t>
            </w:r>
          </w:p>
        </w:tc>
        <w:tc>
          <w:tcPr>
            <w:tcW w:w="1134" w:type="dxa"/>
            <w:vAlign w:val="center"/>
          </w:tcPr>
          <w:p>
            <w:pPr>
              <w:spacing w:line="240" w:lineRule="auto"/>
              <w:ind w:firstLine="0" w:firstLineChars="0"/>
              <w:jc w:val="center"/>
              <w:rPr>
                <w:snapToGrid w:val="0"/>
                <w:color w:val="auto"/>
              </w:rPr>
            </w:pPr>
            <w:r>
              <w:rPr>
                <w:snapToGrid w:val="0"/>
                <w:color w:val="auto"/>
              </w:rPr>
              <w:t>pH</w:t>
            </w:r>
            <w:r>
              <w:rPr>
                <w:rFonts w:hint="eastAsia"/>
                <w:snapToGrid w:val="0"/>
                <w:color w:val="auto"/>
              </w:rPr>
              <w:t>、</w:t>
            </w:r>
            <w:r>
              <w:rPr>
                <w:snapToGrid w:val="0"/>
                <w:color w:val="auto"/>
              </w:rPr>
              <w:t>COD</w:t>
            </w:r>
            <w:r>
              <w:rPr>
                <w:snapToGrid w:val="0"/>
                <w:color w:val="auto"/>
                <w:vertAlign w:val="subscript"/>
              </w:rPr>
              <w:t>cr</w:t>
            </w:r>
            <w:r>
              <w:rPr>
                <w:rFonts w:hint="eastAsia"/>
                <w:snapToGrid w:val="0"/>
                <w:color w:val="auto"/>
              </w:rPr>
              <w:t>、</w:t>
            </w:r>
            <w:r>
              <w:rPr>
                <w:snapToGrid w:val="0"/>
                <w:color w:val="auto"/>
              </w:rPr>
              <w:t>BOD</w:t>
            </w:r>
            <w:r>
              <w:rPr>
                <w:snapToGrid w:val="0"/>
                <w:color w:val="auto"/>
                <w:vertAlign w:val="subscript"/>
              </w:rPr>
              <w:t>5</w:t>
            </w:r>
            <w:r>
              <w:rPr>
                <w:rFonts w:hint="eastAsia"/>
                <w:snapToGrid w:val="0"/>
                <w:color w:val="auto"/>
              </w:rPr>
              <w:t>、氨氮及</w:t>
            </w:r>
            <w:r>
              <w:rPr>
                <w:snapToGrid w:val="0"/>
                <w:color w:val="auto"/>
              </w:rPr>
              <w:t>SS</w:t>
            </w:r>
            <w:r>
              <w:rPr>
                <w:rFonts w:hint="eastAsia"/>
                <w:snapToGrid w:val="0"/>
                <w:color w:val="auto"/>
              </w:rPr>
              <w:t>等</w:t>
            </w:r>
          </w:p>
        </w:tc>
        <w:tc>
          <w:tcPr>
            <w:tcW w:w="2356" w:type="dxa"/>
            <w:vAlign w:val="center"/>
          </w:tcPr>
          <w:p>
            <w:pPr>
              <w:spacing w:line="240" w:lineRule="auto"/>
              <w:ind w:firstLine="0" w:firstLineChars="0"/>
              <w:jc w:val="center"/>
              <w:rPr>
                <w:snapToGrid w:val="0"/>
                <w:color w:val="auto"/>
              </w:rPr>
            </w:pPr>
            <w:r>
              <w:rPr>
                <w:rFonts w:hint="eastAsia"/>
                <w:snapToGrid w:val="0"/>
                <w:color w:val="auto"/>
              </w:rPr>
              <w:t>经化粪池处理后，定期拉运至内蒙古皓淇环境卫生管理有限公司污水处理厂。</w:t>
            </w:r>
          </w:p>
        </w:tc>
        <w:tc>
          <w:tcPr>
            <w:tcW w:w="2193" w:type="dxa"/>
            <w:vAlign w:val="center"/>
          </w:tcPr>
          <w:p>
            <w:pPr>
              <w:spacing w:line="240" w:lineRule="auto"/>
              <w:ind w:firstLine="0" w:firstLineChars="0"/>
              <w:jc w:val="center"/>
              <w:rPr>
                <w:snapToGrid w:val="0"/>
                <w:color w:val="auto"/>
              </w:rPr>
            </w:pPr>
            <w:r>
              <w:rPr>
                <w:rFonts w:hint="eastAsia"/>
                <w:snapToGrid w:val="0"/>
                <w:color w:val="auto"/>
              </w:rPr>
              <w:t>《污水综合排放标准》（GB8978-1996）中的三级标准限值要求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8" w:hRule="atLeast"/>
          <w:jc w:val="center"/>
        </w:trPr>
        <w:tc>
          <w:tcPr>
            <w:tcW w:w="1261" w:type="dxa"/>
            <w:vAlign w:val="center"/>
          </w:tcPr>
          <w:p>
            <w:pPr>
              <w:spacing w:line="240" w:lineRule="auto"/>
              <w:ind w:firstLine="0" w:firstLineChars="0"/>
              <w:jc w:val="center"/>
              <w:rPr>
                <w:snapToGrid w:val="0"/>
                <w:color w:val="auto"/>
              </w:rPr>
            </w:pPr>
            <w:r>
              <w:rPr>
                <w:snapToGrid w:val="0"/>
                <w:color w:val="auto"/>
              </w:rPr>
              <w:t>声环境</w:t>
            </w:r>
          </w:p>
        </w:tc>
        <w:tc>
          <w:tcPr>
            <w:tcW w:w="1711" w:type="dxa"/>
            <w:vAlign w:val="center"/>
          </w:tcPr>
          <w:p>
            <w:pPr>
              <w:spacing w:line="240" w:lineRule="auto"/>
              <w:ind w:firstLine="0" w:firstLineChars="0"/>
              <w:jc w:val="center"/>
              <w:rPr>
                <w:snapToGrid w:val="0"/>
                <w:color w:val="auto"/>
              </w:rPr>
            </w:pPr>
            <w:r>
              <w:rPr>
                <w:rFonts w:hint="eastAsia"/>
                <w:snapToGrid w:val="0"/>
                <w:color w:val="auto"/>
              </w:rPr>
              <w:t>生产设备</w:t>
            </w:r>
          </w:p>
        </w:tc>
        <w:tc>
          <w:tcPr>
            <w:tcW w:w="1134" w:type="dxa"/>
            <w:vAlign w:val="center"/>
          </w:tcPr>
          <w:p>
            <w:pPr>
              <w:spacing w:line="240" w:lineRule="auto"/>
              <w:ind w:firstLine="0" w:firstLineChars="0"/>
              <w:jc w:val="center"/>
              <w:rPr>
                <w:snapToGrid w:val="0"/>
                <w:color w:val="auto"/>
              </w:rPr>
            </w:pPr>
            <w:r>
              <w:rPr>
                <w:rFonts w:hint="eastAsia"/>
                <w:snapToGrid w:val="0"/>
                <w:color w:val="auto"/>
              </w:rPr>
              <w:t>设备噪声（</w:t>
            </w:r>
            <w:r>
              <w:rPr>
                <w:snapToGrid w:val="0"/>
                <w:color w:val="auto"/>
              </w:rPr>
              <w:t>等效A声级</w:t>
            </w:r>
            <w:r>
              <w:rPr>
                <w:rFonts w:hint="eastAsia"/>
                <w:snapToGrid w:val="0"/>
                <w:color w:val="auto"/>
              </w:rPr>
              <w:t>）</w:t>
            </w:r>
          </w:p>
        </w:tc>
        <w:tc>
          <w:tcPr>
            <w:tcW w:w="2356" w:type="dxa"/>
            <w:vAlign w:val="center"/>
          </w:tcPr>
          <w:p>
            <w:pPr>
              <w:spacing w:line="240" w:lineRule="auto"/>
              <w:ind w:firstLine="0" w:firstLineChars="0"/>
              <w:jc w:val="center"/>
              <w:rPr>
                <w:snapToGrid w:val="0"/>
                <w:color w:val="auto"/>
              </w:rPr>
            </w:pPr>
            <w:r>
              <w:rPr>
                <w:rFonts w:hint="eastAsia"/>
                <w:snapToGrid w:val="0"/>
                <w:color w:val="auto"/>
              </w:rPr>
              <w:t>隔声、消声、减震</w:t>
            </w:r>
          </w:p>
        </w:tc>
        <w:tc>
          <w:tcPr>
            <w:tcW w:w="2193" w:type="dxa"/>
            <w:vAlign w:val="center"/>
          </w:tcPr>
          <w:p>
            <w:pPr>
              <w:spacing w:line="240" w:lineRule="auto"/>
              <w:ind w:firstLine="0" w:firstLineChars="0"/>
              <w:jc w:val="center"/>
              <w:rPr>
                <w:snapToGrid w:val="0"/>
                <w:color w:val="auto"/>
              </w:rPr>
            </w:pPr>
            <w:r>
              <w:rPr>
                <w:snapToGrid w:val="0"/>
                <w:color w:val="auto"/>
              </w:rPr>
              <w:t>《工业企业厂界环境噪声排放标准》（GB12348-2008）</w:t>
            </w:r>
            <w:r>
              <w:rPr>
                <w:rFonts w:hint="eastAsia"/>
                <w:snapToGrid w:val="0"/>
                <w:color w:val="auto"/>
              </w:rPr>
              <w:t>1</w:t>
            </w:r>
            <w:r>
              <w:rPr>
                <w:snapToGrid w:val="0"/>
                <w:color w:val="auto"/>
              </w:rPr>
              <w:t>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261" w:type="dxa"/>
            <w:vAlign w:val="center"/>
          </w:tcPr>
          <w:p>
            <w:pPr>
              <w:spacing w:line="240" w:lineRule="auto"/>
              <w:ind w:firstLine="0" w:firstLineChars="0"/>
              <w:jc w:val="center"/>
              <w:rPr>
                <w:snapToGrid w:val="0"/>
                <w:color w:val="auto"/>
              </w:rPr>
            </w:pPr>
            <w:r>
              <w:rPr>
                <w:snapToGrid w:val="0"/>
                <w:color w:val="auto"/>
              </w:rPr>
              <w:t>电磁辐射</w:t>
            </w:r>
          </w:p>
        </w:tc>
        <w:tc>
          <w:tcPr>
            <w:tcW w:w="1711" w:type="dxa"/>
            <w:vAlign w:val="center"/>
          </w:tcPr>
          <w:p>
            <w:pPr>
              <w:spacing w:line="240" w:lineRule="auto"/>
              <w:ind w:firstLine="0" w:firstLineChars="0"/>
              <w:jc w:val="center"/>
              <w:rPr>
                <w:snapToGrid w:val="0"/>
                <w:color w:val="auto"/>
              </w:rPr>
            </w:pPr>
            <w:r>
              <w:rPr>
                <w:snapToGrid w:val="0"/>
                <w:color w:val="auto"/>
              </w:rPr>
              <w:t>/</w:t>
            </w:r>
          </w:p>
        </w:tc>
        <w:tc>
          <w:tcPr>
            <w:tcW w:w="1134" w:type="dxa"/>
            <w:vAlign w:val="center"/>
          </w:tcPr>
          <w:p>
            <w:pPr>
              <w:spacing w:line="240" w:lineRule="auto"/>
              <w:ind w:firstLine="0" w:firstLineChars="0"/>
              <w:jc w:val="center"/>
              <w:rPr>
                <w:snapToGrid w:val="0"/>
                <w:color w:val="auto"/>
              </w:rPr>
            </w:pPr>
            <w:r>
              <w:rPr>
                <w:snapToGrid w:val="0"/>
                <w:color w:val="auto"/>
              </w:rPr>
              <w:t>/</w:t>
            </w:r>
          </w:p>
        </w:tc>
        <w:tc>
          <w:tcPr>
            <w:tcW w:w="2356" w:type="dxa"/>
            <w:vAlign w:val="center"/>
          </w:tcPr>
          <w:p>
            <w:pPr>
              <w:spacing w:line="240" w:lineRule="auto"/>
              <w:ind w:firstLine="0" w:firstLineChars="0"/>
              <w:jc w:val="center"/>
              <w:rPr>
                <w:snapToGrid w:val="0"/>
                <w:color w:val="auto"/>
              </w:rPr>
            </w:pPr>
            <w:r>
              <w:rPr>
                <w:snapToGrid w:val="0"/>
                <w:color w:val="auto"/>
              </w:rPr>
              <w:t>/</w:t>
            </w:r>
          </w:p>
        </w:tc>
        <w:tc>
          <w:tcPr>
            <w:tcW w:w="2193" w:type="dxa"/>
            <w:vAlign w:val="center"/>
          </w:tcPr>
          <w:p>
            <w:pPr>
              <w:spacing w:line="240" w:lineRule="auto"/>
              <w:ind w:firstLine="0" w:firstLineChars="0"/>
              <w:jc w:val="center"/>
              <w:rPr>
                <w:snapToGrid w:val="0"/>
                <w:color w:val="auto"/>
              </w:rPr>
            </w:pPr>
            <w:r>
              <w:rPr>
                <w:snapToGrid w:val="0"/>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61" w:type="dxa"/>
            <w:vAlign w:val="center"/>
          </w:tcPr>
          <w:p>
            <w:pPr>
              <w:spacing w:line="240" w:lineRule="auto"/>
              <w:ind w:firstLine="0" w:firstLineChars="0"/>
              <w:jc w:val="center"/>
              <w:rPr>
                <w:snapToGrid w:val="0"/>
                <w:color w:val="auto"/>
              </w:rPr>
            </w:pPr>
            <w:r>
              <w:rPr>
                <w:snapToGrid w:val="0"/>
                <w:color w:val="auto"/>
              </w:rPr>
              <w:t>固体废物</w:t>
            </w:r>
          </w:p>
        </w:tc>
        <w:tc>
          <w:tcPr>
            <w:tcW w:w="7394" w:type="dxa"/>
            <w:gridSpan w:val="4"/>
            <w:vAlign w:val="center"/>
          </w:tcPr>
          <w:p>
            <w:pPr>
              <w:spacing w:line="240" w:lineRule="auto"/>
              <w:ind w:left="0" w:leftChars="0" w:firstLine="0" w:firstLineChars="0"/>
              <w:jc w:val="left"/>
              <w:rPr>
                <w:snapToGrid w:val="0"/>
                <w:color w:val="auto"/>
              </w:rPr>
            </w:pPr>
            <w:r>
              <w:rPr>
                <w:rFonts w:hint="eastAsia"/>
                <w:snapToGrid w:val="0"/>
                <w:color w:val="auto"/>
              </w:rPr>
              <w:t>生产废料、沉渣作为道路建设的路面铺垫料或者地面平整的填料综合利用</w:t>
            </w:r>
            <w:r>
              <w:rPr>
                <w:rFonts w:hint="eastAsia"/>
                <w:snapToGrid w:val="0"/>
                <w:color w:val="auto"/>
                <w:lang w:eastAsia="zh-CN"/>
              </w:rPr>
              <w:t>；</w:t>
            </w:r>
            <w:r>
              <w:rPr>
                <w:rFonts w:hint="eastAsia"/>
                <w:snapToGrid w:val="0"/>
                <w:color w:val="auto"/>
              </w:rPr>
              <w:t>除尘器收集后会产生粉尘，经过处理后可作为原料回用到生产中</w:t>
            </w:r>
            <w:r>
              <w:rPr>
                <w:rFonts w:hint="eastAsia"/>
                <w:snapToGrid w:val="0"/>
                <w:color w:val="auto"/>
                <w:lang w:eastAsia="zh-CN"/>
              </w:rPr>
              <w:t>；</w:t>
            </w:r>
            <w:r>
              <w:rPr>
                <w:rFonts w:hint="eastAsia"/>
                <w:snapToGrid w:val="0"/>
                <w:color w:val="auto"/>
              </w:rPr>
              <w:t>员工生活垃圾采用垃圾箱集中收集后定期由环卫工人统一清运。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8" w:hRule="atLeast"/>
          <w:jc w:val="center"/>
        </w:trPr>
        <w:tc>
          <w:tcPr>
            <w:tcW w:w="1261" w:type="dxa"/>
            <w:vAlign w:val="center"/>
          </w:tcPr>
          <w:p>
            <w:pPr>
              <w:spacing w:line="240" w:lineRule="auto"/>
              <w:ind w:firstLine="0" w:firstLineChars="0"/>
              <w:jc w:val="center"/>
              <w:rPr>
                <w:snapToGrid w:val="0"/>
                <w:color w:val="auto"/>
              </w:rPr>
            </w:pPr>
            <w:r>
              <w:rPr>
                <w:snapToGrid w:val="0"/>
                <w:color w:val="auto"/>
              </w:rPr>
              <w:t>土壤及地下水污染防治措施</w:t>
            </w:r>
          </w:p>
        </w:tc>
        <w:tc>
          <w:tcPr>
            <w:tcW w:w="7394" w:type="dxa"/>
            <w:gridSpan w:val="4"/>
            <w:vAlign w:val="center"/>
          </w:tcPr>
          <w:p>
            <w:pPr>
              <w:ind w:left="0" w:leftChars="0" w:firstLine="0" w:firstLineChars="0"/>
              <w:rPr>
                <w:snapToGrid w:val="0"/>
                <w:color w:val="auto"/>
              </w:rPr>
            </w:pPr>
            <w:r>
              <w:rPr>
                <w:rFonts w:hint="eastAsia"/>
                <w:snapToGrid w:val="0"/>
                <w:color w:val="auto"/>
              </w:rPr>
              <w:t>沉淀池、化粪池及外加剂罐区地面进行防渗处理，防渗采取水泥结晶型防渗材料防渗，渗透系数小于10</w:t>
            </w:r>
            <w:r>
              <w:rPr>
                <w:rFonts w:hint="eastAsia"/>
                <w:snapToGrid w:val="0"/>
                <w:color w:val="auto"/>
                <w:vertAlign w:val="superscript"/>
              </w:rPr>
              <w:t>-7</w:t>
            </w:r>
            <w:r>
              <w:rPr>
                <w:rFonts w:hint="eastAsia"/>
                <w:snapToGrid w:val="0"/>
                <w:color w:val="auto"/>
              </w:rPr>
              <w:t>cm/s；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1261" w:type="dxa"/>
            <w:vAlign w:val="center"/>
          </w:tcPr>
          <w:p>
            <w:pPr>
              <w:spacing w:line="240" w:lineRule="auto"/>
              <w:ind w:firstLine="0" w:firstLineChars="0"/>
              <w:jc w:val="center"/>
              <w:rPr>
                <w:snapToGrid w:val="0"/>
                <w:color w:val="auto"/>
              </w:rPr>
            </w:pPr>
            <w:r>
              <w:rPr>
                <w:snapToGrid w:val="0"/>
                <w:color w:val="auto"/>
              </w:rPr>
              <w:t>生态保护措施</w:t>
            </w:r>
          </w:p>
        </w:tc>
        <w:tc>
          <w:tcPr>
            <w:tcW w:w="7394" w:type="dxa"/>
            <w:gridSpan w:val="4"/>
            <w:vAlign w:val="center"/>
          </w:tcPr>
          <w:p>
            <w:pPr>
              <w:ind w:left="0" w:leftChars="0" w:firstLine="0" w:firstLineChars="0"/>
              <w:rPr>
                <w:snapToGrid w:val="0"/>
                <w:color w:val="auto"/>
              </w:rPr>
            </w:pPr>
            <w:r>
              <w:rPr>
                <w:rFonts w:hint="eastAsia"/>
                <w:snapToGrid w:val="0"/>
                <w:color w:val="auto"/>
              </w:rPr>
              <w:t>本项目用地范围内</w:t>
            </w:r>
            <w:r>
              <w:rPr>
                <w:rFonts w:hint="eastAsia"/>
                <w:snapToGrid w:val="0"/>
                <w:color w:val="auto"/>
                <w:lang w:eastAsia="zh-CN"/>
              </w:rPr>
              <w:t>无</w:t>
            </w:r>
            <w:r>
              <w:rPr>
                <w:rFonts w:hint="eastAsia"/>
                <w:snapToGrid w:val="0"/>
                <w:color w:val="auto"/>
              </w:rPr>
              <w:t>生态环境保护目标，运营期对生态环境影响很小。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1261" w:type="dxa"/>
            <w:vAlign w:val="center"/>
          </w:tcPr>
          <w:p>
            <w:pPr>
              <w:spacing w:line="240" w:lineRule="auto"/>
              <w:ind w:firstLine="0" w:firstLineChars="0"/>
              <w:jc w:val="center"/>
              <w:rPr>
                <w:snapToGrid w:val="0"/>
                <w:color w:val="auto"/>
              </w:rPr>
            </w:pPr>
            <w:r>
              <w:rPr>
                <w:rFonts w:hint="eastAsia"/>
                <w:snapToGrid w:val="0"/>
                <w:color w:val="auto"/>
              </w:rPr>
              <w:t>环境风险防范措施</w:t>
            </w:r>
          </w:p>
        </w:tc>
        <w:tc>
          <w:tcPr>
            <w:tcW w:w="7394" w:type="dxa"/>
            <w:gridSpan w:val="4"/>
            <w:vAlign w:val="center"/>
          </w:tcPr>
          <w:p>
            <w:pPr>
              <w:ind w:firstLine="0" w:firstLineChars="0"/>
              <w:jc w:val="center"/>
              <w:rPr>
                <w:snapToGrid w:val="0"/>
                <w:color w:val="auto"/>
              </w:rPr>
            </w:pPr>
            <w:r>
              <w:rPr>
                <w:rFonts w:hint="eastAsia"/>
                <w:snapToGrid w:val="0"/>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1261" w:type="dxa"/>
            <w:vAlign w:val="center"/>
          </w:tcPr>
          <w:p>
            <w:pPr>
              <w:spacing w:line="240" w:lineRule="auto"/>
              <w:ind w:firstLine="0" w:firstLineChars="0"/>
              <w:jc w:val="center"/>
              <w:rPr>
                <w:snapToGrid w:val="0"/>
                <w:color w:val="auto"/>
              </w:rPr>
            </w:pPr>
            <w:r>
              <w:rPr>
                <w:rFonts w:hint="eastAsia"/>
                <w:snapToGrid w:val="0"/>
                <w:color w:val="auto"/>
              </w:rPr>
              <w:t>其他环境管理要求</w:t>
            </w:r>
          </w:p>
        </w:tc>
        <w:tc>
          <w:tcPr>
            <w:tcW w:w="7394" w:type="dxa"/>
            <w:gridSpan w:val="4"/>
            <w:vAlign w:val="center"/>
          </w:tcPr>
          <w:p>
            <w:pPr>
              <w:ind w:firstLine="480"/>
              <w:rPr>
                <w:color w:val="auto"/>
              </w:rPr>
            </w:pPr>
            <w:r>
              <w:rPr>
                <w:rFonts w:hint="eastAsia"/>
                <w:color w:val="auto"/>
              </w:rPr>
              <w:t>1</w:t>
            </w:r>
            <w:r>
              <w:rPr>
                <w:rFonts w:hint="eastAsia"/>
                <w:color w:val="auto"/>
                <w:lang w:eastAsia="zh-CN"/>
              </w:rPr>
              <w:t>.</w:t>
            </w:r>
            <w:r>
              <w:rPr>
                <w:rFonts w:hint="eastAsia"/>
                <w:color w:val="auto"/>
              </w:rPr>
              <w:t>环境保护管理：</w:t>
            </w:r>
          </w:p>
          <w:p>
            <w:pPr>
              <w:ind w:firstLine="480"/>
              <w:rPr>
                <w:color w:val="auto"/>
              </w:rPr>
            </w:pPr>
            <w:r>
              <w:rPr>
                <w:rFonts w:hint="eastAsia"/>
                <w:color w:val="auto"/>
              </w:rPr>
              <w:t>①设置专职环保人员，负责本项目环境保护工作，健全环保管理制度，督促检查本项目执行国家环境保护方针政策法规及制定的环境管理制度情况；</w:t>
            </w:r>
          </w:p>
          <w:p>
            <w:pPr>
              <w:ind w:firstLine="480"/>
              <w:rPr>
                <w:color w:val="auto"/>
              </w:rPr>
            </w:pPr>
            <w:r>
              <w:rPr>
                <w:rFonts w:hint="eastAsia"/>
                <w:color w:val="auto"/>
              </w:rPr>
              <w:t xml:space="preserve">②明确各层管理机构环保人员职责，健全污染防治设施操作规程；对各项污染防治设施定期检查，要确保污染防治治理设施正常运行； </w:t>
            </w:r>
          </w:p>
          <w:p>
            <w:pPr>
              <w:ind w:firstLine="480"/>
              <w:rPr>
                <w:color w:val="auto"/>
              </w:rPr>
            </w:pPr>
            <w:r>
              <w:rPr>
                <w:rFonts w:hint="eastAsia"/>
                <w:color w:val="auto"/>
              </w:rPr>
              <w:t>③加强环境法规培训，以提高全体员工的环境意识；</w:t>
            </w:r>
          </w:p>
          <w:p>
            <w:pPr>
              <w:ind w:firstLine="480"/>
              <w:rPr>
                <w:color w:val="auto"/>
              </w:rPr>
            </w:pPr>
            <w:r>
              <w:rPr>
                <w:rFonts w:hint="eastAsia"/>
                <w:color w:val="auto"/>
              </w:rPr>
              <w:t>④负责全厂环保资料档案管理工作，包括污染设施运行记录，污染物排放量，生活垃圾处置记录等。</w:t>
            </w:r>
          </w:p>
          <w:p>
            <w:pPr>
              <w:ind w:firstLine="480"/>
              <w:rPr>
                <w:color w:val="auto"/>
              </w:rPr>
            </w:pPr>
            <w:r>
              <w:rPr>
                <w:rFonts w:hint="eastAsia"/>
                <w:color w:val="auto"/>
              </w:rPr>
              <w:t>2</w:t>
            </w:r>
            <w:r>
              <w:rPr>
                <w:rFonts w:hint="eastAsia"/>
                <w:color w:val="auto"/>
                <w:lang w:eastAsia="zh-CN"/>
              </w:rPr>
              <w:t>.</w:t>
            </w:r>
            <w:r>
              <w:rPr>
                <w:rFonts w:hint="eastAsia"/>
                <w:color w:val="auto"/>
              </w:rPr>
              <w:t>污染治理设施管理：</w:t>
            </w:r>
          </w:p>
          <w:p>
            <w:pPr>
              <w:ind w:firstLine="480"/>
              <w:rPr>
                <w:color w:val="auto"/>
              </w:rPr>
            </w:pPr>
            <w:r>
              <w:rPr>
                <w:rFonts w:hint="eastAsia"/>
                <w:color w:val="auto"/>
              </w:rPr>
              <w:t>①对污染治理设施的管理，必须</w:t>
            </w:r>
            <w:r>
              <w:rPr>
                <w:rFonts w:hint="eastAsia"/>
                <w:color w:val="auto"/>
                <w:lang w:eastAsia="zh-CN"/>
              </w:rPr>
              <w:t>与</w:t>
            </w:r>
            <w:r>
              <w:rPr>
                <w:rFonts w:hint="eastAsia"/>
                <w:color w:val="auto"/>
              </w:rPr>
              <w:t>生产经营活动一起纳入企业的日常管理中，要建立岗位责任制，制定操作规程，建立管理台账；</w:t>
            </w:r>
          </w:p>
          <w:p>
            <w:pPr>
              <w:ind w:firstLine="480"/>
              <w:rPr>
                <w:color w:val="auto"/>
              </w:rPr>
            </w:pPr>
            <w:r>
              <w:rPr>
                <w:rFonts w:hint="eastAsia"/>
                <w:color w:val="auto"/>
              </w:rPr>
              <w:t>②依照本项目的实际情况，运营期监测委托有资质单位进行检测</w:t>
            </w:r>
            <w:r>
              <w:rPr>
                <w:rFonts w:hint="eastAsia"/>
                <w:color w:val="auto"/>
                <w:lang w:eastAsia="zh-CN"/>
              </w:rPr>
              <w:t>；</w:t>
            </w:r>
            <w:r>
              <w:rPr>
                <w:rFonts w:hint="eastAsia"/>
                <w:color w:val="auto"/>
              </w:rPr>
              <w:t>按照计划，对项目</w:t>
            </w:r>
            <w:r>
              <w:rPr>
                <w:rFonts w:hint="eastAsia"/>
                <w:color w:val="auto"/>
                <w:lang w:eastAsia="zh-CN"/>
              </w:rPr>
              <w:t>各</w:t>
            </w:r>
            <w:r>
              <w:rPr>
                <w:rFonts w:hint="eastAsia"/>
                <w:color w:val="auto"/>
              </w:rPr>
              <w:t>排污口进行常规监测。</w:t>
            </w:r>
          </w:p>
          <w:p>
            <w:pPr>
              <w:ind w:firstLine="480"/>
              <w:rPr>
                <w:color w:val="auto"/>
              </w:rPr>
            </w:pPr>
            <w:r>
              <w:rPr>
                <w:rFonts w:hint="eastAsia"/>
                <w:color w:val="auto"/>
              </w:rPr>
              <w:t>3</w:t>
            </w:r>
            <w:r>
              <w:rPr>
                <w:rFonts w:hint="eastAsia"/>
                <w:color w:val="auto"/>
                <w:lang w:val="en-US" w:eastAsia="zh-CN"/>
              </w:rPr>
              <w:t>.</w:t>
            </w:r>
            <w:r>
              <w:rPr>
                <w:rFonts w:hint="eastAsia"/>
                <w:color w:val="auto"/>
              </w:rPr>
              <w:t>与排污许可证制度衔接</w:t>
            </w:r>
          </w:p>
          <w:p>
            <w:pPr>
              <w:ind w:firstLine="480"/>
              <w:rPr>
                <w:color w:val="auto"/>
              </w:rPr>
            </w:pPr>
            <w:r>
              <w:rPr>
                <w:rFonts w:hint="eastAsia"/>
                <w:color w:val="auto"/>
              </w:rPr>
              <w:t>根据《关于做好环境影响评价制度与排污许可</w:t>
            </w:r>
            <w:r>
              <w:rPr>
                <w:rFonts w:hint="eastAsia"/>
                <w:color w:val="auto"/>
                <w:lang w:eastAsia="zh-CN"/>
              </w:rPr>
              <w:t>制度</w:t>
            </w:r>
            <w:r>
              <w:rPr>
                <w:rFonts w:hint="eastAsia"/>
                <w:color w:val="auto"/>
              </w:rPr>
              <w:t>衔接相关工作的通知》（环办环评〔</w:t>
            </w:r>
            <w:r>
              <w:rPr>
                <w:color w:val="auto"/>
              </w:rPr>
              <w:t>2017</w:t>
            </w:r>
            <w:r>
              <w:rPr>
                <w:rFonts w:hint="eastAsia"/>
                <w:color w:val="auto"/>
              </w:rPr>
              <w:t>〕</w:t>
            </w:r>
            <w:r>
              <w:rPr>
                <w:color w:val="auto"/>
              </w:rPr>
              <w:t xml:space="preserve">84 </w:t>
            </w:r>
            <w:r>
              <w:rPr>
                <w:rFonts w:hint="eastAsia"/>
                <w:color w:val="auto"/>
              </w:rPr>
              <w:t>号）及《固定污染源排污</w:t>
            </w:r>
            <w:r>
              <w:rPr>
                <w:rFonts w:hint="eastAsia"/>
                <w:color w:val="auto"/>
                <w:lang w:eastAsia="zh-CN"/>
              </w:rPr>
              <w:t>许可</w:t>
            </w:r>
            <w:r>
              <w:rPr>
                <w:rFonts w:hint="eastAsia"/>
                <w:color w:val="auto"/>
              </w:rPr>
              <w:t>分类管理名录（</w:t>
            </w:r>
            <w:r>
              <w:rPr>
                <w:color w:val="auto"/>
              </w:rPr>
              <w:t xml:space="preserve">2019 </w:t>
            </w:r>
            <w:r>
              <w:rPr>
                <w:rFonts w:hint="eastAsia"/>
                <w:color w:val="auto"/>
              </w:rPr>
              <w:t xml:space="preserve">年版）》（生态环境部令 第 </w:t>
            </w:r>
            <w:r>
              <w:rPr>
                <w:color w:val="auto"/>
              </w:rPr>
              <w:t xml:space="preserve">11 </w:t>
            </w:r>
            <w:r>
              <w:rPr>
                <w:rFonts w:hint="eastAsia"/>
                <w:color w:val="auto"/>
              </w:rPr>
              <w:t>号），本项目属于“二十五、非金属矿物制品业30—石膏、水泥制品及类似制品制造302，水泥制品制造3021，属于排污登记管理类别。新建排污单位应当在启动生产设施或者发生实际排污之前申请取得排污许可证或者填报排污登记表，现有排污单位应当在生态环境部规定的实施时限内申请取得排污许可证或者填报排污登记表。</w:t>
            </w:r>
          </w:p>
          <w:p>
            <w:pPr>
              <w:ind w:firstLine="480"/>
              <w:rPr>
                <w:color w:val="auto"/>
              </w:rPr>
            </w:pPr>
            <w:r>
              <w:rPr>
                <w:rFonts w:hint="eastAsia"/>
                <w:color w:val="auto"/>
              </w:rPr>
              <w:t>4</w:t>
            </w:r>
            <w:r>
              <w:rPr>
                <w:rFonts w:hint="eastAsia"/>
                <w:color w:val="auto"/>
                <w:lang w:val="en-US" w:eastAsia="zh-CN"/>
              </w:rPr>
              <w:t>.</w:t>
            </w:r>
            <w:r>
              <w:rPr>
                <w:rFonts w:hint="eastAsia"/>
                <w:color w:val="auto"/>
              </w:rPr>
              <w:t>竣工环保验收要求</w:t>
            </w:r>
          </w:p>
          <w:p>
            <w:pPr>
              <w:ind w:firstLine="480"/>
              <w:rPr>
                <w:snapToGrid w:val="0"/>
                <w:color w:val="auto"/>
              </w:rPr>
            </w:pPr>
            <w:r>
              <w:rPr>
                <w:rFonts w:hint="eastAsia"/>
                <w:color w:val="auto"/>
              </w:rPr>
              <w:t>根据《建设项目竣工环境保护验收暂行办法》的规定，建设项目竣工后，建设单位应当如实查验、监测、记载建设项目环境保护设施的建设和调试情况，并编制验收监测报告。</w:t>
            </w:r>
          </w:p>
        </w:tc>
      </w:tr>
    </w:tbl>
    <w:p>
      <w:pPr>
        <w:pStyle w:val="2"/>
        <w:ind w:firstLine="640"/>
      </w:pPr>
      <w:bookmarkStart w:id="14" w:name="_Toc144507130"/>
      <w:r>
        <w:rPr>
          <w:rFonts w:hint="eastAsia"/>
          <w:snapToGrid w:val="0"/>
        </w:rPr>
        <w:t>六、结论</w:t>
      </w:r>
      <w:bookmarkEnd w:id="14"/>
    </w:p>
    <w:tbl>
      <w:tblPr>
        <w:tblStyle w:val="17"/>
        <w:tblW w:w="87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7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715" w:type="dxa"/>
          </w:tcPr>
          <w:p>
            <w:pPr>
              <w:ind w:firstLine="480"/>
            </w:pPr>
            <w:r>
              <w:rPr>
                <w:rFonts w:hint="eastAsia"/>
              </w:rPr>
              <w:t>本项目建设符合国家产业政策，选址合理。项目施工期和运营期不可避免地会对周围环境产生影响。在认真落实本报告中提出的各项污染防治措施及建议的前提下，加强环境管理，</w:t>
            </w:r>
            <w:r>
              <w:rPr>
                <w:rFonts w:hint="eastAsia"/>
                <w:lang w:eastAsia="zh-CN"/>
              </w:rPr>
              <w:t>使</w:t>
            </w:r>
            <w:r>
              <w:rPr>
                <w:rFonts w:hint="eastAsia"/>
              </w:rPr>
              <w:t>废气、废水、噪声、固废等污染物对周围环境的影响能够控制在可接受范围内。从环境保护</w:t>
            </w:r>
            <w:r>
              <w:rPr>
                <w:rFonts w:hint="eastAsia"/>
                <w:lang w:eastAsia="zh-CN"/>
              </w:rPr>
              <w:t>的</w:t>
            </w:r>
            <w:r>
              <w:rPr>
                <w:rFonts w:hint="eastAsia"/>
              </w:rPr>
              <w:t>角度分析，该建设项目可行。</w:t>
            </w:r>
          </w:p>
        </w:tc>
      </w:tr>
    </w:tbl>
    <w:p>
      <w:pPr>
        <w:pStyle w:val="2"/>
        <w:ind w:firstLine="640"/>
        <w:sectPr>
          <w:pgSz w:w="11906" w:h="16838"/>
          <w:pgMar w:top="1440" w:right="1800" w:bottom="1440" w:left="1800" w:header="992" w:footer="992" w:gutter="0"/>
          <w:cols w:space="425" w:num="1"/>
          <w:docGrid w:type="lines" w:linePitch="312" w:charSpace="0"/>
        </w:sectPr>
      </w:pPr>
    </w:p>
    <w:p>
      <w:pPr>
        <w:ind w:firstLine="0" w:firstLineChars="0"/>
        <w:outlineLvl w:val="0"/>
        <w:rPr>
          <w:rFonts w:ascii="黑体" w:hAnsi="黑体" w:eastAsia="黑体"/>
          <w:snapToGrid w:val="0"/>
          <w:sz w:val="32"/>
          <w:szCs w:val="32"/>
        </w:rPr>
      </w:pPr>
      <w:bookmarkStart w:id="15" w:name="_Toc144507131"/>
      <w:r>
        <w:rPr>
          <w:rFonts w:hint="eastAsia" w:ascii="黑体" w:hAnsi="黑体" w:eastAsia="黑体"/>
          <w:snapToGrid w:val="0"/>
          <w:sz w:val="32"/>
          <w:szCs w:val="32"/>
        </w:rPr>
        <w:t>附表</w:t>
      </w:r>
      <w:bookmarkEnd w:id="15"/>
    </w:p>
    <w:p>
      <w:pPr>
        <w:pStyle w:val="2"/>
        <w:jc w:val="center"/>
      </w:pPr>
      <w:bookmarkStart w:id="16" w:name="_Toc144507132"/>
      <w:r>
        <w:rPr>
          <w:rFonts w:hint="eastAsia"/>
        </w:rPr>
        <w:t>建设项目污染物排放量汇总表</w:t>
      </w:r>
      <w:bookmarkEnd w:id="16"/>
    </w:p>
    <w:tbl>
      <w:tblPr>
        <w:tblStyle w:val="17"/>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17"/>
        <w:gridCol w:w="2102"/>
        <w:gridCol w:w="1756"/>
        <w:gridCol w:w="1274"/>
        <w:gridCol w:w="1682"/>
        <w:gridCol w:w="1830"/>
        <w:gridCol w:w="1873"/>
        <w:gridCol w:w="1892"/>
        <w:gridCol w:w="141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523" w:type="pct"/>
            <w:tcBorders>
              <w:tl2br w:val="single" w:color="auto" w:sz="4" w:space="0"/>
            </w:tcBorders>
            <w:tcMar>
              <w:left w:w="28" w:type="dxa"/>
              <w:right w:w="28" w:type="dxa"/>
            </w:tcMar>
            <w:vAlign w:val="center"/>
          </w:tcPr>
          <w:p>
            <w:pPr>
              <w:pStyle w:val="39"/>
              <w:jc w:val="center"/>
            </w:pPr>
            <w:r>
              <w:t>项目</w:t>
            </w:r>
          </w:p>
          <w:p>
            <w:pPr>
              <w:pStyle w:val="39"/>
              <w:jc w:val="center"/>
            </w:pPr>
            <w:r>
              <w:t>分类</w:t>
            </w:r>
          </w:p>
        </w:tc>
        <w:tc>
          <w:tcPr>
            <w:tcW w:w="680" w:type="pct"/>
            <w:tcMar>
              <w:left w:w="28" w:type="dxa"/>
              <w:right w:w="28" w:type="dxa"/>
            </w:tcMar>
            <w:vAlign w:val="center"/>
          </w:tcPr>
          <w:p>
            <w:pPr>
              <w:pStyle w:val="39"/>
              <w:jc w:val="center"/>
            </w:pPr>
            <w:r>
              <w:t>污染物名称</w:t>
            </w:r>
          </w:p>
        </w:tc>
        <w:tc>
          <w:tcPr>
            <w:tcW w:w="568" w:type="pct"/>
            <w:tcMar>
              <w:left w:w="28" w:type="dxa"/>
              <w:right w:w="28" w:type="dxa"/>
            </w:tcMar>
            <w:vAlign w:val="center"/>
          </w:tcPr>
          <w:p>
            <w:pPr>
              <w:pStyle w:val="39"/>
              <w:jc w:val="center"/>
            </w:pPr>
            <w:r>
              <w:t>现有工程排放量（固体废物产生量）</w:t>
            </w:r>
            <w:r>
              <w:fldChar w:fldCharType="begin"/>
            </w:r>
            <w:r>
              <w:instrText xml:space="preserve"> = 1 \* GB3 \* MERGEFORMAT </w:instrText>
            </w:r>
            <w:r>
              <w:fldChar w:fldCharType="separate"/>
            </w:r>
            <w:r>
              <w:rPr>
                <w:rFonts w:hint="eastAsia"/>
              </w:rPr>
              <w:t>①</w:t>
            </w:r>
            <w:r>
              <w:fldChar w:fldCharType="end"/>
            </w:r>
          </w:p>
        </w:tc>
        <w:tc>
          <w:tcPr>
            <w:tcW w:w="412" w:type="pct"/>
            <w:tcMar>
              <w:left w:w="28" w:type="dxa"/>
              <w:right w:w="28" w:type="dxa"/>
            </w:tcMar>
            <w:vAlign w:val="center"/>
          </w:tcPr>
          <w:p>
            <w:pPr>
              <w:pStyle w:val="39"/>
              <w:jc w:val="center"/>
            </w:pPr>
            <w:r>
              <w:t>现有工程许可排放量</w:t>
            </w:r>
            <w:r>
              <w:fldChar w:fldCharType="begin"/>
            </w:r>
            <w:r>
              <w:instrText xml:space="preserve"> = 2 \* GB3 \* MERGEFORMAT </w:instrText>
            </w:r>
            <w:r>
              <w:fldChar w:fldCharType="separate"/>
            </w:r>
            <w:r>
              <w:rPr>
                <w:rFonts w:hint="eastAsia"/>
              </w:rPr>
              <w:t>②</w:t>
            </w:r>
            <w:r>
              <w:fldChar w:fldCharType="end"/>
            </w:r>
          </w:p>
        </w:tc>
        <w:tc>
          <w:tcPr>
            <w:tcW w:w="544" w:type="pct"/>
            <w:tcMar>
              <w:left w:w="28" w:type="dxa"/>
              <w:right w:w="28" w:type="dxa"/>
            </w:tcMar>
            <w:vAlign w:val="center"/>
          </w:tcPr>
          <w:p>
            <w:pPr>
              <w:pStyle w:val="39"/>
              <w:jc w:val="center"/>
            </w:pPr>
            <w:r>
              <w:t>在建工程排放量（固体废物产生量）</w:t>
            </w:r>
            <w:r>
              <w:fldChar w:fldCharType="begin"/>
            </w:r>
            <w:r>
              <w:instrText xml:space="preserve"> = 3 \* GB3 \* MERGEFORMAT </w:instrText>
            </w:r>
            <w:r>
              <w:fldChar w:fldCharType="separate"/>
            </w:r>
            <w:r>
              <w:rPr>
                <w:rFonts w:hint="eastAsia"/>
              </w:rPr>
              <w:t>③</w:t>
            </w:r>
            <w:r>
              <w:fldChar w:fldCharType="end"/>
            </w:r>
          </w:p>
        </w:tc>
        <w:tc>
          <w:tcPr>
            <w:tcW w:w="592" w:type="pct"/>
            <w:tcMar>
              <w:left w:w="28" w:type="dxa"/>
              <w:right w:w="28" w:type="dxa"/>
            </w:tcMar>
            <w:vAlign w:val="center"/>
          </w:tcPr>
          <w:p>
            <w:pPr>
              <w:pStyle w:val="39"/>
              <w:jc w:val="center"/>
            </w:pPr>
            <w:r>
              <w:t>本项目排放量（固体废物产生量）</w:t>
            </w:r>
            <w:r>
              <w:fldChar w:fldCharType="begin"/>
            </w:r>
            <w:r>
              <w:instrText xml:space="preserve"> = 4 \* GB3 \* MERGEFORMAT </w:instrText>
            </w:r>
            <w:r>
              <w:fldChar w:fldCharType="separate"/>
            </w:r>
            <w:r>
              <w:rPr>
                <w:rFonts w:hint="eastAsia"/>
              </w:rPr>
              <w:t>④</w:t>
            </w:r>
            <w:r>
              <w:fldChar w:fldCharType="end"/>
            </w:r>
          </w:p>
        </w:tc>
        <w:tc>
          <w:tcPr>
            <w:tcW w:w="606" w:type="pct"/>
            <w:tcMar>
              <w:left w:w="28" w:type="dxa"/>
              <w:right w:w="28" w:type="dxa"/>
            </w:tcMar>
            <w:vAlign w:val="center"/>
          </w:tcPr>
          <w:p>
            <w:pPr>
              <w:pStyle w:val="39"/>
              <w:jc w:val="center"/>
            </w:pPr>
            <w:r>
              <w:t>以新带老削减量（新建项目不填）</w:t>
            </w:r>
            <w:r>
              <w:fldChar w:fldCharType="begin"/>
            </w:r>
            <w:r>
              <w:instrText xml:space="preserve"> = 5 \* GB3 \* MERGEFORMAT </w:instrText>
            </w:r>
            <w:r>
              <w:fldChar w:fldCharType="separate"/>
            </w:r>
            <w:r>
              <w:rPr>
                <w:rFonts w:hint="eastAsia"/>
              </w:rPr>
              <w:t>⑤</w:t>
            </w:r>
            <w:r>
              <w:fldChar w:fldCharType="end"/>
            </w:r>
          </w:p>
        </w:tc>
        <w:tc>
          <w:tcPr>
            <w:tcW w:w="612" w:type="pct"/>
            <w:tcMar>
              <w:left w:w="28" w:type="dxa"/>
              <w:right w:w="28" w:type="dxa"/>
            </w:tcMar>
            <w:vAlign w:val="center"/>
          </w:tcPr>
          <w:p>
            <w:pPr>
              <w:pStyle w:val="39"/>
              <w:jc w:val="center"/>
            </w:pPr>
            <w:r>
              <w:t>本项目建成后全厂排放量（固体废物产生量）</w:t>
            </w:r>
            <w:r>
              <w:fldChar w:fldCharType="begin"/>
            </w:r>
            <w:r>
              <w:instrText xml:space="preserve"> = 6 \* GB3 \* MERGEFORMAT </w:instrText>
            </w:r>
            <w:r>
              <w:fldChar w:fldCharType="separate"/>
            </w:r>
            <w:r>
              <w:rPr>
                <w:rFonts w:hint="eastAsia"/>
              </w:rPr>
              <w:t>⑥</w:t>
            </w:r>
            <w:r>
              <w:fldChar w:fldCharType="end"/>
            </w:r>
          </w:p>
        </w:tc>
        <w:tc>
          <w:tcPr>
            <w:tcW w:w="459" w:type="pct"/>
            <w:tcMar>
              <w:left w:w="28" w:type="dxa"/>
              <w:right w:w="28" w:type="dxa"/>
            </w:tcMar>
            <w:vAlign w:val="center"/>
          </w:tcPr>
          <w:p>
            <w:pPr>
              <w:pStyle w:val="39"/>
              <w:jc w:val="center"/>
            </w:pPr>
            <w:r>
              <w:t>变化量</w:t>
            </w:r>
            <w:r>
              <w:fldChar w:fldCharType="begin"/>
            </w:r>
            <w:r>
              <w:instrText xml:space="preserve"> = 7 \* GB3 \* MERGEFORMAT </w:instrText>
            </w:r>
            <w:r>
              <w:fldChar w:fldCharType="separate"/>
            </w:r>
            <w:r>
              <w:rPr>
                <w:rFonts w:hint="eastAsia"/>
              </w:rPr>
              <w:t>⑦</w:t>
            </w:r>
            <w: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23" w:type="pct"/>
            <w:vAlign w:val="center"/>
          </w:tcPr>
          <w:p>
            <w:pPr>
              <w:pStyle w:val="39"/>
              <w:jc w:val="center"/>
            </w:pPr>
            <w:r>
              <w:rPr>
                <w:rFonts w:hint="eastAsia"/>
              </w:rPr>
              <w:t>废气</w:t>
            </w:r>
          </w:p>
        </w:tc>
        <w:tc>
          <w:tcPr>
            <w:tcW w:w="680" w:type="pct"/>
            <w:vAlign w:val="center"/>
          </w:tcPr>
          <w:p>
            <w:pPr>
              <w:pStyle w:val="39"/>
              <w:jc w:val="center"/>
            </w:pPr>
            <w:r>
              <w:rPr>
                <w:rFonts w:hint="eastAsia"/>
              </w:rPr>
              <w:t>颗粒物</w:t>
            </w:r>
          </w:p>
        </w:tc>
        <w:tc>
          <w:tcPr>
            <w:tcW w:w="568" w:type="pct"/>
            <w:vAlign w:val="center"/>
          </w:tcPr>
          <w:p>
            <w:pPr>
              <w:pStyle w:val="39"/>
              <w:jc w:val="center"/>
            </w:pPr>
            <w:r>
              <w:t>/</w:t>
            </w:r>
          </w:p>
        </w:tc>
        <w:tc>
          <w:tcPr>
            <w:tcW w:w="412" w:type="pct"/>
            <w:vAlign w:val="center"/>
          </w:tcPr>
          <w:p>
            <w:pPr>
              <w:pStyle w:val="39"/>
              <w:jc w:val="center"/>
            </w:pPr>
            <w:r>
              <w:t>/</w:t>
            </w:r>
          </w:p>
        </w:tc>
        <w:tc>
          <w:tcPr>
            <w:tcW w:w="544" w:type="pct"/>
            <w:vAlign w:val="center"/>
          </w:tcPr>
          <w:p>
            <w:pPr>
              <w:pStyle w:val="39"/>
              <w:jc w:val="center"/>
            </w:pPr>
            <w:r>
              <w:t>/</w:t>
            </w:r>
          </w:p>
        </w:tc>
        <w:tc>
          <w:tcPr>
            <w:tcW w:w="592" w:type="pct"/>
            <w:vAlign w:val="center"/>
          </w:tcPr>
          <w:p>
            <w:pPr>
              <w:pStyle w:val="39"/>
              <w:jc w:val="center"/>
            </w:pPr>
            <w:r>
              <w:rPr>
                <w:rFonts w:hint="eastAsia"/>
              </w:rPr>
              <w:t>2.11</w:t>
            </w:r>
            <w:r>
              <w:t>t/a</w:t>
            </w:r>
          </w:p>
        </w:tc>
        <w:tc>
          <w:tcPr>
            <w:tcW w:w="606" w:type="pct"/>
            <w:vAlign w:val="center"/>
          </w:tcPr>
          <w:p>
            <w:pPr>
              <w:pStyle w:val="39"/>
              <w:jc w:val="center"/>
            </w:pPr>
            <w:r>
              <w:t>/</w:t>
            </w:r>
          </w:p>
        </w:tc>
        <w:tc>
          <w:tcPr>
            <w:tcW w:w="612" w:type="pct"/>
            <w:vAlign w:val="center"/>
          </w:tcPr>
          <w:p>
            <w:pPr>
              <w:pStyle w:val="39"/>
              <w:jc w:val="center"/>
            </w:pPr>
            <w:r>
              <w:rPr>
                <w:rFonts w:hint="eastAsia"/>
              </w:rPr>
              <w:t>2.11</w:t>
            </w:r>
            <w:r>
              <w:t>t/a</w:t>
            </w:r>
          </w:p>
        </w:tc>
        <w:tc>
          <w:tcPr>
            <w:tcW w:w="459" w:type="pct"/>
            <w:vAlign w:val="center"/>
          </w:tcPr>
          <w:p>
            <w:pPr>
              <w:pStyle w:val="39"/>
              <w:jc w:val="center"/>
            </w:pPr>
            <w:r>
              <w:rPr>
                <w:rFonts w:hint="eastAsia"/>
              </w:rPr>
              <w:t>+2.11</w:t>
            </w:r>
            <w: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23" w:type="pct"/>
            <w:vMerge w:val="restart"/>
            <w:vAlign w:val="center"/>
          </w:tcPr>
          <w:p>
            <w:pPr>
              <w:pStyle w:val="39"/>
              <w:jc w:val="center"/>
            </w:pPr>
            <w:r>
              <w:t>废水</w:t>
            </w:r>
          </w:p>
        </w:tc>
        <w:tc>
          <w:tcPr>
            <w:tcW w:w="680" w:type="pct"/>
            <w:vAlign w:val="center"/>
          </w:tcPr>
          <w:p>
            <w:pPr>
              <w:pStyle w:val="39"/>
              <w:jc w:val="center"/>
            </w:pPr>
          </w:p>
        </w:tc>
        <w:tc>
          <w:tcPr>
            <w:tcW w:w="568" w:type="pct"/>
            <w:vAlign w:val="center"/>
          </w:tcPr>
          <w:p>
            <w:pPr>
              <w:pStyle w:val="39"/>
              <w:jc w:val="center"/>
            </w:pPr>
            <w:r>
              <w:t>/</w:t>
            </w:r>
          </w:p>
        </w:tc>
        <w:tc>
          <w:tcPr>
            <w:tcW w:w="412" w:type="pct"/>
            <w:vAlign w:val="center"/>
          </w:tcPr>
          <w:p>
            <w:pPr>
              <w:pStyle w:val="39"/>
              <w:jc w:val="center"/>
            </w:pPr>
            <w:r>
              <w:t>/</w:t>
            </w:r>
          </w:p>
        </w:tc>
        <w:tc>
          <w:tcPr>
            <w:tcW w:w="544" w:type="pct"/>
            <w:vAlign w:val="center"/>
          </w:tcPr>
          <w:p>
            <w:pPr>
              <w:pStyle w:val="39"/>
              <w:jc w:val="center"/>
            </w:pPr>
            <w:r>
              <w:t>/</w:t>
            </w:r>
          </w:p>
        </w:tc>
        <w:tc>
          <w:tcPr>
            <w:tcW w:w="592" w:type="pct"/>
            <w:vAlign w:val="center"/>
          </w:tcPr>
          <w:p>
            <w:pPr>
              <w:pStyle w:val="39"/>
              <w:jc w:val="center"/>
            </w:pPr>
          </w:p>
        </w:tc>
        <w:tc>
          <w:tcPr>
            <w:tcW w:w="606" w:type="pct"/>
            <w:vAlign w:val="center"/>
          </w:tcPr>
          <w:p>
            <w:pPr>
              <w:pStyle w:val="39"/>
              <w:jc w:val="center"/>
            </w:pPr>
            <w:r>
              <w:t>/</w:t>
            </w:r>
          </w:p>
        </w:tc>
        <w:tc>
          <w:tcPr>
            <w:tcW w:w="612" w:type="pct"/>
            <w:vAlign w:val="center"/>
          </w:tcPr>
          <w:p>
            <w:pPr>
              <w:pStyle w:val="39"/>
              <w:jc w:val="center"/>
            </w:pPr>
          </w:p>
        </w:tc>
        <w:tc>
          <w:tcPr>
            <w:tcW w:w="459" w:type="pct"/>
            <w:vAlign w:val="center"/>
          </w:tcPr>
          <w:p>
            <w:pPr>
              <w:pStyle w:val="39"/>
              <w:jc w:val="cente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23" w:type="pct"/>
            <w:vMerge w:val="continue"/>
            <w:vAlign w:val="center"/>
          </w:tcPr>
          <w:p>
            <w:pPr>
              <w:pStyle w:val="39"/>
              <w:jc w:val="center"/>
            </w:pPr>
          </w:p>
        </w:tc>
        <w:tc>
          <w:tcPr>
            <w:tcW w:w="680" w:type="pct"/>
            <w:vAlign w:val="center"/>
          </w:tcPr>
          <w:p>
            <w:pPr>
              <w:pStyle w:val="39"/>
              <w:jc w:val="center"/>
            </w:pPr>
          </w:p>
        </w:tc>
        <w:tc>
          <w:tcPr>
            <w:tcW w:w="568" w:type="pct"/>
            <w:vAlign w:val="center"/>
          </w:tcPr>
          <w:p>
            <w:pPr>
              <w:pStyle w:val="39"/>
              <w:jc w:val="center"/>
            </w:pPr>
            <w:r>
              <w:t>/</w:t>
            </w:r>
          </w:p>
        </w:tc>
        <w:tc>
          <w:tcPr>
            <w:tcW w:w="412" w:type="pct"/>
            <w:vAlign w:val="center"/>
          </w:tcPr>
          <w:p>
            <w:pPr>
              <w:pStyle w:val="39"/>
              <w:jc w:val="center"/>
            </w:pPr>
            <w:r>
              <w:t>/</w:t>
            </w:r>
          </w:p>
        </w:tc>
        <w:tc>
          <w:tcPr>
            <w:tcW w:w="544" w:type="pct"/>
            <w:vAlign w:val="center"/>
          </w:tcPr>
          <w:p>
            <w:pPr>
              <w:pStyle w:val="39"/>
              <w:jc w:val="center"/>
            </w:pPr>
            <w:r>
              <w:t>/</w:t>
            </w:r>
          </w:p>
        </w:tc>
        <w:tc>
          <w:tcPr>
            <w:tcW w:w="592" w:type="pct"/>
            <w:vAlign w:val="center"/>
          </w:tcPr>
          <w:p>
            <w:pPr>
              <w:pStyle w:val="39"/>
              <w:jc w:val="center"/>
            </w:pPr>
          </w:p>
        </w:tc>
        <w:tc>
          <w:tcPr>
            <w:tcW w:w="606" w:type="pct"/>
            <w:vAlign w:val="center"/>
          </w:tcPr>
          <w:p>
            <w:pPr>
              <w:pStyle w:val="39"/>
              <w:jc w:val="center"/>
            </w:pPr>
            <w:r>
              <w:rPr>
                <w:rFonts w:hint="eastAsia"/>
              </w:rPr>
              <w:t>/</w:t>
            </w:r>
          </w:p>
        </w:tc>
        <w:tc>
          <w:tcPr>
            <w:tcW w:w="612" w:type="pct"/>
            <w:vAlign w:val="center"/>
          </w:tcPr>
          <w:p>
            <w:pPr>
              <w:pStyle w:val="39"/>
              <w:jc w:val="center"/>
            </w:pPr>
          </w:p>
        </w:tc>
        <w:tc>
          <w:tcPr>
            <w:tcW w:w="459" w:type="pct"/>
            <w:vAlign w:val="center"/>
          </w:tcPr>
          <w:p>
            <w:pPr>
              <w:pStyle w:val="39"/>
              <w:jc w:val="cente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23" w:type="pct"/>
            <w:vMerge w:val="continue"/>
            <w:vAlign w:val="center"/>
          </w:tcPr>
          <w:p>
            <w:pPr>
              <w:pStyle w:val="39"/>
              <w:jc w:val="center"/>
            </w:pPr>
          </w:p>
        </w:tc>
        <w:tc>
          <w:tcPr>
            <w:tcW w:w="680" w:type="pct"/>
            <w:vAlign w:val="center"/>
          </w:tcPr>
          <w:p>
            <w:pPr>
              <w:pStyle w:val="39"/>
              <w:jc w:val="center"/>
            </w:pPr>
          </w:p>
        </w:tc>
        <w:tc>
          <w:tcPr>
            <w:tcW w:w="568" w:type="pct"/>
            <w:vAlign w:val="center"/>
          </w:tcPr>
          <w:p>
            <w:pPr>
              <w:pStyle w:val="39"/>
              <w:jc w:val="center"/>
            </w:pPr>
            <w:r>
              <w:t>/</w:t>
            </w:r>
          </w:p>
        </w:tc>
        <w:tc>
          <w:tcPr>
            <w:tcW w:w="412" w:type="pct"/>
            <w:vAlign w:val="center"/>
          </w:tcPr>
          <w:p>
            <w:pPr>
              <w:pStyle w:val="39"/>
              <w:jc w:val="center"/>
            </w:pPr>
            <w:r>
              <w:t>/</w:t>
            </w:r>
          </w:p>
        </w:tc>
        <w:tc>
          <w:tcPr>
            <w:tcW w:w="544" w:type="pct"/>
            <w:vAlign w:val="center"/>
          </w:tcPr>
          <w:p>
            <w:pPr>
              <w:pStyle w:val="39"/>
              <w:jc w:val="center"/>
            </w:pPr>
            <w:r>
              <w:t>/</w:t>
            </w:r>
          </w:p>
        </w:tc>
        <w:tc>
          <w:tcPr>
            <w:tcW w:w="592" w:type="pct"/>
            <w:vAlign w:val="center"/>
          </w:tcPr>
          <w:p>
            <w:pPr>
              <w:pStyle w:val="39"/>
              <w:jc w:val="center"/>
            </w:pPr>
          </w:p>
        </w:tc>
        <w:tc>
          <w:tcPr>
            <w:tcW w:w="606" w:type="pct"/>
            <w:vAlign w:val="center"/>
          </w:tcPr>
          <w:p>
            <w:pPr>
              <w:pStyle w:val="39"/>
              <w:jc w:val="center"/>
            </w:pPr>
            <w:r>
              <w:rPr>
                <w:rFonts w:hint="eastAsia"/>
              </w:rPr>
              <w:t>/</w:t>
            </w:r>
          </w:p>
        </w:tc>
        <w:tc>
          <w:tcPr>
            <w:tcW w:w="612" w:type="pct"/>
            <w:vAlign w:val="center"/>
          </w:tcPr>
          <w:p>
            <w:pPr>
              <w:pStyle w:val="39"/>
              <w:jc w:val="center"/>
            </w:pPr>
          </w:p>
        </w:tc>
        <w:tc>
          <w:tcPr>
            <w:tcW w:w="459" w:type="pct"/>
            <w:vAlign w:val="center"/>
          </w:tcPr>
          <w:p>
            <w:pPr>
              <w:pStyle w:val="39"/>
              <w:jc w:val="cente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23" w:type="pct"/>
            <w:vMerge w:val="continue"/>
            <w:vAlign w:val="center"/>
          </w:tcPr>
          <w:p>
            <w:pPr>
              <w:pStyle w:val="39"/>
              <w:jc w:val="center"/>
            </w:pPr>
          </w:p>
        </w:tc>
        <w:tc>
          <w:tcPr>
            <w:tcW w:w="680" w:type="pct"/>
            <w:vAlign w:val="center"/>
          </w:tcPr>
          <w:p>
            <w:pPr>
              <w:pStyle w:val="39"/>
              <w:jc w:val="center"/>
            </w:pPr>
          </w:p>
        </w:tc>
        <w:tc>
          <w:tcPr>
            <w:tcW w:w="568" w:type="pct"/>
            <w:vAlign w:val="center"/>
          </w:tcPr>
          <w:p>
            <w:pPr>
              <w:pStyle w:val="39"/>
              <w:jc w:val="center"/>
            </w:pPr>
            <w:r>
              <w:t>/</w:t>
            </w:r>
          </w:p>
        </w:tc>
        <w:tc>
          <w:tcPr>
            <w:tcW w:w="412" w:type="pct"/>
            <w:vAlign w:val="center"/>
          </w:tcPr>
          <w:p>
            <w:pPr>
              <w:pStyle w:val="39"/>
              <w:jc w:val="center"/>
            </w:pPr>
            <w:r>
              <w:t>/</w:t>
            </w:r>
          </w:p>
        </w:tc>
        <w:tc>
          <w:tcPr>
            <w:tcW w:w="544" w:type="pct"/>
            <w:vAlign w:val="center"/>
          </w:tcPr>
          <w:p>
            <w:pPr>
              <w:pStyle w:val="39"/>
              <w:jc w:val="center"/>
            </w:pPr>
            <w:r>
              <w:t>/</w:t>
            </w:r>
          </w:p>
        </w:tc>
        <w:tc>
          <w:tcPr>
            <w:tcW w:w="592" w:type="pct"/>
            <w:vAlign w:val="center"/>
          </w:tcPr>
          <w:p>
            <w:pPr>
              <w:pStyle w:val="39"/>
              <w:jc w:val="center"/>
            </w:pPr>
          </w:p>
        </w:tc>
        <w:tc>
          <w:tcPr>
            <w:tcW w:w="606" w:type="pct"/>
            <w:vAlign w:val="center"/>
          </w:tcPr>
          <w:p>
            <w:pPr>
              <w:pStyle w:val="39"/>
              <w:jc w:val="center"/>
            </w:pPr>
            <w:r>
              <w:rPr>
                <w:rFonts w:hint="eastAsia"/>
              </w:rPr>
              <w:t>/</w:t>
            </w:r>
          </w:p>
        </w:tc>
        <w:tc>
          <w:tcPr>
            <w:tcW w:w="612" w:type="pct"/>
            <w:vAlign w:val="center"/>
          </w:tcPr>
          <w:p>
            <w:pPr>
              <w:pStyle w:val="39"/>
              <w:jc w:val="center"/>
            </w:pPr>
          </w:p>
        </w:tc>
        <w:tc>
          <w:tcPr>
            <w:tcW w:w="459" w:type="pct"/>
            <w:vAlign w:val="center"/>
          </w:tcPr>
          <w:p>
            <w:pPr>
              <w:pStyle w:val="39"/>
              <w:jc w:val="cente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23" w:type="pct"/>
            <w:vMerge w:val="continue"/>
            <w:vAlign w:val="center"/>
          </w:tcPr>
          <w:p>
            <w:pPr>
              <w:pStyle w:val="39"/>
              <w:jc w:val="center"/>
            </w:pPr>
          </w:p>
        </w:tc>
        <w:tc>
          <w:tcPr>
            <w:tcW w:w="680" w:type="pct"/>
            <w:vAlign w:val="center"/>
          </w:tcPr>
          <w:p>
            <w:pPr>
              <w:pStyle w:val="39"/>
              <w:jc w:val="center"/>
            </w:pPr>
          </w:p>
        </w:tc>
        <w:tc>
          <w:tcPr>
            <w:tcW w:w="568" w:type="pct"/>
            <w:vAlign w:val="center"/>
          </w:tcPr>
          <w:p>
            <w:pPr>
              <w:pStyle w:val="39"/>
              <w:jc w:val="center"/>
            </w:pPr>
            <w:r>
              <w:rPr>
                <w:rFonts w:hint="eastAsia"/>
              </w:rPr>
              <w:t>/</w:t>
            </w:r>
          </w:p>
        </w:tc>
        <w:tc>
          <w:tcPr>
            <w:tcW w:w="412" w:type="pct"/>
            <w:vAlign w:val="center"/>
          </w:tcPr>
          <w:p>
            <w:pPr>
              <w:pStyle w:val="39"/>
              <w:jc w:val="center"/>
            </w:pPr>
            <w:r>
              <w:rPr>
                <w:rFonts w:hint="eastAsia"/>
              </w:rPr>
              <w:t>/</w:t>
            </w:r>
          </w:p>
        </w:tc>
        <w:tc>
          <w:tcPr>
            <w:tcW w:w="544" w:type="pct"/>
            <w:vAlign w:val="center"/>
          </w:tcPr>
          <w:p>
            <w:pPr>
              <w:pStyle w:val="39"/>
              <w:jc w:val="center"/>
            </w:pPr>
            <w:r>
              <w:rPr>
                <w:rFonts w:hint="eastAsia"/>
              </w:rPr>
              <w:t>/</w:t>
            </w:r>
          </w:p>
        </w:tc>
        <w:tc>
          <w:tcPr>
            <w:tcW w:w="592" w:type="pct"/>
            <w:vAlign w:val="center"/>
          </w:tcPr>
          <w:p>
            <w:pPr>
              <w:pStyle w:val="39"/>
              <w:jc w:val="center"/>
            </w:pPr>
          </w:p>
        </w:tc>
        <w:tc>
          <w:tcPr>
            <w:tcW w:w="606" w:type="pct"/>
            <w:vAlign w:val="center"/>
          </w:tcPr>
          <w:p>
            <w:pPr>
              <w:pStyle w:val="39"/>
              <w:jc w:val="center"/>
            </w:pPr>
            <w:r>
              <w:rPr>
                <w:rFonts w:hint="eastAsia"/>
              </w:rPr>
              <w:t>/</w:t>
            </w:r>
          </w:p>
        </w:tc>
        <w:tc>
          <w:tcPr>
            <w:tcW w:w="612" w:type="pct"/>
            <w:vAlign w:val="center"/>
          </w:tcPr>
          <w:p>
            <w:pPr>
              <w:pStyle w:val="39"/>
              <w:jc w:val="center"/>
            </w:pPr>
          </w:p>
        </w:tc>
        <w:tc>
          <w:tcPr>
            <w:tcW w:w="459" w:type="pct"/>
            <w:vAlign w:val="center"/>
          </w:tcPr>
          <w:p>
            <w:pPr>
              <w:pStyle w:val="39"/>
              <w:jc w:val="cente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23" w:type="pct"/>
            <w:vMerge w:val="restart"/>
            <w:vAlign w:val="center"/>
          </w:tcPr>
          <w:p>
            <w:pPr>
              <w:pStyle w:val="39"/>
              <w:jc w:val="center"/>
            </w:pPr>
            <w:r>
              <w:t>一般工业固体废物</w:t>
            </w:r>
          </w:p>
        </w:tc>
        <w:tc>
          <w:tcPr>
            <w:tcW w:w="680" w:type="pct"/>
            <w:vAlign w:val="center"/>
          </w:tcPr>
          <w:p>
            <w:pPr>
              <w:pStyle w:val="39"/>
              <w:jc w:val="center"/>
            </w:pPr>
            <w:r>
              <w:rPr>
                <w:rFonts w:hint="eastAsia"/>
              </w:rPr>
              <w:t>废混凝土</w:t>
            </w:r>
          </w:p>
        </w:tc>
        <w:tc>
          <w:tcPr>
            <w:tcW w:w="568" w:type="pct"/>
            <w:vAlign w:val="center"/>
          </w:tcPr>
          <w:p>
            <w:pPr>
              <w:pStyle w:val="39"/>
              <w:jc w:val="center"/>
            </w:pPr>
            <w:r>
              <w:rPr>
                <w:rFonts w:hint="eastAsia"/>
              </w:rPr>
              <w:t>/</w:t>
            </w:r>
          </w:p>
        </w:tc>
        <w:tc>
          <w:tcPr>
            <w:tcW w:w="412" w:type="pct"/>
            <w:vAlign w:val="center"/>
          </w:tcPr>
          <w:p>
            <w:pPr>
              <w:pStyle w:val="39"/>
              <w:jc w:val="center"/>
            </w:pPr>
            <w:r>
              <w:rPr>
                <w:rFonts w:hint="eastAsia"/>
              </w:rPr>
              <w:t>/</w:t>
            </w:r>
          </w:p>
        </w:tc>
        <w:tc>
          <w:tcPr>
            <w:tcW w:w="544" w:type="pct"/>
            <w:vAlign w:val="center"/>
          </w:tcPr>
          <w:p>
            <w:pPr>
              <w:pStyle w:val="39"/>
              <w:jc w:val="center"/>
            </w:pPr>
            <w:r>
              <w:rPr>
                <w:rFonts w:hint="eastAsia"/>
              </w:rPr>
              <w:t>/</w:t>
            </w:r>
          </w:p>
        </w:tc>
        <w:tc>
          <w:tcPr>
            <w:tcW w:w="592" w:type="pct"/>
            <w:vAlign w:val="center"/>
          </w:tcPr>
          <w:p>
            <w:pPr>
              <w:pStyle w:val="39"/>
              <w:jc w:val="center"/>
            </w:pPr>
            <w:r>
              <w:rPr>
                <w:rFonts w:hint="eastAsia"/>
              </w:rPr>
              <w:t>2.5</w:t>
            </w:r>
            <w:r>
              <w:t>t/a</w:t>
            </w:r>
          </w:p>
        </w:tc>
        <w:tc>
          <w:tcPr>
            <w:tcW w:w="606" w:type="pct"/>
            <w:vAlign w:val="center"/>
          </w:tcPr>
          <w:p>
            <w:pPr>
              <w:pStyle w:val="39"/>
              <w:jc w:val="center"/>
            </w:pPr>
            <w:r>
              <w:rPr>
                <w:rFonts w:hint="eastAsia"/>
              </w:rPr>
              <w:t>/</w:t>
            </w:r>
          </w:p>
        </w:tc>
        <w:tc>
          <w:tcPr>
            <w:tcW w:w="612" w:type="pct"/>
            <w:vAlign w:val="center"/>
          </w:tcPr>
          <w:p>
            <w:pPr>
              <w:pStyle w:val="39"/>
              <w:jc w:val="center"/>
            </w:pPr>
            <w:r>
              <w:rPr>
                <w:rFonts w:hint="eastAsia"/>
              </w:rPr>
              <w:t>2.5</w:t>
            </w:r>
            <w:r>
              <w:t>t/a</w:t>
            </w:r>
          </w:p>
        </w:tc>
        <w:tc>
          <w:tcPr>
            <w:tcW w:w="459" w:type="pct"/>
            <w:vAlign w:val="center"/>
          </w:tcPr>
          <w:p>
            <w:pPr>
              <w:pStyle w:val="39"/>
              <w:jc w:val="center"/>
            </w:pPr>
            <w:r>
              <w:rPr>
                <w:rFonts w:hint="eastAsia"/>
              </w:rPr>
              <w:t>+2.5</w:t>
            </w:r>
            <w: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23" w:type="pct"/>
            <w:vMerge w:val="continue"/>
            <w:vAlign w:val="center"/>
          </w:tcPr>
          <w:p>
            <w:pPr>
              <w:pStyle w:val="39"/>
              <w:jc w:val="center"/>
            </w:pPr>
          </w:p>
        </w:tc>
        <w:tc>
          <w:tcPr>
            <w:tcW w:w="680" w:type="pct"/>
            <w:vAlign w:val="center"/>
          </w:tcPr>
          <w:p>
            <w:pPr>
              <w:pStyle w:val="39"/>
              <w:jc w:val="center"/>
            </w:pPr>
            <w:r>
              <w:rPr>
                <w:rFonts w:hint="eastAsia"/>
              </w:rPr>
              <w:t>沉淀池沉渣</w:t>
            </w:r>
          </w:p>
        </w:tc>
        <w:tc>
          <w:tcPr>
            <w:tcW w:w="568" w:type="pct"/>
            <w:vAlign w:val="center"/>
          </w:tcPr>
          <w:p>
            <w:pPr>
              <w:pStyle w:val="39"/>
              <w:jc w:val="center"/>
            </w:pPr>
            <w:r>
              <w:rPr>
                <w:rFonts w:hint="eastAsia"/>
              </w:rPr>
              <w:t>/</w:t>
            </w:r>
          </w:p>
        </w:tc>
        <w:tc>
          <w:tcPr>
            <w:tcW w:w="412" w:type="pct"/>
            <w:vAlign w:val="center"/>
          </w:tcPr>
          <w:p>
            <w:pPr>
              <w:pStyle w:val="39"/>
              <w:jc w:val="center"/>
            </w:pPr>
            <w:r>
              <w:rPr>
                <w:rFonts w:hint="eastAsia"/>
              </w:rPr>
              <w:t>/</w:t>
            </w:r>
          </w:p>
        </w:tc>
        <w:tc>
          <w:tcPr>
            <w:tcW w:w="544" w:type="pct"/>
            <w:vAlign w:val="center"/>
          </w:tcPr>
          <w:p>
            <w:pPr>
              <w:pStyle w:val="39"/>
              <w:jc w:val="center"/>
            </w:pPr>
            <w:r>
              <w:rPr>
                <w:rFonts w:hint="eastAsia"/>
              </w:rPr>
              <w:t>/</w:t>
            </w:r>
          </w:p>
        </w:tc>
        <w:tc>
          <w:tcPr>
            <w:tcW w:w="592" w:type="pct"/>
            <w:vAlign w:val="center"/>
          </w:tcPr>
          <w:p>
            <w:pPr>
              <w:pStyle w:val="39"/>
              <w:jc w:val="center"/>
            </w:pPr>
            <w:r>
              <w:rPr>
                <w:rFonts w:hint="eastAsia"/>
              </w:rPr>
              <w:t>3</w:t>
            </w:r>
            <w:r>
              <w:t>t/a</w:t>
            </w:r>
          </w:p>
        </w:tc>
        <w:tc>
          <w:tcPr>
            <w:tcW w:w="606" w:type="pct"/>
            <w:vAlign w:val="center"/>
          </w:tcPr>
          <w:p>
            <w:pPr>
              <w:pStyle w:val="39"/>
              <w:jc w:val="center"/>
            </w:pPr>
            <w:r>
              <w:rPr>
                <w:rFonts w:hint="eastAsia"/>
              </w:rPr>
              <w:t>/</w:t>
            </w:r>
          </w:p>
        </w:tc>
        <w:tc>
          <w:tcPr>
            <w:tcW w:w="612" w:type="pct"/>
            <w:vAlign w:val="center"/>
          </w:tcPr>
          <w:p>
            <w:pPr>
              <w:pStyle w:val="39"/>
              <w:jc w:val="center"/>
            </w:pPr>
            <w:r>
              <w:rPr>
                <w:rFonts w:hint="eastAsia"/>
              </w:rPr>
              <w:t>3</w:t>
            </w:r>
            <w:r>
              <w:t>t/a</w:t>
            </w:r>
          </w:p>
        </w:tc>
        <w:tc>
          <w:tcPr>
            <w:tcW w:w="459" w:type="pct"/>
            <w:vAlign w:val="center"/>
          </w:tcPr>
          <w:p>
            <w:pPr>
              <w:pStyle w:val="39"/>
              <w:jc w:val="center"/>
            </w:pPr>
            <w:r>
              <w:rPr>
                <w:rFonts w:hint="eastAsia"/>
              </w:rPr>
              <w:t>+3</w:t>
            </w:r>
            <w: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523" w:type="pct"/>
            <w:vAlign w:val="center"/>
          </w:tcPr>
          <w:p>
            <w:pPr>
              <w:pStyle w:val="39"/>
              <w:jc w:val="center"/>
            </w:pPr>
            <w:r>
              <w:rPr>
                <w:rFonts w:hint="eastAsia"/>
              </w:rPr>
              <w:t>生活垃圾</w:t>
            </w:r>
          </w:p>
        </w:tc>
        <w:tc>
          <w:tcPr>
            <w:tcW w:w="680" w:type="pct"/>
            <w:vAlign w:val="center"/>
          </w:tcPr>
          <w:p>
            <w:pPr>
              <w:pStyle w:val="39"/>
              <w:jc w:val="center"/>
            </w:pPr>
            <w:r>
              <w:rPr>
                <w:rFonts w:hint="eastAsia"/>
              </w:rPr>
              <w:t>生活垃圾</w:t>
            </w:r>
          </w:p>
        </w:tc>
        <w:tc>
          <w:tcPr>
            <w:tcW w:w="568" w:type="pct"/>
            <w:vAlign w:val="center"/>
          </w:tcPr>
          <w:p>
            <w:pPr>
              <w:pStyle w:val="39"/>
              <w:jc w:val="center"/>
            </w:pPr>
            <w:r>
              <w:t>/</w:t>
            </w:r>
          </w:p>
        </w:tc>
        <w:tc>
          <w:tcPr>
            <w:tcW w:w="412" w:type="pct"/>
            <w:vAlign w:val="center"/>
          </w:tcPr>
          <w:p>
            <w:pPr>
              <w:pStyle w:val="39"/>
              <w:jc w:val="center"/>
            </w:pPr>
            <w:r>
              <w:t>/</w:t>
            </w:r>
          </w:p>
        </w:tc>
        <w:tc>
          <w:tcPr>
            <w:tcW w:w="544" w:type="pct"/>
            <w:vAlign w:val="center"/>
          </w:tcPr>
          <w:p>
            <w:pPr>
              <w:pStyle w:val="39"/>
              <w:jc w:val="center"/>
            </w:pPr>
            <w:r>
              <w:t>/</w:t>
            </w:r>
          </w:p>
        </w:tc>
        <w:tc>
          <w:tcPr>
            <w:tcW w:w="592" w:type="pct"/>
            <w:vAlign w:val="center"/>
          </w:tcPr>
          <w:p>
            <w:pPr>
              <w:pStyle w:val="39"/>
              <w:jc w:val="center"/>
            </w:pPr>
            <w:r>
              <w:rPr>
                <w:rFonts w:hint="eastAsia"/>
              </w:rPr>
              <w:t>0.38</w:t>
            </w:r>
            <w:r>
              <w:t>t/a</w:t>
            </w:r>
          </w:p>
        </w:tc>
        <w:tc>
          <w:tcPr>
            <w:tcW w:w="606" w:type="pct"/>
            <w:vAlign w:val="center"/>
          </w:tcPr>
          <w:p>
            <w:pPr>
              <w:pStyle w:val="39"/>
              <w:jc w:val="center"/>
            </w:pPr>
            <w:r>
              <w:t>/</w:t>
            </w:r>
          </w:p>
        </w:tc>
        <w:tc>
          <w:tcPr>
            <w:tcW w:w="612" w:type="pct"/>
            <w:vAlign w:val="center"/>
          </w:tcPr>
          <w:p>
            <w:pPr>
              <w:pStyle w:val="39"/>
              <w:jc w:val="center"/>
            </w:pPr>
            <w:r>
              <w:rPr>
                <w:rFonts w:hint="eastAsia"/>
              </w:rPr>
              <w:t>0.38</w:t>
            </w:r>
            <w:r>
              <w:t>t/a</w:t>
            </w:r>
          </w:p>
        </w:tc>
        <w:tc>
          <w:tcPr>
            <w:tcW w:w="459" w:type="pct"/>
            <w:vAlign w:val="center"/>
          </w:tcPr>
          <w:p>
            <w:pPr>
              <w:pStyle w:val="39"/>
              <w:jc w:val="center"/>
            </w:pPr>
            <w:r>
              <w:rPr>
                <w:rFonts w:hint="eastAsia"/>
              </w:rPr>
              <w:t>+0.38</w:t>
            </w:r>
            <w: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523" w:type="pct"/>
            <w:vAlign w:val="center"/>
          </w:tcPr>
          <w:p>
            <w:pPr>
              <w:pStyle w:val="39"/>
              <w:jc w:val="center"/>
            </w:pPr>
            <w:r>
              <w:t>危险废物</w:t>
            </w:r>
          </w:p>
        </w:tc>
        <w:tc>
          <w:tcPr>
            <w:tcW w:w="680" w:type="pct"/>
            <w:vAlign w:val="center"/>
          </w:tcPr>
          <w:p>
            <w:pPr>
              <w:pStyle w:val="39"/>
              <w:jc w:val="center"/>
            </w:pPr>
            <w:r>
              <w:rPr>
                <w:rFonts w:hint="eastAsia"/>
              </w:rPr>
              <w:t>/</w:t>
            </w:r>
          </w:p>
        </w:tc>
        <w:tc>
          <w:tcPr>
            <w:tcW w:w="568" w:type="pct"/>
            <w:vAlign w:val="center"/>
          </w:tcPr>
          <w:p>
            <w:pPr>
              <w:pStyle w:val="39"/>
              <w:jc w:val="center"/>
            </w:pPr>
            <w:r>
              <w:t>/</w:t>
            </w:r>
          </w:p>
        </w:tc>
        <w:tc>
          <w:tcPr>
            <w:tcW w:w="412" w:type="pct"/>
            <w:vAlign w:val="center"/>
          </w:tcPr>
          <w:p>
            <w:pPr>
              <w:pStyle w:val="39"/>
              <w:jc w:val="center"/>
            </w:pPr>
            <w:r>
              <w:t>/</w:t>
            </w:r>
          </w:p>
        </w:tc>
        <w:tc>
          <w:tcPr>
            <w:tcW w:w="544" w:type="pct"/>
            <w:vAlign w:val="center"/>
          </w:tcPr>
          <w:p>
            <w:pPr>
              <w:pStyle w:val="39"/>
              <w:jc w:val="center"/>
            </w:pPr>
            <w:r>
              <w:t>/</w:t>
            </w:r>
          </w:p>
        </w:tc>
        <w:tc>
          <w:tcPr>
            <w:tcW w:w="592" w:type="pct"/>
            <w:vAlign w:val="center"/>
          </w:tcPr>
          <w:p>
            <w:pPr>
              <w:pStyle w:val="39"/>
              <w:jc w:val="center"/>
            </w:pPr>
            <w:r>
              <w:rPr>
                <w:rFonts w:hint="eastAsia"/>
              </w:rPr>
              <w:t>/</w:t>
            </w:r>
          </w:p>
        </w:tc>
        <w:tc>
          <w:tcPr>
            <w:tcW w:w="606" w:type="pct"/>
            <w:vAlign w:val="center"/>
          </w:tcPr>
          <w:p>
            <w:pPr>
              <w:pStyle w:val="39"/>
              <w:jc w:val="center"/>
            </w:pPr>
            <w:r>
              <w:t>/</w:t>
            </w:r>
          </w:p>
        </w:tc>
        <w:tc>
          <w:tcPr>
            <w:tcW w:w="612" w:type="pct"/>
            <w:vAlign w:val="center"/>
          </w:tcPr>
          <w:p>
            <w:pPr>
              <w:pStyle w:val="39"/>
              <w:jc w:val="center"/>
            </w:pPr>
            <w:r>
              <w:rPr>
                <w:rFonts w:hint="eastAsia"/>
              </w:rPr>
              <w:t>/</w:t>
            </w:r>
          </w:p>
        </w:tc>
        <w:tc>
          <w:tcPr>
            <w:tcW w:w="459" w:type="pct"/>
            <w:vAlign w:val="center"/>
          </w:tcPr>
          <w:p>
            <w:pPr>
              <w:pStyle w:val="39"/>
              <w:jc w:val="center"/>
            </w:pPr>
            <w:r>
              <w:rPr>
                <w:rFonts w:hint="eastAsia"/>
              </w:rPr>
              <w:t>/</w:t>
            </w:r>
          </w:p>
        </w:tc>
      </w:tr>
    </w:tbl>
    <w:p>
      <w:pPr>
        <w:spacing w:before="260" w:beforeLines="80" w:after="32" w:afterLines="10" w:line="259" w:lineRule="auto"/>
        <w:ind w:firstLine="480"/>
        <w:rPr>
          <w:rFonts w:ascii="宋体" w:hAnsi="宋体"/>
          <w:snapToGrid w:val="0"/>
          <w:spacing w:val="-6"/>
          <w:kern w:val="21"/>
          <w:szCs w:val="21"/>
        </w:rPr>
      </w:pPr>
      <w:r>
        <w:rPr>
          <w:rFonts w:ascii="宋体" w:hAnsi="宋体"/>
          <w:snapToGrid w:val="0"/>
          <w:kern w:val="21"/>
          <w:szCs w:val="21"/>
        </w:rPr>
        <w:t>注：</w:t>
      </w:r>
      <w:r>
        <w:rPr>
          <w:rFonts w:ascii="宋体" w:hAnsi="宋体"/>
          <w:snapToGrid w:val="0"/>
          <w:spacing w:val="-16"/>
          <w:kern w:val="21"/>
          <w:szCs w:val="21"/>
        </w:rPr>
        <w:fldChar w:fldCharType="begin"/>
      </w:r>
      <w:r>
        <w:rPr>
          <w:rFonts w:ascii="宋体" w:hAnsi="宋体"/>
          <w:snapToGrid w:val="0"/>
          <w:spacing w:val="-16"/>
          <w:kern w:val="21"/>
          <w:szCs w:val="21"/>
        </w:rPr>
        <w:instrText xml:space="preserve"> = 6 \* GB3 \* MERGEFORMAT </w:instrText>
      </w:r>
      <w:r>
        <w:rPr>
          <w:rFonts w:ascii="宋体" w:hAnsi="宋体"/>
          <w:snapToGrid w:val="0"/>
          <w:spacing w:val="-16"/>
          <w:kern w:val="21"/>
          <w:szCs w:val="21"/>
        </w:rPr>
        <w:fldChar w:fldCharType="separate"/>
      </w:r>
      <w:r>
        <w:rPr>
          <w:rFonts w:hint="eastAsia" w:ascii="宋体" w:hAnsi="宋体"/>
          <w:szCs w:val="21"/>
        </w:rPr>
        <w:t>⑥</w:t>
      </w:r>
      <w:r>
        <w:rPr>
          <w:rFonts w:ascii="宋体" w:hAnsi="宋体"/>
          <w:snapToGrid w:val="0"/>
          <w:spacing w:val="-16"/>
          <w:kern w:val="21"/>
          <w:szCs w:val="21"/>
        </w:rPr>
        <w:fldChar w:fldCharType="end"/>
      </w:r>
      <w:r>
        <w:rPr>
          <w:rFonts w:ascii="宋体" w:hAnsi="宋体"/>
          <w:snapToGrid w:val="0"/>
          <w:spacing w:val="-16"/>
          <w:kern w:val="21"/>
          <w:szCs w:val="21"/>
        </w:rPr>
        <w:t>=</w:t>
      </w:r>
      <w:r>
        <w:rPr>
          <w:rFonts w:ascii="宋体" w:hAnsi="宋体"/>
          <w:snapToGrid w:val="0"/>
          <w:spacing w:val="-6"/>
          <w:kern w:val="21"/>
          <w:szCs w:val="21"/>
        </w:rPr>
        <w:fldChar w:fldCharType="begin"/>
      </w:r>
      <w:r>
        <w:rPr>
          <w:rFonts w:ascii="宋体" w:hAnsi="宋体"/>
          <w:snapToGrid w:val="0"/>
          <w:spacing w:val="-6"/>
          <w:kern w:val="21"/>
          <w:szCs w:val="21"/>
        </w:rPr>
        <w:instrText xml:space="preserve"> = 1 \* GB3 \* MERGEFORMAT </w:instrText>
      </w:r>
      <w:r>
        <w:rPr>
          <w:rFonts w:ascii="宋体" w:hAnsi="宋体"/>
          <w:snapToGrid w:val="0"/>
          <w:spacing w:val="-6"/>
          <w:kern w:val="21"/>
          <w:szCs w:val="21"/>
        </w:rPr>
        <w:fldChar w:fldCharType="separate"/>
      </w:r>
      <w:r>
        <w:rPr>
          <w:rFonts w:hint="eastAsia" w:ascii="宋体" w:hAnsi="宋体"/>
          <w:szCs w:val="21"/>
        </w:rPr>
        <w:t>①</w:t>
      </w:r>
      <w:r>
        <w:rPr>
          <w:rFonts w:ascii="宋体" w:hAnsi="宋体"/>
          <w:snapToGrid w:val="0"/>
          <w:spacing w:val="-6"/>
          <w:kern w:val="21"/>
          <w:szCs w:val="21"/>
        </w:rPr>
        <w:fldChar w:fldCharType="end"/>
      </w:r>
      <w:r>
        <w:rPr>
          <w:rFonts w:ascii="宋体" w:hAnsi="宋体"/>
          <w:snapToGrid w:val="0"/>
          <w:spacing w:val="-6"/>
          <w:kern w:val="21"/>
          <w:szCs w:val="21"/>
        </w:rPr>
        <w:t>+</w:t>
      </w:r>
      <w:r>
        <w:rPr>
          <w:rFonts w:ascii="宋体" w:hAnsi="宋体"/>
          <w:snapToGrid w:val="0"/>
          <w:spacing w:val="-6"/>
          <w:kern w:val="21"/>
          <w:szCs w:val="21"/>
        </w:rPr>
        <w:fldChar w:fldCharType="begin"/>
      </w:r>
      <w:r>
        <w:rPr>
          <w:rFonts w:ascii="宋体" w:hAnsi="宋体"/>
          <w:snapToGrid w:val="0"/>
          <w:spacing w:val="-6"/>
          <w:kern w:val="21"/>
          <w:szCs w:val="21"/>
        </w:rPr>
        <w:instrText xml:space="preserve"> = 3 \* GB3 \* MERGEFORMAT </w:instrText>
      </w:r>
      <w:r>
        <w:rPr>
          <w:rFonts w:ascii="宋体" w:hAnsi="宋体"/>
          <w:snapToGrid w:val="0"/>
          <w:spacing w:val="-6"/>
          <w:kern w:val="21"/>
          <w:szCs w:val="21"/>
        </w:rPr>
        <w:fldChar w:fldCharType="separate"/>
      </w:r>
      <w:r>
        <w:rPr>
          <w:rFonts w:hint="eastAsia" w:ascii="宋体" w:hAnsi="宋体"/>
          <w:szCs w:val="21"/>
        </w:rPr>
        <w:t>③</w:t>
      </w:r>
      <w:r>
        <w:rPr>
          <w:rFonts w:ascii="宋体" w:hAnsi="宋体"/>
          <w:snapToGrid w:val="0"/>
          <w:spacing w:val="-6"/>
          <w:kern w:val="21"/>
          <w:szCs w:val="21"/>
        </w:rPr>
        <w:fldChar w:fldCharType="end"/>
      </w:r>
      <w:r>
        <w:rPr>
          <w:rFonts w:ascii="宋体" w:hAnsi="宋体"/>
          <w:snapToGrid w:val="0"/>
          <w:spacing w:val="-6"/>
          <w:kern w:val="21"/>
          <w:szCs w:val="21"/>
        </w:rPr>
        <w:t>+</w:t>
      </w:r>
      <w:r>
        <w:rPr>
          <w:rFonts w:ascii="宋体" w:hAnsi="宋体"/>
          <w:snapToGrid w:val="0"/>
          <w:spacing w:val="-6"/>
          <w:kern w:val="21"/>
          <w:szCs w:val="21"/>
        </w:rPr>
        <w:fldChar w:fldCharType="begin"/>
      </w:r>
      <w:r>
        <w:rPr>
          <w:rFonts w:ascii="宋体" w:hAnsi="宋体"/>
          <w:snapToGrid w:val="0"/>
          <w:spacing w:val="-6"/>
          <w:kern w:val="21"/>
          <w:szCs w:val="21"/>
        </w:rPr>
        <w:instrText xml:space="preserve"> = 4 \* GB3 \* MERGEFORMAT </w:instrText>
      </w:r>
      <w:r>
        <w:rPr>
          <w:rFonts w:ascii="宋体" w:hAnsi="宋体"/>
          <w:snapToGrid w:val="0"/>
          <w:spacing w:val="-6"/>
          <w:kern w:val="21"/>
          <w:szCs w:val="21"/>
        </w:rPr>
        <w:fldChar w:fldCharType="separate"/>
      </w:r>
      <w:r>
        <w:rPr>
          <w:rFonts w:hint="eastAsia" w:ascii="宋体" w:hAnsi="宋体"/>
          <w:szCs w:val="21"/>
        </w:rPr>
        <w:t>④</w:t>
      </w:r>
      <w:r>
        <w:rPr>
          <w:rFonts w:ascii="宋体" w:hAnsi="宋体"/>
          <w:snapToGrid w:val="0"/>
          <w:spacing w:val="-6"/>
          <w:kern w:val="21"/>
          <w:szCs w:val="21"/>
        </w:rPr>
        <w:fldChar w:fldCharType="end"/>
      </w:r>
      <w:r>
        <w:rPr>
          <w:rFonts w:ascii="宋体" w:hAnsi="宋体"/>
          <w:snapToGrid w:val="0"/>
          <w:spacing w:val="-6"/>
          <w:kern w:val="21"/>
          <w:szCs w:val="21"/>
        </w:rPr>
        <w:t>-</w:t>
      </w:r>
      <w:r>
        <w:rPr>
          <w:rFonts w:ascii="宋体" w:hAnsi="宋体"/>
          <w:snapToGrid w:val="0"/>
          <w:spacing w:val="-16"/>
          <w:kern w:val="21"/>
          <w:szCs w:val="21"/>
        </w:rPr>
        <w:fldChar w:fldCharType="begin"/>
      </w:r>
      <w:r>
        <w:rPr>
          <w:rFonts w:ascii="宋体" w:hAnsi="宋体"/>
          <w:snapToGrid w:val="0"/>
          <w:spacing w:val="-16"/>
          <w:kern w:val="21"/>
          <w:szCs w:val="21"/>
        </w:rPr>
        <w:instrText xml:space="preserve"> = 5 \* GB3 \* MERGEFORMAT </w:instrText>
      </w:r>
      <w:r>
        <w:rPr>
          <w:rFonts w:ascii="宋体" w:hAnsi="宋体"/>
          <w:snapToGrid w:val="0"/>
          <w:spacing w:val="-16"/>
          <w:kern w:val="21"/>
          <w:szCs w:val="21"/>
        </w:rPr>
        <w:fldChar w:fldCharType="separate"/>
      </w:r>
      <w:r>
        <w:rPr>
          <w:rFonts w:hint="eastAsia" w:ascii="宋体" w:hAnsi="宋体"/>
          <w:szCs w:val="21"/>
        </w:rPr>
        <w:t>⑤</w:t>
      </w:r>
      <w:r>
        <w:rPr>
          <w:rFonts w:ascii="宋体" w:hAnsi="宋体"/>
          <w:snapToGrid w:val="0"/>
          <w:spacing w:val="-16"/>
          <w:kern w:val="21"/>
          <w:szCs w:val="21"/>
        </w:rPr>
        <w:fldChar w:fldCharType="end"/>
      </w:r>
      <w:r>
        <w:rPr>
          <w:rFonts w:ascii="宋体" w:hAnsi="宋体"/>
          <w:snapToGrid w:val="0"/>
          <w:spacing w:val="-16"/>
          <w:kern w:val="21"/>
          <w:szCs w:val="21"/>
        </w:rPr>
        <w:t>；</w:t>
      </w:r>
      <w:r>
        <w:rPr>
          <w:rFonts w:ascii="宋体" w:hAnsi="宋体"/>
          <w:snapToGrid w:val="0"/>
          <w:spacing w:val="-6"/>
          <w:kern w:val="21"/>
          <w:szCs w:val="21"/>
        </w:rPr>
        <w:fldChar w:fldCharType="begin"/>
      </w:r>
      <w:r>
        <w:rPr>
          <w:rFonts w:ascii="宋体" w:hAnsi="宋体"/>
          <w:snapToGrid w:val="0"/>
          <w:spacing w:val="-6"/>
          <w:kern w:val="21"/>
          <w:szCs w:val="21"/>
        </w:rPr>
        <w:instrText xml:space="preserve"> = 7 \* GB3 \* MERGEFORMAT </w:instrText>
      </w:r>
      <w:r>
        <w:rPr>
          <w:rFonts w:ascii="宋体" w:hAnsi="宋体"/>
          <w:snapToGrid w:val="0"/>
          <w:spacing w:val="-6"/>
          <w:kern w:val="21"/>
          <w:szCs w:val="21"/>
        </w:rPr>
        <w:fldChar w:fldCharType="separate"/>
      </w:r>
      <w:r>
        <w:rPr>
          <w:rFonts w:hint="eastAsia" w:ascii="宋体" w:hAnsi="宋体"/>
          <w:szCs w:val="21"/>
        </w:rPr>
        <w:t>⑦</w:t>
      </w:r>
      <w:r>
        <w:rPr>
          <w:rFonts w:ascii="宋体" w:hAnsi="宋体"/>
          <w:snapToGrid w:val="0"/>
          <w:spacing w:val="-6"/>
          <w:kern w:val="21"/>
          <w:szCs w:val="21"/>
        </w:rPr>
        <w:fldChar w:fldCharType="end"/>
      </w:r>
      <w:r>
        <w:rPr>
          <w:rFonts w:ascii="宋体" w:hAnsi="宋体"/>
          <w:snapToGrid w:val="0"/>
          <w:spacing w:val="-6"/>
          <w:kern w:val="21"/>
          <w:szCs w:val="21"/>
        </w:rPr>
        <w:t>=</w:t>
      </w:r>
      <w:r>
        <w:rPr>
          <w:rFonts w:ascii="宋体" w:hAnsi="宋体"/>
          <w:snapToGrid w:val="0"/>
          <w:spacing w:val="-16"/>
          <w:kern w:val="21"/>
          <w:szCs w:val="21"/>
        </w:rPr>
        <w:fldChar w:fldCharType="begin"/>
      </w:r>
      <w:r>
        <w:rPr>
          <w:rFonts w:ascii="宋体" w:hAnsi="宋体"/>
          <w:snapToGrid w:val="0"/>
          <w:spacing w:val="-16"/>
          <w:kern w:val="21"/>
          <w:szCs w:val="21"/>
        </w:rPr>
        <w:instrText xml:space="preserve"> = 6 \* GB3 \* MERGEFORMAT </w:instrText>
      </w:r>
      <w:r>
        <w:rPr>
          <w:rFonts w:ascii="宋体" w:hAnsi="宋体"/>
          <w:snapToGrid w:val="0"/>
          <w:spacing w:val="-16"/>
          <w:kern w:val="21"/>
          <w:szCs w:val="21"/>
        </w:rPr>
        <w:fldChar w:fldCharType="separate"/>
      </w:r>
      <w:r>
        <w:rPr>
          <w:rFonts w:hint="eastAsia" w:ascii="宋体" w:hAnsi="宋体"/>
          <w:szCs w:val="21"/>
        </w:rPr>
        <w:t>⑥</w:t>
      </w:r>
      <w:r>
        <w:rPr>
          <w:rFonts w:ascii="宋体" w:hAnsi="宋体"/>
          <w:snapToGrid w:val="0"/>
          <w:spacing w:val="-16"/>
          <w:kern w:val="21"/>
          <w:szCs w:val="21"/>
        </w:rPr>
        <w:fldChar w:fldCharType="end"/>
      </w:r>
      <w:r>
        <w:rPr>
          <w:rFonts w:ascii="宋体" w:hAnsi="宋体"/>
          <w:snapToGrid w:val="0"/>
          <w:spacing w:val="-16"/>
          <w:kern w:val="21"/>
          <w:szCs w:val="21"/>
        </w:rPr>
        <w:t>-</w:t>
      </w:r>
      <w:r>
        <w:rPr>
          <w:rFonts w:ascii="宋体" w:hAnsi="宋体"/>
          <w:snapToGrid w:val="0"/>
          <w:spacing w:val="-6"/>
          <w:kern w:val="21"/>
          <w:szCs w:val="21"/>
        </w:rPr>
        <w:fldChar w:fldCharType="begin"/>
      </w:r>
      <w:r>
        <w:rPr>
          <w:rFonts w:ascii="宋体" w:hAnsi="宋体"/>
          <w:snapToGrid w:val="0"/>
          <w:spacing w:val="-6"/>
          <w:kern w:val="21"/>
          <w:szCs w:val="21"/>
        </w:rPr>
        <w:instrText xml:space="preserve"> = 1 \* GB3 \* MERGEFORMAT </w:instrText>
      </w:r>
      <w:r>
        <w:rPr>
          <w:rFonts w:ascii="宋体" w:hAnsi="宋体"/>
          <w:snapToGrid w:val="0"/>
          <w:spacing w:val="-6"/>
          <w:kern w:val="21"/>
          <w:szCs w:val="21"/>
        </w:rPr>
        <w:fldChar w:fldCharType="separate"/>
      </w:r>
      <w:r>
        <w:rPr>
          <w:rFonts w:hint="eastAsia" w:ascii="宋体" w:hAnsi="宋体"/>
          <w:szCs w:val="21"/>
        </w:rPr>
        <w:t>①</w:t>
      </w:r>
      <w:r>
        <w:rPr>
          <w:rFonts w:ascii="宋体" w:hAnsi="宋体"/>
          <w:snapToGrid w:val="0"/>
          <w:spacing w:val="-6"/>
          <w:kern w:val="21"/>
          <w:szCs w:val="21"/>
        </w:rPr>
        <w:fldChar w:fldCharType="end"/>
      </w:r>
      <w:r>
        <w:rPr>
          <w:rFonts w:hint="eastAsia" w:ascii="宋体" w:hAnsi="宋体"/>
          <w:snapToGrid w:val="0"/>
          <w:spacing w:val="-6"/>
          <w:kern w:val="21"/>
          <w:szCs w:val="21"/>
        </w:rPr>
        <w:t>。</w:t>
      </w:r>
    </w:p>
    <w:p>
      <w:pPr>
        <w:spacing w:before="260" w:beforeLines="80" w:after="32" w:afterLines="10" w:line="259" w:lineRule="auto"/>
        <w:ind w:firstLine="198" w:firstLineChars="87"/>
        <w:rPr>
          <w:rFonts w:ascii="宋体" w:hAnsi="宋体"/>
          <w:snapToGrid w:val="0"/>
          <w:spacing w:val="-6"/>
          <w:kern w:val="21"/>
          <w:szCs w:val="21"/>
        </w:rPr>
        <w:sectPr>
          <w:pgSz w:w="16838" w:h="11906" w:orient="landscape"/>
          <w:pgMar w:top="720" w:right="720" w:bottom="720" w:left="720" w:header="851" w:footer="850" w:gutter="0"/>
          <w:cols w:space="425" w:num="1"/>
          <w:docGrid w:type="lines" w:linePitch="326" w:charSpace="0"/>
        </w:sectPr>
      </w:pPr>
    </w:p>
    <w:p>
      <w:pPr>
        <w:pStyle w:val="3"/>
      </w:pPr>
      <w:bookmarkStart w:id="17" w:name="_Toc144507133"/>
      <w:r>
        <w:rPr>
          <w:rFonts w:hint="eastAsia"/>
        </w:rPr>
        <w:t>附图1项目地理位置图</w:t>
      </w:r>
      <w:bookmarkEnd w:id="17"/>
    </w:p>
    <w:p>
      <w:pPr>
        <w:ind w:firstLine="0" w:firstLineChars="0"/>
        <w:jc w:val="center"/>
        <w:sectPr>
          <w:pgSz w:w="16838" w:h="11906" w:orient="landscape"/>
          <w:pgMar w:top="720" w:right="720" w:bottom="720" w:left="720" w:header="851" w:footer="850" w:gutter="0"/>
          <w:cols w:space="425" w:num="1"/>
          <w:docGrid w:type="lines" w:linePitch="326" w:charSpace="0"/>
        </w:sectPr>
      </w:pPr>
      <w:r>
        <w:rPr>
          <w:sz w:val="20"/>
        </w:rPr>
        <mc:AlternateContent>
          <mc:Choice Requires="wps">
            <w:drawing>
              <wp:anchor distT="0" distB="0" distL="114300" distR="114300" simplePos="0" relativeHeight="251662336" behindDoc="0" locked="0" layoutInCell="1" allowOverlap="1">
                <wp:simplePos x="0" y="0"/>
                <wp:positionH relativeFrom="column">
                  <wp:posOffset>1874520</wp:posOffset>
                </wp:positionH>
                <wp:positionV relativeFrom="paragraph">
                  <wp:posOffset>1741170</wp:posOffset>
                </wp:positionV>
                <wp:extent cx="75565" cy="75565"/>
                <wp:effectExtent l="19050" t="21590" r="19685" b="17145"/>
                <wp:wrapNone/>
                <wp:docPr id="11" name="五角星 11"/>
                <wp:cNvGraphicFramePr/>
                <a:graphic xmlns:a="http://schemas.openxmlformats.org/drawingml/2006/main">
                  <a:graphicData uri="http://schemas.microsoft.com/office/word/2010/wordprocessingShape">
                    <wps:wsp>
                      <wps:cNvSpPr/>
                      <wps:spPr>
                        <a:xfrm>
                          <a:off x="2381250" y="2777490"/>
                          <a:ext cx="75565" cy="75565"/>
                        </a:xfrm>
                        <a:prstGeom prst="star5">
                          <a:avLst/>
                        </a:prstGeom>
                        <a:ln>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47.6pt;margin-top:137.1pt;height:5.95pt;width:5.95pt;z-index:251662336;v-text-anchor:middle;mso-width-relative:page;mso-height-relative:page;" fillcolor="#4472C4 [3204]" filled="t" stroked="t" coordsize="75565,75565" o:gfxdata="UEsDBAoAAAAAAIdO4kAAAAAAAAAAAAAAAAAEAAAAZHJzL1BLAwQUAAAACACHTuJA4Ce36tgAAAAL&#10;AQAADwAAAGRycy9kb3ducmV2LnhtbE2PO1PDMBCEe2b4D5pjho5IdsjLWE4RCEW6OAy0inWxDXp4&#10;JCUx/56jgm7vdmfvu3I9WsMuGGLvnYRsIoCha7zuXSvh7bB9WAKLSTmtjHco4RsjrKvbm1IV2l/d&#10;Hi91ahmVuFgoCV1KQ8F5bDq0Kk78gI68kw9WJRpDy3VQVyq3hudCzLlVvaMLnRpw02HzVZ+thJl+&#10;2Rr9uQntrn49vNc43T2PH1Le32XiCVjCMf2F4Ref0KEipqM/Ox2ZkZCvZjlFSSweSVBiKhYZsCNt&#10;lvMMeFXy/z9UP1BLAwQUAAAACACHTuJACiE6OH0CAAADBQAADgAAAGRycy9lMm9Eb2MueG1srVRL&#10;btswEN0X6B0I7hvZrhwlRuTAsJGiQNAESIuuaYqyCPBXkracHqPoorsse4eepyh6jD5KyrddZFEv&#10;6BnN6M3M4xudnO61Ijvhg7SmpOODESXCcFtJsynph/dnr44oCZGZiilrREmvRaCn85cvTlo3ExPb&#10;WFUJTwBiwqx1JW1idLMsC7wRmoUD64RBsLZeswjXb7LKsxboWmWT0egwa62vnLdchICnqz5IB0T/&#10;HEBb15KLleVbLUzsUb1QLGKk0EgX6Lzrtq4Fjxd1HUQkqqSYNHYnisBepzObn7DZxjPXSD60wJ7T&#10;wpOZNJMGRe+gViwysvXyLygtubfB1vGAW531g3SMYIrx6Ak3Vw1zopsFVAd3R3r4f7D83e7SE1lB&#10;CWNKDNO48Z8/vv7+/uXXtxuCZyCodWGGvCt36QcvwEzT7muv0z/mIPuSTl4fjSdTUHsNuyiK/Hgg&#10;WOwj4UgoptPDKSUc8d4EXnYP43yIb4TVJBklhQr9tGOV7c5D7HNvc1LZYJWszqRSneM366XyZMdw&#10;1XleTJZ5ah7wj9KUIS2GnRQj9MkZBFxDODC1AwnBbChhaoPN4NF3tR+9HZ5XJDW5YqHpm+kQeqVp&#10;GbE8SuqSHo3Sb2hRGXSaeO6ZTdbaVte4Gm97zQbHzyRgz1mIl8xDpOgfaxwvcNTKYig7WJQ01n/+&#10;1/OUD+0gSkkL0WPgT1vmBSXqrYGqjsd5DtjYOfm0mMDxDyPrhxGz1UsLsiEcdNeZKT+qW7P2Vn/E&#10;ti9SVYSY4ajdUzs4y9gvI74XXCwWXRo2w7F4bq4cT+Dpco1dbKOtZSeCe3YG0rAb3UUPe5yW76Hf&#10;Zd1/u+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OAnt+rYAAAACwEAAA8AAAAAAAAAAQAgAAAA&#10;IgAAAGRycy9kb3ducmV2LnhtbFBLAQIUABQAAAAIAIdO4kAKITo4fQIAAAMFAAAOAAAAAAAAAAEA&#10;IAAAACcBAABkcnMvZTJvRG9jLnhtbFBLBQYAAAAABgAGAFkBAAAWBgAAAAA=&#10;" path="m0,28863l28863,28863,37782,0,46701,28863,75564,28863,52213,46701,61133,75564,37782,57726,14431,75564,23351,46701xe">
                <v:path o:connectlocs="37782,0;0,28863;14431,75564;61133,75564;75564,28863" o:connectangles="247,164,82,82,0"/>
                <v:fill on="t" focussize="0,0"/>
                <v:stroke weight="1pt" color="#4472C4 [3204]" miterlimit="8" joinstyle="miter"/>
                <v:imagedata o:title=""/>
                <o:lock v:ext="edit" aspectratio="f"/>
              </v:shape>
            </w:pict>
          </mc:Fallback>
        </mc:AlternateContent>
      </w:r>
      <w:r>
        <w:rPr>
          <w:sz w:val="20"/>
        </w:rPr>
        <mc:AlternateContent>
          <mc:Choice Requires="wps">
            <w:drawing>
              <wp:anchor distT="0" distB="0" distL="114300" distR="114300" simplePos="0" relativeHeight="251660288" behindDoc="0" locked="0" layoutInCell="1" allowOverlap="1">
                <wp:simplePos x="0" y="0"/>
                <wp:positionH relativeFrom="column">
                  <wp:posOffset>2274570</wp:posOffset>
                </wp:positionH>
                <wp:positionV relativeFrom="paragraph">
                  <wp:posOffset>969010</wp:posOffset>
                </wp:positionV>
                <wp:extent cx="1022350" cy="562610"/>
                <wp:effectExtent l="364490" t="6350" r="22860" b="269240"/>
                <wp:wrapNone/>
                <wp:docPr id="6" name="矩形标注 6"/>
                <wp:cNvGraphicFramePr/>
                <a:graphic xmlns:a="http://schemas.openxmlformats.org/drawingml/2006/main">
                  <a:graphicData uri="http://schemas.microsoft.com/office/word/2010/wordprocessingShape">
                    <wps:wsp>
                      <wps:cNvSpPr/>
                      <wps:spPr>
                        <a:xfrm>
                          <a:off x="3004185" y="1589405"/>
                          <a:ext cx="1022350" cy="562610"/>
                        </a:xfrm>
                        <a:prstGeom prst="wedgeRectCallout">
                          <a:avLst>
                            <a:gd name="adj1" fmla="val -80931"/>
                            <a:gd name="adj2" fmla="val 91760"/>
                          </a:avLst>
                        </a:prstGeom>
                      </wps:spPr>
                      <wps:style>
                        <a:lnRef idx="2">
                          <a:schemeClr val="accent1">
                            <a:lumMod val="75000"/>
                          </a:schemeClr>
                        </a:lnRef>
                        <a:fillRef idx="1">
                          <a:schemeClr val="accent1"/>
                        </a:fillRef>
                        <a:effectRef idx="0">
                          <a:srgbClr val="FFFFFF"/>
                        </a:effectRef>
                        <a:fontRef idx="minor">
                          <a:schemeClr val="lt1"/>
                        </a:fontRef>
                      </wps:style>
                      <wps:txbx>
                        <w:txbxContent>
                          <w:p>
                            <w:pPr>
                              <w:ind w:firstLine="0" w:firstLineChars="0"/>
                            </w:pPr>
                            <w:r>
                              <w:rPr>
                                <w:rFonts w:hint="eastAsia"/>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79.1pt;margin-top:76.3pt;height:44.3pt;width:80.5pt;z-index:251660288;v-text-anchor:middle;mso-width-relative:page;mso-height-relative:page;" fillcolor="#4472C4 [3204]" filled="t" stroked="t" coordsize="21600,21600" o:gfxdata="UEsDBAoAAAAAAIdO4kAAAAAAAAAAAAAAAAAEAAAAZHJzL1BLAwQUAAAACACHTuJASMGsGtsAAAAL&#10;AQAADwAAAGRycy9kb3ducmV2LnhtbE2PTU/DMAyG70j8h8hI3FjaQKtRmu4whBAntDHxccsary00&#10;Tmmyrfv3mBMc7ffR68flYnK9OOAYOk8a0lkCAqn2tqNGw+bl4WoOIkRD1vSeUMMJAyyq87PSFNYf&#10;aYWHdWwEl1AojIY2xqGQMtQtOhNmfkDibOdHZyKPYyPtaI5c7nqpkiSXznTEF1oz4LLF+mu9dxqm&#10;J/+6et7k3an+VO+7x2X2dv/9ofXlRZrcgYg4xT8YfvVZHSp22vo92SB6DdfZXDHKQaZyEExk6S1v&#10;thrUTapAVqX8/0P1A1BLAwQUAAAACACHTuJAYGaGXs8CAACRBQAADgAAAGRycy9lMm9Eb2MueG1s&#10;rVTNbtQwEL4j8Q6W721+muyfmq1Wu1qEVOiKgjh7HWcT5D9s72bLC/AYIE5w5szjUF6DsZO225ZD&#10;D1ycmXj8zcw3P6dne8HRjhnbKFng5DjGiEmqykZuCvzu7fJohJF1RJaEK8kKfMUsPps+f3ba6glL&#10;Va14yQwCEGknrS5w7ZyeRJGlNRPEHivNJFxWygjiQDWbqDSkBXTBozSOB1GrTKmNosxa+LvoLnGP&#10;aJ4CqKqqoWyh6FYw6TpUwzhxkJKtG23xNERbVYy6i6qyzCFeYMjUhROcgLz2ZzQ9JZONIbpuaB8C&#10;eUoID3ISpJHg9BZqQRxBW9M8ghINNcqqyh1TJaIukcAIZJHED7i5rIlmIReg2upb0u3/g6WvdyuD&#10;mrLAA4wkEVDwP19+/P717frr5+uf39HAM9RqOwHDS70yvWZB9OnuKyP8FxJB+wKfxHGWjHKMrqCz&#10;8tE4i/OOYbZ3iIJBEqfpSQ7kU7DIB+kgCSWI7pC0se4FUwJ5ocAtKzfsDZRxTjhXWxdIJrtz6wLb&#10;ZR8zKT8kGFWCQ/F2hKOjUTw+SfrqHhilh0bjZDi4cd9DQiA3AXh8q3hTLhvOg2I26zk3CPALnGXD&#10;dJ55B/DknhmXqIVE02Hs0yQwIRV0JohCA8tWbjAifAOjR50J2dx7bQ+dpMs8Hw+DEd+KV6rsfA/z&#10;GLB715394zB8Ggti6+5J8NHRIRoH88sbUeAR4NwicQkgvtJdbb3k9ut9X/C1Kq+gUYzqJshqumzA&#10;wzmxbkUMsA7JwlJxF3BUXAEDqpcwqpX59K//3h46GW4xamEEgZ2PW2IYRvylhB4fJ1kGsC4oWT5M&#10;QTGHN+vDG7kVcwWVgT6A6ILo7R2/ESujxHvYPTPvFa6IpOC7q0OvzF23GmB7UTabBTOYU03cubzU&#10;1IP7TpBqtnWqapyvgSeqY6dXYFJDOfqt4lfBoR6s7jbp9C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Iwawa2wAAAAsBAAAPAAAAAAAAAAEAIAAAACIAAABkcnMvZG93bnJldi54bWxQSwECFAAUAAAA&#10;CACHTuJAYGaGXs8CAACRBQAADgAAAAAAAAABACAAAAAqAQAAZHJzL2Uyb0RvYy54bWxQSwUGAAAA&#10;AAYABgBZAQAAawYAAAAA&#10;" adj="-6681,30620">
                <v:fill on="t" focussize="0,0"/>
                <v:stroke weight="1pt" color="#2F5597 [2404]" miterlimit="8" joinstyle="miter"/>
                <v:imagedata o:title=""/>
                <o:lock v:ext="edit" aspectratio="f"/>
                <v:textbox>
                  <w:txbxContent>
                    <w:p>
                      <w:pPr>
                        <w:ind w:firstLine="0" w:firstLineChars="0"/>
                      </w:pPr>
                      <w:r>
                        <w:rPr>
                          <w:rFonts w:hint="eastAsia"/>
                        </w:rPr>
                        <w:t>本项目位置</w:t>
                      </w:r>
                    </w:p>
                  </w:txbxContent>
                </v:textbox>
              </v:shape>
            </w:pict>
          </mc:Fallback>
        </mc:AlternateContent>
      </w:r>
      <w:r>
        <w:rPr>
          <w:rFonts w:hint="eastAsia"/>
        </w:rPr>
        <w:drawing>
          <wp:inline distT="0" distB="0" distL="114300" distR="114300">
            <wp:extent cx="9156700" cy="5600700"/>
            <wp:effectExtent l="0" t="0" r="6350" b="0"/>
            <wp:docPr id="10" name="图片 1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
                    <pic:cNvPicPr>
                      <a:picLocks noChangeAspect="1"/>
                    </pic:cNvPicPr>
                  </pic:nvPicPr>
                  <pic:blipFill>
                    <a:blip r:embed="rId70"/>
                    <a:stretch>
                      <a:fillRect/>
                    </a:stretch>
                  </pic:blipFill>
                  <pic:spPr>
                    <a:xfrm>
                      <a:off x="0" y="0"/>
                      <a:ext cx="9156700" cy="5600700"/>
                    </a:xfrm>
                    <a:prstGeom prst="rect">
                      <a:avLst/>
                    </a:prstGeom>
                  </pic:spPr>
                </pic:pic>
              </a:graphicData>
            </a:graphic>
          </wp:inline>
        </w:drawing>
      </w:r>
    </w:p>
    <w:p>
      <w:pPr>
        <w:pStyle w:val="25"/>
        <w:jc w:val="both"/>
        <w:rPr>
          <w:snapToGrid w:val="0"/>
        </w:rPr>
        <w:sectPr>
          <w:pgSz w:w="11906" w:h="16838"/>
          <w:pgMar w:top="1440" w:right="1800" w:bottom="1440" w:left="1800" w:header="851" w:footer="992" w:gutter="0"/>
          <w:cols w:space="425" w:num="1"/>
          <w:docGrid w:type="lines" w:linePitch="326" w:charSpace="0"/>
        </w:sectPr>
      </w:pPr>
    </w:p>
    <w:p>
      <w:pPr>
        <w:ind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方正小标宋_GBK">
    <w:altName w:val="微软雅黑"/>
    <w:panose1 w:val="00000000000000000000"/>
    <w:charset w:val="86"/>
    <w:family w:val="script"/>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0829519"/>
    </w:sdtPr>
    <w:sdtContent>
      <w:p>
        <w:pPr>
          <w:pStyle w:val="12"/>
          <w:ind w:firstLine="360"/>
          <w:jc w:val="center"/>
        </w:pPr>
        <w:r>
          <w:fldChar w:fldCharType="begin"/>
        </w:r>
        <w:r>
          <w:instrText xml:space="preserve">PAGE   \* MERGEFORMAT</w:instrText>
        </w:r>
        <w:r>
          <w:fldChar w:fldCharType="separate"/>
        </w:r>
        <w:r>
          <w:rPr>
            <w:lang w:val="zh-CN"/>
          </w:rPr>
          <w:t>58</w:t>
        </w:r>
        <w:r>
          <w:rPr>
            <w:lang w:val="zh-CN"/>
          </w:rPr>
          <w:fldChar w:fldCharType="end"/>
        </w:r>
      </w:p>
    </w:sdtContent>
  </w:sdt>
  <w:p>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8641253"/>
    </w:sdtPr>
    <w:sdtContent>
      <w:p>
        <w:pPr>
          <w:pStyle w:val="12"/>
          <w:ind w:firstLine="360"/>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spacing w:line="240" w:lineRule="auto"/>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68944"/>
    <w:multiLevelType w:val="singleLevel"/>
    <w:tmpl w:val="DC36894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1MzQ5YjJjYTY4ZmZjN2I1YmFhNzM4MjFjYTdlY2IifQ=="/>
  </w:docVars>
  <w:rsids>
    <w:rsidRoot w:val="00252C8D"/>
    <w:rsid w:val="00000A9A"/>
    <w:rsid w:val="00002B44"/>
    <w:rsid w:val="00005DEA"/>
    <w:rsid w:val="00007BA4"/>
    <w:rsid w:val="00007BDE"/>
    <w:rsid w:val="00007E1B"/>
    <w:rsid w:val="00007F98"/>
    <w:rsid w:val="00011290"/>
    <w:rsid w:val="00011DDC"/>
    <w:rsid w:val="00016A35"/>
    <w:rsid w:val="00017533"/>
    <w:rsid w:val="00017C9A"/>
    <w:rsid w:val="00021F58"/>
    <w:rsid w:val="000224C6"/>
    <w:rsid w:val="00024D1A"/>
    <w:rsid w:val="0002538D"/>
    <w:rsid w:val="0002590E"/>
    <w:rsid w:val="000260A9"/>
    <w:rsid w:val="000268C1"/>
    <w:rsid w:val="000272F4"/>
    <w:rsid w:val="000305B4"/>
    <w:rsid w:val="0003187C"/>
    <w:rsid w:val="0003357C"/>
    <w:rsid w:val="00037D0E"/>
    <w:rsid w:val="00042379"/>
    <w:rsid w:val="00042EB9"/>
    <w:rsid w:val="00044F38"/>
    <w:rsid w:val="00045BF9"/>
    <w:rsid w:val="00050370"/>
    <w:rsid w:val="00050499"/>
    <w:rsid w:val="00051FB3"/>
    <w:rsid w:val="000529EA"/>
    <w:rsid w:val="00053BC9"/>
    <w:rsid w:val="00054C05"/>
    <w:rsid w:val="000563D7"/>
    <w:rsid w:val="00056A8F"/>
    <w:rsid w:val="00056E0B"/>
    <w:rsid w:val="00060CD0"/>
    <w:rsid w:val="000636FC"/>
    <w:rsid w:val="0006455A"/>
    <w:rsid w:val="000646CA"/>
    <w:rsid w:val="0006547D"/>
    <w:rsid w:val="00065A65"/>
    <w:rsid w:val="000662EA"/>
    <w:rsid w:val="000669B4"/>
    <w:rsid w:val="000669EF"/>
    <w:rsid w:val="00070E76"/>
    <w:rsid w:val="000712BF"/>
    <w:rsid w:val="00072A17"/>
    <w:rsid w:val="00073CBE"/>
    <w:rsid w:val="000748DC"/>
    <w:rsid w:val="00075CFA"/>
    <w:rsid w:val="000761C2"/>
    <w:rsid w:val="000777AE"/>
    <w:rsid w:val="00077D7A"/>
    <w:rsid w:val="00082251"/>
    <w:rsid w:val="00087D33"/>
    <w:rsid w:val="00092F24"/>
    <w:rsid w:val="000941FE"/>
    <w:rsid w:val="000963B5"/>
    <w:rsid w:val="0009695D"/>
    <w:rsid w:val="00097F73"/>
    <w:rsid w:val="000A0623"/>
    <w:rsid w:val="000A1638"/>
    <w:rsid w:val="000A4706"/>
    <w:rsid w:val="000A71F0"/>
    <w:rsid w:val="000A75EB"/>
    <w:rsid w:val="000B0179"/>
    <w:rsid w:val="000B35ED"/>
    <w:rsid w:val="000B3A4A"/>
    <w:rsid w:val="000B4216"/>
    <w:rsid w:val="000B4BC7"/>
    <w:rsid w:val="000B7640"/>
    <w:rsid w:val="000C127B"/>
    <w:rsid w:val="000C1292"/>
    <w:rsid w:val="000C1406"/>
    <w:rsid w:val="000C2254"/>
    <w:rsid w:val="000C316A"/>
    <w:rsid w:val="000C479D"/>
    <w:rsid w:val="000C4CEC"/>
    <w:rsid w:val="000C5940"/>
    <w:rsid w:val="000C6471"/>
    <w:rsid w:val="000C77C2"/>
    <w:rsid w:val="000C7A73"/>
    <w:rsid w:val="000C7E95"/>
    <w:rsid w:val="000D2FB6"/>
    <w:rsid w:val="000D390D"/>
    <w:rsid w:val="000D3E59"/>
    <w:rsid w:val="000D4318"/>
    <w:rsid w:val="000D4CDA"/>
    <w:rsid w:val="000D4DDB"/>
    <w:rsid w:val="000D5C4B"/>
    <w:rsid w:val="000D61FE"/>
    <w:rsid w:val="000D6371"/>
    <w:rsid w:val="000E414E"/>
    <w:rsid w:val="000E69CB"/>
    <w:rsid w:val="000E73B6"/>
    <w:rsid w:val="000E7684"/>
    <w:rsid w:val="000F101F"/>
    <w:rsid w:val="000F1E7D"/>
    <w:rsid w:val="000F2F45"/>
    <w:rsid w:val="000F37AF"/>
    <w:rsid w:val="000F5075"/>
    <w:rsid w:val="000F68FB"/>
    <w:rsid w:val="001010F4"/>
    <w:rsid w:val="00101FB5"/>
    <w:rsid w:val="00102138"/>
    <w:rsid w:val="00102944"/>
    <w:rsid w:val="00103C44"/>
    <w:rsid w:val="00105B4A"/>
    <w:rsid w:val="0011065F"/>
    <w:rsid w:val="00113412"/>
    <w:rsid w:val="001146C8"/>
    <w:rsid w:val="001154CB"/>
    <w:rsid w:val="001164DA"/>
    <w:rsid w:val="00116B37"/>
    <w:rsid w:val="001171B9"/>
    <w:rsid w:val="00117571"/>
    <w:rsid w:val="00117799"/>
    <w:rsid w:val="00117A43"/>
    <w:rsid w:val="00117EC0"/>
    <w:rsid w:val="0012000A"/>
    <w:rsid w:val="00120BAF"/>
    <w:rsid w:val="00120E58"/>
    <w:rsid w:val="001216B9"/>
    <w:rsid w:val="00122327"/>
    <w:rsid w:val="001223CF"/>
    <w:rsid w:val="00122ABB"/>
    <w:rsid w:val="001230C3"/>
    <w:rsid w:val="00124087"/>
    <w:rsid w:val="001240E7"/>
    <w:rsid w:val="00124B13"/>
    <w:rsid w:val="00125563"/>
    <w:rsid w:val="001270A1"/>
    <w:rsid w:val="0013280F"/>
    <w:rsid w:val="00132E8D"/>
    <w:rsid w:val="001330C8"/>
    <w:rsid w:val="00133BB7"/>
    <w:rsid w:val="001353D8"/>
    <w:rsid w:val="001379B0"/>
    <w:rsid w:val="00140C7C"/>
    <w:rsid w:val="001410A2"/>
    <w:rsid w:val="00141FFC"/>
    <w:rsid w:val="00142788"/>
    <w:rsid w:val="00145303"/>
    <w:rsid w:val="00146AB1"/>
    <w:rsid w:val="00150A1D"/>
    <w:rsid w:val="0015306A"/>
    <w:rsid w:val="001542C9"/>
    <w:rsid w:val="001557A9"/>
    <w:rsid w:val="00155C6F"/>
    <w:rsid w:val="00161ED4"/>
    <w:rsid w:val="00162013"/>
    <w:rsid w:val="00165BBC"/>
    <w:rsid w:val="00167601"/>
    <w:rsid w:val="00167C85"/>
    <w:rsid w:val="00171003"/>
    <w:rsid w:val="00171473"/>
    <w:rsid w:val="00173D60"/>
    <w:rsid w:val="00174517"/>
    <w:rsid w:val="00174E39"/>
    <w:rsid w:val="001767A6"/>
    <w:rsid w:val="001767E3"/>
    <w:rsid w:val="0017729A"/>
    <w:rsid w:val="0018059B"/>
    <w:rsid w:val="001809F9"/>
    <w:rsid w:val="001834FA"/>
    <w:rsid w:val="0018402A"/>
    <w:rsid w:val="001861A5"/>
    <w:rsid w:val="00186AEC"/>
    <w:rsid w:val="00190230"/>
    <w:rsid w:val="001925C0"/>
    <w:rsid w:val="00192FC1"/>
    <w:rsid w:val="0019395C"/>
    <w:rsid w:val="00193B8D"/>
    <w:rsid w:val="001954D3"/>
    <w:rsid w:val="00195E16"/>
    <w:rsid w:val="00195FBF"/>
    <w:rsid w:val="00196309"/>
    <w:rsid w:val="00196A1F"/>
    <w:rsid w:val="001A135F"/>
    <w:rsid w:val="001A31D6"/>
    <w:rsid w:val="001A5365"/>
    <w:rsid w:val="001A6152"/>
    <w:rsid w:val="001A6162"/>
    <w:rsid w:val="001A6D71"/>
    <w:rsid w:val="001B1AEA"/>
    <w:rsid w:val="001B2F70"/>
    <w:rsid w:val="001B3CF2"/>
    <w:rsid w:val="001B47BE"/>
    <w:rsid w:val="001B57D1"/>
    <w:rsid w:val="001B6643"/>
    <w:rsid w:val="001C28A6"/>
    <w:rsid w:val="001C50B1"/>
    <w:rsid w:val="001C7A56"/>
    <w:rsid w:val="001D18B9"/>
    <w:rsid w:val="001D1BB8"/>
    <w:rsid w:val="001D37B9"/>
    <w:rsid w:val="001D5084"/>
    <w:rsid w:val="001D5F11"/>
    <w:rsid w:val="001D6614"/>
    <w:rsid w:val="001D7915"/>
    <w:rsid w:val="001E0F51"/>
    <w:rsid w:val="001E1982"/>
    <w:rsid w:val="001E314D"/>
    <w:rsid w:val="001E4786"/>
    <w:rsid w:val="001E5F09"/>
    <w:rsid w:val="001E6560"/>
    <w:rsid w:val="001F0015"/>
    <w:rsid w:val="001F0468"/>
    <w:rsid w:val="001F0A43"/>
    <w:rsid w:val="001F0E6A"/>
    <w:rsid w:val="001F0E70"/>
    <w:rsid w:val="001F1040"/>
    <w:rsid w:val="001F1221"/>
    <w:rsid w:val="001F2449"/>
    <w:rsid w:val="001F2AF2"/>
    <w:rsid w:val="001F524A"/>
    <w:rsid w:val="001F6671"/>
    <w:rsid w:val="00200281"/>
    <w:rsid w:val="00201103"/>
    <w:rsid w:val="00202587"/>
    <w:rsid w:val="00202ACD"/>
    <w:rsid w:val="002038D0"/>
    <w:rsid w:val="00203A16"/>
    <w:rsid w:val="00204394"/>
    <w:rsid w:val="00204AAF"/>
    <w:rsid w:val="002108E5"/>
    <w:rsid w:val="0021180B"/>
    <w:rsid w:val="00212DE0"/>
    <w:rsid w:val="00213106"/>
    <w:rsid w:val="0021420D"/>
    <w:rsid w:val="002151C7"/>
    <w:rsid w:val="00216B81"/>
    <w:rsid w:val="00220EF4"/>
    <w:rsid w:val="0022137F"/>
    <w:rsid w:val="0022250F"/>
    <w:rsid w:val="00223EF9"/>
    <w:rsid w:val="00227E0C"/>
    <w:rsid w:val="002311C9"/>
    <w:rsid w:val="002335C6"/>
    <w:rsid w:val="00233E8F"/>
    <w:rsid w:val="00234698"/>
    <w:rsid w:val="00235C83"/>
    <w:rsid w:val="002360D1"/>
    <w:rsid w:val="0023638E"/>
    <w:rsid w:val="00236861"/>
    <w:rsid w:val="00237F38"/>
    <w:rsid w:val="00240A80"/>
    <w:rsid w:val="00240DAA"/>
    <w:rsid w:val="0024370C"/>
    <w:rsid w:val="00244090"/>
    <w:rsid w:val="002441E2"/>
    <w:rsid w:val="00246EAC"/>
    <w:rsid w:val="002505C5"/>
    <w:rsid w:val="00252515"/>
    <w:rsid w:val="00252C8D"/>
    <w:rsid w:val="0025638C"/>
    <w:rsid w:val="00256C01"/>
    <w:rsid w:val="002576BE"/>
    <w:rsid w:val="00257AE5"/>
    <w:rsid w:val="00261296"/>
    <w:rsid w:val="00262A62"/>
    <w:rsid w:val="00263EB6"/>
    <w:rsid w:val="002644DF"/>
    <w:rsid w:val="00266051"/>
    <w:rsid w:val="00270669"/>
    <w:rsid w:val="00270AC3"/>
    <w:rsid w:val="0027157C"/>
    <w:rsid w:val="00272048"/>
    <w:rsid w:val="00273869"/>
    <w:rsid w:val="002744BD"/>
    <w:rsid w:val="002744CF"/>
    <w:rsid w:val="00275BF9"/>
    <w:rsid w:val="00281603"/>
    <w:rsid w:val="00283F94"/>
    <w:rsid w:val="00290B18"/>
    <w:rsid w:val="00291E8F"/>
    <w:rsid w:val="00292639"/>
    <w:rsid w:val="00297C36"/>
    <w:rsid w:val="002A2507"/>
    <w:rsid w:val="002A5D91"/>
    <w:rsid w:val="002A61AB"/>
    <w:rsid w:val="002A627C"/>
    <w:rsid w:val="002B2A69"/>
    <w:rsid w:val="002B3935"/>
    <w:rsid w:val="002C06ED"/>
    <w:rsid w:val="002C1552"/>
    <w:rsid w:val="002C18DD"/>
    <w:rsid w:val="002C2DDD"/>
    <w:rsid w:val="002C33BE"/>
    <w:rsid w:val="002C534C"/>
    <w:rsid w:val="002C61EF"/>
    <w:rsid w:val="002C7BE1"/>
    <w:rsid w:val="002D02B6"/>
    <w:rsid w:val="002D097E"/>
    <w:rsid w:val="002D0AFB"/>
    <w:rsid w:val="002D18F3"/>
    <w:rsid w:val="002D239B"/>
    <w:rsid w:val="002D29E4"/>
    <w:rsid w:val="002D5579"/>
    <w:rsid w:val="002D6CB6"/>
    <w:rsid w:val="002E098B"/>
    <w:rsid w:val="002E13C4"/>
    <w:rsid w:val="002E1C55"/>
    <w:rsid w:val="002E23E1"/>
    <w:rsid w:val="002E3219"/>
    <w:rsid w:val="002E5896"/>
    <w:rsid w:val="002E60F6"/>
    <w:rsid w:val="002F25E1"/>
    <w:rsid w:val="002F2973"/>
    <w:rsid w:val="002F3DF8"/>
    <w:rsid w:val="002F4024"/>
    <w:rsid w:val="002F4700"/>
    <w:rsid w:val="002F64F0"/>
    <w:rsid w:val="002F69B6"/>
    <w:rsid w:val="003002F9"/>
    <w:rsid w:val="003025AC"/>
    <w:rsid w:val="0030262B"/>
    <w:rsid w:val="00302BBC"/>
    <w:rsid w:val="00302C95"/>
    <w:rsid w:val="00303F9D"/>
    <w:rsid w:val="00304C0A"/>
    <w:rsid w:val="003062FC"/>
    <w:rsid w:val="00306BAD"/>
    <w:rsid w:val="00307660"/>
    <w:rsid w:val="00310089"/>
    <w:rsid w:val="00311299"/>
    <w:rsid w:val="003117EA"/>
    <w:rsid w:val="00311C6E"/>
    <w:rsid w:val="00312180"/>
    <w:rsid w:val="003128EB"/>
    <w:rsid w:val="00312B0B"/>
    <w:rsid w:val="00316843"/>
    <w:rsid w:val="0031774B"/>
    <w:rsid w:val="0031784B"/>
    <w:rsid w:val="0032082B"/>
    <w:rsid w:val="00322CDA"/>
    <w:rsid w:val="00323283"/>
    <w:rsid w:val="00324253"/>
    <w:rsid w:val="003265E6"/>
    <w:rsid w:val="00326CEC"/>
    <w:rsid w:val="003276FE"/>
    <w:rsid w:val="00330DC3"/>
    <w:rsid w:val="00332498"/>
    <w:rsid w:val="0033353C"/>
    <w:rsid w:val="003346AD"/>
    <w:rsid w:val="003354D1"/>
    <w:rsid w:val="00337020"/>
    <w:rsid w:val="003421BA"/>
    <w:rsid w:val="0034298E"/>
    <w:rsid w:val="003429DA"/>
    <w:rsid w:val="003507E8"/>
    <w:rsid w:val="00353AEA"/>
    <w:rsid w:val="003555E2"/>
    <w:rsid w:val="0035570B"/>
    <w:rsid w:val="00355849"/>
    <w:rsid w:val="00360D18"/>
    <w:rsid w:val="00360E5B"/>
    <w:rsid w:val="00361B9E"/>
    <w:rsid w:val="003631FD"/>
    <w:rsid w:val="00363324"/>
    <w:rsid w:val="00367F58"/>
    <w:rsid w:val="0037118B"/>
    <w:rsid w:val="00372B4B"/>
    <w:rsid w:val="00374586"/>
    <w:rsid w:val="00374EEB"/>
    <w:rsid w:val="0037653C"/>
    <w:rsid w:val="0037662F"/>
    <w:rsid w:val="00380C67"/>
    <w:rsid w:val="00381A9F"/>
    <w:rsid w:val="00381FCE"/>
    <w:rsid w:val="00382633"/>
    <w:rsid w:val="003854EF"/>
    <w:rsid w:val="00385522"/>
    <w:rsid w:val="00386019"/>
    <w:rsid w:val="00386E5A"/>
    <w:rsid w:val="00386F2C"/>
    <w:rsid w:val="003914DA"/>
    <w:rsid w:val="00391871"/>
    <w:rsid w:val="003936D1"/>
    <w:rsid w:val="00393C4B"/>
    <w:rsid w:val="00394A90"/>
    <w:rsid w:val="003956A3"/>
    <w:rsid w:val="00396EFB"/>
    <w:rsid w:val="003970CD"/>
    <w:rsid w:val="003975A5"/>
    <w:rsid w:val="003A03D9"/>
    <w:rsid w:val="003A6164"/>
    <w:rsid w:val="003A718D"/>
    <w:rsid w:val="003A7F72"/>
    <w:rsid w:val="003B2662"/>
    <w:rsid w:val="003B2C77"/>
    <w:rsid w:val="003B4237"/>
    <w:rsid w:val="003B6D12"/>
    <w:rsid w:val="003B6FF0"/>
    <w:rsid w:val="003C0695"/>
    <w:rsid w:val="003C1E06"/>
    <w:rsid w:val="003C31C6"/>
    <w:rsid w:val="003C4A95"/>
    <w:rsid w:val="003C4F4E"/>
    <w:rsid w:val="003C622A"/>
    <w:rsid w:val="003C7E46"/>
    <w:rsid w:val="003D07CA"/>
    <w:rsid w:val="003D19EF"/>
    <w:rsid w:val="003D3A4D"/>
    <w:rsid w:val="003D43C5"/>
    <w:rsid w:val="003D59F7"/>
    <w:rsid w:val="003D7023"/>
    <w:rsid w:val="003E0445"/>
    <w:rsid w:val="003E0CF1"/>
    <w:rsid w:val="003E159B"/>
    <w:rsid w:val="003E5002"/>
    <w:rsid w:val="003F0F40"/>
    <w:rsid w:val="003F2176"/>
    <w:rsid w:val="003F25AD"/>
    <w:rsid w:val="003F3065"/>
    <w:rsid w:val="003F5613"/>
    <w:rsid w:val="003F6892"/>
    <w:rsid w:val="00400348"/>
    <w:rsid w:val="004004A3"/>
    <w:rsid w:val="00401C3E"/>
    <w:rsid w:val="00403618"/>
    <w:rsid w:val="004040A2"/>
    <w:rsid w:val="00405E42"/>
    <w:rsid w:val="00406D35"/>
    <w:rsid w:val="00410220"/>
    <w:rsid w:val="00412276"/>
    <w:rsid w:val="004125B0"/>
    <w:rsid w:val="0041444D"/>
    <w:rsid w:val="00415B61"/>
    <w:rsid w:val="00415C77"/>
    <w:rsid w:val="00416708"/>
    <w:rsid w:val="00417D52"/>
    <w:rsid w:val="004203B4"/>
    <w:rsid w:val="00420844"/>
    <w:rsid w:val="004220D2"/>
    <w:rsid w:val="004224CB"/>
    <w:rsid w:val="00423209"/>
    <w:rsid w:val="00423FD5"/>
    <w:rsid w:val="00425430"/>
    <w:rsid w:val="00425AAB"/>
    <w:rsid w:val="00425EA4"/>
    <w:rsid w:val="00426DB5"/>
    <w:rsid w:val="00430921"/>
    <w:rsid w:val="0043223A"/>
    <w:rsid w:val="00432603"/>
    <w:rsid w:val="004328DB"/>
    <w:rsid w:val="00433201"/>
    <w:rsid w:val="004341A1"/>
    <w:rsid w:val="00434A42"/>
    <w:rsid w:val="004356AA"/>
    <w:rsid w:val="00436E0A"/>
    <w:rsid w:val="00441C10"/>
    <w:rsid w:val="00443354"/>
    <w:rsid w:val="00445407"/>
    <w:rsid w:val="00445A3E"/>
    <w:rsid w:val="004460CA"/>
    <w:rsid w:val="00450117"/>
    <w:rsid w:val="00453405"/>
    <w:rsid w:val="00455887"/>
    <w:rsid w:val="004558C2"/>
    <w:rsid w:val="00456786"/>
    <w:rsid w:val="0046046B"/>
    <w:rsid w:val="00463662"/>
    <w:rsid w:val="00463791"/>
    <w:rsid w:val="00467447"/>
    <w:rsid w:val="004677B9"/>
    <w:rsid w:val="004742D3"/>
    <w:rsid w:val="00476268"/>
    <w:rsid w:val="00480361"/>
    <w:rsid w:val="00481630"/>
    <w:rsid w:val="004829C9"/>
    <w:rsid w:val="0048390B"/>
    <w:rsid w:val="0048414F"/>
    <w:rsid w:val="0048451A"/>
    <w:rsid w:val="00486D20"/>
    <w:rsid w:val="0049053F"/>
    <w:rsid w:val="00493381"/>
    <w:rsid w:val="004943DE"/>
    <w:rsid w:val="00495F31"/>
    <w:rsid w:val="004977A2"/>
    <w:rsid w:val="004979EB"/>
    <w:rsid w:val="004A0E6D"/>
    <w:rsid w:val="004A115A"/>
    <w:rsid w:val="004A1E24"/>
    <w:rsid w:val="004A242D"/>
    <w:rsid w:val="004A2C7F"/>
    <w:rsid w:val="004A59CF"/>
    <w:rsid w:val="004A6B63"/>
    <w:rsid w:val="004B0E6E"/>
    <w:rsid w:val="004B1333"/>
    <w:rsid w:val="004B2B69"/>
    <w:rsid w:val="004B5921"/>
    <w:rsid w:val="004B5FCD"/>
    <w:rsid w:val="004B68DF"/>
    <w:rsid w:val="004B707F"/>
    <w:rsid w:val="004B7215"/>
    <w:rsid w:val="004B78A0"/>
    <w:rsid w:val="004C0B01"/>
    <w:rsid w:val="004C231E"/>
    <w:rsid w:val="004C393E"/>
    <w:rsid w:val="004C4204"/>
    <w:rsid w:val="004C517A"/>
    <w:rsid w:val="004C5B67"/>
    <w:rsid w:val="004C71B9"/>
    <w:rsid w:val="004D112C"/>
    <w:rsid w:val="004D1C2E"/>
    <w:rsid w:val="004D4425"/>
    <w:rsid w:val="004E0E8F"/>
    <w:rsid w:val="004E3810"/>
    <w:rsid w:val="004E4441"/>
    <w:rsid w:val="004E6CC2"/>
    <w:rsid w:val="004F0B6C"/>
    <w:rsid w:val="004F1EC3"/>
    <w:rsid w:val="004F2084"/>
    <w:rsid w:val="004F297F"/>
    <w:rsid w:val="004F3718"/>
    <w:rsid w:val="004F4748"/>
    <w:rsid w:val="004F4895"/>
    <w:rsid w:val="004F6095"/>
    <w:rsid w:val="004F62C1"/>
    <w:rsid w:val="004F6502"/>
    <w:rsid w:val="005003E3"/>
    <w:rsid w:val="00500AB0"/>
    <w:rsid w:val="00501AC3"/>
    <w:rsid w:val="00503A87"/>
    <w:rsid w:val="00504D73"/>
    <w:rsid w:val="0050523A"/>
    <w:rsid w:val="005069D9"/>
    <w:rsid w:val="0050762B"/>
    <w:rsid w:val="00510643"/>
    <w:rsid w:val="0051089F"/>
    <w:rsid w:val="0051212E"/>
    <w:rsid w:val="00513D5D"/>
    <w:rsid w:val="005143E7"/>
    <w:rsid w:val="00517F48"/>
    <w:rsid w:val="0052147F"/>
    <w:rsid w:val="0052148E"/>
    <w:rsid w:val="005231F1"/>
    <w:rsid w:val="00523ED3"/>
    <w:rsid w:val="005244FF"/>
    <w:rsid w:val="00527A1D"/>
    <w:rsid w:val="005303D7"/>
    <w:rsid w:val="00530CDB"/>
    <w:rsid w:val="00533647"/>
    <w:rsid w:val="0053439F"/>
    <w:rsid w:val="00534BD4"/>
    <w:rsid w:val="00535088"/>
    <w:rsid w:val="00536018"/>
    <w:rsid w:val="00540FD3"/>
    <w:rsid w:val="00541354"/>
    <w:rsid w:val="005449E4"/>
    <w:rsid w:val="00552682"/>
    <w:rsid w:val="005537FD"/>
    <w:rsid w:val="00553DBA"/>
    <w:rsid w:val="00555428"/>
    <w:rsid w:val="005559DD"/>
    <w:rsid w:val="00555CFC"/>
    <w:rsid w:val="00560788"/>
    <w:rsid w:val="0056206B"/>
    <w:rsid w:val="0056329B"/>
    <w:rsid w:val="00566869"/>
    <w:rsid w:val="005708A0"/>
    <w:rsid w:val="00570C6B"/>
    <w:rsid w:val="00572042"/>
    <w:rsid w:val="005720FC"/>
    <w:rsid w:val="005722CE"/>
    <w:rsid w:val="005727CB"/>
    <w:rsid w:val="005728C1"/>
    <w:rsid w:val="00572D52"/>
    <w:rsid w:val="0057623A"/>
    <w:rsid w:val="00576D0B"/>
    <w:rsid w:val="00577798"/>
    <w:rsid w:val="005817E2"/>
    <w:rsid w:val="0058346C"/>
    <w:rsid w:val="00587B49"/>
    <w:rsid w:val="00590430"/>
    <w:rsid w:val="00591672"/>
    <w:rsid w:val="005919F0"/>
    <w:rsid w:val="00591C04"/>
    <w:rsid w:val="00592487"/>
    <w:rsid w:val="00593076"/>
    <w:rsid w:val="005937C7"/>
    <w:rsid w:val="0059473C"/>
    <w:rsid w:val="005956E8"/>
    <w:rsid w:val="00595CF9"/>
    <w:rsid w:val="005A0786"/>
    <w:rsid w:val="005A14B9"/>
    <w:rsid w:val="005A2A11"/>
    <w:rsid w:val="005A4103"/>
    <w:rsid w:val="005A50F4"/>
    <w:rsid w:val="005A5A00"/>
    <w:rsid w:val="005A5AD5"/>
    <w:rsid w:val="005A6110"/>
    <w:rsid w:val="005B0214"/>
    <w:rsid w:val="005B084C"/>
    <w:rsid w:val="005B1C5B"/>
    <w:rsid w:val="005B1E21"/>
    <w:rsid w:val="005B366A"/>
    <w:rsid w:val="005B5BED"/>
    <w:rsid w:val="005B5C30"/>
    <w:rsid w:val="005B5D4D"/>
    <w:rsid w:val="005C035F"/>
    <w:rsid w:val="005C19C2"/>
    <w:rsid w:val="005C282C"/>
    <w:rsid w:val="005C670C"/>
    <w:rsid w:val="005D0544"/>
    <w:rsid w:val="005D1924"/>
    <w:rsid w:val="005D1C3F"/>
    <w:rsid w:val="005D1FCC"/>
    <w:rsid w:val="005D6260"/>
    <w:rsid w:val="005D6B5A"/>
    <w:rsid w:val="005D7B31"/>
    <w:rsid w:val="005E03D8"/>
    <w:rsid w:val="005E171B"/>
    <w:rsid w:val="005E1916"/>
    <w:rsid w:val="005E1E2D"/>
    <w:rsid w:val="005E2194"/>
    <w:rsid w:val="005E322E"/>
    <w:rsid w:val="005E3B87"/>
    <w:rsid w:val="005E5879"/>
    <w:rsid w:val="005F071D"/>
    <w:rsid w:val="005F149B"/>
    <w:rsid w:val="005F18E9"/>
    <w:rsid w:val="005F1C75"/>
    <w:rsid w:val="005F1D30"/>
    <w:rsid w:val="005F362E"/>
    <w:rsid w:val="005F648E"/>
    <w:rsid w:val="005F6E3E"/>
    <w:rsid w:val="006004B3"/>
    <w:rsid w:val="00601BDA"/>
    <w:rsid w:val="00603DB7"/>
    <w:rsid w:val="00604A4D"/>
    <w:rsid w:val="006055AF"/>
    <w:rsid w:val="00606360"/>
    <w:rsid w:val="00607B07"/>
    <w:rsid w:val="00610196"/>
    <w:rsid w:val="006142C2"/>
    <w:rsid w:val="00614D29"/>
    <w:rsid w:val="00615106"/>
    <w:rsid w:val="00615F4B"/>
    <w:rsid w:val="006177A1"/>
    <w:rsid w:val="006205C7"/>
    <w:rsid w:val="00621718"/>
    <w:rsid w:val="00621D21"/>
    <w:rsid w:val="0062218C"/>
    <w:rsid w:val="0062285B"/>
    <w:rsid w:val="00623743"/>
    <w:rsid w:val="00625965"/>
    <w:rsid w:val="00626277"/>
    <w:rsid w:val="006322C0"/>
    <w:rsid w:val="00633BFB"/>
    <w:rsid w:val="006348D3"/>
    <w:rsid w:val="00635943"/>
    <w:rsid w:val="00635E1B"/>
    <w:rsid w:val="00637DD8"/>
    <w:rsid w:val="006422A0"/>
    <w:rsid w:val="006429EA"/>
    <w:rsid w:val="00645F8E"/>
    <w:rsid w:val="00650BB0"/>
    <w:rsid w:val="0065176E"/>
    <w:rsid w:val="00651D02"/>
    <w:rsid w:val="00652EB7"/>
    <w:rsid w:val="006535AC"/>
    <w:rsid w:val="00654565"/>
    <w:rsid w:val="0065524F"/>
    <w:rsid w:val="006554A4"/>
    <w:rsid w:val="006559DE"/>
    <w:rsid w:val="00655D5A"/>
    <w:rsid w:val="00660CDF"/>
    <w:rsid w:val="0066188D"/>
    <w:rsid w:val="00662DF2"/>
    <w:rsid w:val="0066373A"/>
    <w:rsid w:val="00664EE1"/>
    <w:rsid w:val="006652A8"/>
    <w:rsid w:val="00666AF5"/>
    <w:rsid w:val="00670D16"/>
    <w:rsid w:val="00673376"/>
    <w:rsid w:val="0067356F"/>
    <w:rsid w:val="006737DC"/>
    <w:rsid w:val="00673CB0"/>
    <w:rsid w:val="00673D54"/>
    <w:rsid w:val="00674DCA"/>
    <w:rsid w:val="00674FF0"/>
    <w:rsid w:val="00675DB6"/>
    <w:rsid w:val="00675F4D"/>
    <w:rsid w:val="006763F9"/>
    <w:rsid w:val="00677CA3"/>
    <w:rsid w:val="006809E3"/>
    <w:rsid w:val="00681DBD"/>
    <w:rsid w:val="00684F97"/>
    <w:rsid w:val="006858C3"/>
    <w:rsid w:val="00685BB3"/>
    <w:rsid w:val="006874AF"/>
    <w:rsid w:val="00690598"/>
    <w:rsid w:val="00692395"/>
    <w:rsid w:val="00692E8A"/>
    <w:rsid w:val="006946EF"/>
    <w:rsid w:val="006948C7"/>
    <w:rsid w:val="00694C58"/>
    <w:rsid w:val="006A003E"/>
    <w:rsid w:val="006A0E2F"/>
    <w:rsid w:val="006A30E0"/>
    <w:rsid w:val="006A46FC"/>
    <w:rsid w:val="006A75E3"/>
    <w:rsid w:val="006A7E07"/>
    <w:rsid w:val="006B03CB"/>
    <w:rsid w:val="006B094F"/>
    <w:rsid w:val="006B098B"/>
    <w:rsid w:val="006B21B8"/>
    <w:rsid w:val="006B2D9B"/>
    <w:rsid w:val="006B2F57"/>
    <w:rsid w:val="006B48C5"/>
    <w:rsid w:val="006B51FA"/>
    <w:rsid w:val="006C2392"/>
    <w:rsid w:val="006C3C19"/>
    <w:rsid w:val="006C5EF2"/>
    <w:rsid w:val="006D0681"/>
    <w:rsid w:val="006D18D8"/>
    <w:rsid w:val="006D1C5B"/>
    <w:rsid w:val="006D20AF"/>
    <w:rsid w:val="006D3A7F"/>
    <w:rsid w:val="006D3B4E"/>
    <w:rsid w:val="006D4A78"/>
    <w:rsid w:val="006D4BEA"/>
    <w:rsid w:val="006D561A"/>
    <w:rsid w:val="006D6C3C"/>
    <w:rsid w:val="006D728B"/>
    <w:rsid w:val="006D761C"/>
    <w:rsid w:val="006D7B2F"/>
    <w:rsid w:val="006E07AF"/>
    <w:rsid w:val="006E0B24"/>
    <w:rsid w:val="006E0D45"/>
    <w:rsid w:val="006E0EED"/>
    <w:rsid w:val="006E5C75"/>
    <w:rsid w:val="006E6AAE"/>
    <w:rsid w:val="006E743E"/>
    <w:rsid w:val="006F0A32"/>
    <w:rsid w:val="006F128E"/>
    <w:rsid w:val="006F1587"/>
    <w:rsid w:val="006F17F3"/>
    <w:rsid w:val="006F23B8"/>
    <w:rsid w:val="006F2CB9"/>
    <w:rsid w:val="006F39E0"/>
    <w:rsid w:val="006F4192"/>
    <w:rsid w:val="006F5B55"/>
    <w:rsid w:val="006F5EAA"/>
    <w:rsid w:val="006F7099"/>
    <w:rsid w:val="006F7356"/>
    <w:rsid w:val="00702F49"/>
    <w:rsid w:val="0070736A"/>
    <w:rsid w:val="00707B4E"/>
    <w:rsid w:val="00707FF8"/>
    <w:rsid w:val="00710DC1"/>
    <w:rsid w:val="00711C81"/>
    <w:rsid w:val="0071449A"/>
    <w:rsid w:val="00714F69"/>
    <w:rsid w:val="00715154"/>
    <w:rsid w:val="00715E5A"/>
    <w:rsid w:val="00716D02"/>
    <w:rsid w:val="007177D0"/>
    <w:rsid w:val="00717878"/>
    <w:rsid w:val="007221CE"/>
    <w:rsid w:val="0072272B"/>
    <w:rsid w:val="007235FB"/>
    <w:rsid w:val="007266AA"/>
    <w:rsid w:val="00727442"/>
    <w:rsid w:val="00731433"/>
    <w:rsid w:val="00731D3A"/>
    <w:rsid w:val="0073475A"/>
    <w:rsid w:val="00736E5F"/>
    <w:rsid w:val="00744729"/>
    <w:rsid w:val="0074669C"/>
    <w:rsid w:val="00750C87"/>
    <w:rsid w:val="007514DB"/>
    <w:rsid w:val="007524F3"/>
    <w:rsid w:val="0075258C"/>
    <w:rsid w:val="00753223"/>
    <w:rsid w:val="007550FB"/>
    <w:rsid w:val="00755972"/>
    <w:rsid w:val="00757500"/>
    <w:rsid w:val="00757B3A"/>
    <w:rsid w:val="00757F09"/>
    <w:rsid w:val="0076155C"/>
    <w:rsid w:val="00763895"/>
    <w:rsid w:val="0076427E"/>
    <w:rsid w:val="0076484F"/>
    <w:rsid w:val="00765FAC"/>
    <w:rsid w:val="00766862"/>
    <w:rsid w:val="00767FA2"/>
    <w:rsid w:val="0077113E"/>
    <w:rsid w:val="00771CEA"/>
    <w:rsid w:val="00772A33"/>
    <w:rsid w:val="0077755A"/>
    <w:rsid w:val="00780EF8"/>
    <w:rsid w:val="00781A9A"/>
    <w:rsid w:val="00781BDC"/>
    <w:rsid w:val="00782CD4"/>
    <w:rsid w:val="00784707"/>
    <w:rsid w:val="007851B6"/>
    <w:rsid w:val="00786FDF"/>
    <w:rsid w:val="00787972"/>
    <w:rsid w:val="00791844"/>
    <w:rsid w:val="007939BF"/>
    <w:rsid w:val="00794DD2"/>
    <w:rsid w:val="007973C1"/>
    <w:rsid w:val="00797914"/>
    <w:rsid w:val="00797E89"/>
    <w:rsid w:val="007A287B"/>
    <w:rsid w:val="007A2981"/>
    <w:rsid w:val="007A2C52"/>
    <w:rsid w:val="007A3547"/>
    <w:rsid w:val="007A4B0A"/>
    <w:rsid w:val="007A4B53"/>
    <w:rsid w:val="007A6062"/>
    <w:rsid w:val="007A6AB9"/>
    <w:rsid w:val="007B010F"/>
    <w:rsid w:val="007B0DAC"/>
    <w:rsid w:val="007B1FD1"/>
    <w:rsid w:val="007B2AA2"/>
    <w:rsid w:val="007B2B61"/>
    <w:rsid w:val="007B4EBD"/>
    <w:rsid w:val="007B530E"/>
    <w:rsid w:val="007B61FB"/>
    <w:rsid w:val="007B6E12"/>
    <w:rsid w:val="007C0759"/>
    <w:rsid w:val="007C1324"/>
    <w:rsid w:val="007C36A1"/>
    <w:rsid w:val="007C3972"/>
    <w:rsid w:val="007C3EC5"/>
    <w:rsid w:val="007C4346"/>
    <w:rsid w:val="007C49F2"/>
    <w:rsid w:val="007C50F3"/>
    <w:rsid w:val="007D09BD"/>
    <w:rsid w:val="007D179B"/>
    <w:rsid w:val="007D3539"/>
    <w:rsid w:val="007D3973"/>
    <w:rsid w:val="007D4081"/>
    <w:rsid w:val="007D6AB8"/>
    <w:rsid w:val="007D7861"/>
    <w:rsid w:val="007E0493"/>
    <w:rsid w:val="007E16DB"/>
    <w:rsid w:val="007E1B93"/>
    <w:rsid w:val="007E2000"/>
    <w:rsid w:val="007E3CDC"/>
    <w:rsid w:val="007E484C"/>
    <w:rsid w:val="007E6044"/>
    <w:rsid w:val="007E661A"/>
    <w:rsid w:val="007E7EA0"/>
    <w:rsid w:val="007F0281"/>
    <w:rsid w:val="007F0283"/>
    <w:rsid w:val="007F0401"/>
    <w:rsid w:val="007F0D4B"/>
    <w:rsid w:val="007F1DCA"/>
    <w:rsid w:val="007F26FC"/>
    <w:rsid w:val="007F2D07"/>
    <w:rsid w:val="007F34BD"/>
    <w:rsid w:val="007F3A33"/>
    <w:rsid w:val="007F3B2D"/>
    <w:rsid w:val="007F3C93"/>
    <w:rsid w:val="007F4139"/>
    <w:rsid w:val="007F5293"/>
    <w:rsid w:val="007F66CA"/>
    <w:rsid w:val="007F7F74"/>
    <w:rsid w:val="008009BD"/>
    <w:rsid w:val="00801E8C"/>
    <w:rsid w:val="00802528"/>
    <w:rsid w:val="00802B4C"/>
    <w:rsid w:val="00803EB5"/>
    <w:rsid w:val="00804D18"/>
    <w:rsid w:val="008050A5"/>
    <w:rsid w:val="0080515C"/>
    <w:rsid w:val="00805578"/>
    <w:rsid w:val="008055BD"/>
    <w:rsid w:val="00806DD5"/>
    <w:rsid w:val="00807F97"/>
    <w:rsid w:val="00810114"/>
    <w:rsid w:val="00810A94"/>
    <w:rsid w:val="00810C82"/>
    <w:rsid w:val="008117FC"/>
    <w:rsid w:val="008144E6"/>
    <w:rsid w:val="008145CE"/>
    <w:rsid w:val="0081542C"/>
    <w:rsid w:val="00815AEE"/>
    <w:rsid w:val="00815E93"/>
    <w:rsid w:val="00816028"/>
    <w:rsid w:val="00817BBD"/>
    <w:rsid w:val="00821C67"/>
    <w:rsid w:val="00821DBB"/>
    <w:rsid w:val="00822A0F"/>
    <w:rsid w:val="00823F31"/>
    <w:rsid w:val="00824D41"/>
    <w:rsid w:val="008257DB"/>
    <w:rsid w:val="00831D7B"/>
    <w:rsid w:val="008344DC"/>
    <w:rsid w:val="008346C1"/>
    <w:rsid w:val="0083480D"/>
    <w:rsid w:val="00834CFF"/>
    <w:rsid w:val="00836C92"/>
    <w:rsid w:val="0084237E"/>
    <w:rsid w:val="00844DB3"/>
    <w:rsid w:val="008461C1"/>
    <w:rsid w:val="00847FB1"/>
    <w:rsid w:val="00852353"/>
    <w:rsid w:val="00854594"/>
    <w:rsid w:val="008551EF"/>
    <w:rsid w:val="00856CCB"/>
    <w:rsid w:val="00856E75"/>
    <w:rsid w:val="008572E8"/>
    <w:rsid w:val="00857DF6"/>
    <w:rsid w:val="00857E54"/>
    <w:rsid w:val="00860400"/>
    <w:rsid w:val="00861543"/>
    <w:rsid w:val="0086613C"/>
    <w:rsid w:val="00866621"/>
    <w:rsid w:val="00870FA5"/>
    <w:rsid w:val="008719A4"/>
    <w:rsid w:val="00872105"/>
    <w:rsid w:val="00875696"/>
    <w:rsid w:val="00885488"/>
    <w:rsid w:val="00885919"/>
    <w:rsid w:val="00885C56"/>
    <w:rsid w:val="00886F36"/>
    <w:rsid w:val="00886FD8"/>
    <w:rsid w:val="008874D1"/>
    <w:rsid w:val="008903C3"/>
    <w:rsid w:val="00891028"/>
    <w:rsid w:val="0089193B"/>
    <w:rsid w:val="008927C3"/>
    <w:rsid w:val="008948A1"/>
    <w:rsid w:val="00894CF9"/>
    <w:rsid w:val="008972A7"/>
    <w:rsid w:val="00897C12"/>
    <w:rsid w:val="008A1B09"/>
    <w:rsid w:val="008A2C46"/>
    <w:rsid w:val="008A32C8"/>
    <w:rsid w:val="008A5D4D"/>
    <w:rsid w:val="008A652F"/>
    <w:rsid w:val="008B3446"/>
    <w:rsid w:val="008B4173"/>
    <w:rsid w:val="008B54C2"/>
    <w:rsid w:val="008B56BA"/>
    <w:rsid w:val="008B5B66"/>
    <w:rsid w:val="008B637A"/>
    <w:rsid w:val="008B6A23"/>
    <w:rsid w:val="008B7676"/>
    <w:rsid w:val="008C0AE1"/>
    <w:rsid w:val="008C134D"/>
    <w:rsid w:val="008C4B41"/>
    <w:rsid w:val="008C6F77"/>
    <w:rsid w:val="008D0A0B"/>
    <w:rsid w:val="008D0F71"/>
    <w:rsid w:val="008D32EE"/>
    <w:rsid w:val="008D6724"/>
    <w:rsid w:val="008D7396"/>
    <w:rsid w:val="008E1E6D"/>
    <w:rsid w:val="008E1FE9"/>
    <w:rsid w:val="008E2549"/>
    <w:rsid w:val="008E3FA7"/>
    <w:rsid w:val="008E400C"/>
    <w:rsid w:val="008E44EE"/>
    <w:rsid w:val="008E6DE2"/>
    <w:rsid w:val="008E6FD8"/>
    <w:rsid w:val="008E7F36"/>
    <w:rsid w:val="008F1C82"/>
    <w:rsid w:val="008F24E6"/>
    <w:rsid w:val="008F3E33"/>
    <w:rsid w:val="008F53DB"/>
    <w:rsid w:val="008F5745"/>
    <w:rsid w:val="008F5A9E"/>
    <w:rsid w:val="008F6929"/>
    <w:rsid w:val="008F6C87"/>
    <w:rsid w:val="008F7C2B"/>
    <w:rsid w:val="00901478"/>
    <w:rsid w:val="00902BA2"/>
    <w:rsid w:val="00903DF7"/>
    <w:rsid w:val="00904309"/>
    <w:rsid w:val="00904CFE"/>
    <w:rsid w:val="00912131"/>
    <w:rsid w:val="009123CE"/>
    <w:rsid w:val="00912414"/>
    <w:rsid w:val="0091600F"/>
    <w:rsid w:val="00917CFF"/>
    <w:rsid w:val="00921B12"/>
    <w:rsid w:val="0092378E"/>
    <w:rsid w:val="009239E4"/>
    <w:rsid w:val="00924347"/>
    <w:rsid w:val="00924B43"/>
    <w:rsid w:val="009255F0"/>
    <w:rsid w:val="00925F83"/>
    <w:rsid w:val="00926304"/>
    <w:rsid w:val="0093095F"/>
    <w:rsid w:val="00931808"/>
    <w:rsid w:val="00932456"/>
    <w:rsid w:val="00934522"/>
    <w:rsid w:val="00934772"/>
    <w:rsid w:val="00936C4E"/>
    <w:rsid w:val="00937040"/>
    <w:rsid w:val="00937DAA"/>
    <w:rsid w:val="009410D7"/>
    <w:rsid w:val="0094142D"/>
    <w:rsid w:val="00941D2A"/>
    <w:rsid w:val="00942424"/>
    <w:rsid w:val="00942571"/>
    <w:rsid w:val="00951134"/>
    <w:rsid w:val="0095431D"/>
    <w:rsid w:val="00954E2D"/>
    <w:rsid w:val="00957FC7"/>
    <w:rsid w:val="009600C5"/>
    <w:rsid w:val="009644B7"/>
    <w:rsid w:val="0096515E"/>
    <w:rsid w:val="00966158"/>
    <w:rsid w:val="00967594"/>
    <w:rsid w:val="00967AD6"/>
    <w:rsid w:val="00967CEB"/>
    <w:rsid w:val="00971458"/>
    <w:rsid w:val="00971AC0"/>
    <w:rsid w:val="009744CD"/>
    <w:rsid w:val="009746CD"/>
    <w:rsid w:val="00974CC8"/>
    <w:rsid w:val="00975ADE"/>
    <w:rsid w:val="0098279B"/>
    <w:rsid w:val="00985720"/>
    <w:rsid w:val="00985E3C"/>
    <w:rsid w:val="009879F7"/>
    <w:rsid w:val="00993377"/>
    <w:rsid w:val="00995D1B"/>
    <w:rsid w:val="009A05DB"/>
    <w:rsid w:val="009A308D"/>
    <w:rsid w:val="009A405D"/>
    <w:rsid w:val="009A4AD7"/>
    <w:rsid w:val="009A4C9C"/>
    <w:rsid w:val="009A645F"/>
    <w:rsid w:val="009A66C3"/>
    <w:rsid w:val="009B13FD"/>
    <w:rsid w:val="009B2B57"/>
    <w:rsid w:val="009B3466"/>
    <w:rsid w:val="009B534E"/>
    <w:rsid w:val="009B5718"/>
    <w:rsid w:val="009C163D"/>
    <w:rsid w:val="009C1FCA"/>
    <w:rsid w:val="009C3E8F"/>
    <w:rsid w:val="009C550F"/>
    <w:rsid w:val="009C641F"/>
    <w:rsid w:val="009C6944"/>
    <w:rsid w:val="009D0487"/>
    <w:rsid w:val="009D0765"/>
    <w:rsid w:val="009D10AA"/>
    <w:rsid w:val="009D222B"/>
    <w:rsid w:val="009D267F"/>
    <w:rsid w:val="009D49F1"/>
    <w:rsid w:val="009D60DA"/>
    <w:rsid w:val="009D725A"/>
    <w:rsid w:val="009D759F"/>
    <w:rsid w:val="009D77E5"/>
    <w:rsid w:val="009D798D"/>
    <w:rsid w:val="009E05E1"/>
    <w:rsid w:val="009E09B1"/>
    <w:rsid w:val="009E0AD9"/>
    <w:rsid w:val="009E0D7A"/>
    <w:rsid w:val="009E27E6"/>
    <w:rsid w:val="009E2B3C"/>
    <w:rsid w:val="009E3206"/>
    <w:rsid w:val="009E4CC3"/>
    <w:rsid w:val="009E76FB"/>
    <w:rsid w:val="009F0B87"/>
    <w:rsid w:val="009F250F"/>
    <w:rsid w:val="009F3A3E"/>
    <w:rsid w:val="009F3EC2"/>
    <w:rsid w:val="009F5702"/>
    <w:rsid w:val="009F5BE1"/>
    <w:rsid w:val="009F6679"/>
    <w:rsid w:val="009F74A0"/>
    <w:rsid w:val="00A0295D"/>
    <w:rsid w:val="00A02BEC"/>
    <w:rsid w:val="00A03563"/>
    <w:rsid w:val="00A0440F"/>
    <w:rsid w:val="00A05D6E"/>
    <w:rsid w:val="00A06189"/>
    <w:rsid w:val="00A122BF"/>
    <w:rsid w:val="00A12CE4"/>
    <w:rsid w:val="00A135C6"/>
    <w:rsid w:val="00A13CC9"/>
    <w:rsid w:val="00A15AD4"/>
    <w:rsid w:val="00A16C7E"/>
    <w:rsid w:val="00A17C62"/>
    <w:rsid w:val="00A20278"/>
    <w:rsid w:val="00A205F8"/>
    <w:rsid w:val="00A23221"/>
    <w:rsid w:val="00A24C80"/>
    <w:rsid w:val="00A25B44"/>
    <w:rsid w:val="00A25CBD"/>
    <w:rsid w:val="00A2699A"/>
    <w:rsid w:val="00A31C0E"/>
    <w:rsid w:val="00A3450A"/>
    <w:rsid w:val="00A4066C"/>
    <w:rsid w:val="00A41E37"/>
    <w:rsid w:val="00A42238"/>
    <w:rsid w:val="00A422D4"/>
    <w:rsid w:val="00A459D0"/>
    <w:rsid w:val="00A460DC"/>
    <w:rsid w:val="00A4625D"/>
    <w:rsid w:val="00A4778D"/>
    <w:rsid w:val="00A4790D"/>
    <w:rsid w:val="00A53BD8"/>
    <w:rsid w:val="00A53C46"/>
    <w:rsid w:val="00A53FD9"/>
    <w:rsid w:val="00A56D3D"/>
    <w:rsid w:val="00A6076B"/>
    <w:rsid w:val="00A61235"/>
    <w:rsid w:val="00A65946"/>
    <w:rsid w:val="00A701D4"/>
    <w:rsid w:val="00A71A3A"/>
    <w:rsid w:val="00A73F27"/>
    <w:rsid w:val="00A74AB0"/>
    <w:rsid w:val="00A74B48"/>
    <w:rsid w:val="00A75CCC"/>
    <w:rsid w:val="00A76D69"/>
    <w:rsid w:val="00A800FD"/>
    <w:rsid w:val="00A818D1"/>
    <w:rsid w:val="00A819D1"/>
    <w:rsid w:val="00A83919"/>
    <w:rsid w:val="00A83ABD"/>
    <w:rsid w:val="00A869DB"/>
    <w:rsid w:val="00A86CB9"/>
    <w:rsid w:val="00A87123"/>
    <w:rsid w:val="00A90002"/>
    <w:rsid w:val="00A900F9"/>
    <w:rsid w:val="00A90B7E"/>
    <w:rsid w:val="00A90BC4"/>
    <w:rsid w:val="00A922C8"/>
    <w:rsid w:val="00A93D12"/>
    <w:rsid w:val="00AA290E"/>
    <w:rsid w:val="00AA2CFB"/>
    <w:rsid w:val="00AA2D30"/>
    <w:rsid w:val="00AA3ADE"/>
    <w:rsid w:val="00AA3F2E"/>
    <w:rsid w:val="00AA5FD8"/>
    <w:rsid w:val="00AA6CD4"/>
    <w:rsid w:val="00AA7327"/>
    <w:rsid w:val="00AB0350"/>
    <w:rsid w:val="00AB0761"/>
    <w:rsid w:val="00AB342A"/>
    <w:rsid w:val="00AB38D5"/>
    <w:rsid w:val="00AB799C"/>
    <w:rsid w:val="00AC0E9C"/>
    <w:rsid w:val="00AC151B"/>
    <w:rsid w:val="00AC1A42"/>
    <w:rsid w:val="00AC49D6"/>
    <w:rsid w:val="00AC57E0"/>
    <w:rsid w:val="00AC6A2E"/>
    <w:rsid w:val="00AC7351"/>
    <w:rsid w:val="00AD1D59"/>
    <w:rsid w:val="00AD291A"/>
    <w:rsid w:val="00AD2DAA"/>
    <w:rsid w:val="00AD4D20"/>
    <w:rsid w:val="00AE0E4F"/>
    <w:rsid w:val="00AE2407"/>
    <w:rsid w:val="00AE3CFB"/>
    <w:rsid w:val="00AE52C0"/>
    <w:rsid w:val="00AE6001"/>
    <w:rsid w:val="00AE6C32"/>
    <w:rsid w:val="00AF027B"/>
    <w:rsid w:val="00AF15B9"/>
    <w:rsid w:val="00AF339E"/>
    <w:rsid w:val="00AF409B"/>
    <w:rsid w:val="00AF4CEC"/>
    <w:rsid w:val="00B026B5"/>
    <w:rsid w:val="00B03E7B"/>
    <w:rsid w:val="00B07BB1"/>
    <w:rsid w:val="00B16B4E"/>
    <w:rsid w:val="00B177C4"/>
    <w:rsid w:val="00B20BA9"/>
    <w:rsid w:val="00B23B4A"/>
    <w:rsid w:val="00B25A00"/>
    <w:rsid w:val="00B25DFB"/>
    <w:rsid w:val="00B2617C"/>
    <w:rsid w:val="00B2699A"/>
    <w:rsid w:val="00B27519"/>
    <w:rsid w:val="00B309E8"/>
    <w:rsid w:val="00B30CA6"/>
    <w:rsid w:val="00B32AAA"/>
    <w:rsid w:val="00B33320"/>
    <w:rsid w:val="00B34585"/>
    <w:rsid w:val="00B36E6A"/>
    <w:rsid w:val="00B4017C"/>
    <w:rsid w:val="00B40228"/>
    <w:rsid w:val="00B40B55"/>
    <w:rsid w:val="00B41B04"/>
    <w:rsid w:val="00B41B86"/>
    <w:rsid w:val="00B42E6F"/>
    <w:rsid w:val="00B43976"/>
    <w:rsid w:val="00B44E4A"/>
    <w:rsid w:val="00B455D0"/>
    <w:rsid w:val="00B45783"/>
    <w:rsid w:val="00B45B7B"/>
    <w:rsid w:val="00B463C9"/>
    <w:rsid w:val="00B510B3"/>
    <w:rsid w:val="00B52314"/>
    <w:rsid w:val="00B567A4"/>
    <w:rsid w:val="00B56DB4"/>
    <w:rsid w:val="00B62597"/>
    <w:rsid w:val="00B631F3"/>
    <w:rsid w:val="00B64175"/>
    <w:rsid w:val="00B64E7D"/>
    <w:rsid w:val="00B6525F"/>
    <w:rsid w:val="00B657A7"/>
    <w:rsid w:val="00B658E7"/>
    <w:rsid w:val="00B66ABA"/>
    <w:rsid w:val="00B67A6B"/>
    <w:rsid w:val="00B700B6"/>
    <w:rsid w:val="00B71459"/>
    <w:rsid w:val="00B71A74"/>
    <w:rsid w:val="00B72172"/>
    <w:rsid w:val="00B73DD9"/>
    <w:rsid w:val="00B7446C"/>
    <w:rsid w:val="00B76D53"/>
    <w:rsid w:val="00B80117"/>
    <w:rsid w:val="00B813B5"/>
    <w:rsid w:val="00B81796"/>
    <w:rsid w:val="00B8294E"/>
    <w:rsid w:val="00B85A7D"/>
    <w:rsid w:val="00B85B52"/>
    <w:rsid w:val="00B86497"/>
    <w:rsid w:val="00B87412"/>
    <w:rsid w:val="00B902EF"/>
    <w:rsid w:val="00B9445A"/>
    <w:rsid w:val="00B96F99"/>
    <w:rsid w:val="00BA0238"/>
    <w:rsid w:val="00BA05E6"/>
    <w:rsid w:val="00BA114A"/>
    <w:rsid w:val="00BA274B"/>
    <w:rsid w:val="00BA296F"/>
    <w:rsid w:val="00BA2B9B"/>
    <w:rsid w:val="00BA34C5"/>
    <w:rsid w:val="00BA37E9"/>
    <w:rsid w:val="00BA45E2"/>
    <w:rsid w:val="00BA5CF4"/>
    <w:rsid w:val="00BA7072"/>
    <w:rsid w:val="00BA7712"/>
    <w:rsid w:val="00BA7A3D"/>
    <w:rsid w:val="00BB207E"/>
    <w:rsid w:val="00BB269A"/>
    <w:rsid w:val="00BB3101"/>
    <w:rsid w:val="00BB33FA"/>
    <w:rsid w:val="00BB4333"/>
    <w:rsid w:val="00BB46BF"/>
    <w:rsid w:val="00BB4D86"/>
    <w:rsid w:val="00BB59AD"/>
    <w:rsid w:val="00BB5BD1"/>
    <w:rsid w:val="00BB6178"/>
    <w:rsid w:val="00BC0CC2"/>
    <w:rsid w:val="00BC24E2"/>
    <w:rsid w:val="00BC2830"/>
    <w:rsid w:val="00BC39C6"/>
    <w:rsid w:val="00BC3BE3"/>
    <w:rsid w:val="00BC5DBA"/>
    <w:rsid w:val="00BC6544"/>
    <w:rsid w:val="00BC7F12"/>
    <w:rsid w:val="00BD13DC"/>
    <w:rsid w:val="00BD3290"/>
    <w:rsid w:val="00BD542A"/>
    <w:rsid w:val="00BD744F"/>
    <w:rsid w:val="00BE1A24"/>
    <w:rsid w:val="00BE226E"/>
    <w:rsid w:val="00BE2424"/>
    <w:rsid w:val="00BE259C"/>
    <w:rsid w:val="00BE2A9F"/>
    <w:rsid w:val="00BE2C6C"/>
    <w:rsid w:val="00BE388B"/>
    <w:rsid w:val="00BE3F7F"/>
    <w:rsid w:val="00BE64DF"/>
    <w:rsid w:val="00BE7BCE"/>
    <w:rsid w:val="00BF0004"/>
    <w:rsid w:val="00BF07EF"/>
    <w:rsid w:val="00BF27BB"/>
    <w:rsid w:val="00BF3284"/>
    <w:rsid w:val="00BF3ACF"/>
    <w:rsid w:val="00BF3C76"/>
    <w:rsid w:val="00BF4107"/>
    <w:rsid w:val="00BF689A"/>
    <w:rsid w:val="00BF7743"/>
    <w:rsid w:val="00C000CF"/>
    <w:rsid w:val="00C0028F"/>
    <w:rsid w:val="00C01156"/>
    <w:rsid w:val="00C02511"/>
    <w:rsid w:val="00C036C8"/>
    <w:rsid w:val="00C05AED"/>
    <w:rsid w:val="00C108B5"/>
    <w:rsid w:val="00C10B2A"/>
    <w:rsid w:val="00C1168E"/>
    <w:rsid w:val="00C12688"/>
    <w:rsid w:val="00C129C2"/>
    <w:rsid w:val="00C12F95"/>
    <w:rsid w:val="00C1350F"/>
    <w:rsid w:val="00C15901"/>
    <w:rsid w:val="00C205F6"/>
    <w:rsid w:val="00C22047"/>
    <w:rsid w:val="00C2219D"/>
    <w:rsid w:val="00C227EB"/>
    <w:rsid w:val="00C24769"/>
    <w:rsid w:val="00C24B44"/>
    <w:rsid w:val="00C27887"/>
    <w:rsid w:val="00C30C01"/>
    <w:rsid w:val="00C33B32"/>
    <w:rsid w:val="00C362C9"/>
    <w:rsid w:val="00C3631E"/>
    <w:rsid w:val="00C4055E"/>
    <w:rsid w:val="00C42D85"/>
    <w:rsid w:val="00C444F4"/>
    <w:rsid w:val="00C449F6"/>
    <w:rsid w:val="00C468D7"/>
    <w:rsid w:val="00C46AC5"/>
    <w:rsid w:val="00C46B8A"/>
    <w:rsid w:val="00C47E4E"/>
    <w:rsid w:val="00C503B2"/>
    <w:rsid w:val="00C50C1A"/>
    <w:rsid w:val="00C50C8B"/>
    <w:rsid w:val="00C51774"/>
    <w:rsid w:val="00C5293F"/>
    <w:rsid w:val="00C529AC"/>
    <w:rsid w:val="00C54E2E"/>
    <w:rsid w:val="00C559D8"/>
    <w:rsid w:val="00C57989"/>
    <w:rsid w:val="00C60C32"/>
    <w:rsid w:val="00C61B2D"/>
    <w:rsid w:val="00C63FFA"/>
    <w:rsid w:val="00C64323"/>
    <w:rsid w:val="00C64B0F"/>
    <w:rsid w:val="00C6656B"/>
    <w:rsid w:val="00C67CA0"/>
    <w:rsid w:val="00C72CAA"/>
    <w:rsid w:val="00C7332C"/>
    <w:rsid w:val="00C73A34"/>
    <w:rsid w:val="00C75FC5"/>
    <w:rsid w:val="00C77481"/>
    <w:rsid w:val="00C80214"/>
    <w:rsid w:val="00C806B4"/>
    <w:rsid w:val="00C810F2"/>
    <w:rsid w:val="00C83340"/>
    <w:rsid w:val="00C83D03"/>
    <w:rsid w:val="00C87C02"/>
    <w:rsid w:val="00C87F06"/>
    <w:rsid w:val="00C92900"/>
    <w:rsid w:val="00C92E88"/>
    <w:rsid w:val="00C9345C"/>
    <w:rsid w:val="00C9513E"/>
    <w:rsid w:val="00C9523D"/>
    <w:rsid w:val="00CA09D2"/>
    <w:rsid w:val="00CA0ABE"/>
    <w:rsid w:val="00CA3695"/>
    <w:rsid w:val="00CA48A4"/>
    <w:rsid w:val="00CA5796"/>
    <w:rsid w:val="00CA64C8"/>
    <w:rsid w:val="00CA6AC3"/>
    <w:rsid w:val="00CA6AE3"/>
    <w:rsid w:val="00CA7625"/>
    <w:rsid w:val="00CB0177"/>
    <w:rsid w:val="00CB07F4"/>
    <w:rsid w:val="00CB13BD"/>
    <w:rsid w:val="00CB2794"/>
    <w:rsid w:val="00CB43A6"/>
    <w:rsid w:val="00CB7AFD"/>
    <w:rsid w:val="00CC2E94"/>
    <w:rsid w:val="00CC42A2"/>
    <w:rsid w:val="00CC45F2"/>
    <w:rsid w:val="00CC5AB4"/>
    <w:rsid w:val="00CC63DF"/>
    <w:rsid w:val="00CD18E8"/>
    <w:rsid w:val="00CD23D6"/>
    <w:rsid w:val="00CD3070"/>
    <w:rsid w:val="00CD488B"/>
    <w:rsid w:val="00CE0487"/>
    <w:rsid w:val="00CE1156"/>
    <w:rsid w:val="00CE2F1B"/>
    <w:rsid w:val="00CE5BC2"/>
    <w:rsid w:val="00CE5E2B"/>
    <w:rsid w:val="00CE6904"/>
    <w:rsid w:val="00CE7FA5"/>
    <w:rsid w:val="00CF0A08"/>
    <w:rsid w:val="00CF378B"/>
    <w:rsid w:val="00CF3C6A"/>
    <w:rsid w:val="00CF429A"/>
    <w:rsid w:val="00CF463D"/>
    <w:rsid w:val="00CF5357"/>
    <w:rsid w:val="00D01982"/>
    <w:rsid w:val="00D02DB5"/>
    <w:rsid w:val="00D03AED"/>
    <w:rsid w:val="00D05314"/>
    <w:rsid w:val="00D07F25"/>
    <w:rsid w:val="00D12E5E"/>
    <w:rsid w:val="00D142F9"/>
    <w:rsid w:val="00D16C4A"/>
    <w:rsid w:val="00D22BD5"/>
    <w:rsid w:val="00D22E83"/>
    <w:rsid w:val="00D23EDF"/>
    <w:rsid w:val="00D27A89"/>
    <w:rsid w:val="00D32D4D"/>
    <w:rsid w:val="00D330F5"/>
    <w:rsid w:val="00D3460E"/>
    <w:rsid w:val="00D34736"/>
    <w:rsid w:val="00D34D9E"/>
    <w:rsid w:val="00D35D49"/>
    <w:rsid w:val="00D373E5"/>
    <w:rsid w:val="00D420B7"/>
    <w:rsid w:val="00D442D8"/>
    <w:rsid w:val="00D465F5"/>
    <w:rsid w:val="00D467E8"/>
    <w:rsid w:val="00D470D2"/>
    <w:rsid w:val="00D47D68"/>
    <w:rsid w:val="00D50160"/>
    <w:rsid w:val="00D50AC1"/>
    <w:rsid w:val="00D520F6"/>
    <w:rsid w:val="00D53223"/>
    <w:rsid w:val="00D55D91"/>
    <w:rsid w:val="00D56C01"/>
    <w:rsid w:val="00D577B9"/>
    <w:rsid w:val="00D57871"/>
    <w:rsid w:val="00D62A1F"/>
    <w:rsid w:val="00D62E22"/>
    <w:rsid w:val="00D65576"/>
    <w:rsid w:val="00D66D0E"/>
    <w:rsid w:val="00D67C85"/>
    <w:rsid w:val="00D72BFC"/>
    <w:rsid w:val="00D74B15"/>
    <w:rsid w:val="00D74EBE"/>
    <w:rsid w:val="00D75098"/>
    <w:rsid w:val="00D770C8"/>
    <w:rsid w:val="00D800B2"/>
    <w:rsid w:val="00D81DEF"/>
    <w:rsid w:val="00D83E01"/>
    <w:rsid w:val="00D84F94"/>
    <w:rsid w:val="00D86155"/>
    <w:rsid w:val="00D879C3"/>
    <w:rsid w:val="00D916A0"/>
    <w:rsid w:val="00D91736"/>
    <w:rsid w:val="00D92DE1"/>
    <w:rsid w:val="00D94179"/>
    <w:rsid w:val="00D94D0F"/>
    <w:rsid w:val="00D94E4D"/>
    <w:rsid w:val="00D96295"/>
    <w:rsid w:val="00D9736A"/>
    <w:rsid w:val="00DA0573"/>
    <w:rsid w:val="00DA0648"/>
    <w:rsid w:val="00DA0A2A"/>
    <w:rsid w:val="00DA0B4E"/>
    <w:rsid w:val="00DA1936"/>
    <w:rsid w:val="00DA2B19"/>
    <w:rsid w:val="00DA2CBA"/>
    <w:rsid w:val="00DA313B"/>
    <w:rsid w:val="00DA4DDC"/>
    <w:rsid w:val="00DA5AE3"/>
    <w:rsid w:val="00DA60CD"/>
    <w:rsid w:val="00DA6BA5"/>
    <w:rsid w:val="00DB09D2"/>
    <w:rsid w:val="00DB0FAA"/>
    <w:rsid w:val="00DB15DE"/>
    <w:rsid w:val="00DB2440"/>
    <w:rsid w:val="00DB2578"/>
    <w:rsid w:val="00DB26E7"/>
    <w:rsid w:val="00DB46A9"/>
    <w:rsid w:val="00DB5F9B"/>
    <w:rsid w:val="00DB691F"/>
    <w:rsid w:val="00DB7C0E"/>
    <w:rsid w:val="00DC1393"/>
    <w:rsid w:val="00DC713C"/>
    <w:rsid w:val="00DC7585"/>
    <w:rsid w:val="00DC78B1"/>
    <w:rsid w:val="00DC78FD"/>
    <w:rsid w:val="00DD1E86"/>
    <w:rsid w:val="00DD2786"/>
    <w:rsid w:val="00DD538A"/>
    <w:rsid w:val="00DD5DEA"/>
    <w:rsid w:val="00DE077C"/>
    <w:rsid w:val="00DE1304"/>
    <w:rsid w:val="00DF368A"/>
    <w:rsid w:val="00DF39C9"/>
    <w:rsid w:val="00DF3E29"/>
    <w:rsid w:val="00DF42D6"/>
    <w:rsid w:val="00DF4D2D"/>
    <w:rsid w:val="00DF5518"/>
    <w:rsid w:val="00DF58FF"/>
    <w:rsid w:val="00DF5D8A"/>
    <w:rsid w:val="00DF6C07"/>
    <w:rsid w:val="00E00018"/>
    <w:rsid w:val="00E0056B"/>
    <w:rsid w:val="00E0075A"/>
    <w:rsid w:val="00E02BF1"/>
    <w:rsid w:val="00E02C50"/>
    <w:rsid w:val="00E032A5"/>
    <w:rsid w:val="00E03421"/>
    <w:rsid w:val="00E05922"/>
    <w:rsid w:val="00E06029"/>
    <w:rsid w:val="00E0689F"/>
    <w:rsid w:val="00E06913"/>
    <w:rsid w:val="00E07152"/>
    <w:rsid w:val="00E073D0"/>
    <w:rsid w:val="00E07E8B"/>
    <w:rsid w:val="00E10A59"/>
    <w:rsid w:val="00E11C7D"/>
    <w:rsid w:val="00E1484D"/>
    <w:rsid w:val="00E20F01"/>
    <w:rsid w:val="00E222A8"/>
    <w:rsid w:val="00E22440"/>
    <w:rsid w:val="00E23E1B"/>
    <w:rsid w:val="00E24503"/>
    <w:rsid w:val="00E26988"/>
    <w:rsid w:val="00E270AF"/>
    <w:rsid w:val="00E271C6"/>
    <w:rsid w:val="00E30DD7"/>
    <w:rsid w:val="00E3135D"/>
    <w:rsid w:val="00E32366"/>
    <w:rsid w:val="00E3281A"/>
    <w:rsid w:val="00E33927"/>
    <w:rsid w:val="00E36D96"/>
    <w:rsid w:val="00E40CBA"/>
    <w:rsid w:val="00E412FC"/>
    <w:rsid w:val="00E41CCD"/>
    <w:rsid w:val="00E42071"/>
    <w:rsid w:val="00E42B35"/>
    <w:rsid w:val="00E430F4"/>
    <w:rsid w:val="00E43183"/>
    <w:rsid w:val="00E43D9A"/>
    <w:rsid w:val="00E443D3"/>
    <w:rsid w:val="00E45F8B"/>
    <w:rsid w:val="00E460F4"/>
    <w:rsid w:val="00E4628E"/>
    <w:rsid w:val="00E47CBC"/>
    <w:rsid w:val="00E500B8"/>
    <w:rsid w:val="00E508A0"/>
    <w:rsid w:val="00E51027"/>
    <w:rsid w:val="00E5233F"/>
    <w:rsid w:val="00E52EEF"/>
    <w:rsid w:val="00E54E91"/>
    <w:rsid w:val="00E559FE"/>
    <w:rsid w:val="00E569CE"/>
    <w:rsid w:val="00E575EC"/>
    <w:rsid w:val="00E611EA"/>
    <w:rsid w:val="00E61DF5"/>
    <w:rsid w:val="00E62355"/>
    <w:rsid w:val="00E64FC0"/>
    <w:rsid w:val="00E650A2"/>
    <w:rsid w:val="00E650BB"/>
    <w:rsid w:val="00E652D5"/>
    <w:rsid w:val="00E65DC2"/>
    <w:rsid w:val="00E670C0"/>
    <w:rsid w:val="00E67B0B"/>
    <w:rsid w:val="00E70A00"/>
    <w:rsid w:val="00E725D6"/>
    <w:rsid w:val="00E731A6"/>
    <w:rsid w:val="00E73F25"/>
    <w:rsid w:val="00E74DC1"/>
    <w:rsid w:val="00E7788A"/>
    <w:rsid w:val="00E778DA"/>
    <w:rsid w:val="00E80778"/>
    <w:rsid w:val="00E80F66"/>
    <w:rsid w:val="00E84B3C"/>
    <w:rsid w:val="00E87317"/>
    <w:rsid w:val="00E8766B"/>
    <w:rsid w:val="00E90B8E"/>
    <w:rsid w:val="00E91082"/>
    <w:rsid w:val="00E92B55"/>
    <w:rsid w:val="00E93F17"/>
    <w:rsid w:val="00E94561"/>
    <w:rsid w:val="00E94773"/>
    <w:rsid w:val="00E95067"/>
    <w:rsid w:val="00E955A7"/>
    <w:rsid w:val="00E97D17"/>
    <w:rsid w:val="00EA0B83"/>
    <w:rsid w:val="00EA0F05"/>
    <w:rsid w:val="00EA2388"/>
    <w:rsid w:val="00EA47E0"/>
    <w:rsid w:val="00EA5681"/>
    <w:rsid w:val="00EB09EC"/>
    <w:rsid w:val="00EB0A32"/>
    <w:rsid w:val="00EB35EC"/>
    <w:rsid w:val="00EB5AFA"/>
    <w:rsid w:val="00EB65CA"/>
    <w:rsid w:val="00EB7269"/>
    <w:rsid w:val="00EC17B3"/>
    <w:rsid w:val="00EC2870"/>
    <w:rsid w:val="00EC2A33"/>
    <w:rsid w:val="00EC38B1"/>
    <w:rsid w:val="00EC4AF4"/>
    <w:rsid w:val="00EC59EB"/>
    <w:rsid w:val="00EC5EBD"/>
    <w:rsid w:val="00EC631B"/>
    <w:rsid w:val="00EC67F3"/>
    <w:rsid w:val="00ED2D8D"/>
    <w:rsid w:val="00ED333D"/>
    <w:rsid w:val="00ED50EF"/>
    <w:rsid w:val="00ED51E2"/>
    <w:rsid w:val="00ED649A"/>
    <w:rsid w:val="00ED7F1D"/>
    <w:rsid w:val="00EE051B"/>
    <w:rsid w:val="00EE15BE"/>
    <w:rsid w:val="00EE27A5"/>
    <w:rsid w:val="00EE5928"/>
    <w:rsid w:val="00EE7A66"/>
    <w:rsid w:val="00EF21C1"/>
    <w:rsid w:val="00EF5A1C"/>
    <w:rsid w:val="00F02452"/>
    <w:rsid w:val="00F0263D"/>
    <w:rsid w:val="00F03BB4"/>
    <w:rsid w:val="00F07A9E"/>
    <w:rsid w:val="00F10139"/>
    <w:rsid w:val="00F109E1"/>
    <w:rsid w:val="00F10D2A"/>
    <w:rsid w:val="00F10E6C"/>
    <w:rsid w:val="00F11145"/>
    <w:rsid w:val="00F1196F"/>
    <w:rsid w:val="00F11E5E"/>
    <w:rsid w:val="00F1348F"/>
    <w:rsid w:val="00F14791"/>
    <w:rsid w:val="00F155D3"/>
    <w:rsid w:val="00F16D1F"/>
    <w:rsid w:val="00F20D62"/>
    <w:rsid w:val="00F22A49"/>
    <w:rsid w:val="00F23D79"/>
    <w:rsid w:val="00F2482B"/>
    <w:rsid w:val="00F25467"/>
    <w:rsid w:val="00F2633E"/>
    <w:rsid w:val="00F27D4E"/>
    <w:rsid w:val="00F3018C"/>
    <w:rsid w:val="00F3100E"/>
    <w:rsid w:val="00F3310E"/>
    <w:rsid w:val="00F336B6"/>
    <w:rsid w:val="00F35F1F"/>
    <w:rsid w:val="00F36457"/>
    <w:rsid w:val="00F36EA0"/>
    <w:rsid w:val="00F373CC"/>
    <w:rsid w:val="00F4213B"/>
    <w:rsid w:val="00F43BCE"/>
    <w:rsid w:val="00F51535"/>
    <w:rsid w:val="00F5214A"/>
    <w:rsid w:val="00F52777"/>
    <w:rsid w:val="00F528BF"/>
    <w:rsid w:val="00F529BE"/>
    <w:rsid w:val="00F57D78"/>
    <w:rsid w:val="00F60720"/>
    <w:rsid w:val="00F61712"/>
    <w:rsid w:val="00F624B0"/>
    <w:rsid w:val="00F631A6"/>
    <w:rsid w:val="00F63AC6"/>
    <w:rsid w:val="00F649C0"/>
    <w:rsid w:val="00F66014"/>
    <w:rsid w:val="00F67C39"/>
    <w:rsid w:val="00F7015D"/>
    <w:rsid w:val="00F71D07"/>
    <w:rsid w:val="00F71E35"/>
    <w:rsid w:val="00F72DC8"/>
    <w:rsid w:val="00F74794"/>
    <w:rsid w:val="00F74ACE"/>
    <w:rsid w:val="00F76A18"/>
    <w:rsid w:val="00F7734A"/>
    <w:rsid w:val="00F808FB"/>
    <w:rsid w:val="00F82189"/>
    <w:rsid w:val="00F82AD6"/>
    <w:rsid w:val="00F84CB7"/>
    <w:rsid w:val="00F86337"/>
    <w:rsid w:val="00F9177B"/>
    <w:rsid w:val="00F91A3A"/>
    <w:rsid w:val="00F920F0"/>
    <w:rsid w:val="00F938B6"/>
    <w:rsid w:val="00F93A9A"/>
    <w:rsid w:val="00F93B90"/>
    <w:rsid w:val="00F9625A"/>
    <w:rsid w:val="00F96799"/>
    <w:rsid w:val="00FA01B4"/>
    <w:rsid w:val="00FA0592"/>
    <w:rsid w:val="00FA1D40"/>
    <w:rsid w:val="00FA1F3A"/>
    <w:rsid w:val="00FA2CDA"/>
    <w:rsid w:val="00FA3876"/>
    <w:rsid w:val="00FA3F44"/>
    <w:rsid w:val="00FA5729"/>
    <w:rsid w:val="00FA5A99"/>
    <w:rsid w:val="00FA6BE0"/>
    <w:rsid w:val="00FA76D6"/>
    <w:rsid w:val="00FA7CC5"/>
    <w:rsid w:val="00FB03EE"/>
    <w:rsid w:val="00FB15F4"/>
    <w:rsid w:val="00FB28E4"/>
    <w:rsid w:val="00FB2FA2"/>
    <w:rsid w:val="00FB31B7"/>
    <w:rsid w:val="00FB421A"/>
    <w:rsid w:val="00FB5B40"/>
    <w:rsid w:val="00FB5C49"/>
    <w:rsid w:val="00FB60CF"/>
    <w:rsid w:val="00FB65CF"/>
    <w:rsid w:val="00FC0032"/>
    <w:rsid w:val="00FC0A01"/>
    <w:rsid w:val="00FC0FC5"/>
    <w:rsid w:val="00FC211F"/>
    <w:rsid w:val="00FC59DF"/>
    <w:rsid w:val="00FC5D0E"/>
    <w:rsid w:val="00FC5DD6"/>
    <w:rsid w:val="00FC6704"/>
    <w:rsid w:val="00FC7F66"/>
    <w:rsid w:val="00FD2A14"/>
    <w:rsid w:val="00FD2C5E"/>
    <w:rsid w:val="00FD3532"/>
    <w:rsid w:val="00FD4D01"/>
    <w:rsid w:val="00FD5FFF"/>
    <w:rsid w:val="00FE2874"/>
    <w:rsid w:val="00FE35E1"/>
    <w:rsid w:val="00FE4050"/>
    <w:rsid w:val="00FE4601"/>
    <w:rsid w:val="00FE49DA"/>
    <w:rsid w:val="00FE5D78"/>
    <w:rsid w:val="00FF096A"/>
    <w:rsid w:val="00FF0D90"/>
    <w:rsid w:val="00FF232F"/>
    <w:rsid w:val="00FF606F"/>
    <w:rsid w:val="00FF6EC8"/>
    <w:rsid w:val="00FF7020"/>
    <w:rsid w:val="00FF7925"/>
    <w:rsid w:val="01AD2460"/>
    <w:rsid w:val="01E84929"/>
    <w:rsid w:val="0489533D"/>
    <w:rsid w:val="05DA775D"/>
    <w:rsid w:val="083862E0"/>
    <w:rsid w:val="0A3E25DB"/>
    <w:rsid w:val="0A78310C"/>
    <w:rsid w:val="0EE55829"/>
    <w:rsid w:val="0F603EC7"/>
    <w:rsid w:val="100A406E"/>
    <w:rsid w:val="100D1D24"/>
    <w:rsid w:val="11E5113A"/>
    <w:rsid w:val="12AA6C58"/>
    <w:rsid w:val="1325151F"/>
    <w:rsid w:val="160D6710"/>
    <w:rsid w:val="169E2C66"/>
    <w:rsid w:val="173D4A76"/>
    <w:rsid w:val="1A8E0DCD"/>
    <w:rsid w:val="1B823627"/>
    <w:rsid w:val="1C21352A"/>
    <w:rsid w:val="1CDE582E"/>
    <w:rsid w:val="1FAC6D64"/>
    <w:rsid w:val="1FC93893"/>
    <w:rsid w:val="242A6DEA"/>
    <w:rsid w:val="26587DA3"/>
    <w:rsid w:val="281A56DF"/>
    <w:rsid w:val="289C73BD"/>
    <w:rsid w:val="28C77FCD"/>
    <w:rsid w:val="2B002F1A"/>
    <w:rsid w:val="2B046C49"/>
    <w:rsid w:val="2C9405E9"/>
    <w:rsid w:val="2CDA6E57"/>
    <w:rsid w:val="2D1D0295"/>
    <w:rsid w:val="2D7A0AB0"/>
    <w:rsid w:val="2F337470"/>
    <w:rsid w:val="3017372C"/>
    <w:rsid w:val="3140250F"/>
    <w:rsid w:val="31D84F5C"/>
    <w:rsid w:val="32391C0C"/>
    <w:rsid w:val="3345629D"/>
    <w:rsid w:val="349D7A63"/>
    <w:rsid w:val="37986A8E"/>
    <w:rsid w:val="37E27DCD"/>
    <w:rsid w:val="38C6244C"/>
    <w:rsid w:val="3A58523B"/>
    <w:rsid w:val="3AE45194"/>
    <w:rsid w:val="3AE52B86"/>
    <w:rsid w:val="3B01774A"/>
    <w:rsid w:val="3CB46D7D"/>
    <w:rsid w:val="3CF112C9"/>
    <w:rsid w:val="3EB12CB0"/>
    <w:rsid w:val="3ECF0CF0"/>
    <w:rsid w:val="40AB4E3C"/>
    <w:rsid w:val="40D17AA3"/>
    <w:rsid w:val="43F07904"/>
    <w:rsid w:val="43F44A1E"/>
    <w:rsid w:val="443561BB"/>
    <w:rsid w:val="45164296"/>
    <w:rsid w:val="464D6AEB"/>
    <w:rsid w:val="46876739"/>
    <w:rsid w:val="486B3D10"/>
    <w:rsid w:val="4DA64935"/>
    <w:rsid w:val="4EB16C3C"/>
    <w:rsid w:val="50193B69"/>
    <w:rsid w:val="545F2DCF"/>
    <w:rsid w:val="54617011"/>
    <w:rsid w:val="569E4762"/>
    <w:rsid w:val="5B7FBDEA"/>
    <w:rsid w:val="5BBC4F1E"/>
    <w:rsid w:val="5BEF3B67"/>
    <w:rsid w:val="5CED5C47"/>
    <w:rsid w:val="5E60690D"/>
    <w:rsid w:val="5E6379C1"/>
    <w:rsid w:val="62A476BF"/>
    <w:rsid w:val="62B4328D"/>
    <w:rsid w:val="644F079A"/>
    <w:rsid w:val="649E66D6"/>
    <w:rsid w:val="66343B9C"/>
    <w:rsid w:val="66FC2ECA"/>
    <w:rsid w:val="67337169"/>
    <w:rsid w:val="67547AD1"/>
    <w:rsid w:val="683759DA"/>
    <w:rsid w:val="68501A07"/>
    <w:rsid w:val="692346DB"/>
    <w:rsid w:val="6A401924"/>
    <w:rsid w:val="6BB04907"/>
    <w:rsid w:val="6BD1257B"/>
    <w:rsid w:val="6C6D7D81"/>
    <w:rsid w:val="6D862B7F"/>
    <w:rsid w:val="6E0A56E7"/>
    <w:rsid w:val="71DA4DBF"/>
    <w:rsid w:val="72A6043D"/>
    <w:rsid w:val="72EA1860"/>
    <w:rsid w:val="757E36B9"/>
    <w:rsid w:val="7743046D"/>
    <w:rsid w:val="79093AB7"/>
    <w:rsid w:val="7C9A0671"/>
    <w:rsid w:val="7CB61253"/>
    <w:rsid w:val="7D4678B7"/>
    <w:rsid w:val="7D6E1120"/>
    <w:rsid w:val="7F701507"/>
    <w:rsid w:val="7FD20D5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ind w:firstLine="200" w:firstLineChars="200"/>
      <w:jc w:val="both"/>
    </w:pPr>
    <w:rPr>
      <w:rFonts w:ascii="Times New Roman" w:hAnsi="Times New Roman" w:eastAsia="宋体" w:cstheme="minorBidi"/>
      <w:sz w:val="24"/>
      <w:szCs w:val="22"/>
      <w:lang w:val="en-US" w:eastAsia="zh-CN" w:bidi="ar-SA"/>
    </w:rPr>
  </w:style>
  <w:style w:type="paragraph" w:styleId="2">
    <w:name w:val="heading 1"/>
    <w:basedOn w:val="1"/>
    <w:next w:val="1"/>
    <w:link w:val="23"/>
    <w:autoRedefine/>
    <w:qFormat/>
    <w:uiPriority w:val="9"/>
    <w:pPr>
      <w:keepNext/>
      <w:keepLines/>
      <w:ind w:firstLine="0" w:firstLineChars="0"/>
      <w:outlineLvl w:val="0"/>
    </w:pPr>
    <w:rPr>
      <w:rFonts w:cstheme="majorBidi"/>
      <w:b/>
      <w:sz w:val="32"/>
      <w:szCs w:val="32"/>
    </w:rPr>
  </w:style>
  <w:style w:type="paragraph" w:styleId="3">
    <w:name w:val="heading 2"/>
    <w:basedOn w:val="1"/>
    <w:next w:val="1"/>
    <w:link w:val="24"/>
    <w:autoRedefine/>
    <w:unhideWhenUsed/>
    <w:qFormat/>
    <w:uiPriority w:val="9"/>
    <w:pPr>
      <w:keepNext/>
      <w:keepLines/>
      <w:spacing w:line="240" w:lineRule="auto"/>
      <w:ind w:firstLine="0" w:firstLineChars="0"/>
      <w:outlineLvl w:val="1"/>
    </w:pPr>
    <w:rPr>
      <w:rFonts w:cstheme="majorBidi"/>
      <w:b/>
      <w:szCs w:val="28"/>
    </w:rPr>
  </w:style>
  <w:style w:type="paragraph" w:styleId="4">
    <w:name w:val="heading 3"/>
    <w:basedOn w:val="1"/>
    <w:next w:val="1"/>
    <w:link w:val="26"/>
    <w:autoRedefine/>
    <w:unhideWhenUsed/>
    <w:qFormat/>
    <w:uiPriority w:val="9"/>
    <w:pPr>
      <w:keepNext/>
      <w:keepLines/>
      <w:spacing w:line="240" w:lineRule="auto"/>
      <w:ind w:firstLine="0" w:firstLineChars="0"/>
      <w:jc w:val="center"/>
      <w:outlineLvl w:val="2"/>
    </w:pPr>
    <w:rPr>
      <w:rFonts w:cstheme="majorBidi"/>
      <w:color w:val="203864" w:themeColor="accent1" w:themeShade="80"/>
      <w:sz w:val="21"/>
      <w:szCs w:val="24"/>
    </w:rPr>
  </w:style>
  <w:style w:type="paragraph" w:styleId="5">
    <w:name w:val="heading 4"/>
    <w:basedOn w:val="1"/>
    <w:next w:val="1"/>
    <w:link w:val="27"/>
    <w:autoRedefine/>
    <w:semiHidden/>
    <w:unhideWhenUsed/>
    <w:qFormat/>
    <w:uiPriority w:val="9"/>
    <w:pPr>
      <w:keepNext/>
      <w:keepLines/>
      <w:spacing w:before="40"/>
      <w:outlineLvl w:val="3"/>
    </w:pPr>
    <w:rPr>
      <w:i/>
      <w:iCs/>
    </w:rPr>
  </w:style>
  <w:style w:type="paragraph" w:styleId="6">
    <w:name w:val="heading 5"/>
    <w:basedOn w:val="1"/>
    <w:next w:val="1"/>
    <w:link w:val="28"/>
    <w:autoRedefine/>
    <w:semiHidden/>
    <w:unhideWhenUsed/>
    <w:qFormat/>
    <w:uiPriority w:val="9"/>
    <w:pPr>
      <w:keepNext/>
      <w:keepLines/>
      <w:spacing w:before="40"/>
      <w:outlineLvl w:val="4"/>
    </w:pPr>
    <w:rPr>
      <w:color w:val="2F5597" w:themeColor="accent1" w:themeShade="BF"/>
    </w:rPr>
  </w:style>
  <w:style w:type="paragraph" w:styleId="7">
    <w:name w:val="heading 6"/>
    <w:basedOn w:val="1"/>
    <w:next w:val="1"/>
    <w:link w:val="29"/>
    <w:autoRedefine/>
    <w:semiHidden/>
    <w:unhideWhenUsed/>
    <w:qFormat/>
    <w:uiPriority w:val="9"/>
    <w:pPr>
      <w:keepNext/>
      <w:keepLines/>
      <w:spacing w:before="40"/>
      <w:outlineLvl w:val="5"/>
    </w:pPr>
    <w:rPr>
      <w:color w:val="203864" w:themeColor="accent1" w:themeShade="80"/>
    </w:rPr>
  </w:style>
  <w:style w:type="paragraph" w:styleId="8">
    <w:name w:val="heading 7"/>
    <w:basedOn w:val="1"/>
    <w:next w:val="1"/>
    <w:link w:val="30"/>
    <w:autoRedefine/>
    <w:semiHidden/>
    <w:unhideWhenUsed/>
    <w:qFormat/>
    <w:uiPriority w:val="9"/>
    <w:pPr>
      <w:keepNext/>
      <w:keepLines/>
      <w:spacing w:before="40"/>
      <w:outlineLvl w:val="6"/>
    </w:pPr>
    <w:rPr>
      <w:rFonts w:asciiTheme="majorHAnsi" w:hAnsiTheme="majorHAnsi" w:eastAsiaTheme="majorEastAsia" w:cstheme="majorBidi"/>
      <w:i/>
      <w:iCs/>
      <w:color w:val="203864" w:themeColor="accent1" w:themeShade="80"/>
    </w:rPr>
  </w:style>
  <w:style w:type="paragraph" w:styleId="9">
    <w:name w:val="heading 8"/>
    <w:basedOn w:val="1"/>
    <w:next w:val="1"/>
    <w:link w:val="31"/>
    <w:autoRedefine/>
    <w:semiHidden/>
    <w:unhideWhenUsed/>
    <w:qFormat/>
    <w:uiPriority w:val="9"/>
    <w:pPr>
      <w:keepNext/>
      <w:keepLines/>
      <w:spacing w:before="40"/>
      <w:outlineLvl w:val="7"/>
    </w:pPr>
    <w:rPr>
      <w:color w:val="262626" w:themeColor="text1" w:themeTint="D9"/>
      <w:sz w:val="21"/>
      <w:szCs w:val="21"/>
      <w14:textFill>
        <w14:solidFill>
          <w14:schemeClr w14:val="tx1">
            <w14:lumMod w14:val="85000"/>
            <w14:lumOff w14:val="15000"/>
          </w14:schemeClr>
        </w14:solidFill>
      </w14:textFill>
    </w:rPr>
  </w:style>
  <w:style w:type="paragraph" w:styleId="10">
    <w:name w:val="heading 9"/>
    <w:basedOn w:val="1"/>
    <w:next w:val="1"/>
    <w:link w:val="32"/>
    <w:autoRedefine/>
    <w:semiHidden/>
    <w:unhideWhenUsed/>
    <w:qFormat/>
    <w:uiPriority w:val="9"/>
    <w:pPr>
      <w:keepNext/>
      <w:keepLines/>
      <w:spacing w:before="40"/>
      <w:outlineLvl w:val="8"/>
    </w:pPr>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3"/>
    <w:autoRedefine/>
    <w:semiHidden/>
    <w:qFormat/>
    <w:uiPriority w:val="0"/>
    <w:pPr>
      <w:jc w:val="left"/>
    </w:pPr>
    <w:rPr>
      <w:szCs w:val="20"/>
    </w:rPr>
  </w:style>
  <w:style w:type="paragraph" w:styleId="12">
    <w:name w:val="footer"/>
    <w:basedOn w:val="1"/>
    <w:link w:val="22"/>
    <w:autoRedefine/>
    <w:unhideWhenUsed/>
    <w:qFormat/>
    <w:uiPriority w:val="99"/>
    <w:pPr>
      <w:tabs>
        <w:tab w:val="center" w:pos="4153"/>
        <w:tab w:val="right" w:pos="8306"/>
      </w:tabs>
    </w:pPr>
    <w:rPr>
      <w:sz w:val="18"/>
      <w:szCs w:val="18"/>
    </w:rPr>
  </w:style>
  <w:style w:type="paragraph" w:styleId="13">
    <w:name w:val="header"/>
    <w:basedOn w:val="1"/>
    <w:link w:val="21"/>
    <w:autoRedefine/>
    <w:unhideWhenUsed/>
    <w:qFormat/>
    <w:uiPriority w:val="99"/>
    <w:pPr>
      <w:pBdr>
        <w:bottom w:val="single" w:color="auto" w:sz="6" w:space="1"/>
      </w:pBdr>
      <w:tabs>
        <w:tab w:val="center" w:pos="4153"/>
        <w:tab w:val="right" w:pos="8306"/>
      </w:tabs>
      <w:jc w:val="center"/>
    </w:pPr>
    <w:rPr>
      <w:sz w:val="18"/>
      <w:szCs w:val="18"/>
    </w:rPr>
  </w:style>
  <w:style w:type="paragraph" w:styleId="14">
    <w:name w:val="Subtitle"/>
    <w:basedOn w:val="1"/>
    <w:next w:val="1"/>
    <w:link w:val="34"/>
    <w:autoRedefine/>
    <w:qFormat/>
    <w:uiPriority w:val="11"/>
    <w:rPr>
      <w:color w:val="595959" w:themeColor="text1" w:themeTint="A6"/>
      <w:spacing w:val="15"/>
      <w14:textFill>
        <w14:solidFill>
          <w14:schemeClr w14:val="tx1">
            <w14:lumMod w14:val="65000"/>
            <w14:lumOff w14:val="35000"/>
          </w14:schemeClr>
        </w14:solidFill>
      </w14:textFill>
    </w:rPr>
  </w:style>
  <w:style w:type="paragraph" w:styleId="15">
    <w:name w:val="Title"/>
    <w:basedOn w:val="1"/>
    <w:next w:val="1"/>
    <w:link w:val="33"/>
    <w:autoRedefine/>
    <w:qFormat/>
    <w:uiPriority w:val="10"/>
    <w:pPr>
      <w:spacing w:line="240" w:lineRule="auto"/>
      <w:contextualSpacing/>
    </w:pPr>
    <w:rPr>
      <w:rFonts w:asciiTheme="majorHAnsi" w:hAnsiTheme="majorHAnsi" w:eastAsiaTheme="majorEastAsia" w:cstheme="majorBidi"/>
      <w:spacing w:val="-10"/>
      <w:sz w:val="56"/>
      <w:szCs w:val="56"/>
    </w:rPr>
  </w:style>
  <w:style w:type="paragraph" w:styleId="16">
    <w:name w:val="annotation subject"/>
    <w:basedOn w:val="11"/>
    <w:next w:val="11"/>
    <w:link w:val="44"/>
    <w:autoRedefine/>
    <w:qFormat/>
    <w:uiPriority w:val="0"/>
    <w:rPr>
      <w:b/>
      <w:bCs/>
      <w:szCs w:val="22"/>
    </w:rPr>
  </w:style>
  <w:style w:type="table" w:styleId="18">
    <w:name w:val="Table Grid"/>
    <w:basedOn w:val="1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annotation reference"/>
    <w:autoRedefine/>
    <w:qFormat/>
    <w:uiPriority w:val="0"/>
    <w:rPr>
      <w:rFonts w:ascii="Times New Roman" w:hAnsi="Times New Roman" w:eastAsia="宋体"/>
      <w:sz w:val="21"/>
      <w:szCs w:val="21"/>
    </w:rPr>
  </w:style>
  <w:style w:type="character" w:customStyle="1" w:styleId="21">
    <w:name w:val="页眉 字符"/>
    <w:basedOn w:val="19"/>
    <w:link w:val="13"/>
    <w:autoRedefine/>
    <w:qFormat/>
    <w:uiPriority w:val="99"/>
    <w:rPr>
      <w:sz w:val="18"/>
      <w:szCs w:val="18"/>
    </w:rPr>
  </w:style>
  <w:style w:type="character" w:customStyle="1" w:styleId="22">
    <w:name w:val="页脚 字符"/>
    <w:basedOn w:val="19"/>
    <w:link w:val="12"/>
    <w:autoRedefine/>
    <w:qFormat/>
    <w:uiPriority w:val="99"/>
    <w:rPr>
      <w:sz w:val="18"/>
      <w:szCs w:val="18"/>
    </w:rPr>
  </w:style>
  <w:style w:type="character" w:customStyle="1" w:styleId="23">
    <w:name w:val="标题 1 字符"/>
    <w:basedOn w:val="19"/>
    <w:link w:val="2"/>
    <w:autoRedefine/>
    <w:qFormat/>
    <w:uiPriority w:val="9"/>
    <w:rPr>
      <w:rFonts w:ascii="Times New Roman" w:hAnsi="Times New Roman" w:eastAsia="宋体" w:cstheme="majorBidi"/>
      <w:b/>
      <w:sz w:val="32"/>
      <w:szCs w:val="32"/>
    </w:rPr>
  </w:style>
  <w:style w:type="character" w:customStyle="1" w:styleId="24">
    <w:name w:val="标题 2 字符"/>
    <w:basedOn w:val="19"/>
    <w:link w:val="3"/>
    <w:autoRedefine/>
    <w:qFormat/>
    <w:uiPriority w:val="9"/>
    <w:rPr>
      <w:rFonts w:cstheme="majorBidi"/>
      <w:b/>
      <w:sz w:val="24"/>
      <w:szCs w:val="28"/>
    </w:rPr>
  </w:style>
  <w:style w:type="paragraph" w:customStyle="1" w:styleId="25">
    <w:name w:val="表头"/>
    <w:basedOn w:val="1"/>
    <w:link w:val="41"/>
    <w:autoRedefine/>
    <w:qFormat/>
    <w:uiPriority w:val="0"/>
    <w:pPr>
      <w:spacing w:line="240" w:lineRule="auto"/>
      <w:ind w:firstLine="0" w:firstLineChars="0"/>
      <w:jc w:val="center"/>
    </w:pPr>
    <w:rPr>
      <w:b/>
      <w:sz w:val="21"/>
    </w:rPr>
  </w:style>
  <w:style w:type="character" w:customStyle="1" w:styleId="26">
    <w:name w:val="标题 3 字符"/>
    <w:basedOn w:val="19"/>
    <w:link w:val="4"/>
    <w:autoRedefine/>
    <w:qFormat/>
    <w:uiPriority w:val="9"/>
    <w:rPr>
      <w:rFonts w:ascii="Times New Roman" w:hAnsi="Times New Roman" w:eastAsia="宋体" w:cstheme="majorBidi"/>
      <w:color w:val="203864" w:themeColor="accent1" w:themeShade="80"/>
      <w:sz w:val="21"/>
      <w:szCs w:val="24"/>
    </w:rPr>
  </w:style>
  <w:style w:type="character" w:customStyle="1" w:styleId="27">
    <w:name w:val="标题 4 字符"/>
    <w:basedOn w:val="19"/>
    <w:link w:val="5"/>
    <w:autoRedefine/>
    <w:semiHidden/>
    <w:qFormat/>
    <w:uiPriority w:val="9"/>
    <w:rPr>
      <w:i/>
      <w:iCs/>
    </w:rPr>
  </w:style>
  <w:style w:type="character" w:customStyle="1" w:styleId="28">
    <w:name w:val="标题 5 字符"/>
    <w:basedOn w:val="19"/>
    <w:link w:val="6"/>
    <w:autoRedefine/>
    <w:semiHidden/>
    <w:qFormat/>
    <w:uiPriority w:val="9"/>
    <w:rPr>
      <w:color w:val="2F5597" w:themeColor="accent1" w:themeShade="BF"/>
    </w:rPr>
  </w:style>
  <w:style w:type="character" w:customStyle="1" w:styleId="29">
    <w:name w:val="标题 6 字符"/>
    <w:basedOn w:val="19"/>
    <w:link w:val="7"/>
    <w:autoRedefine/>
    <w:semiHidden/>
    <w:qFormat/>
    <w:uiPriority w:val="9"/>
    <w:rPr>
      <w:color w:val="203864" w:themeColor="accent1" w:themeShade="80"/>
    </w:rPr>
  </w:style>
  <w:style w:type="character" w:customStyle="1" w:styleId="30">
    <w:name w:val="标题 7 字符"/>
    <w:basedOn w:val="19"/>
    <w:link w:val="8"/>
    <w:autoRedefine/>
    <w:semiHidden/>
    <w:qFormat/>
    <w:uiPriority w:val="9"/>
    <w:rPr>
      <w:rFonts w:asciiTheme="majorHAnsi" w:hAnsiTheme="majorHAnsi" w:eastAsiaTheme="majorEastAsia" w:cstheme="majorBidi"/>
      <w:i/>
      <w:iCs/>
      <w:color w:val="203864" w:themeColor="accent1" w:themeShade="80"/>
    </w:rPr>
  </w:style>
  <w:style w:type="character" w:customStyle="1" w:styleId="31">
    <w:name w:val="标题 8 字符"/>
    <w:basedOn w:val="19"/>
    <w:link w:val="9"/>
    <w:autoRedefine/>
    <w:semiHidden/>
    <w:qFormat/>
    <w:uiPriority w:val="9"/>
    <w:rPr>
      <w:color w:val="262626" w:themeColor="text1" w:themeTint="D9"/>
      <w:sz w:val="21"/>
      <w:szCs w:val="21"/>
      <w14:textFill>
        <w14:solidFill>
          <w14:schemeClr w14:val="tx1">
            <w14:lumMod w14:val="85000"/>
            <w14:lumOff w14:val="15000"/>
          </w14:schemeClr>
        </w14:solidFill>
      </w14:textFill>
    </w:rPr>
  </w:style>
  <w:style w:type="character" w:customStyle="1" w:styleId="32">
    <w:name w:val="标题 9 字符"/>
    <w:basedOn w:val="19"/>
    <w:link w:val="10"/>
    <w:autoRedefine/>
    <w:semiHidden/>
    <w:qFormat/>
    <w:uiPriority w:val="9"/>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customStyle="1" w:styleId="33">
    <w:name w:val="标题 字符"/>
    <w:basedOn w:val="19"/>
    <w:link w:val="15"/>
    <w:autoRedefine/>
    <w:qFormat/>
    <w:uiPriority w:val="10"/>
    <w:rPr>
      <w:rFonts w:asciiTheme="majorHAnsi" w:hAnsiTheme="majorHAnsi" w:eastAsiaTheme="majorEastAsia" w:cstheme="majorBidi"/>
      <w:spacing w:val="-10"/>
      <w:sz w:val="56"/>
      <w:szCs w:val="56"/>
    </w:rPr>
  </w:style>
  <w:style w:type="character" w:customStyle="1" w:styleId="34">
    <w:name w:val="副标题 字符"/>
    <w:basedOn w:val="19"/>
    <w:link w:val="14"/>
    <w:autoRedefine/>
    <w:qFormat/>
    <w:uiPriority w:val="11"/>
    <w:rPr>
      <w:color w:val="595959" w:themeColor="text1" w:themeTint="A6"/>
      <w:spacing w:val="15"/>
      <w14:textFill>
        <w14:solidFill>
          <w14:schemeClr w14:val="tx1">
            <w14:lumMod w14:val="65000"/>
            <w14:lumOff w14:val="35000"/>
          </w14:schemeClr>
        </w14:solidFill>
      </w14:textFill>
    </w:rPr>
  </w:style>
  <w:style w:type="table" w:customStyle="1" w:styleId="35">
    <w:name w:val="Table Normal"/>
    <w:autoRedefine/>
    <w:unhideWhenUsed/>
    <w:qFormat/>
    <w:uiPriority w:val="2"/>
    <w:pPr>
      <w:widowControl w:val="0"/>
    </w:pPr>
    <w:rPr>
      <w:lang w:eastAsia="en-US"/>
    </w:rPr>
    <w:tblPr>
      <w:tblCellMar>
        <w:top w:w="0" w:type="dxa"/>
        <w:left w:w="0" w:type="dxa"/>
        <w:bottom w:w="0" w:type="dxa"/>
        <w:right w:w="0" w:type="dxa"/>
      </w:tblCellMar>
    </w:tblPr>
  </w:style>
  <w:style w:type="paragraph" w:customStyle="1" w:styleId="36">
    <w:name w:val="修订1"/>
    <w:autoRedefine/>
    <w:hidden/>
    <w:semiHidden/>
    <w:qFormat/>
    <w:uiPriority w:val="99"/>
    <w:rPr>
      <w:rFonts w:ascii="Times New Roman" w:hAnsi="Times New Roman" w:eastAsia="宋体" w:cstheme="minorBidi"/>
      <w:sz w:val="24"/>
      <w:szCs w:val="22"/>
      <w:lang w:val="en-US" w:eastAsia="zh-CN" w:bidi="ar-SA"/>
    </w:rPr>
  </w:style>
  <w:style w:type="table" w:customStyle="1" w:styleId="37">
    <w:name w:val="网格型1"/>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8">
    <w:name w:val="修订2"/>
    <w:autoRedefine/>
    <w:hidden/>
    <w:semiHidden/>
    <w:qFormat/>
    <w:uiPriority w:val="99"/>
    <w:rPr>
      <w:rFonts w:ascii="Times New Roman" w:hAnsi="Times New Roman" w:eastAsia="宋体" w:cstheme="minorBidi"/>
      <w:sz w:val="24"/>
      <w:szCs w:val="22"/>
      <w:lang w:val="en-US" w:eastAsia="zh-CN" w:bidi="ar-SA"/>
    </w:rPr>
  </w:style>
  <w:style w:type="paragraph" w:customStyle="1" w:styleId="39">
    <w:name w:val="表内"/>
    <w:basedOn w:val="1"/>
    <w:link w:val="40"/>
    <w:autoRedefine/>
    <w:qFormat/>
    <w:uiPriority w:val="0"/>
    <w:pPr>
      <w:widowControl w:val="0"/>
      <w:adjustRightInd w:val="0"/>
      <w:snapToGrid w:val="0"/>
      <w:spacing w:line="240" w:lineRule="auto"/>
      <w:ind w:firstLine="0" w:firstLineChars="0"/>
    </w:pPr>
    <w:rPr>
      <w:rFonts w:cs="Times New Roman"/>
      <w:kern w:val="2"/>
      <w:sz w:val="21"/>
      <w:szCs w:val="24"/>
    </w:rPr>
  </w:style>
  <w:style w:type="character" w:customStyle="1" w:styleId="40">
    <w:name w:val="表内 Char"/>
    <w:link w:val="39"/>
    <w:autoRedefine/>
    <w:qFormat/>
    <w:uiPriority w:val="0"/>
    <w:rPr>
      <w:rFonts w:ascii="Times New Roman" w:hAnsi="Times New Roman" w:eastAsia="宋体" w:cs="Times New Roman"/>
      <w:kern w:val="2"/>
      <w:sz w:val="21"/>
      <w:szCs w:val="24"/>
    </w:rPr>
  </w:style>
  <w:style w:type="character" w:customStyle="1" w:styleId="41">
    <w:name w:val="表头 Char"/>
    <w:link w:val="25"/>
    <w:autoRedefine/>
    <w:qFormat/>
    <w:uiPriority w:val="0"/>
    <w:rPr>
      <w:rFonts w:ascii="Times New Roman" w:hAnsi="Times New Roman" w:eastAsia="宋体"/>
      <w:b/>
      <w:sz w:val="21"/>
      <w:szCs w:val="22"/>
    </w:rPr>
  </w:style>
  <w:style w:type="paragraph" w:customStyle="1" w:styleId="42">
    <w:name w:val="表格内容"/>
    <w:basedOn w:val="1"/>
    <w:autoRedefine/>
    <w:qFormat/>
    <w:uiPriority w:val="0"/>
    <w:pPr>
      <w:spacing w:line="240" w:lineRule="auto"/>
      <w:ind w:firstLine="0" w:firstLineChars="0"/>
      <w:jc w:val="center"/>
    </w:pPr>
    <w:rPr>
      <w:sz w:val="21"/>
    </w:rPr>
  </w:style>
  <w:style w:type="character" w:customStyle="1" w:styleId="43">
    <w:name w:val="批注文字 字符"/>
    <w:basedOn w:val="19"/>
    <w:link w:val="11"/>
    <w:autoRedefine/>
    <w:semiHidden/>
    <w:qFormat/>
    <w:uiPriority w:val="0"/>
    <w:rPr>
      <w:rFonts w:cstheme="minorBidi"/>
      <w:sz w:val="24"/>
    </w:rPr>
  </w:style>
  <w:style w:type="character" w:customStyle="1" w:styleId="44">
    <w:name w:val="批注主题 字符"/>
    <w:basedOn w:val="43"/>
    <w:link w:val="16"/>
    <w:autoRedefine/>
    <w:qFormat/>
    <w:uiPriority w:val="0"/>
    <w:rPr>
      <w:rFonts w:cstheme="minorBidi"/>
      <w:b/>
      <w:bCs/>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3" Type="http://schemas.openxmlformats.org/officeDocument/2006/relationships/fontTable" Target="fontTable.xml"/><Relationship Id="rId72" Type="http://schemas.openxmlformats.org/officeDocument/2006/relationships/numbering" Target="numbering.xml"/><Relationship Id="rId71" Type="http://schemas.openxmlformats.org/officeDocument/2006/relationships/customXml" Target="../customXml/item1.xml"/><Relationship Id="rId70" Type="http://schemas.openxmlformats.org/officeDocument/2006/relationships/image" Target="media/image33.png"/><Relationship Id="rId7" Type="http://schemas.openxmlformats.org/officeDocument/2006/relationships/header" Target="header3.xml"/><Relationship Id="rId69" Type="http://schemas.openxmlformats.org/officeDocument/2006/relationships/image" Target="media/image32.wmf"/><Relationship Id="rId68" Type="http://schemas.openxmlformats.org/officeDocument/2006/relationships/oleObject" Target="embeddings/Microsoft_Visio_2003-2010___5.vsd"/><Relationship Id="rId67" Type="http://schemas.openxmlformats.org/officeDocument/2006/relationships/image" Target="media/image31.wmf"/><Relationship Id="rId66" Type="http://schemas.openxmlformats.org/officeDocument/2006/relationships/oleObject" Target="embeddings/Microsoft_Visio_2003-2010___4.vsd"/><Relationship Id="rId65" Type="http://schemas.openxmlformats.org/officeDocument/2006/relationships/image" Target="media/image30.wmf"/><Relationship Id="rId64" Type="http://schemas.openxmlformats.org/officeDocument/2006/relationships/oleObject" Target="embeddings/Microsoft_Visio_2003-2010___3.vsd"/><Relationship Id="rId63" Type="http://schemas.openxmlformats.org/officeDocument/2006/relationships/image" Target="media/image29.png"/><Relationship Id="rId62" Type="http://schemas.openxmlformats.org/officeDocument/2006/relationships/image" Target="media/image28.wmf"/><Relationship Id="rId61" Type="http://schemas.openxmlformats.org/officeDocument/2006/relationships/oleObject" Target="embeddings/oleObject21.bin"/><Relationship Id="rId60" Type="http://schemas.openxmlformats.org/officeDocument/2006/relationships/image" Target="media/image27.wmf"/><Relationship Id="rId6" Type="http://schemas.openxmlformats.org/officeDocument/2006/relationships/header" Target="header2.xml"/><Relationship Id="rId59" Type="http://schemas.openxmlformats.org/officeDocument/2006/relationships/oleObject" Target="embeddings/oleObject20.bin"/><Relationship Id="rId58" Type="http://schemas.openxmlformats.org/officeDocument/2006/relationships/image" Target="media/image26.wmf"/><Relationship Id="rId57" Type="http://schemas.openxmlformats.org/officeDocument/2006/relationships/oleObject" Target="embeddings/oleObject19.bin"/><Relationship Id="rId56" Type="http://schemas.openxmlformats.org/officeDocument/2006/relationships/image" Target="media/image25.wmf"/><Relationship Id="rId55" Type="http://schemas.openxmlformats.org/officeDocument/2006/relationships/oleObject" Target="embeddings/oleObject18.bin"/><Relationship Id="rId54" Type="http://schemas.openxmlformats.org/officeDocument/2006/relationships/image" Target="media/image24.wmf"/><Relationship Id="rId53" Type="http://schemas.openxmlformats.org/officeDocument/2006/relationships/oleObject" Target="embeddings/oleObject17.bin"/><Relationship Id="rId52" Type="http://schemas.openxmlformats.org/officeDocument/2006/relationships/image" Target="media/image23.wmf"/><Relationship Id="rId51" Type="http://schemas.openxmlformats.org/officeDocument/2006/relationships/oleObject" Target="embeddings/oleObject16.bin"/><Relationship Id="rId50" Type="http://schemas.openxmlformats.org/officeDocument/2006/relationships/image" Target="media/image22.wmf"/><Relationship Id="rId5" Type="http://schemas.openxmlformats.org/officeDocument/2006/relationships/header" Target="header1.xml"/><Relationship Id="rId49" Type="http://schemas.openxmlformats.org/officeDocument/2006/relationships/oleObject" Target="embeddings/oleObject15.bin"/><Relationship Id="rId48" Type="http://schemas.openxmlformats.org/officeDocument/2006/relationships/image" Target="media/image21.wmf"/><Relationship Id="rId47" Type="http://schemas.openxmlformats.org/officeDocument/2006/relationships/oleObject" Target="embeddings/oleObject14.bin"/><Relationship Id="rId46" Type="http://schemas.openxmlformats.org/officeDocument/2006/relationships/image" Target="media/image20.wmf"/><Relationship Id="rId45" Type="http://schemas.openxmlformats.org/officeDocument/2006/relationships/oleObject" Target="embeddings/oleObject13.bin"/><Relationship Id="rId44" Type="http://schemas.openxmlformats.org/officeDocument/2006/relationships/image" Target="media/image19.wmf"/><Relationship Id="rId43" Type="http://schemas.openxmlformats.org/officeDocument/2006/relationships/oleObject" Target="embeddings/oleObject12.bin"/><Relationship Id="rId42" Type="http://schemas.openxmlformats.org/officeDocument/2006/relationships/image" Target="media/image18.wmf"/><Relationship Id="rId41" Type="http://schemas.openxmlformats.org/officeDocument/2006/relationships/oleObject" Target="embeddings/oleObject11.bin"/><Relationship Id="rId40" Type="http://schemas.openxmlformats.org/officeDocument/2006/relationships/image" Target="media/image17.wmf"/><Relationship Id="rId4" Type="http://schemas.openxmlformats.org/officeDocument/2006/relationships/endnotes" Target="endnotes.xml"/><Relationship Id="rId39" Type="http://schemas.openxmlformats.org/officeDocument/2006/relationships/oleObject" Target="embeddings/oleObject10.bin"/><Relationship Id="rId38" Type="http://schemas.openxmlformats.org/officeDocument/2006/relationships/image" Target="media/image16.wmf"/><Relationship Id="rId37" Type="http://schemas.openxmlformats.org/officeDocument/2006/relationships/oleObject" Target="embeddings/oleObject9.bin"/><Relationship Id="rId36" Type="http://schemas.openxmlformats.org/officeDocument/2006/relationships/image" Target="media/image15.wmf"/><Relationship Id="rId35" Type="http://schemas.openxmlformats.org/officeDocument/2006/relationships/oleObject" Target="embeddings/oleObject8.bin"/><Relationship Id="rId34" Type="http://schemas.openxmlformats.org/officeDocument/2006/relationships/image" Target="media/image14.wmf"/><Relationship Id="rId33" Type="http://schemas.openxmlformats.org/officeDocument/2006/relationships/oleObject" Target="embeddings/oleObject7.bin"/><Relationship Id="rId32" Type="http://schemas.openxmlformats.org/officeDocument/2006/relationships/image" Target="media/image13.wmf"/><Relationship Id="rId31" Type="http://schemas.openxmlformats.org/officeDocument/2006/relationships/oleObject" Target="embeddings/oleObject6.bin"/><Relationship Id="rId30" Type="http://schemas.openxmlformats.org/officeDocument/2006/relationships/image" Target="media/image12.wmf"/><Relationship Id="rId3" Type="http://schemas.openxmlformats.org/officeDocument/2006/relationships/footnotes" Target="footnotes.xml"/><Relationship Id="rId29" Type="http://schemas.openxmlformats.org/officeDocument/2006/relationships/oleObject" Target="embeddings/oleObject5.bin"/><Relationship Id="rId28" Type="http://schemas.openxmlformats.org/officeDocument/2006/relationships/image" Target="media/image11.wmf"/><Relationship Id="rId27" Type="http://schemas.openxmlformats.org/officeDocument/2006/relationships/oleObject" Target="embeddings/oleObject4.bin"/><Relationship Id="rId26" Type="http://schemas.openxmlformats.org/officeDocument/2006/relationships/image" Target="media/image10.wmf"/><Relationship Id="rId25" Type="http://schemas.openxmlformats.org/officeDocument/2006/relationships/oleObject" Target="embeddings/oleObject3.bin"/><Relationship Id="rId24" Type="http://schemas.openxmlformats.org/officeDocument/2006/relationships/image" Target="media/image9.wmf"/><Relationship Id="rId23" Type="http://schemas.openxmlformats.org/officeDocument/2006/relationships/oleObject" Target="embeddings/oleObject2.bin"/><Relationship Id="rId22" Type="http://schemas.openxmlformats.org/officeDocument/2006/relationships/image" Target="media/image8.wmf"/><Relationship Id="rId21" Type="http://schemas.openxmlformats.org/officeDocument/2006/relationships/oleObject" Target="embeddings/oleObject1.bin"/><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emf"/><Relationship Id="rId17" Type="http://schemas.openxmlformats.org/officeDocument/2006/relationships/oleObject" Target="embeddings/Microsoft_Visio_2003-2010___2.vsd"/><Relationship Id="rId16" Type="http://schemas.openxmlformats.org/officeDocument/2006/relationships/image" Target="media/image4.emf"/><Relationship Id="rId15" Type="http://schemas.openxmlformats.org/officeDocument/2006/relationships/oleObject" Target="embeddings/Microsoft_Visio_2003-2010___1.vsd"/><Relationship Id="rId14" Type="http://schemas.openxmlformats.org/officeDocument/2006/relationships/image" Target="media/image3.png"/><Relationship Id="rId13" Type="http://schemas.openxmlformats.org/officeDocument/2006/relationships/image" Target="media/image2.emf"/><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21627</Words>
  <Characters>25243</Characters>
  <Lines>207</Lines>
  <Paragraphs>58</Paragraphs>
  <TotalTime>11</TotalTime>
  <ScaleCrop>false</ScaleCrop>
  <LinksUpToDate>false</LinksUpToDate>
  <CharactersWithSpaces>25394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2023-03-16T09:04:00Z</dcterms:created>
  <dc:creator>Micorosoft</dc:creator>
  <cp:lastModifiedBy>火龙果</cp:lastModifiedBy>
  <cp:lastPrinted>2024-05-09T07:34:00Z</cp:lastPrinted>
  <dcterms:modified xsi:type="dcterms:W3CDTF">2024-06-05T03:53:57Z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DDCF609D36EE4F27A1455B00BDADAD02_13</vt:lpwstr>
  </property>
</Properties>
</file>