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D657B">
      <w:pPr>
        <w:adjustRightInd w:val="0"/>
        <w:snapToGrid w:val="0"/>
        <w:jc w:val="center"/>
        <w:outlineLvl w:val="0"/>
        <w:rPr>
          <w:rFonts w:hint="default" w:ascii="方正小标宋_GBK" w:eastAsia="方正小标宋_GBK"/>
          <w:bCs/>
          <w:sz w:val="72"/>
          <w:szCs w:val="72"/>
          <w:lang w:val="en-US" w:eastAsia="zh-CN"/>
        </w:rPr>
      </w:pPr>
    </w:p>
    <w:p w14:paraId="5AFEC132">
      <w:pPr>
        <w:adjustRightInd w:val="0"/>
        <w:snapToGrid w:val="0"/>
        <w:jc w:val="center"/>
        <w:outlineLvl w:val="0"/>
        <w:rPr>
          <w:rFonts w:hint="eastAsia" w:ascii="方正小标宋_GBK" w:eastAsia="方正小标宋_GBK"/>
          <w:bCs/>
          <w:sz w:val="72"/>
          <w:szCs w:val="72"/>
        </w:rPr>
      </w:pPr>
      <w:r>
        <w:rPr>
          <w:rFonts w:hint="eastAsia" w:ascii="方正小标宋_GBK" w:eastAsia="方正小标宋_GBK"/>
          <w:bCs/>
          <w:sz w:val="72"/>
          <w:szCs w:val="72"/>
        </w:rPr>
        <w:t>建设项目环境影响报告表</w:t>
      </w:r>
    </w:p>
    <w:p w14:paraId="78A999A1">
      <w:pPr>
        <w:adjustRightInd w:val="0"/>
        <w:snapToGrid w:val="0"/>
        <w:spacing w:before="192" w:beforeLines="80"/>
        <w:jc w:val="center"/>
        <w:rPr>
          <w:rFonts w:hint="eastAsia" w:ascii="楷体_GB2312" w:eastAsia="楷体_GB2312"/>
          <w:bCs/>
          <w:sz w:val="48"/>
          <w:szCs w:val="48"/>
        </w:rPr>
      </w:pPr>
      <w:r>
        <w:rPr>
          <w:rFonts w:hint="eastAsia" w:ascii="楷体_GB2312" w:eastAsia="楷体_GB2312"/>
          <w:bCs/>
          <w:sz w:val="48"/>
          <w:szCs w:val="48"/>
        </w:rPr>
        <w:t>（生态影响类）</w:t>
      </w:r>
    </w:p>
    <w:p w14:paraId="677566E1">
      <w:pPr>
        <w:adjustRightInd w:val="0"/>
        <w:snapToGrid w:val="0"/>
        <w:spacing w:line="288" w:lineRule="auto"/>
        <w:jc w:val="center"/>
        <w:outlineLvl w:val="9"/>
        <w:rPr>
          <w:rFonts w:ascii="华文仿宋" w:hAnsi="华文仿宋" w:eastAsia="华文仿宋" w:cs="华文仿宋"/>
          <w:color w:val="000000"/>
          <w:kern w:val="44"/>
          <w:sz w:val="44"/>
          <w:szCs w:val="44"/>
        </w:rPr>
      </w:pPr>
      <w:bookmarkStart w:id="0" w:name="_Hlk57883728"/>
    </w:p>
    <w:p w14:paraId="13481529">
      <w:pPr>
        <w:jc w:val="center"/>
        <w:rPr>
          <w:rFonts w:eastAsia="仿宋"/>
          <w:sz w:val="52"/>
          <w:szCs w:val="52"/>
        </w:rPr>
      </w:pPr>
    </w:p>
    <w:p w14:paraId="5C8E5F83">
      <w:pPr>
        <w:ind w:firstLine="1040"/>
        <w:rPr>
          <w:rFonts w:eastAsia="仿宋"/>
          <w:sz w:val="44"/>
          <w:szCs w:val="44"/>
        </w:rPr>
      </w:pPr>
    </w:p>
    <w:p w14:paraId="19E410CB">
      <w:pPr>
        <w:ind w:firstLine="1040"/>
        <w:rPr>
          <w:rFonts w:eastAsia="仿宋"/>
          <w:sz w:val="44"/>
          <w:szCs w:val="44"/>
        </w:rPr>
      </w:pPr>
    </w:p>
    <w:p w14:paraId="5C1EE20D">
      <w:pPr>
        <w:ind w:firstLine="1040"/>
        <w:rPr>
          <w:rFonts w:eastAsia="仿宋"/>
          <w:sz w:val="44"/>
          <w:szCs w:val="44"/>
        </w:rPr>
      </w:pPr>
    </w:p>
    <w:p w14:paraId="3DD7917F">
      <w:pPr>
        <w:ind w:firstLine="1040"/>
        <w:rPr>
          <w:rFonts w:eastAsia="仿宋"/>
          <w:sz w:val="44"/>
          <w:szCs w:val="44"/>
        </w:rPr>
      </w:pPr>
    </w:p>
    <w:bookmarkEnd w:id="0"/>
    <w:p w14:paraId="5D043A83">
      <w:pPr>
        <w:adjustRightInd w:val="0"/>
        <w:snapToGrid w:val="0"/>
        <w:spacing w:line="288" w:lineRule="auto"/>
        <w:ind w:firstLine="1040"/>
        <w:rPr>
          <w:rFonts w:hint="eastAsia" w:ascii="仿宋_GB2312" w:eastAsia="仿宋_GB2312"/>
          <w:sz w:val="36"/>
          <w:szCs w:val="36"/>
          <w:u w:val="single"/>
          <w:lang w:eastAsia="zh-CN"/>
        </w:rPr>
      </w:pPr>
      <w:r>
        <w:rPr>
          <w:rFonts w:hint="eastAsia" w:ascii="仿宋_GB2312" w:eastAsia="仿宋_GB2312"/>
          <w:sz w:val="36"/>
          <w:szCs w:val="36"/>
        </w:rPr>
        <w:t>项目名称：</w:t>
      </w:r>
      <w:r>
        <w:rPr>
          <w:rFonts w:hint="eastAsia" w:ascii="仿宋_GB2312" w:eastAsia="仿宋_GB2312"/>
          <w:sz w:val="36"/>
          <w:szCs w:val="36"/>
          <w:u w:val="single"/>
          <w:lang w:eastAsia="zh-CN"/>
        </w:rPr>
        <w:t>杭锦旗库布齐1500万吨/</w:t>
      </w:r>
      <w:r>
        <w:rPr>
          <w:rFonts w:hint="eastAsia" w:ascii="仿宋_GB2312" w:eastAsia="仿宋_GB2312"/>
          <w:sz w:val="36"/>
          <w:szCs w:val="36"/>
          <w:u w:val="single"/>
          <w:lang w:val="en-US" w:eastAsia="zh-CN"/>
        </w:rPr>
        <w:t>a</w:t>
      </w:r>
      <w:r>
        <w:rPr>
          <w:rFonts w:hint="eastAsia" w:ascii="仿宋_GB2312" w:eastAsia="仿宋_GB2312"/>
          <w:sz w:val="36"/>
          <w:szCs w:val="36"/>
          <w:u w:val="single"/>
          <w:lang w:eastAsia="zh-CN"/>
        </w:rPr>
        <w:t>（朔方新能</w:t>
      </w:r>
    </w:p>
    <w:p w14:paraId="292B4E5C">
      <w:pPr>
        <w:adjustRightInd w:val="0"/>
        <w:snapToGrid w:val="0"/>
        <w:spacing w:line="288" w:lineRule="auto"/>
        <w:ind w:firstLine="2858" w:firstLineChars="794"/>
        <w:rPr>
          <w:rFonts w:hint="eastAsia" w:ascii="仿宋_GB2312" w:eastAsia="仿宋_GB2312"/>
          <w:sz w:val="36"/>
          <w:szCs w:val="36"/>
          <w:u w:val="single"/>
        </w:rPr>
      </w:pPr>
      <w:r>
        <w:rPr>
          <w:rFonts w:hint="eastAsia" w:ascii="仿宋_GB2312" w:eastAsia="仿宋_GB2312"/>
          <w:sz w:val="36"/>
          <w:szCs w:val="36"/>
          <w:u w:val="single"/>
          <w:lang w:eastAsia="zh-CN"/>
        </w:rPr>
        <w:t>源大基地）供水工程</w:t>
      </w:r>
    </w:p>
    <w:p w14:paraId="6FD4008B">
      <w:pPr>
        <w:adjustRightInd w:val="0"/>
        <w:snapToGrid w:val="0"/>
        <w:spacing w:line="288" w:lineRule="auto"/>
        <w:ind w:firstLine="1040"/>
        <w:rPr>
          <w:rFonts w:hint="eastAsia" w:ascii="仿宋_GB2312" w:eastAsia="仿宋_GB2312" w:cs="Times New Roman"/>
          <w:sz w:val="36"/>
          <w:szCs w:val="36"/>
          <w:u w:val="single"/>
          <w:lang w:eastAsia="zh-CN"/>
        </w:rPr>
      </w:pPr>
      <w:r>
        <w:rPr>
          <w:rFonts w:hint="eastAsia" w:ascii="仿宋_GB2312" w:eastAsia="仿宋_GB2312"/>
          <w:sz w:val="36"/>
          <w:szCs w:val="36"/>
        </w:rPr>
        <w:t>建设单位（盖章）：</w:t>
      </w:r>
      <w:r>
        <w:rPr>
          <w:rFonts w:hint="eastAsia" w:ascii="仿宋_GB2312" w:eastAsia="仿宋_GB2312" w:cs="Times New Roman"/>
          <w:sz w:val="36"/>
          <w:szCs w:val="36"/>
          <w:u w:val="single"/>
          <w:lang w:eastAsia="zh-CN"/>
        </w:rPr>
        <w:t>鄂尔多斯市泽鑫水务投资集团</w:t>
      </w:r>
    </w:p>
    <w:p w14:paraId="56046DDE">
      <w:pPr>
        <w:adjustRightInd w:val="0"/>
        <w:snapToGrid w:val="0"/>
        <w:spacing w:line="288" w:lineRule="auto"/>
        <w:ind w:firstLine="4294" w:firstLineChars="1193"/>
        <w:rPr>
          <w:rFonts w:ascii="仿宋_GB2312" w:eastAsia="仿宋_GB2312"/>
          <w:sz w:val="36"/>
          <w:szCs w:val="36"/>
          <w:u w:val="single"/>
        </w:rPr>
      </w:pPr>
      <w:r>
        <w:rPr>
          <w:rFonts w:hint="eastAsia" w:ascii="仿宋_GB2312" w:eastAsia="仿宋_GB2312" w:cs="Times New Roman"/>
          <w:sz w:val="36"/>
          <w:szCs w:val="36"/>
          <w:u w:val="single"/>
          <w:lang w:eastAsia="zh-CN"/>
        </w:rPr>
        <w:t>有限公司</w:t>
      </w:r>
    </w:p>
    <w:p w14:paraId="662E8FA2">
      <w:pPr>
        <w:adjustRightInd w:val="0"/>
        <w:snapToGrid w:val="0"/>
        <w:spacing w:line="288" w:lineRule="auto"/>
        <w:ind w:firstLine="1040"/>
        <w:rPr>
          <w:rFonts w:hint="eastAsia"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lang w:val="en-US" w:eastAsia="zh-CN"/>
        </w:rPr>
        <w:t>2024年6月</w:t>
      </w:r>
    </w:p>
    <w:p w14:paraId="28592E7B">
      <w:pPr>
        <w:adjustRightInd w:val="0"/>
        <w:snapToGrid w:val="0"/>
        <w:spacing w:line="288" w:lineRule="auto"/>
        <w:ind w:firstLine="1040"/>
        <w:rPr>
          <w:rFonts w:ascii="仿宋_GB2312" w:eastAsia="仿宋_GB2312"/>
          <w:sz w:val="36"/>
          <w:szCs w:val="36"/>
          <w:u w:val="single"/>
        </w:rPr>
      </w:pPr>
    </w:p>
    <w:p w14:paraId="75111A7C">
      <w:pPr>
        <w:adjustRightInd w:val="0"/>
        <w:snapToGrid w:val="0"/>
        <w:spacing w:line="288" w:lineRule="auto"/>
        <w:ind w:firstLine="1040"/>
        <w:rPr>
          <w:rFonts w:ascii="仿宋_GB2312" w:eastAsia="仿宋_GB2312"/>
          <w:sz w:val="36"/>
          <w:szCs w:val="36"/>
        </w:rPr>
      </w:pPr>
    </w:p>
    <w:p w14:paraId="507B4E58">
      <w:pPr>
        <w:adjustRightInd w:val="0"/>
        <w:snapToGrid w:val="0"/>
        <w:spacing w:line="288" w:lineRule="auto"/>
        <w:ind w:firstLine="1040"/>
        <w:rPr>
          <w:rFonts w:ascii="仿宋_GB2312" w:eastAsia="仿宋_GB2312"/>
          <w:sz w:val="36"/>
          <w:szCs w:val="36"/>
        </w:rPr>
      </w:pPr>
    </w:p>
    <w:p w14:paraId="5C2CA8D9">
      <w:pPr>
        <w:adjustRightInd w:val="0"/>
        <w:snapToGrid w:val="0"/>
        <w:spacing w:line="288" w:lineRule="auto"/>
        <w:ind w:firstLine="1040"/>
        <w:rPr>
          <w:rFonts w:hint="eastAsia" w:ascii="仿宋_GB2312" w:eastAsia="仿宋_GB2312"/>
          <w:sz w:val="36"/>
          <w:szCs w:val="36"/>
        </w:rPr>
      </w:pPr>
    </w:p>
    <w:p w14:paraId="71FFB53C">
      <w:pPr>
        <w:adjustRightInd w:val="0"/>
        <w:snapToGrid w:val="0"/>
        <w:spacing w:line="288" w:lineRule="auto"/>
        <w:ind w:firstLine="1040"/>
        <w:rPr>
          <w:rFonts w:hint="eastAsia" w:ascii="仿宋_GB2312" w:eastAsia="仿宋_GB2312"/>
          <w:sz w:val="36"/>
          <w:szCs w:val="36"/>
        </w:rPr>
      </w:pPr>
    </w:p>
    <w:p w14:paraId="0DE31291">
      <w:pPr>
        <w:adjustRightInd w:val="0"/>
        <w:snapToGrid w:val="0"/>
        <w:spacing w:line="288" w:lineRule="auto"/>
        <w:jc w:val="center"/>
        <w:rPr>
          <w:rFonts w:ascii="仿宋_GB2312" w:eastAsia="仿宋_GB2312"/>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楷体_GB2312" w:eastAsia="楷体_GB2312"/>
          <w:sz w:val="36"/>
          <w:szCs w:val="36"/>
        </w:rPr>
        <w:t>中华人民共和国生态环境部</w:t>
      </w:r>
    </w:p>
    <w:p w14:paraId="07615747">
      <w:pPr>
        <w:pStyle w:val="17"/>
        <w:jc w:val="center"/>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19"/>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226"/>
        <w:gridCol w:w="2043"/>
        <w:gridCol w:w="2074"/>
        <w:gridCol w:w="2696"/>
      </w:tblGrid>
      <w:tr w14:paraId="086E15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14:paraId="5EFE70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建设项目名称</w:t>
            </w:r>
          </w:p>
        </w:tc>
        <w:tc>
          <w:tcPr>
            <w:tcW w:w="6813" w:type="dxa"/>
            <w:gridSpan w:val="3"/>
            <w:noWrap w:val="0"/>
            <w:vAlign w:val="center"/>
          </w:tcPr>
          <w:p w14:paraId="089853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杭锦旗库布齐1500万吨/</w:t>
            </w:r>
            <w:r>
              <w:rPr>
                <w:rFonts w:hint="eastAsia" w:ascii="宋体" w:hAnsi="宋体" w:cs="宋体"/>
                <w:sz w:val="24"/>
                <w:szCs w:val="24"/>
                <w:highlight w:val="none"/>
                <w:lang w:val="en-US" w:eastAsia="zh-CN"/>
              </w:rPr>
              <w:t>a（</w:t>
            </w:r>
            <w:r>
              <w:rPr>
                <w:rFonts w:hint="eastAsia" w:ascii="宋体" w:hAnsi="宋体" w:cs="宋体"/>
                <w:sz w:val="24"/>
                <w:szCs w:val="24"/>
                <w:highlight w:val="none"/>
                <w:lang w:eastAsia="zh-CN"/>
              </w:rPr>
              <w:t>朔方新能源大基地</w:t>
            </w:r>
            <w:r>
              <w:rPr>
                <w:rFonts w:hint="eastAsia" w:ascii="宋体" w:hAnsi="宋体" w:cs="宋体"/>
                <w:sz w:val="24"/>
                <w:szCs w:val="24"/>
                <w:highlight w:val="none"/>
                <w:lang w:val="en-US" w:eastAsia="zh-CN"/>
              </w:rPr>
              <w:t>）</w:t>
            </w:r>
            <w:r>
              <w:rPr>
                <w:rFonts w:hint="eastAsia" w:ascii="宋体" w:hAnsi="宋体" w:cs="宋体"/>
                <w:sz w:val="24"/>
                <w:szCs w:val="24"/>
                <w:highlight w:val="none"/>
                <w:lang w:eastAsia="zh-CN"/>
              </w:rPr>
              <w:t>供水工程</w:t>
            </w:r>
          </w:p>
        </w:tc>
      </w:tr>
      <w:tr w14:paraId="65452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226" w:type="dxa"/>
            <w:noWrap w:val="0"/>
            <w:tcMar>
              <w:top w:w="16" w:type="dxa"/>
              <w:left w:w="16" w:type="dxa"/>
              <w:right w:w="16" w:type="dxa"/>
            </w:tcMar>
            <w:vAlign w:val="center"/>
          </w:tcPr>
          <w:p w14:paraId="3EDD75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项目代码</w:t>
            </w:r>
          </w:p>
        </w:tc>
        <w:tc>
          <w:tcPr>
            <w:tcW w:w="6813" w:type="dxa"/>
            <w:gridSpan w:val="3"/>
            <w:noWrap w:val="0"/>
            <w:vAlign w:val="center"/>
          </w:tcPr>
          <w:p w14:paraId="1E2A20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2311-150625-04-01-653261</w:t>
            </w:r>
          </w:p>
        </w:tc>
      </w:tr>
      <w:tr w14:paraId="5C6E9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14:paraId="534A00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建设单位联系人</w:t>
            </w:r>
          </w:p>
        </w:tc>
        <w:tc>
          <w:tcPr>
            <w:tcW w:w="2043" w:type="dxa"/>
            <w:noWrap w:val="0"/>
            <w:vAlign w:val="center"/>
          </w:tcPr>
          <w:p w14:paraId="0BAF1D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李东</w:t>
            </w:r>
          </w:p>
        </w:tc>
        <w:tc>
          <w:tcPr>
            <w:tcW w:w="2074" w:type="dxa"/>
            <w:noWrap w:val="0"/>
            <w:vAlign w:val="center"/>
          </w:tcPr>
          <w:p w14:paraId="5BF77E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联系方式</w:t>
            </w:r>
          </w:p>
        </w:tc>
        <w:tc>
          <w:tcPr>
            <w:tcW w:w="2696" w:type="dxa"/>
            <w:noWrap w:val="0"/>
            <w:vAlign w:val="center"/>
          </w:tcPr>
          <w:p w14:paraId="7625AC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15344012111</w:t>
            </w:r>
          </w:p>
        </w:tc>
      </w:tr>
      <w:tr w14:paraId="63CB0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14:paraId="089E5CB1">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建设地点</w:t>
            </w:r>
          </w:p>
        </w:tc>
        <w:tc>
          <w:tcPr>
            <w:tcW w:w="6813" w:type="dxa"/>
            <w:gridSpan w:val="3"/>
            <w:noWrap w:val="0"/>
            <w:vAlign w:val="center"/>
          </w:tcPr>
          <w:p w14:paraId="42AB13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u w:val="none"/>
                <w:lang w:eastAsia="zh-CN"/>
              </w:rPr>
              <w:t>内蒙古</w:t>
            </w:r>
            <w:r>
              <w:rPr>
                <w:rFonts w:hint="eastAsia" w:ascii="宋体" w:hAnsi="宋体" w:cs="宋体"/>
                <w:sz w:val="24"/>
                <w:szCs w:val="24"/>
                <w:highlight w:val="none"/>
                <w:u w:val="none"/>
              </w:rPr>
              <w:t>自治区</w:t>
            </w:r>
            <w:r>
              <w:rPr>
                <w:rFonts w:hint="eastAsia" w:ascii="宋体" w:hAnsi="宋体" w:cs="宋体"/>
                <w:sz w:val="24"/>
                <w:szCs w:val="24"/>
                <w:highlight w:val="none"/>
                <w:u w:val="none"/>
                <w:lang w:eastAsia="zh-CN"/>
              </w:rPr>
              <w:t>鄂尔多斯市杭锦旗吉日嘎朗图镇</w:t>
            </w:r>
          </w:p>
        </w:tc>
      </w:tr>
      <w:tr w14:paraId="3783D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2226" w:type="dxa"/>
            <w:noWrap w:val="0"/>
            <w:tcMar>
              <w:top w:w="16" w:type="dxa"/>
              <w:left w:w="16" w:type="dxa"/>
              <w:right w:w="16" w:type="dxa"/>
            </w:tcMar>
            <w:vAlign w:val="center"/>
          </w:tcPr>
          <w:p w14:paraId="43B7E38F">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地理坐标</w:t>
            </w:r>
          </w:p>
        </w:tc>
        <w:tc>
          <w:tcPr>
            <w:tcW w:w="6813" w:type="dxa"/>
            <w:gridSpan w:val="3"/>
            <w:noWrap w:val="0"/>
            <w:vAlign w:val="center"/>
          </w:tcPr>
          <w:p w14:paraId="11C8BA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107°42′13.42191″,40°32′49.51466″</w:t>
            </w:r>
          </w:p>
        </w:tc>
      </w:tr>
      <w:tr w14:paraId="1729A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2226" w:type="dxa"/>
            <w:noWrap w:val="0"/>
            <w:tcMar>
              <w:top w:w="16" w:type="dxa"/>
              <w:left w:w="16" w:type="dxa"/>
              <w:right w:w="16" w:type="dxa"/>
            </w:tcMar>
            <w:vAlign w:val="center"/>
          </w:tcPr>
          <w:p w14:paraId="0118B56B">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建设项目</w:t>
            </w:r>
          </w:p>
          <w:p w14:paraId="6AC92866">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行业类别</w:t>
            </w:r>
          </w:p>
        </w:tc>
        <w:tc>
          <w:tcPr>
            <w:tcW w:w="2043" w:type="dxa"/>
            <w:noWrap w:val="0"/>
            <w:vAlign w:val="center"/>
          </w:tcPr>
          <w:p w14:paraId="5A4480D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四十三</w:t>
            </w:r>
            <w:r>
              <w:rPr>
                <w:rFonts w:hint="eastAsia" w:ascii="宋体" w:hAnsi="宋体" w:cs="宋体"/>
                <w:sz w:val="24"/>
                <w:szCs w:val="24"/>
                <w:highlight w:val="none"/>
                <w:lang w:val="en-US" w:eastAsia="zh-CN"/>
              </w:rPr>
              <w:t>、</w:t>
            </w:r>
            <w:r>
              <w:rPr>
                <w:rFonts w:hint="default" w:ascii="宋体" w:hAnsi="宋体" w:eastAsia="宋体" w:cs="宋体"/>
                <w:sz w:val="24"/>
                <w:szCs w:val="24"/>
                <w:highlight w:val="none"/>
                <w:lang w:val="en-US" w:eastAsia="zh-CN"/>
              </w:rPr>
              <w:t>水的生产和供应业“96其他水的处理、利用与分配469”</w:t>
            </w:r>
          </w:p>
        </w:tc>
        <w:tc>
          <w:tcPr>
            <w:tcW w:w="2074" w:type="dxa"/>
            <w:noWrap w:val="0"/>
            <w:vAlign w:val="center"/>
          </w:tcPr>
          <w:p w14:paraId="213FC6C0">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用地面积（</w:t>
            </w:r>
            <w:r>
              <w:rPr>
                <w:rFonts w:ascii="宋体" w:hAnsi="宋体" w:cs="宋体"/>
                <w:sz w:val="24"/>
                <w:szCs w:val="24"/>
                <w:highlight w:val="none"/>
              </w:rPr>
              <w:t>m</w:t>
            </w:r>
            <w:r>
              <w:rPr>
                <w:rFonts w:ascii="宋体" w:hAnsi="宋体" w:cs="宋体"/>
                <w:sz w:val="24"/>
                <w:szCs w:val="24"/>
                <w:highlight w:val="none"/>
                <w:vertAlign w:val="superscript"/>
              </w:rPr>
              <w:t>2</w:t>
            </w:r>
            <w:r>
              <w:rPr>
                <w:rFonts w:hint="eastAsia" w:ascii="宋体" w:hAnsi="宋体" w:cs="宋体"/>
                <w:sz w:val="24"/>
                <w:szCs w:val="24"/>
                <w:highlight w:val="none"/>
              </w:rPr>
              <w:t>）</w:t>
            </w:r>
            <w:r>
              <w:rPr>
                <w:rFonts w:ascii="宋体" w:hAnsi="宋体" w:cs="宋体"/>
                <w:sz w:val="24"/>
                <w:szCs w:val="24"/>
                <w:highlight w:val="none"/>
              </w:rPr>
              <w:t>/</w:t>
            </w:r>
            <w:r>
              <w:rPr>
                <w:rFonts w:hint="eastAsia" w:ascii="宋体" w:hAnsi="宋体" w:cs="宋体"/>
                <w:sz w:val="24"/>
                <w:szCs w:val="24"/>
                <w:highlight w:val="none"/>
              </w:rPr>
              <w:t>长度（</w:t>
            </w:r>
            <w:r>
              <w:rPr>
                <w:rFonts w:ascii="宋体" w:hAnsi="宋体" w:cs="宋体"/>
                <w:sz w:val="24"/>
                <w:szCs w:val="24"/>
                <w:highlight w:val="none"/>
              </w:rPr>
              <w:t>km</w:t>
            </w:r>
            <w:r>
              <w:rPr>
                <w:rFonts w:hint="eastAsia" w:ascii="宋体" w:hAnsi="宋体" w:cs="宋体"/>
                <w:sz w:val="24"/>
                <w:szCs w:val="24"/>
                <w:highlight w:val="none"/>
              </w:rPr>
              <w:t>）</w:t>
            </w:r>
          </w:p>
        </w:tc>
        <w:tc>
          <w:tcPr>
            <w:tcW w:w="2696" w:type="dxa"/>
            <w:noWrap w:val="0"/>
            <w:vAlign w:val="center"/>
          </w:tcPr>
          <w:p w14:paraId="4E83D50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宋体" w:hAnsi="宋体" w:eastAsia="宋体" w:cs="宋体"/>
                <w:sz w:val="24"/>
                <w:szCs w:val="24"/>
                <w:highlight w:val="none"/>
                <w:lang w:val="en-US" w:eastAsia="zh-CN"/>
              </w:rPr>
            </w:pPr>
            <w:r>
              <w:rPr>
                <w:rFonts w:hint="eastAsia" w:cs="Times New Roman"/>
                <w:sz w:val="24"/>
                <w:szCs w:val="24"/>
                <w:highlight w:val="none"/>
                <w:lang w:val="en-US" w:eastAsia="zh-CN"/>
              </w:rPr>
              <w:t>164426.21</w:t>
            </w:r>
          </w:p>
        </w:tc>
      </w:tr>
      <w:tr w14:paraId="6197D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07" w:hRule="atLeast"/>
        </w:trPr>
        <w:tc>
          <w:tcPr>
            <w:tcW w:w="2226" w:type="dxa"/>
            <w:noWrap w:val="0"/>
            <w:tcMar>
              <w:top w:w="16" w:type="dxa"/>
              <w:left w:w="16" w:type="dxa"/>
              <w:right w:w="16" w:type="dxa"/>
            </w:tcMar>
            <w:vAlign w:val="center"/>
          </w:tcPr>
          <w:p w14:paraId="6670C05C">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建设性质</w:t>
            </w:r>
          </w:p>
        </w:tc>
        <w:tc>
          <w:tcPr>
            <w:tcW w:w="2043" w:type="dxa"/>
            <w:noWrap w:val="0"/>
            <w:vAlign w:val="center"/>
          </w:tcPr>
          <w:p w14:paraId="1768BA8D">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新建（迁建）</w:t>
            </w:r>
          </w:p>
          <w:p w14:paraId="74499911">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改建</w:t>
            </w:r>
          </w:p>
          <w:p w14:paraId="4B2863B4">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□扩建</w:t>
            </w:r>
          </w:p>
          <w:p w14:paraId="5A052BB5">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□技术改造</w:t>
            </w:r>
          </w:p>
        </w:tc>
        <w:tc>
          <w:tcPr>
            <w:tcW w:w="2074" w:type="dxa"/>
            <w:noWrap w:val="0"/>
            <w:vAlign w:val="center"/>
          </w:tcPr>
          <w:p w14:paraId="7151F379">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建设项目</w:t>
            </w:r>
          </w:p>
          <w:p w14:paraId="44D40289">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申报情形</w:t>
            </w:r>
          </w:p>
        </w:tc>
        <w:tc>
          <w:tcPr>
            <w:tcW w:w="2696" w:type="dxa"/>
            <w:noWrap w:val="0"/>
            <w:vAlign w:val="center"/>
          </w:tcPr>
          <w:p w14:paraId="585EECCC">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首次申报项目</w:t>
            </w:r>
          </w:p>
          <w:p w14:paraId="3F7BDFAA">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□不予批准后再次申报项目</w:t>
            </w:r>
          </w:p>
          <w:p w14:paraId="500E83E8">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□超五年重新审核项目</w:t>
            </w:r>
          </w:p>
          <w:p w14:paraId="22C31D4D">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cs="宋体"/>
                <w:sz w:val="24"/>
                <w:szCs w:val="24"/>
                <w:highlight w:val="none"/>
              </w:rPr>
            </w:pPr>
            <w:r>
              <w:rPr>
                <w:rFonts w:hint="eastAsia" w:ascii="宋体" w:hAnsi="宋体" w:cs="宋体"/>
                <w:sz w:val="24"/>
                <w:szCs w:val="24"/>
                <w:highlight w:val="none"/>
              </w:rPr>
              <w:t>□重大变动重新报批项目</w:t>
            </w:r>
          </w:p>
        </w:tc>
      </w:tr>
      <w:tr w14:paraId="411DE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2226" w:type="dxa"/>
            <w:noWrap w:val="0"/>
            <w:tcMar>
              <w:top w:w="16" w:type="dxa"/>
              <w:left w:w="16" w:type="dxa"/>
              <w:right w:w="16" w:type="dxa"/>
            </w:tcMar>
            <w:vAlign w:val="center"/>
          </w:tcPr>
          <w:p w14:paraId="6E3FED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项目审批（核准</w:t>
            </w:r>
            <w:r>
              <w:rPr>
                <w:rFonts w:ascii="宋体" w:hAnsi="宋体" w:cs="宋体"/>
                <w:sz w:val="24"/>
                <w:szCs w:val="24"/>
                <w:highlight w:val="none"/>
              </w:rPr>
              <w:t>/</w:t>
            </w:r>
          </w:p>
          <w:p w14:paraId="6098F2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备案）部门（选填）</w:t>
            </w:r>
          </w:p>
        </w:tc>
        <w:tc>
          <w:tcPr>
            <w:tcW w:w="2043" w:type="dxa"/>
            <w:noWrap w:val="0"/>
            <w:vAlign w:val="center"/>
          </w:tcPr>
          <w:p w14:paraId="2707AE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杭锦旗发展和改革委员会</w:t>
            </w:r>
          </w:p>
        </w:tc>
        <w:tc>
          <w:tcPr>
            <w:tcW w:w="2074" w:type="dxa"/>
            <w:noWrap w:val="0"/>
            <w:vAlign w:val="center"/>
          </w:tcPr>
          <w:p w14:paraId="57F7EE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项目审批</w:t>
            </w:r>
            <w:r>
              <w:rPr>
                <w:rFonts w:hint="eastAsia" w:ascii="宋体" w:hAnsi="宋体" w:cs="宋体"/>
                <w:sz w:val="24"/>
                <w:szCs w:val="24"/>
                <w:highlight w:val="none"/>
                <w:lang w:eastAsia="zh-CN"/>
              </w:rPr>
              <w:t>（</w:t>
            </w:r>
            <w:r>
              <w:rPr>
                <w:rFonts w:hint="eastAsia" w:ascii="宋体" w:hAnsi="宋体" w:cs="宋体"/>
                <w:sz w:val="24"/>
                <w:szCs w:val="24"/>
                <w:highlight w:val="none"/>
              </w:rPr>
              <w:t>核准</w:t>
            </w:r>
            <w:r>
              <w:rPr>
                <w:rFonts w:ascii="宋体" w:hAnsi="宋体" w:cs="宋体"/>
                <w:sz w:val="24"/>
                <w:szCs w:val="24"/>
                <w:highlight w:val="none"/>
              </w:rPr>
              <w:t>/</w:t>
            </w:r>
          </w:p>
          <w:p w14:paraId="6C9B65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备案</w:t>
            </w:r>
            <w:r>
              <w:rPr>
                <w:rFonts w:hint="eastAsia" w:ascii="宋体" w:hAnsi="宋体" w:cs="宋体"/>
                <w:sz w:val="24"/>
                <w:szCs w:val="24"/>
                <w:highlight w:val="none"/>
                <w:lang w:eastAsia="zh-CN"/>
              </w:rPr>
              <w:t>）</w:t>
            </w:r>
            <w:r>
              <w:rPr>
                <w:rFonts w:hint="eastAsia" w:ascii="宋体" w:hAnsi="宋体" w:cs="宋体"/>
                <w:sz w:val="24"/>
                <w:szCs w:val="24"/>
                <w:highlight w:val="none"/>
              </w:rPr>
              <w:t>文号（选填）</w:t>
            </w:r>
          </w:p>
        </w:tc>
        <w:tc>
          <w:tcPr>
            <w:tcW w:w="2696" w:type="dxa"/>
            <w:noWrap w:val="0"/>
            <w:vAlign w:val="center"/>
          </w:tcPr>
          <w:p w14:paraId="2E03D5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杭发改发〔2024〕3号</w:t>
            </w:r>
          </w:p>
        </w:tc>
      </w:tr>
      <w:tr w14:paraId="76CD51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226" w:type="dxa"/>
            <w:noWrap w:val="0"/>
            <w:tcMar>
              <w:top w:w="16" w:type="dxa"/>
              <w:left w:w="16" w:type="dxa"/>
              <w:right w:w="16" w:type="dxa"/>
            </w:tcMar>
            <w:vAlign w:val="center"/>
          </w:tcPr>
          <w:p w14:paraId="7140A0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总投资（万元）</w:t>
            </w:r>
          </w:p>
        </w:tc>
        <w:tc>
          <w:tcPr>
            <w:tcW w:w="2043" w:type="dxa"/>
            <w:noWrap w:val="0"/>
            <w:vAlign w:val="center"/>
          </w:tcPr>
          <w:p w14:paraId="168399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2202.3</w:t>
            </w:r>
          </w:p>
        </w:tc>
        <w:tc>
          <w:tcPr>
            <w:tcW w:w="2074" w:type="dxa"/>
            <w:noWrap w:val="0"/>
            <w:tcMar>
              <w:top w:w="16" w:type="dxa"/>
              <w:left w:w="16" w:type="dxa"/>
              <w:right w:w="16" w:type="dxa"/>
            </w:tcMar>
            <w:vAlign w:val="center"/>
          </w:tcPr>
          <w:p w14:paraId="689C4E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环保投资（万元）</w:t>
            </w:r>
          </w:p>
        </w:tc>
        <w:tc>
          <w:tcPr>
            <w:tcW w:w="2696" w:type="dxa"/>
            <w:noWrap w:val="0"/>
            <w:vAlign w:val="center"/>
          </w:tcPr>
          <w:p w14:paraId="257D63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eastAsiaTheme="minorEastAsia"/>
                <w:color w:val="auto"/>
                <w:sz w:val="24"/>
                <w:szCs w:val="24"/>
                <w:highlight w:val="none"/>
                <w:lang w:val="en-US" w:eastAsia="zh-CN" w:bidi="en-US"/>
              </w:rPr>
              <w:t>4</w:t>
            </w:r>
            <w:r>
              <w:rPr>
                <w:rFonts w:hint="eastAsia" w:cs="Times New Roman" w:eastAsiaTheme="minorEastAsia"/>
                <w:color w:val="auto"/>
                <w:sz w:val="24"/>
                <w:szCs w:val="24"/>
                <w:highlight w:val="none"/>
                <w:lang w:val="en-US" w:eastAsia="zh-CN" w:bidi="en-US"/>
              </w:rPr>
              <w:t>4</w:t>
            </w:r>
            <w:r>
              <w:rPr>
                <w:rFonts w:hint="eastAsia" w:ascii="Times New Roman" w:hAnsi="Times New Roman" w:cs="Times New Roman" w:eastAsiaTheme="minorEastAsia"/>
                <w:color w:val="auto"/>
                <w:sz w:val="24"/>
                <w:szCs w:val="24"/>
                <w:highlight w:val="none"/>
                <w:lang w:val="en-US" w:eastAsia="zh-CN" w:bidi="en-US"/>
              </w:rPr>
              <w:t>.1</w:t>
            </w:r>
          </w:p>
        </w:tc>
      </w:tr>
      <w:tr w14:paraId="03C05A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226" w:type="dxa"/>
            <w:noWrap w:val="0"/>
            <w:tcMar>
              <w:top w:w="16" w:type="dxa"/>
              <w:left w:w="16" w:type="dxa"/>
              <w:right w:w="16" w:type="dxa"/>
            </w:tcMar>
            <w:vAlign w:val="center"/>
          </w:tcPr>
          <w:p w14:paraId="61C009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环保投资占比（</w:t>
            </w:r>
            <w:r>
              <w:rPr>
                <w:rFonts w:ascii="宋体" w:hAnsi="宋体" w:cs="宋体"/>
                <w:sz w:val="24"/>
                <w:szCs w:val="24"/>
                <w:highlight w:val="none"/>
              </w:rPr>
              <w:t>%</w:t>
            </w:r>
            <w:r>
              <w:rPr>
                <w:rFonts w:hint="eastAsia" w:ascii="宋体" w:hAnsi="宋体" w:cs="宋体"/>
                <w:sz w:val="24"/>
                <w:szCs w:val="24"/>
                <w:highlight w:val="none"/>
              </w:rPr>
              <w:t>）</w:t>
            </w:r>
          </w:p>
        </w:tc>
        <w:tc>
          <w:tcPr>
            <w:tcW w:w="2043" w:type="dxa"/>
            <w:noWrap w:val="0"/>
            <w:vAlign w:val="center"/>
          </w:tcPr>
          <w:p w14:paraId="0E9E8C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2</w:t>
            </w:r>
          </w:p>
        </w:tc>
        <w:tc>
          <w:tcPr>
            <w:tcW w:w="2074" w:type="dxa"/>
            <w:noWrap w:val="0"/>
            <w:tcMar>
              <w:top w:w="16" w:type="dxa"/>
              <w:left w:w="16" w:type="dxa"/>
              <w:right w:w="16" w:type="dxa"/>
            </w:tcMar>
            <w:vAlign w:val="center"/>
          </w:tcPr>
          <w:p w14:paraId="25C1A4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施工工期</w:t>
            </w:r>
          </w:p>
        </w:tc>
        <w:tc>
          <w:tcPr>
            <w:tcW w:w="2696" w:type="dxa"/>
            <w:noWrap w:val="0"/>
            <w:vAlign w:val="center"/>
          </w:tcPr>
          <w:p w14:paraId="4E0CAC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9</w:t>
            </w:r>
            <w:r>
              <w:rPr>
                <w:rFonts w:hint="default" w:ascii="Times New Roman" w:hAnsi="Times New Roman" w:cs="Times New Roman"/>
                <w:sz w:val="24"/>
                <w:szCs w:val="24"/>
                <w:highlight w:val="none"/>
                <w:lang w:val="en-US" w:eastAsia="zh-CN"/>
              </w:rPr>
              <w:t>个月</w:t>
            </w:r>
          </w:p>
        </w:tc>
      </w:tr>
      <w:tr w14:paraId="7B3A25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226" w:type="dxa"/>
            <w:noWrap w:val="0"/>
            <w:tcMar>
              <w:top w:w="16" w:type="dxa"/>
              <w:left w:w="16" w:type="dxa"/>
              <w:right w:w="16" w:type="dxa"/>
            </w:tcMar>
            <w:vAlign w:val="center"/>
          </w:tcPr>
          <w:p w14:paraId="5F5E20BD">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是否开工建设</w:t>
            </w:r>
          </w:p>
        </w:tc>
        <w:tc>
          <w:tcPr>
            <w:tcW w:w="6813" w:type="dxa"/>
            <w:gridSpan w:val="3"/>
            <w:noWrap w:val="0"/>
            <w:vAlign w:val="center"/>
          </w:tcPr>
          <w:p w14:paraId="23DDE254">
            <w:pPr>
              <w:keepNext w:val="0"/>
              <w:keepLines w:val="0"/>
              <w:pageBreakBefore w:val="0"/>
              <w:widowControl w:val="0"/>
              <w:kinsoku/>
              <w:wordWrap/>
              <w:overflowPunct/>
              <w:topLinePunct w:val="0"/>
              <w:bidi w:val="0"/>
              <w:adjustRightInd w:val="0"/>
              <w:snapToGrid w:val="0"/>
              <w:spacing w:line="360" w:lineRule="auto"/>
              <w:ind w:firstLine="105"/>
              <w:jc w:val="left"/>
              <w:textAlignment w:val="auto"/>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否</w:t>
            </w:r>
          </w:p>
          <w:p w14:paraId="03ACE6BA">
            <w:pPr>
              <w:keepNext w:val="0"/>
              <w:keepLines w:val="0"/>
              <w:pageBreakBefore w:val="0"/>
              <w:widowControl w:val="0"/>
              <w:kinsoku/>
              <w:wordWrap/>
              <w:overflowPunct/>
              <w:topLinePunct w:val="0"/>
              <w:bidi w:val="0"/>
              <w:adjustRightInd w:val="0"/>
              <w:snapToGrid w:val="0"/>
              <w:spacing w:line="360" w:lineRule="auto"/>
              <w:ind w:firstLine="92"/>
              <w:jc w:val="left"/>
              <w:textAlignment w:val="auto"/>
              <w:rPr>
                <w:rFonts w:ascii="宋体" w:hAnsi="宋体" w:cs="宋体"/>
                <w:sz w:val="24"/>
                <w:szCs w:val="24"/>
                <w:highlight w:val="none"/>
              </w:rPr>
            </w:pPr>
            <w:r>
              <w:rPr>
                <w:rFonts w:hint="eastAsia" w:ascii="宋体" w:hAnsi="宋体" w:cs="宋体"/>
                <w:sz w:val="24"/>
                <w:szCs w:val="24"/>
                <w:highlight w:val="none"/>
              </w:rPr>
              <w:t>□是：</w:t>
            </w:r>
            <w:r>
              <w:rPr>
                <w:rFonts w:ascii="宋体" w:hAnsi="宋体" w:cs="宋体"/>
                <w:sz w:val="24"/>
                <w:szCs w:val="24"/>
                <w:highlight w:val="none"/>
                <w:u w:val="single"/>
              </w:rPr>
              <w:t xml:space="preserve"> </w:t>
            </w:r>
            <w:r>
              <w:rPr>
                <w:rFonts w:hint="eastAsia" w:ascii="宋体" w:hAnsi="宋体" w:cs="宋体"/>
                <w:sz w:val="24"/>
                <w:szCs w:val="24"/>
                <w:highlight w:val="none"/>
                <w:u w:val="single"/>
              </w:rPr>
              <w:t xml:space="preserve">                     </w:t>
            </w:r>
            <w:r>
              <w:rPr>
                <w:rFonts w:ascii="宋体" w:hAnsi="宋体" w:cs="宋体"/>
                <w:sz w:val="24"/>
                <w:szCs w:val="24"/>
                <w:highlight w:val="none"/>
                <w:u w:val="single"/>
              </w:rPr>
              <w:t xml:space="preserve">       </w:t>
            </w:r>
          </w:p>
        </w:tc>
      </w:tr>
      <w:tr w14:paraId="395A60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7" w:hRule="atLeast"/>
        </w:trPr>
        <w:tc>
          <w:tcPr>
            <w:tcW w:w="2226" w:type="dxa"/>
            <w:noWrap w:val="0"/>
            <w:tcMar>
              <w:top w:w="16" w:type="dxa"/>
              <w:left w:w="16" w:type="dxa"/>
              <w:right w:w="16" w:type="dxa"/>
            </w:tcMar>
            <w:vAlign w:val="center"/>
          </w:tcPr>
          <w:p w14:paraId="384A98DA">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kern w:val="0"/>
                <w:sz w:val="24"/>
                <w:szCs w:val="24"/>
                <w:highlight w:val="none"/>
              </w:rPr>
            </w:pPr>
            <w:r>
              <w:rPr>
                <w:rFonts w:hint="eastAsia" w:ascii="宋体" w:hAnsi="宋体" w:cs="宋体"/>
                <w:kern w:val="0"/>
                <w:sz w:val="24"/>
                <w:szCs w:val="24"/>
                <w:highlight w:val="none"/>
              </w:rPr>
              <w:t>专项评价设置情况</w:t>
            </w:r>
          </w:p>
        </w:tc>
        <w:tc>
          <w:tcPr>
            <w:tcW w:w="6813" w:type="dxa"/>
            <w:gridSpan w:val="3"/>
            <w:noWrap w:val="0"/>
            <w:tcMar>
              <w:top w:w="16" w:type="dxa"/>
              <w:left w:w="16" w:type="dxa"/>
              <w:right w:w="16" w:type="dxa"/>
            </w:tcMar>
            <w:vAlign w:val="center"/>
          </w:tcPr>
          <w:p w14:paraId="50DD0DA7">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eastAsia="zh-CN"/>
              </w:rPr>
              <w:t>无</w:t>
            </w:r>
          </w:p>
        </w:tc>
      </w:tr>
      <w:tr w14:paraId="4BCC1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3" w:hRule="atLeast"/>
        </w:trPr>
        <w:tc>
          <w:tcPr>
            <w:tcW w:w="2226" w:type="dxa"/>
            <w:noWrap w:val="0"/>
            <w:tcMar>
              <w:top w:w="16" w:type="dxa"/>
              <w:left w:w="16" w:type="dxa"/>
              <w:right w:w="16" w:type="dxa"/>
            </w:tcMar>
            <w:vAlign w:val="center"/>
          </w:tcPr>
          <w:p w14:paraId="45D25DFD">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kern w:val="0"/>
                <w:sz w:val="24"/>
                <w:szCs w:val="24"/>
                <w:highlight w:val="none"/>
              </w:rPr>
            </w:pPr>
            <w:r>
              <w:rPr>
                <w:rFonts w:hint="eastAsia" w:ascii="宋体" w:hAnsi="宋体" w:cs="宋体"/>
                <w:sz w:val="24"/>
                <w:szCs w:val="24"/>
                <w:highlight w:val="none"/>
              </w:rPr>
              <w:t>规划情况</w:t>
            </w:r>
          </w:p>
        </w:tc>
        <w:tc>
          <w:tcPr>
            <w:tcW w:w="6813" w:type="dxa"/>
            <w:gridSpan w:val="3"/>
            <w:noWrap w:val="0"/>
            <w:tcMar>
              <w:top w:w="16" w:type="dxa"/>
              <w:left w:w="16" w:type="dxa"/>
              <w:right w:w="16" w:type="dxa"/>
            </w:tcMar>
            <w:vAlign w:val="center"/>
          </w:tcPr>
          <w:p w14:paraId="25BE0AB0">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eastAsia="zh-CN"/>
              </w:rPr>
              <w:t>无</w:t>
            </w:r>
          </w:p>
        </w:tc>
      </w:tr>
      <w:tr w14:paraId="3FC42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1" w:hRule="atLeast"/>
        </w:trPr>
        <w:tc>
          <w:tcPr>
            <w:tcW w:w="2226" w:type="dxa"/>
            <w:noWrap w:val="0"/>
            <w:tcMar>
              <w:top w:w="16" w:type="dxa"/>
              <w:left w:w="16" w:type="dxa"/>
              <w:right w:w="16" w:type="dxa"/>
            </w:tcMar>
            <w:vAlign w:val="center"/>
          </w:tcPr>
          <w:p w14:paraId="12F22CA7">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规划环境影响</w:t>
            </w:r>
          </w:p>
          <w:p w14:paraId="34792FD2">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kern w:val="0"/>
                <w:sz w:val="24"/>
                <w:szCs w:val="24"/>
                <w:highlight w:val="none"/>
              </w:rPr>
            </w:pPr>
            <w:r>
              <w:rPr>
                <w:rFonts w:hint="eastAsia" w:ascii="宋体" w:hAnsi="宋体" w:cs="宋体"/>
                <w:sz w:val="24"/>
                <w:szCs w:val="24"/>
                <w:highlight w:val="none"/>
              </w:rPr>
              <w:t>评价情况</w:t>
            </w:r>
          </w:p>
        </w:tc>
        <w:tc>
          <w:tcPr>
            <w:tcW w:w="6813" w:type="dxa"/>
            <w:gridSpan w:val="3"/>
            <w:noWrap w:val="0"/>
            <w:tcMar>
              <w:top w:w="16" w:type="dxa"/>
              <w:left w:w="16" w:type="dxa"/>
              <w:right w:w="16" w:type="dxa"/>
            </w:tcMar>
            <w:vAlign w:val="center"/>
          </w:tcPr>
          <w:p w14:paraId="0825BF56">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eastAsia="zh-CN"/>
              </w:rPr>
              <w:t>无</w:t>
            </w:r>
          </w:p>
        </w:tc>
      </w:tr>
      <w:tr w14:paraId="64D9E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01" w:hRule="atLeast"/>
        </w:trPr>
        <w:tc>
          <w:tcPr>
            <w:tcW w:w="2226" w:type="dxa"/>
            <w:noWrap w:val="0"/>
            <w:tcMar>
              <w:top w:w="16" w:type="dxa"/>
              <w:left w:w="16" w:type="dxa"/>
              <w:right w:w="16" w:type="dxa"/>
            </w:tcMar>
            <w:vAlign w:val="center"/>
          </w:tcPr>
          <w:p w14:paraId="36195D3D">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kern w:val="0"/>
                <w:sz w:val="24"/>
                <w:szCs w:val="24"/>
                <w:highlight w:val="none"/>
              </w:rPr>
            </w:pPr>
            <w:r>
              <w:rPr>
                <w:rFonts w:hint="eastAsia" w:ascii="宋体" w:hAnsi="宋体" w:cs="宋体"/>
                <w:kern w:val="0"/>
                <w:sz w:val="24"/>
                <w:szCs w:val="24"/>
                <w:highlight w:val="none"/>
              </w:rPr>
              <w:t>规划及</w:t>
            </w:r>
            <w:r>
              <w:rPr>
                <w:rFonts w:hint="eastAsia" w:ascii="宋体" w:hAnsi="宋体" w:cs="宋体"/>
                <w:sz w:val="24"/>
                <w:szCs w:val="24"/>
                <w:highlight w:val="none"/>
              </w:rPr>
              <w:t>规划环境影响评价</w:t>
            </w:r>
            <w:r>
              <w:rPr>
                <w:rFonts w:hint="eastAsia" w:ascii="宋体" w:hAnsi="宋体" w:cs="宋体"/>
                <w:kern w:val="0"/>
                <w:sz w:val="24"/>
                <w:szCs w:val="24"/>
                <w:highlight w:val="none"/>
              </w:rPr>
              <w:t>符合性分析</w:t>
            </w:r>
          </w:p>
        </w:tc>
        <w:tc>
          <w:tcPr>
            <w:tcW w:w="6813" w:type="dxa"/>
            <w:gridSpan w:val="3"/>
            <w:noWrap w:val="0"/>
            <w:tcMar>
              <w:top w:w="16" w:type="dxa"/>
              <w:left w:w="16" w:type="dxa"/>
              <w:right w:w="16" w:type="dxa"/>
            </w:tcMar>
            <w:vAlign w:val="center"/>
          </w:tcPr>
          <w:p w14:paraId="6479465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center"/>
              <w:textAlignment w:val="auto"/>
              <w:rPr>
                <w:rFonts w:hint="eastAsia"/>
                <w:lang w:eastAsia="zh-CN"/>
              </w:rPr>
            </w:pPr>
            <w:r>
              <w:rPr>
                <w:rFonts w:hint="eastAsia" w:ascii="宋体" w:hAnsi="宋体" w:cs="宋体"/>
                <w:kern w:val="0"/>
                <w:sz w:val="24"/>
                <w:szCs w:val="24"/>
                <w:highlight w:val="none"/>
                <w:lang w:eastAsia="zh-CN"/>
              </w:rPr>
              <w:t>无</w:t>
            </w:r>
          </w:p>
        </w:tc>
      </w:tr>
      <w:tr w14:paraId="0FFE1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1" w:hRule="atLeast"/>
        </w:trPr>
        <w:tc>
          <w:tcPr>
            <w:tcW w:w="2226" w:type="dxa"/>
            <w:noWrap w:val="0"/>
            <w:tcMar>
              <w:top w:w="16" w:type="dxa"/>
              <w:left w:w="16" w:type="dxa"/>
              <w:right w:w="16" w:type="dxa"/>
            </w:tcMar>
            <w:vAlign w:val="center"/>
          </w:tcPr>
          <w:p w14:paraId="00F31186">
            <w:pPr>
              <w:autoSpaceDE w:val="0"/>
              <w:autoSpaceDN w:val="0"/>
              <w:adjustRightInd w:val="0"/>
              <w:snapToGrid w:val="0"/>
              <w:jc w:val="center"/>
              <w:rPr>
                <w:rFonts w:ascii="宋体" w:hAnsi="宋体" w:cs="宋体"/>
                <w:kern w:val="0"/>
                <w:szCs w:val="21"/>
                <w:highlight w:val="none"/>
              </w:rPr>
            </w:pPr>
            <w:bookmarkStart w:id="1" w:name="_Hlk56690880"/>
            <w:r>
              <w:rPr>
                <w:rFonts w:hint="eastAsia" w:ascii="宋体" w:hAnsi="宋体" w:cs="宋体"/>
                <w:kern w:val="0"/>
                <w:szCs w:val="21"/>
                <w:highlight w:val="none"/>
              </w:rPr>
              <w:t>其他符合性分析</w:t>
            </w:r>
            <w:bookmarkEnd w:id="1"/>
          </w:p>
        </w:tc>
        <w:tc>
          <w:tcPr>
            <w:tcW w:w="6813" w:type="dxa"/>
            <w:gridSpan w:val="3"/>
            <w:noWrap w:val="0"/>
            <w:tcMar>
              <w:top w:w="16" w:type="dxa"/>
              <w:left w:w="16" w:type="dxa"/>
              <w:right w:w="16" w:type="dxa"/>
            </w:tcMar>
            <w:vAlign w:val="center"/>
          </w:tcPr>
          <w:p w14:paraId="7581C5BB">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一、产业政策符合性分析</w:t>
            </w:r>
          </w:p>
          <w:p w14:paraId="47E42A58">
            <w:pPr>
              <w:autoSpaceDE w:val="0"/>
              <w:autoSpaceDN w:val="0"/>
              <w:adjustRightInd w:val="0"/>
              <w:snapToGrid w:val="0"/>
              <w:spacing w:line="360" w:lineRule="auto"/>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本项目为</w:t>
            </w:r>
            <w:r>
              <w:rPr>
                <w:rFonts w:hint="eastAsia" w:ascii="宋体" w:hAnsi="宋体" w:cs="宋体"/>
                <w:sz w:val="24"/>
                <w:szCs w:val="24"/>
                <w:highlight w:val="none"/>
                <w:lang w:eastAsia="zh-CN"/>
              </w:rPr>
              <w:t>杭锦旗库布齐1500万吨/a（朔方新能源大基地）供水工程</w:t>
            </w:r>
            <w:r>
              <w:rPr>
                <w:rFonts w:hint="default" w:ascii="Times New Roman" w:hAnsi="Times New Roman" w:cs="Times New Roman"/>
                <w:sz w:val="24"/>
                <w:szCs w:val="24"/>
                <w:highlight w:val="none"/>
              </w:rPr>
              <w:t>，属于国家《产业结构调整指导目录（</w:t>
            </w:r>
            <w:r>
              <w:rPr>
                <w:rFonts w:hint="eastAsia" w:cs="Times New Roman"/>
                <w:sz w:val="24"/>
                <w:szCs w:val="24"/>
                <w:highlight w:val="none"/>
                <w:lang w:val="en-US" w:eastAsia="zh-CN"/>
              </w:rPr>
              <w:t>2024</w:t>
            </w:r>
            <w:r>
              <w:rPr>
                <w:rFonts w:hint="default" w:ascii="Times New Roman" w:hAnsi="Times New Roman" w:cs="Times New Roman"/>
                <w:sz w:val="24"/>
                <w:szCs w:val="24"/>
                <w:highlight w:val="none"/>
              </w:rPr>
              <w:t>）》中</w:t>
            </w:r>
            <w:r>
              <w:rPr>
                <w:rFonts w:hint="default" w:ascii="Times New Roman" w:hAnsi="Times New Roman" w:cs="Times New Roman"/>
                <w:bCs/>
                <w:sz w:val="24"/>
                <w:szCs w:val="24"/>
                <w:highlight w:val="none"/>
              </w:rPr>
              <w:t>鼓励类二、水利</w:t>
            </w:r>
            <w:r>
              <w:rPr>
                <w:rFonts w:hint="eastAsia" w:cs="Times New Roman"/>
                <w:bCs/>
                <w:sz w:val="24"/>
                <w:szCs w:val="24"/>
                <w:highlight w:val="none"/>
                <w:lang w:val="en-US" w:eastAsia="zh-CN"/>
              </w:rPr>
              <w:t>2</w:t>
            </w:r>
            <w:r>
              <w:rPr>
                <w:rFonts w:hint="eastAsia" w:ascii="Times New Roman" w:hAnsi="Times New Roman" w:cs="Times New Roman"/>
                <w:bCs/>
                <w:sz w:val="24"/>
                <w:szCs w:val="24"/>
                <w:highlight w:val="none"/>
                <w:lang w:val="en-US" w:eastAsia="zh-CN"/>
              </w:rPr>
              <w:t>节水供水工程：</w:t>
            </w:r>
            <w:r>
              <w:rPr>
                <w:rFonts w:hint="default" w:ascii="Times New Roman" w:hAnsi="Times New Roman" w:cs="Times New Roman"/>
                <w:bCs/>
                <w:sz w:val="24"/>
                <w:szCs w:val="24"/>
                <w:highlight w:val="none"/>
                <w:lang w:val="en-US" w:eastAsia="zh-CN"/>
              </w:rPr>
              <w:t>灌区及配套设施建设、改造，高效输配水、节水灌溉技术推广应用</w:t>
            </w:r>
            <w:r>
              <w:rPr>
                <w:rFonts w:hint="default" w:ascii="Times New Roman" w:hAnsi="Times New Roman" w:cs="Times New Roman"/>
                <w:bCs/>
                <w:sz w:val="24"/>
                <w:szCs w:val="24"/>
                <w:highlight w:val="none"/>
              </w:rPr>
              <w:t>；</w:t>
            </w:r>
            <w:r>
              <w:rPr>
                <w:sz w:val="24"/>
                <w:highlight w:val="none"/>
              </w:rPr>
              <w:t>本项目</w:t>
            </w:r>
            <w:r>
              <w:rPr>
                <w:rFonts w:hint="eastAsia"/>
                <w:sz w:val="24"/>
                <w:highlight w:val="none"/>
                <w:lang w:eastAsia="zh-CN"/>
              </w:rPr>
              <w:t>已取得杭锦旗发展和改革委员会出具的《杭锦旗发展和改革委员会关于杭锦旗库布齐1500万吨/a（朔方新能源大基地）供水工程可行性研究报告批复的通知》，</w:t>
            </w:r>
            <w:r>
              <w:rPr>
                <w:sz w:val="24"/>
                <w:highlight w:val="none"/>
              </w:rPr>
              <w:t>项目代码为</w:t>
            </w:r>
            <w:r>
              <w:rPr>
                <w:rFonts w:hint="eastAsia"/>
                <w:sz w:val="24"/>
                <w:highlight w:val="none"/>
                <w:lang w:val="en-US" w:eastAsia="zh-CN"/>
              </w:rPr>
              <w:t>2311-150625-04-01-653261</w:t>
            </w:r>
            <w:r>
              <w:rPr>
                <w:rFonts w:hint="eastAsia"/>
                <w:sz w:val="24"/>
                <w:highlight w:val="none"/>
                <w:lang w:eastAsia="zh-CN"/>
              </w:rPr>
              <w:t>，</w:t>
            </w:r>
            <w:r>
              <w:rPr>
                <w:rFonts w:hint="default" w:ascii="Times New Roman" w:hAnsi="Times New Roman" w:cs="Times New Roman"/>
                <w:sz w:val="24"/>
                <w:szCs w:val="24"/>
                <w:highlight w:val="none"/>
              </w:rPr>
              <w:t>项目的建设符合国家产业政策要求。</w:t>
            </w:r>
            <w:r>
              <w:rPr>
                <w:rFonts w:hint="default" w:ascii="Times New Roman" w:hAnsi="Times New Roman" w:cs="Times New Roman"/>
                <w:color w:val="000000"/>
                <w:sz w:val="24"/>
                <w:szCs w:val="24"/>
                <w:highlight w:val="none"/>
              </w:rPr>
              <w:t>因此，本项目符合国家和地方的产业政策</w:t>
            </w:r>
            <w:r>
              <w:rPr>
                <w:rFonts w:hint="default" w:ascii="Times New Roman" w:hAnsi="Times New Roman" w:cs="Times New Roman"/>
                <w:sz w:val="24"/>
                <w:szCs w:val="24"/>
                <w:highlight w:val="none"/>
              </w:rPr>
              <w:t>。</w:t>
            </w:r>
          </w:p>
          <w:p w14:paraId="030F5332">
            <w:pPr>
              <w:autoSpaceDE w:val="0"/>
              <w:autoSpaceDN w:val="0"/>
              <w:adjustRightInd w:val="0"/>
              <w:snapToGrid w:val="0"/>
              <w:spacing w:line="360" w:lineRule="auto"/>
              <w:ind w:firstLine="480" w:firstLineChars="200"/>
              <w:jc w:val="left"/>
              <w:rPr>
                <w:rFonts w:hint="eastAsia" w:cs="Times New Roman"/>
                <w:sz w:val="24"/>
                <w:szCs w:val="24"/>
                <w:highlight w:val="none"/>
                <w:lang w:eastAsia="zh-CN"/>
              </w:rPr>
            </w:pPr>
            <w:r>
              <w:rPr>
                <w:rFonts w:hint="eastAsia" w:cs="Times New Roman"/>
                <w:sz w:val="24"/>
                <w:szCs w:val="24"/>
                <w:highlight w:val="none"/>
                <w:lang w:eastAsia="zh-CN"/>
              </w:rPr>
              <w:t>二、选址合理性分析</w:t>
            </w:r>
          </w:p>
          <w:p w14:paraId="059C917B">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rFonts w:hint="eastAsia" w:ascii="宋体" w:hAnsi="宋体" w:cs="宋体"/>
                <w:bCs/>
                <w:sz w:val="24"/>
                <w:highlight w:val="none"/>
                <w:lang w:val="en-US" w:eastAsia="zh-CN"/>
              </w:rPr>
            </w:pPr>
            <w:r>
              <w:rPr>
                <w:rFonts w:hint="eastAsia" w:ascii="宋体" w:hAnsi="宋体" w:cs="宋体"/>
                <w:bCs/>
                <w:sz w:val="24"/>
                <w:highlight w:val="none"/>
              </w:rPr>
              <w:t>本项目位于鄂尔多斯市</w:t>
            </w:r>
            <w:r>
              <w:rPr>
                <w:rFonts w:hint="eastAsia" w:ascii="宋体" w:hAnsi="宋体" w:cs="宋体"/>
                <w:bCs/>
                <w:sz w:val="24"/>
                <w:highlight w:val="none"/>
                <w:lang w:eastAsia="zh-CN"/>
              </w:rPr>
              <w:t>杭锦旗吉日嘎朗图镇。</w:t>
            </w:r>
            <w:r>
              <w:rPr>
                <w:rFonts w:hint="eastAsia" w:ascii="宋体" w:hAnsi="宋体" w:cs="宋体"/>
                <w:bCs/>
                <w:sz w:val="24"/>
                <w:highlight w:val="none"/>
                <w:lang w:val="en-US" w:eastAsia="zh-CN"/>
              </w:rPr>
              <w:t>主要建设输水管线和蓄水池工程。</w:t>
            </w:r>
            <w:r>
              <w:rPr>
                <w:rFonts w:hint="default" w:ascii="Times New Roman" w:hAnsi="Times New Roman" w:eastAsia="宋体" w:cs="Times New Roman"/>
                <w:snapToGrid w:val="0"/>
                <w:color w:val="auto"/>
                <w:sz w:val="24"/>
                <w:szCs w:val="24"/>
                <w:highlight w:val="none"/>
                <w:lang w:val="en-US" w:eastAsia="zh-CN" w:bidi="ar-SA"/>
              </w:rPr>
              <w:t>本工程新建输水管道直接与</w:t>
            </w:r>
            <w:r>
              <w:rPr>
                <w:rFonts w:hint="eastAsia" w:ascii="宋体" w:hAnsi="宋体" w:cs="宋体"/>
                <w:bCs/>
                <w:sz w:val="24"/>
                <w:highlight w:val="none"/>
                <w:lang w:val="en-US" w:eastAsia="zh-CN"/>
              </w:rPr>
              <w:t>《杭锦旗库布其沙漠现代农牧业1500万吨/a供水工程》</w:t>
            </w:r>
            <w:r>
              <w:rPr>
                <w:rFonts w:hint="default" w:ascii="Times New Roman" w:hAnsi="Times New Roman" w:eastAsia="宋体" w:cs="Times New Roman"/>
                <w:snapToGrid w:val="0"/>
                <w:color w:val="auto"/>
                <w:sz w:val="24"/>
                <w:szCs w:val="24"/>
                <w:highlight w:val="none"/>
                <w:lang w:val="en-US" w:eastAsia="zh-CN" w:bidi="ar-SA"/>
              </w:rPr>
              <w:t>的</w:t>
            </w:r>
            <w:r>
              <w:rPr>
                <w:rFonts w:hint="default" w:ascii="Times New Roman" w:hAnsi="Times New Roman" w:eastAsia="宋体" w:cs="Times New Roman"/>
                <w:snapToGrid w:val="0"/>
                <w:color w:val="000000"/>
                <w:sz w:val="24"/>
                <w:szCs w:val="24"/>
                <w:highlight w:val="none"/>
                <w:lang w:val="en-US" w:eastAsia="zh-CN" w:bidi="ar-SA"/>
              </w:rPr>
              <w:t>已建管道</w:t>
            </w:r>
            <w:r>
              <w:rPr>
                <w:rFonts w:hint="default" w:ascii="Times New Roman" w:hAnsi="Times New Roman" w:eastAsia="宋体" w:cs="Times New Roman"/>
                <w:snapToGrid w:val="0"/>
                <w:color w:val="auto"/>
                <w:sz w:val="24"/>
                <w:szCs w:val="24"/>
                <w:highlight w:val="none"/>
                <w:lang w:val="en-US" w:eastAsia="zh-CN" w:bidi="ar-SA"/>
              </w:rPr>
              <w:t>末端连接，</w:t>
            </w:r>
            <w:r>
              <w:rPr>
                <w:rFonts w:hint="default" w:ascii="Times New Roman" w:hAnsi="Times New Roman" w:eastAsia="宋体" w:cs="Times New Roman"/>
                <w:color w:val="auto"/>
                <w:sz w:val="24"/>
                <w:szCs w:val="24"/>
                <w:highlight w:val="none"/>
                <w:lang w:val="en-US" w:eastAsia="zh-CN"/>
              </w:rPr>
              <w:t>将排干水引入</w:t>
            </w:r>
            <w:r>
              <w:rPr>
                <w:rFonts w:hint="default" w:ascii="Times New Roman" w:hAnsi="Times New Roman" w:eastAsia="宋体" w:cs="Times New Roman"/>
                <w:snapToGrid w:val="0"/>
                <w:color w:val="auto"/>
                <w:sz w:val="24"/>
                <w:szCs w:val="24"/>
                <w:highlight w:val="none"/>
                <w:lang w:val="en-US" w:eastAsia="zh-CN" w:bidi="ar-SA"/>
              </w:rPr>
              <w:t>本工程</w:t>
            </w:r>
            <w:r>
              <w:rPr>
                <w:rFonts w:hint="default" w:ascii="Times New Roman" w:hAnsi="Times New Roman" w:eastAsia="宋体" w:cs="Times New Roman"/>
                <w:color w:val="auto"/>
                <w:sz w:val="24"/>
                <w:szCs w:val="24"/>
                <w:highlight w:val="none"/>
                <w:lang w:val="en-US" w:eastAsia="zh-CN"/>
              </w:rPr>
              <w:t>新建蓄水池</w:t>
            </w:r>
            <w:r>
              <w:rPr>
                <w:rFonts w:hint="default" w:ascii="Times New Roman" w:hAnsi="Times New Roman" w:eastAsia="宋体" w:cs="Times New Roman"/>
                <w:snapToGrid w:val="0"/>
                <w:color w:val="auto"/>
                <w:sz w:val="24"/>
                <w:szCs w:val="24"/>
                <w:highlight w:val="none"/>
                <w:lang w:val="en-US" w:eastAsia="zh-CN" w:bidi="ar-SA"/>
              </w:rPr>
              <w:t>。</w:t>
            </w:r>
            <w:r>
              <w:rPr>
                <w:rFonts w:hint="eastAsia" w:ascii="宋体" w:hAnsi="宋体" w:cs="宋体"/>
                <w:bCs/>
                <w:sz w:val="24"/>
                <w:highlight w:val="none"/>
                <w:lang w:val="en-US" w:eastAsia="zh-CN"/>
              </w:rPr>
              <w:t>项目建成后可为朔方新能源大基地提供新能源太阳能板清洗用水及生态用水。</w:t>
            </w:r>
          </w:p>
          <w:p w14:paraId="30431F68">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rFonts w:hint="eastAsia" w:ascii="宋体" w:hAnsi="宋体" w:cs="宋体"/>
                <w:bCs/>
                <w:sz w:val="24"/>
                <w:highlight w:val="none"/>
              </w:rPr>
            </w:pPr>
            <w:r>
              <w:rPr>
                <w:bCs/>
                <w:color w:val="000000"/>
                <w:sz w:val="24"/>
                <w:szCs w:val="24"/>
                <w:highlight w:val="none"/>
              </w:rPr>
              <w:t>本项目</w:t>
            </w:r>
            <w:r>
              <w:rPr>
                <w:rFonts w:hint="eastAsia"/>
                <w:bCs/>
                <w:color w:val="000000"/>
                <w:sz w:val="24"/>
                <w:szCs w:val="24"/>
                <w:highlight w:val="none"/>
                <w:lang w:val="en-US" w:eastAsia="zh-CN"/>
              </w:rPr>
              <w:t>用地</w:t>
            </w:r>
            <w:r>
              <w:rPr>
                <w:bCs/>
                <w:color w:val="000000"/>
                <w:sz w:val="24"/>
                <w:szCs w:val="24"/>
                <w:highlight w:val="none"/>
              </w:rPr>
              <w:t>不涉及风景名胜区、世界文化和自然遗产地、天然林等敏感区。</w:t>
            </w:r>
            <w:r>
              <w:rPr>
                <w:rFonts w:hint="eastAsia" w:ascii="宋体" w:hAnsi="宋体" w:eastAsia="宋体" w:cs="宋体"/>
                <w:color w:val="000000"/>
                <w:kern w:val="0"/>
                <w:sz w:val="24"/>
                <w:szCs w:val="24"/>
                <w:highlight w:val="none"/>
                <w:lang w:val="en-US" w:eastAsia="zh-CN" w:bidi="ar"/>
              </w:rPr>
              <w:t>选址选线不在饮用水源保护区范围内</w:t>
            </w:r>
            <w:r>
              <w:rPr>
                <w:rFonts w:hint="eastAsia" w:ascii="宋体" w:hAnsi="宋体" w:cs="宋体"/>
                <w:color w:val="000000"/>
                <w:kern w:val="0"/>
                <w:sz w:val="24"/>
                <w:szCs w:val="24"/>
                <w:highlight w:val="none"/>
                <w:lang w:val="en-US" w:eastAsia="zh-CN" w:bidi="ar"/>
              </w:rPr>
              <w:t>；</w:t>
            </w:r>
            <w:r>
              <w:rPr>
                <w:rFonts w:hint="eastAsia" w:ascii="宋体" w:hAnsi="宋体" w:cs="宋体"/>
                <w:bCs/>
                <w:sz w:val="24"/>
                <w:highlight w:val="none"/>
              </w:rPr>
              <w:t>本项目用地范围</w:t>
            </w:r>
            <w:r>
              <w:rPr>
                <w:rFonts w:hint="eastAsia" w:ascii="Times New Roman" w:hAnsi="Times New Roman" w:eastAsia="宋体" w:cs="Times New Roman"/>
                <w:sz w:val="24"/>
                <w:szCs w:val="24"/>
                <w:highlight w:val="none"/>
                <w:lang w:val="en-US" w:eastAsia="zh-CN"/>
              </w:rPr>
              <w:t>未占用永久基本农田</w:t>
            </w:r>
            <w:r>
              <w:rPr>
                <w:rFonts w:hint="eastAsia" w:ascii="宋体" w:hAnsi="宋体" w:cs="宋体"/>
                <w:bCs/>
                <w:sz w:val="24"/>
                <w:highlight w:val="none"/>
              </w:rPr>
              <w:t>，</w:t>
            </w:r>
            <w:r>
              <w:rPr>
                <w:rFonts w:hint="eastAsia" w:ascii="Times New Roman" w:hAnsi="Times New Roman" w:eastAsia="宋体" w:cs="Times New Roman"/>
                <w:sz w:val="24"/>
                <w:szCs w:val="24"/>
                <w:highlight w:val="none"/>
                <w:lang w:val="en-US" w:eastAsia="zh-CN"/>
              </w:rPr>
              <w:t>未占</w:t>
            </w:r>
            <w:r>
              <w:rPr>
                <w:rFonts w:hint="eastAsia" w:cs="Times New Roman"/>
                <w:sz w:val="24"/>
                <w:szCs w:val="24"/>
                <w:highlight w:val="none"/>
                <w:lang w:val="en-US" w:eastAsia="zh-CN"/>
              </w:rPr>
              <w:t>用</w:t>
            </w:r>
            <w:r>
              <w:rPr>
                <w:rFonts w:hint="eastAsia" w:ascii="Times New Roman" w:hAnsi="Times New Roman" w:eastAsia="宋体" w:cs="Times New Roman"/>
                <w:sz w:val="24"/>
                <w:szCs w:val="24"/>
                <w:highlight w:val="none"/>
                <w:lang w:val="en-US" w:eastAsia="zh-CN"/>
              </w:rPr>
              <w:t>杭锦旗生态保护红线</w:t>
            </w:r>
            <w:r>
              <w:rPr>
                <w:rFonts w:hint="eastAsia" w:cs="Times New Roman"/>
                <w:sz w:val="24"/>
                <w:szCs w:val="24"/>
                <w:highlight w:val="none"/>
                <w:lang w:val="en-US" w:eastAsia="zh-CN"/>
              </w:rPr>
              <w:t>，见</w:t>
            </w:r>
            <w:r>
              <w:rPr>
                <w:rFonts w:hint="default" w:ascii="Times New Roman" w:hAnsi="Times New Roman" w:eastAsia="宋体" w:cs="Times New Roman"/>
                <w:sz w:val="24"/>
                <w:szCs w:val="24"/>
                <w:highlight w:val="none"/>
                <w:lang w:val="en-US" w:eastAsia="zh-CN"/>
              </w:rPr>
              <w:t>附件</w:t>
            </w:r>
            <w:r>
              <w:rPr>
                <w:rFonts w:hint="eastAsia" w:cs="Times New Roman"/>
                <w:sz w:val="24"/>
                <w:szCs w:val="24"/>
                <w:highlight w:val="none"/>
                <w:lang w:val="en-US" w:eastAsia="zh-CN"/>
              </w:rPr>
              <w:t>3。</w:t>
            </w:r>
            <w:r>
              <w:rPr>
                <w:rFonts w:hint="eastAsia" w:ascii="宋体" w:hAnsi="宋体" w:cs="宋体"/>
                <w:color w:val="000000"/>
                <w:kern w:val="0"/>
                <w:sz w:val="24"/>
                <w:szCs w:val="24"/>
                <w:highlight w:val="none"/>
                <w:lang w:val="en-US" w:eastAsia="zh-CN" w:bidi="ar"/>
              </w:rPr>
              <w:t>本项目不涉及</w:t>
            </w:r>
            <w:r>
              <w:rPr>
                <w:rFonts w:hint="eastAsia" w:ascii="Times New Roman" w:hAnsi="Times New Roman" w:eastAsia="宋体" w:cs="Times New Roman"/>
                <w:sz w:val="24"/>
                <w:szCs w:val="24"/>
                <w:highlight w:val="none"/>
                <w:lang w:val="en-US" w:eastAsia="zh-CN"/>
              </w:rPr>
              <w:t>基本草原、湿地保护、国家地质公园、沙漠公园、四合木分布区</w:t>
            </w:r>
            <w:r>
              <w:rPr>
                <w:rFonts w:hint="eastAsia" w:cs="Times New Roman"/>
                <w:sz w:val="24"/>
                <w:szCs w:val="24"/>
                <w:highlight w:val="none"/>
                <w:lang w:val="en-US" w:eastAsia="zh-CN"/>
              </w:rPr>
              <w:t>以及</w:t>
            </w:r>
            <w:r>
              <w:rPr>
                <w:rFonts w:hint="eastAsia" w:ascii="Times New Roman" w:hAnsi="Times New Roman" w:eastAsia="宋体" w:cs="Times New Roman"/>
                <w:sz w:val="24"/>
                <w:szCs w:val="24"/>
                <w:highlight w:val="none"/>
                <w:lang w:val="en-US" w:eastAsia="zh-CN"/>
              </w:rPr>
              <w:t>不在自然保护区范围内</w:t>
            </w:r>
            <w:r>
              <w:rPr>
                <w:rFonts w:hint="eastAsia" w:cs="Times New Roman"/>
                <w:sz w:val="24"/>
                <w:szCs w:val="24"/>
                <w:highlight w:val="none"/>
                <w:lang w:val="en-US" w:eastAsia="zh-CN"/>
              </w:rPr>
              <w:t>的地区</w:t>
            </w:r>
            <w:r>
              <w:rPr>
                <w:rFonts w:hint="eastAsia"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具体</w:t>
            </w:r>
            <w:r>
              <w:rPr>
                <w:rFonts w:hint="eastAsia" w:ascii="宋体" w:hAnsi="宋体" w:cs="宋体"/>
                <w:color w:val="000000"/>
                <w:kern w:val="0"/>
                <w:sz w:val="24"/>
                <w:szCs w:val="24"/>
                <w:highlight w:val="none"/>
                <w:lang w:val="en-US" w:eastAsia="zh-CN" w:bidi="ar"/>
              </w:rPr>
              <w:t>见</w:t>
            </w:r>
            <w:r>
              <w:rPr>
                <w:rFonts w:hint="default" w:ascii="Times New Roman" w:hAnsi="Times New Roman" w:eastAsia="宋体" w:cs="Times New Roman"/>
                <w:sz w:val="24"/>
                <w:szCs w:val="24"/>
                <w:highlight w:val="none"/>
                <w:lang w:val="en-US" w:eastAsia="zh-CN"/>
              </w:rPr>
              <w:t>附件</w:t>
            </w:r>
            <w:r>
              <w:rPr>
                <w:rFonts w:hint="eastAsia" w:cs="Times New Roman"/>
                <w:sz w:val="24"/>
                <w:szCs w:val="24"/>
                <w:highlight w:val="none"/>
                <w:lang w:val="en-US" w:eastAsia="zh-CN"/>
              </w:rPr>
              <w:t>4。</w:t>
            </w:r>
            <w:r>
              <w:rPr>
                <w:rFonts w:hint="default" w:ascii="Times New Roman" w:hAnsi="Times New Roman" w:cs="Times New Roman"/>
                <w:color w:val="000000" w:themeColor="text1"/>
                <w:sz w:val="24"/>
                <w:szCs w:val="24"/>
                <w:highlight w:val="none"/>
                <w14:textFill>
                  <w14:solidFill>
                    <w14:schemeClr w14:val="tx1"/>
                  </w14:solidFill>
                </w14:textFill>
              </w:rPr>
              <w:t>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区</w:t>
            </w:r>
            <w:r>
              <w:rPr>
                <w:rFonts w:hint="default" w:ascii="Times New Roman" w:hAnsi="Times New Roman" w:cs="Times New Roman"/>
                <w:color w:val="000000" w:themeColor="text1"/>
                <w:sz w:val="24"/>
                <w:szCs w:val="24"/>
                <w:highlight w:val="none"/>
                <w14:textFill>
                  <w14:solidFill>
                    <w14:schemeClr w14:val="tx1"/>
                  </w14:solidFill>
                </w14:textFill>
              </w:rPr>
              <w:t>周边交通便利，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运距较短，便于施工所用原辅材料的运输；区域生态环境质量在施工结束后基本不变</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本项目施工期的</w:t>
            </w:r>
            <w:r>
              <w:rPr>
                <w:rFonts w:hint="eastAsia" w:cs="Times New Roman"/>
                <w:color w:val="000000" w:themeColor="text1"/>
                <w:sz w:val="24"/>
                <w:szCs w:val="24"/>
                <w:highlight w:val="none"/>
                <w:lang w:val="en-US" w:eastAsia="zh-CN"/>
                <w14:textFill>
                  <w14:solidFill>
                    <w14:schemeClr w14:val="tx1"/>
                  </w14:solidFill>
                </w14:textFill>
              </w:rPr>
              <w:t>废气、废水、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噪声</w:t>
            </w:r>
            <w:r>
              <w:rPr>
                <w:rFonts w:hint="eastAsia" w:cs="Times New Roman"/>
                <w:color w:val="000000" w:themeColor="text1"/>
                <w:sz w:val="24"/>
                <w:szCs w:val="24"/>
                <w:highlight w:val="none"/>
                <w:lang w:val="en-US" w:eastAsia="zh-CN"/>
                <w14:textFill>
                  <w14:solidFill>
                    <w14:schemeClr w14:val="tx1"/>
                  </w14:solidFill>
                </w14:textFill>
              </w:rPr>
              <w:t>和固体废弃物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，采取相应环保措施后，可实现达标排放</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项目运营期固废</w:t>
            </w:r>
            <w:r>
              <w:rPr>
                <w:rFonts w:hint="eastAsia" w:cs="Times New Roman"/>
                <w:color w:val="000000" w:themeColor="text1"/>
                <w:sz w:val="24"/>
                <w:szCs w:val="24"/>
                <w:highlight w:val="none"/>
                <w:lang w:val="en-US" w:eastAsia="zh-CN"/>
                <w14:textFill>
                  <w14:solidFill>
                    <w14:schemeClr w14:val="tx1"/>
                  </w14:solidFill>
                </w14:textFill>
              </w:rPr>
              <w:t>均</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妥善处置</w:t>
            </w:r>
            <w:r>
              <w:rPr>
                <w:rFonts w:hint="eastAsia"/>
                <w:color w:val="000000" w:themeColor="text1"/>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对周边环境影响较小。</w:t>
            </w:r>
            <w:r>
              <w:rPr>
                <w:rFonts w:hint="eastAsia" w:cs="Times New Roman"/>
                <w:color w:val="000000" w:themeColor="text1"/>
                <w:sz w:val="24"/>
                <w:szCs w:val="24"/>
                <w:highlight w:val="none"/>
                <w:lang w:val="en-US" w:eastAsia="zh-CN"/>
                <w14:textFill>
                  <w14:solidFill>
                    <w14:schemeClr w14:val="tx1"/>
                  </w14:solidFill>
                </w14:textFill>
              </w:rPr>
              <w:t>本项目对管线临时占地区域以及蓄水池边坡采取沙柳网格沙障，沙障</w:t>
            </w:r>
            <w:r>
              <w:rPr>
                <w:rFonts w:hint="eastAsia"/>
                <w:sz w:val="24"/>
                <w:highlight w:val="none"/>
              </w:rPr>
              <w:t>内撒播种草</w:t>
            </w:r>
            <w:r>
              <w:rPr>
                <w:rFonts w:hint="eastAsia"/>
                <w:sz w:val="24"/>
                <w:highlight w:val="none"/>
                <w:lang w:eastAsia="zh-CN"/>
              </w:rPr>
              <w:t>，</w:t>
            </w:r>
            <w:r>
              <w:rPr>
                <w:rFonts w:hint="eastAsia"/>
                <w:sz w:val="24"/>
                <w:highlight w:val="none"/>
                <w:lang w:val="en-US" w:eastAsia="zh-CN"/>
              </w:rPr>
              <w:t>坝顶道路一侧进行绿化</w:t>
            </w:r>
            <w:r>
              <w:rPr>
                <w:rFonts w:hint="eastAsia"/>
                <w:sz w:val="24"/>
                <w:highlight w:val="none"/>
                <w:lang w:eastAsia="zh-CN"/>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项目建成后可使该区域的沙地得到有效防治，提高该区域植被覆盖率，修复可治理的沙化土地，恢复林草植被，提高该地区的生态系统功能。</w:t>
            </w:r>
          </w:p>
          <w:p w14:paraId="32DA5729">
            <w:pPr>
              <w:pStyle w:val="12"/>
              <w:keepNext w:val="0"/>
              <w:keepLines w:val="0"/>
              <w:pageBreakBefore w:val="0"/>
              <w:kinsoku/>
              <w:wordWrap/>
              <w:overflowPunct/>
              <w:topLinePunct w:val="0"/>
              <w:autoSpaceDE/>
              <w:autoSpaceDN/>
              <w:bidi w:val="0"/>
              <w:snapToGrid w:val="0"/>
              <w:spacing w:before="0" w:after="0" w:line="360" w:lineRule="auto"/>
              <w:ind w:right="0" w:firstLine="480" w:firstLineChars="200"/>
              <w:textAlignment w:val="auto"/>
              <w:rPr>
                <w:rFonts w:hint="eastAsia"/>
                <w:highlight w:val="none"/>
                <w:lang w:eastAsia="zh-CN"/>
              </w:rPr>
            </w:pPr>
            <w:r>
              <w:rPr>
                <w:rFonts w:hint="eastAsia" w:ascii="宋体" w:hAnsi="宋体" w:cs="宋体"/>
                <w:bCs/>
                <w:sz w:val="24"/>
                <w:highlight w:val="none"/>
              </w:rPr>
              <w:t>综上所述，</w:t>
            </w:r>
            <w:r>
              <w:rPr>
                <w:rFonts w:hint="eastAsia" w:ascii="宋体" w:hAnsi="宋体" w:cs="宋体"/>
                <w:bCs/>
                <w:sz w:val="24"/>
                <w:highlight w:val="none"/>
                <w:lang w:val="en-US" w:eastAsia="zh-CN"/>
              </w:rPr>
              <w:t>从环保角度分析，本项目选址选线合理。</w:t>
            </w:r>
          </w:p>
          <w:p w14:paraId="3FE1F2E2">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eastAsia" w:cs="Times New Roman"/>
                <w:sz w:val="24"/>
                <w:szCs w:val="24"/>
                <w:highlight w:val="none"/>
                <w:lang w:eastAsia="zh-CN"/>
              </w:rPr>
              <w:t>三</w:t>
            </w:r>
            <w:r>
              <w:rPr>
                <w:rFonts w:hint="default" w:ascii="Times New Roman" w:hAnsi="Times New Roman" w:cs="Times New Roman"/>
                <w:sz w:val="24"/>
                <w:szCs w:val="24"/>
                <w:highlight w:val="none"/>
              </w:rPr>
              <w:t>、与“三线一单”的符合性分析</w:t>
            </w:r>
          </w:p>
          <w:p w14:paraId="54850307">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生态保护红线</w:t>
            </w:r>
            <w:r>
              <w:rPr>
                <w:rFonts w:hint="eastAsia" w:cs="Times New Roman"/>
                <w:sz w:val="24"/>
                <w:szCs w:val="24"/>
                <w:highlight w:val="none"/>
                <w:lang w:eastAsia="zh-CN"/>
              </w:rPr>
              <w:t>是</w:t>
            </w:r>
            <w:r>
              <w:rPr>
                <w:rFonts w:hint="default" w:ascii="Times New Roman" w:hAnsi="Times New Roman" w:cs="Times New Roman"/>
                <w:sz w:val="24"/>
                <w:szCs w:val="24"/>
                <w:highlight w:val="none"/>
              </w:rPr>
              <w:t>指在生态空间范围内具有特殊重要生态功能、必须强制性严格保护的区域</w:t>
            </w:r>
            <w:r>
              <w:rPr>
                <w:rFonts w:hint="eastAsia" w:cs="Times New Roman"/>
                <w:sz w:val="24"/>
                <w:szCs w:val="24"/>
                <w:highlight w:val="none"/>
                <w:lang w:eastAsia="zh-CN"/>
              </w:rPr>
              <w:t>。这些区域</w:t>
            </w:r>
            <w:r>
              <w:rPr>
                <w:rFonts w:hint="default" w:ascii="Times New Roman" w:hAnsi="Times New Roman" w:cs="Times New Roman"/>
                <w:sz w:val="24"/>
                <w:szCs w:val="24"/>
                <w:highlight w:val="none"/>
              </w:rPr>
              <w:t>是国家生态安全的</w:t>
            </w:r>
            <w:r>
              <w:rPr>
                <w:rFonts w:hint="eastAsia" w:cs="Times New Roman"/>
                <w:sz w:val="24"/>
                <w:szCs w:val="24"/>
                <w:highlight w:val="none"/>
                <w:lang w:eastAsia="zh-CN"/>
              </w:rPr>
              <w:t>重要</w:t>
            </w:r>
            <w:r>
              <w:rPr>
                <w:rFonts w:hint="default" w:ascii="Times New Roman" w:hAnsi="Times New Roman" w:cs="Times New Roman"/>
                <w:sz w:val="24"/>
                <w:szCs w:val="24"/>
                <w:highlight w:val="none"/>
              </w:rPr>
              <w:t>底线和生命线，通常包括具有重要水源涵养、生物多样性维护、水土保持、防风固沙、海岸生态稳定等功能的生态功能重要区域，以及水土流失、土地沙化、石漠化、盐渍化等生态环境敏感脆弱区域。按照“只能增加、不能减少”的基本要求，实施严格管控。</w:t>
            </w:r>
          </w:p>
          <w:p w14:paraId="40056122">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按照《鄂尔多斯市人民政府关于实施“三线一单”生态环境分区管控的意见》，全市共划分环境管控单元163个，包括优先保护单元69个、重点管控单元87个、一般管控单元7个，实施分类管控。</w:t>
            </w:r>
          </w:p>
          <w:p w14:paraId="20864E3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firstLine="480" w:firstLineChars="200"/>
              <w:jc w:val="both"/>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生态保护红线：本项目位于</w:t>
            </w:r>
            <w:r>
              <w:rPr>
                <w:rFonts w:hint="eastAsia" w:ascii="Times New Roman" w:hAnsi="Times New Roman" w:cs="Times New Roman"/>
                <w:color w:val="auto"/>
                <w:sz w:val="24"/>
                <w:szCs w:val="24"/>
                <w:highlight w:val="none"/>
                <w:lang w:eastAsia="zh-CN"/>
              </w:rPr>
              <w:t>鄂尔多斯市</w:t>
            </w:r>
            <w:r>
              <w:rPr>
                <w:rFonts w:hint="eastAsia" w:ascii="宋体" w:hAnsi="宋体" w:cs="宋体"/>
                <w:sz w:val="24"/>
                <w:szCs w:val="24"/>
                <w:highlight w:val="none"/>
                <w:u w:val="none"/>
                <w:lang w:eastAsia="zh-CN"/>
              </w:rPr>
              <w:t>杭锦旗吉日嘎朗图镇</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环境管控单元</w:t>
            </w:r>
            <w:r>
              <w:rPr>
                <w:rFonts w:hint="eastAsia" w:cs="Times New Roman"/>
                <w:color w:val="auto"/>
                <w:sz w:val="24"/>
                <w:szCs w:val="24"/>
                <w:highlight w:val="none"/>
                <w:lang w:val="en-US" w:eastAsia="zh-CN"/>
              </w:rPr>
              <w:t>为黄河头道拐达拉特旗生态用水补给区</w:t>
            </w:r>
            <w:r>
              <w:rPr>
                <w:rFonts w:hint="eastAsia"/>
                <w:sz w:val="24"/>
                <w:szCs w:val="24"/>
                <w:highlight w:val="none"/>
                <w:lang w:eastAsia="zh-CN"/>
              </w:rPr>
              <w:t>（杭锦旗境内）</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rPr>
              <w:t>管控单元</w:t>
            </w:r>
            <w:r>
              <w:rPr>
                <w:rFonts w:hint="eastAsia" w:ascii="Times New Roman" w:hAnsi="Times New Roman" w:cs="Times New Roman"/>
                <w:color w:val="auto"/>
                <w:sz w:val="24"/>
                <w:szCs w:val="24"/>
                <w:highlight w:val="none"/>
                <w:lang w:val="en-US" w:eastAsia="zh-CN"/>
              </w:rPr>
              <w:t>编码：ZH15062520006</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属于</w:t>
            </w:r>
            <w:r>
              <w:rPr>
                <w:rFonts w:hint="default" w:ascii="Times New Roman" w:hAnsi="Times New Roman" w:cs="Times New Roman"/>
                <w:color w:val="auto"/>
                <w:sz w:val="24"/>
                <w:szCs w:val="24"/>
                <w:highlight w:val="none"/>
                <w:lang w:eastAsia="zh-CN"/>
              </w:rPr>
              <w:t>重点</w:t>
            </w:r>
            <w:r>
              <w:rPr>
                <w:rFonts w:hint="default" w:ascii="Times New Roman" w:hAnsi="Times New Roman" w:cs="Times New Roman"/>
                <w:color w:val="auto"/>
                <w:sz w:val="24"/>
                <w:szCs w:val="24"/>
                <w:highlight w:val="none"/>
              </w:rPr>
              <w:t>管控单元。评价区内无饮用水水源地、自然保护区、风景名胜区等特殊环境敏感区，</w:t>
            </w:r>
            <w:r>
              <w:rPr>
                <w:rFonts w:hint="eastAsia"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关于查询杭锦旗库布齐1500万吨/a</w:t>
            </w:r>
            <w:r>
              <w:rPr>
                <w:rFonts w:hint="eastAsia" w:cs="Times New Roman"/>
                <w:sz w:val="24"/>
                <w:szCs w:val="24"/>
                <w:highlight w:val="none"/>
                <w:lang w:val="en-US" w:eastAsia="zh-CN"/>
              </w:rPr>
              <w:t>（朔方</w:t>
            </w:r>
            <w:r>
              <w:rPr>
                <w:rFonts w:hint="eastAsia" w:ascii="Times New Roman" w:hAnsi="Times New Roman" w:eastAsia="宋体" w:cs="Times New Roman"/>
                <w:sz w:val="24"/>
                <w:szCs w:val="24"/>
                <w:highlight w:val="none"/>
                <w:lang w:val="en-US" w:eastAsia="zh-CN"/>
              </w:rPr>
              <w:t>新能源大基地</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供水工程项目用地地类及压覆重要矿产资源及矿业权核实情况的说明</w:t>
            </w:r>
            <w:r>
              <w:rPr>
                <w:rFonts w:hint="eastAsia" w:eastAsia="宋体" w:cs="Times New Roman"/>
                <w:sz w:val="24"/>
                <w:szCs w:val="24"/>
                <w:highlight w:val="none"/>
                <w:lang w:val="en-US" w:eastAsia="zh-CN"/>
              </w:rPr>
              <w:t>》本项目</w:t>
            </w:r>
            <w:r>
              <w:rPr>
                <w:rFonts w:hint="default" w:ascii="Times New Roman" w:hAnsi="Times New Roman" w:cs="Times New Roman"/>
                <w:color w:val="auto"/>
                <w:sz w:val="24"/>
                <w:szCs w:val="24"/>
                <w:highlight w:val="none"/>
              </w:rPr>
              <w:t>不占用生态保护红线</w:t>
            </w:r>
            <w:r>
              <w:rPr>
                <w:rFonts w:hint="eastAsia" w:cs="Times New Roman"/>
                <w:color w:val="auto"/>
                <w:sz w:val="24"/>
                <w:szCs w:val="24"/>
                <w:highlight w:val="none"/>
                <w:lang w:eastAsia="zh-CN"/>
              </w:rPr>
              <w:t>（见附件</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符合生态保护红线管控要求</w:t>
            </w:r>
            <w:r>
              <w:rPr>
                <w:rFonts w:hint="eastAsia" w:cs="Times New Roman"/>
                <w:color w:val="auto"/>
                <w:sz w:val="24"/>
                <w:szCs w:val="24"/>
                <w:highlight w:val="none"/>
                <w:lang w:eastAsia="zh-CN"/>
              </w:rPr>
              <w:t>。</w:t>
            </w:r>
          </w:p>
          <w:p w14:paraId="686ACA85">
            <w:pPr>
              <w:numPr>
                <w:ilvl w:val="0"/>
                <w:numId w:val="0"/>
              </w:num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2</w:t>
            </w:r>
            <w:r>
              <w:rPr>
                <w:rFonts w:hint="eastAsia" w:cs="Times New Roman"/>
                <w:sz w:val="24"/>
                <w:szCs w:val="24"/>
                <w:highlight w:val="none"/>
                <w:lang w:val="en-US" w:eastAsia="zh-CN"/>
              </w:rPr>
              <w:t>.</w:t>
            </w:r>
            <w:r>
              <w:rPr>
                <w:rFonts w:hint="default" w:ascii="Times New Roman" w:hAnsi="Times New Roman" w:cs="Times New Roman"/>
                <w:sz w:val="24"/>
                <w:szCs w:val="24"/>
                <w:highlight w:val="none"/>
              </w:rPr>
              <w:t>环境质量底线</w:t>
            </w:r>
          </w:p>
          <w:p w14:paraId="37D1BB7A">
            <w:pPr>
              <w:autoSpaceDE w:val="0"/>
              <w:autoSpaceDN w:val="0"/>
              <w:adjustRightInd w:val="0"/>
              <w:snapToGrid w:val="0"/>
              <w:spacing w:line="360" w:lineRule="auto"/>
              <w:ind w:firstLine="480" w:firstLineChars="200"/>
              <w:jc w:val="both"/>
              <w:rPr>
                <w:rFonts w:hint="default" w:ascii="Times New Roman" w:hAnsi="Times New Roman" w:cs="Times New Roman"/>
                <w:sz w:val="24"/>
                <w:szCs w:val="24"/>
                <w:highlight w:val="none"/>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2022年《内蒙古自治区生态环境状况公报》统计</w:t>
            </w:r>
            <w:r>
              <w:rPr>
                <w:rFonts w:hint="default" w:ascii="Times New Roman" w:hAnsi="Times New Roman" w:cs="Times New Roman"/>
                <w:color w:val="000000" w:themeColor="text1"/>
                <w:sz w:val="24"/>
                <w:highlight w:val="none"/>
                <w14:textFill>
                  <w14:solidFill>
                    <w14:schemeClr w14:val="tx1"/>
                  </w14:solidFill>
                </w14:textFill>
              </w:rPr>
              <w:t>数据</w:t>
            </w:r>
            <w:r>
              <w:rPr>
                <w:rFonts w:hint="default" w:ascii="Times New Roman" w:hAnsi="Times New Roman" w:cs="Times New Roman"/>
                <w:sz w:val="24"/>
                <w:szCs w:val="24"/>
                <w:highlight w:val="none"/>
              </w:rPr>
              <w:t>，鄂尔多斯市202</w:t>
            </w:r>
            <w:r>
              <w:rPr>
                <w:rFonts w:hint="eastAsia" w:cs="Times New Roman"/>
                <w:sz w:val="24"/>
                <w:szCs w:val="24"/>
                <w:highlight w:val="none"/>
                <w:lang w:val="en-US" w:eastAsia="zh-CN"/>
              </w:rPr>
              <w:t>2</w:t>
            </w:r>
            <w:r>
              <w:rPr>
                <w:rFonts w:hint="default" w:ascii="Times New Roman" w:hAnsi="Times New Roman" w:cs="Times New Roman"/>
                <w:sz w:val="24"/>
                <w:szCs w:val="24"/>
                <w:highlight w:val="none"/>
              </w:rPr>
              <w:t>年</w:t>
            </w:r>
            <w:r>
              <w:rPr>
                <w:rFonts w:hint="default" w:ascii="Times New Roman" w:hAnsi="Times New Roman" w:cs="Times New Roman"/>
                <w:sz w:val="24"/>
                <w:szCs w:val="24"/>
                <w:highlight w:val="none"/>
                <w:lang w:val="zh-CN"/>
              </w:rPr>
              <w:t>区域大气污染物年平均浓度均低于《环境空气质量标准》（GB3095－2012）及其修改单二级标准浓度限值要求，项目</w:t>
            </w:r>
            <w:r>
              <w:rPr>
                <w:rFonts w:hint="eastAsia" w:ascii="Times New Roman" w:hAnsi="Times New Roman" w:cs="Times New Roman"/>
                <w:sz w:val="24"/>
                <w:szCs w:val="24"/>
                <w:highlight w:val="none"/>
                <w:lang w:val="zh-CN"/>
              </w:rPr>
              <w:t>现状</w:t>
            </w:r>
            <w:r>
              <w:rPr>
                <w:rFonts w:hint="default" w:ascii="Times New Roman" w:hAnsi="Times New Roman" w:cs="Times New Roman"/>
                <w:sz w:val="24"/>
                <w:szCs w:val="24"/>
                <w:highlight w:val="none"/>
              </w:rPr>
              <w:t>声环境质量能满足《声环境质量标准》（GB3096-2008）</w:t>
            </w:r>
            <w:r>
              <w:rPr>
                <w:rFonts w:hint="eastAsia" w:cs="Times New Roman"/>
                <w:sz w:val="24"/>
                <w:szCs w:val="24"/>
                <w:highlight w:val="none"/>
                <w:lang w:val="en-US" w:eastAsia="zh-CN"/>
              </w:rPr>
              <w:t>1</w:t>
            </w:r>
            <w:r>
              <w:rPr>
                <w:rFonts w:hint="default" w:ascii="Times New Roman" w:hAnsi="Times New Roman" w:cs="Times New Roman"/>
                <w:sz w:val="24"/>
                <w:szCs w:val="24"/>
                <w:highlight w:val="none"/>
              </w:rPr>
              <w:t>类标准。本项目</w:t>
            </w:r>
            <w:r>
              <w:rPr>
                <w:rFonts w:hint="eastAsia" w:ascii="Times New Roman" w:hAnsi="Times New Roman" w:cs="Times New Roman"/>
                <w:sz w:val="24"/>
                <w:szCs w:val="24"/>
                <w:highlight w:val="none"/>
                <w:lang w:eastAsia="zh-CN"/>
              </w:rPr>
              <w:t>运营期无污染物产生</w:t>
            </w:r>
            <w:r>
              <w:rPr>
                <w:rFonts w:hint="default" w:ascii="Times New Roman" w:hAnsi="Times New Roman" w:cs="Times New Roman"/>
                <w:sz w:val="24"/>
                <w:szCs w:val="24"/>
                <w:highlight w:val="none"/>
              </w:rPr>
              <w:t>，符合环境质量底线要求。项目的建设符合鄂尔多斯市的环境质量底线要求。</w:t>
            </w:r>
          </w:p>
          <w:p w14:paraId="45F751B3">
            <w:pPr>
              <w:pStyle w:val="4"/>
              <w:ind w:left="0" w:leftChars="0" w:firstLine="0" w:firstLineChars="0"/>
              <w:rPr>
                <w:rFonts w:hint="default" w:ascii="Times New Roman" w:hAnsi="Times New Roman" w:cs="Times New Roman"/>
                <w:sz w:val="24"/>
                <w:szCs w:val="24"/>
                <w:highlight w:val="none"/>
              </w:rPr>
            </w:pPr>
            <w:r>
              <w:rPr>
                <w:sz w:val="24"/>
                <w:highlight w:val="none"/>
              </w:rPr>
              <mc:AlternateContent>
                <mc:Choice Requires="wps">
                  <w:drawing>
                    <wp:anchor distT="0" distB="0" distL="114300" distR="114300" simplePos="0" relativeHeight="251662336" behindDoc="0" locked="0" layoutInCell="1" allowOverlap="1">
                      <wp:simplePos x="0" y="0"/>
                      <wp:positionH relativeFrom="column">
                        <wp:posOffset>1050925</wp:posOffset>
                      </wp:positionH>
                      <wp:positionV relativeFrom="paragraph">
                        <wp:posOffset>869950</wp:posOffset>
                      </wp:positionV>
                      <wp:extent cx="861695" cy="269875"/>
                      <wp:effectExtent l="5080" t="339725" r="17145" b="15240"/>
                      <wp:wrapNone/>
                      <wp:docPr id="39" name="矩形标注 39"/>
                      <wp:cNvGraphicFramePr/>
                      <a:graphic xmlns:a="http://schemas.openxmlformats.org/drawingml/2006/main">
                        <a:graphicData uri="http://schemas.microsoft.com/office/word/2010/wordprocessingShape">
                          <wps:wsp>
                            <wps:cNvSpPr/>
                            <wps:spPr>
                              <a:xfrm>
                                <a:off x="5005070" y="7175500"/>
                                <a:ext cx="861695" cy="269875"/>
                              </a:xfrm>
                              <a:prstGeom prst="wedgeRectCallout">
                                <a:avLst>
                                  <a:gd name="adj1" fmla="val -41871"/>
                                  <a:gd name="adj2" fmla="val -169529"/>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D31228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82.75pt;margin-top:68.5pt;height:21.25pt;width:67.85pt;z-index:251662336;v-text-anchor:middle;mso-width-relative:page;mso-height-relative:page;" filled="f" stroked="t" coordsize="21600,21600" o:gfxdata="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sxNuw9cAAAALAQAADwAAAAAAAAABACAAAAAiAAAAZHJz&#10;L2Rvd25yZXYueG1sUEsBAhQAFAAAAAgAh07iQLrrtdqwAgAASAUAAA4AAAAAAAAAAQAgAAAAJgEA&#10;AGRycy9lMm9Eb2MueG1sUEsFBgAAAAAGAAYAWQEAAEgGAAAAAA==&#10;" adj="1756,-25818">
                      <v:fill on="f" focussize="0,0"/>
                      <v:stroke color="#000000 [3213]" miterlimit="8" joinstyle="miter"/>
                      <v:imagedata o:title=""/>
                      <o:lock v:ext="edit" aspectratio="f"/>
                      <v:textbox>
                        <w:txbxContent>
                          <w:p w14:paraId="6D31228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本项目位置</w:t>
                            </w:r>
                          </w:p>
                        </w:txbxContent>
                      </v:textbox>
                    </v:shape>
                  </w:pict>
                </mc:Fallback>
              </mc:AlternateContent>
            </w:r>
            <w:r>
              <w:rPr>
                <w:sz w:val="24"/>
                <w:highlight w:val="none"/>
              </w:rPr>
              <mc:AlternateContent>
                <mc:Choice Requires="wps">
                  <w:drawing>
                    <wp:anchor distT="0" distB="0" distL="114300" distR="114300" simplePos="0" relativeHeight="251661312" behindDoc="0" locked="0" layoutInCell="1" allowOverlap="1">
                      <wp:simplePos x="0" y="0"/>
                      <wp:positionH relativeFrom="column">
                        <wp:posOffset>1067435</wp:posOffset>
                      </wp:positionH>
                      <wp:positionV relativeFrom="paragraph">
                        <wp:posOffset>428625</wp:posOffset>
                      </wp:positionV>
                      <wp:extent cx="75565" cy="75565"/>
                      <wp:effectExtent l="19050" t="21590" r="27305" b="24765"/>
                      <wp:wrapNone/>
                      <wp:docPr id="37" name="五角星 37"/>
                      <wp:cNvGraphicFramePr/>
                      <a:graphic xmlns:a="http://schemas.openxmlformats.org/drawingml/2006/main">
                        <a:graphicData uri="http://schemas.microsoft.com/office/word/2010/wordprocessingShape">
                          <wps:wsp>
                            <wps:cNvSpPr/>
                            <wps:spPr>
                              <a:xfrm>
                                <a:off x="5029200" y="6779895"/>
                                <a:ext cx="75565" cy="75565"/>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84.05pt;margin-top:33.75pt;height:5.95pt;width:5.95pt;z-index:251661312;v-text-anchor:middle;mso-width-relative:page;mso-height-relative:page;" fillcolor="#FF0000" filled="t" stroked="t" coordsize="75565,75565" o:gfxdata="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1L5qC2QAAAAkBAAAPAAAAAAAAAAEAIAAA&#10;ACIAAABkcnMvZG93bnJldi54bWxQSwECFAAUAAAACACHTuJAxKpWv30CAAADBQAADgAAAAAAAAAB&#10;ACAAAAAoAQAAZHJzL2Uyb0RvYy54bWxQSwUGAAAAAAYABgBZAQAAFwYAAAAA&#10;" path="m0,28863l28863,28863,37782,0,46701,28863,75564,28863,52213,46701,61133,75564,37782,57726,14431,75564,23351,46701xe">
                      <v:path o:connectlocs="37782,0;0,28863;14431,75564;61133,75564;75564,28863" o:connectangles="247,164,82,82,0"/>
                      <v:fill on="t" focussize="0,0"/>
                      <v:stroke weight="1pt" color="#FF0000 [2404]" miterlimit="8" joinstyle="miter"/>
                      <v:imagedata o:title=""/>
                      <o:lock v:ext="edit" aspectratio="f"/>
                    </v:shape>
                  </w:pict>
                </mc:Fallback>
              </mc:AlternateContent>
            </w:r>
            <w:r>
              <w:rPr>
                <w:rFonts w:ascii="Times New Roman" w:hAnsi="Times New Roman" w:cs="Times New Roman"/>
                <w:color w:val="auto"/>
                <w:sz w:val="24"/>
                <w:szCs w:val="24"/>
                <w:highlight w:val="none"/>
                <w:lang w:val="en-US" w:bidi="ar-SA"/>
              </w:rPr>
              <w:drawing>
                <wp:inline distT="0" distB="0" distL="114300" distR="114300">
                  <wp:extent cx="4274820" cy="2948940"/>
                  <wp:effectExtent l="0" t="0" r="7620" b="7620"/>
                  <wp:docPr id="227" name="图片 22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图片1"/>
                          <pic:cNvPicPr>
                            <a:picLocks noChangeAspect="1"/>
                          </pic:cNvPicPr>
                        </pic:nvPicPr>
                        <pic:blipFill>
                          <a:blip r:embed="rId7" cstate="print"/>
                          <a:stretch>
                            <a:fillRect/>
                          </a:stretch>
                        </pic:blipFill>
                        <pic:spPr>
                          <a:xfrm>
                            <a:off x="0" y="0"/>
                            <a:ext cx="4274820" cy="2948940"/>
                          </a:xfrm>
                          <a:prstGeom prst="rect">
                            <a:avLst/>
                          </a:prstGeom>
                        </pic:spPr>
                      </pic:pic>
                    </a:graphicData>
                  </a:graphic>
                </wp:inline>
              </w:drawing>
            </w:r>
          </w:p>
          <w:p w14:paraId="784D6F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highlight w:val="none"/>
              </w:rPr>
            </w:pPr>
            <w:r>
              <w:rPr>
                <w:rFonts w:hint="eastAsia" w:ascii="Times New Roman" w:hAnsi="Times New Roman" w:cs="Times New Roman"/>
                <w:b w:val="0"/>
                <w:bCs w:val="0"/>
                <w:color w:val="auto"/>
                <w:sz w:val="21"/>
                <w:szCs w:val="21"/>
                <w:highlight w:val="none"/>
              </w:rPr>
              <w:t>图</w:t>
            </w:r>
            <w:r>
              <w:rPr>
                <w:rFonts w:hint="eastAsia" w:ascii="Times New Roman" w:hAnsi="Times New Roman" w:cs="Times New Roman"/>
                <w:b w:val="0"/>
                <w:bCs w:val="0"/>
                <w:color w:val="auto"/>
                <w:sz w:val="21"/>
                <w:szCs w:val="21"/>
                <w:highlight w:val="none"/>
                <w:lang w:val="en-US"/>
              </w:rPr>
              <w:t>1-1  本项目在鄂尔多斯市环境管控单元图中位置</w:t>
            </w:r>
          </w:p>
          <w:p w14:paraId="6D86728B">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3</w:t>
            </w:r>
            <w:r>
              <w:rPr>
                <w:rFonts w:hint="eastAsia" w:cs="Times New Roman"/>
                <w:sz w:val="24"/>
                <w:szCs w:val="24"/>
                <w:highlight w:val="none"/>
                <w:lang w:val="en-US" w:eastAsia="zh-CN"/>
              </w:rPr>
              <w:t>.</w:t>
            </w:r>
            <w:r>
              <w:rPr>
                <w:rFonts w:hint="default" w:ascii="Times New Roman" w:hAnsi="Times New Roman" w:cs="Times New Roman"/>
                <w:sz w:val="24"/>
                <w:szCs w:val="24"/>
                <w:highlight w:val="none"/>
              </w:rPr>
              <w:t>资源利用上线</w:t>
            </w:r>
          </w:p>
          <w:p w14:paraId="05F07A01">
            <w:pPr>
              <w:autoSpaceDE w:val="0"/>
              <w:autoSpaceDN w:val="0"/>
              <w:adjustRightInd w:val="0"/>
              <w:snapToGrid w:val="0"/>
              <w:spacing w:line="360" w:lineRule="auto"/>
              <w:ind w:firstLine="480" w:firstLineChars="200"/>
              <w:jc w:val="left"/>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资源利用上线指按照自然资源资产</w:t>
            </w:r>
            <w:r>
              <w:rPr>
                <w:rFonts w:hint="eastAsia" w:ascii="宋体" w:hAnsi="宋体" w:eastAsia="宋体" w:cs="宋体"/>
                <w:sz w:val="24"/>
                <w:szCs w:val="24"/>
                <w:highlight w:val="none"/>
              </w:rPr>
              <w:t>“</w:t>
            </w:r>
            <w:r>
              <w:rPr>
                <w:rFonts w:hint="default" w:ascii="Times New Roman" w:hAnsi="Times New Roman" w:cs="Times New Roman"/>
                <w:sz w:val="24"/>
                <w:szCs w:val="24"/>
                <w:highlight w:val="none"/>
              </w:rPr>
              <w:t>只能增值、不能贬值</w:t>
            </w:r>
            <w:r>
              <w:rPr>
                <w:rFonts w:hint="eastAsia" w:ascii="宋体" w:hAnsi="宋体" w:eastAsia="宋体" w:cs="宋体"/>
                <w:sz w:val="24"/>
                <w:szCs w:val="24"/>
                <w:highlight w:val="none"/>
              </w:rPr>
              <w:t>”</w:t>
            </w:r>
            <w:r>
              <w:rPr>
                <w:rFonts w:hint="default" w:ascii="Times New Roman" w:hAnsi="Times New Roman" w:cs="Times New Roman"/>
                <w:sz w:val="24"/>
                <w:szCs w:val="24"/>
                <w:highlight w:val="none"/>
              </w:rPr>
              <w:t>的原则，以保障生态安全和改善环境质量为目的，参考自然资源资产负债表，结合自然资源开发利用效率，提出的分区域分阶段的资源开发利用总量、强度、效率等上线管控要求。本项目</w:t>
            </w:r>
            <w:r>
              <w:rPr>
                <w:rFonts w:hint="eastAsia" w:ascii="Times New Roman" w:hAnsi="Times New Roman" w:cs="Times New Roman"/>
                <w:sz w:val="24"/>
                <w:szCs w:val="24"/>
                <w:highlight w:val="none"/>
                <w:lang w:eastAsia="zh-CN"/>
              </w:rPr>
              <w:t>为</w:t>
            </w:r>
            <w:r>
              <w:rPr>
                <w:rFonts w:hint="eastAsia" w:ascii="宋体" w:hAnsi="宋体" w:cs="宋体"/>
                <w:sz w:val="24"/>
                <w:szCs w:val="24"/>
                <w:highlight w:val="none"/>
                <w:lang w:eastAsia="zh-CN"/>
              </w:rPr>
              <w:t>杭锦旗库布齐1500万吨/a（朔方新能源大基地）供水工程</w:t>
            </w:r>
            <w:r>
              <w:rPr>
                <w:rFonts w:hint="eastAsia"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运营过程</w:t>
            </w:r>
            <w:r>
              <w:rPr>
                <w:rFonts w:hint="eastAsia" w:ascii="Times New Roman" w:hAnsi="Times New Roman" w:cs="Times New Roman"/>
                <w:sz w:val="24"/>
                <w:szCs w:val="24"/>
                <w:highlight w:val="none"/>
                <w:lang w:eastAsia="zh-CN"/>
              </w:rPr>
              <w:t>中</w:t>
            </w:r>
            <w:r>
              <w:rPr>
                <w:rFonts w:hint="default" w:ascii="Times New Roman" w:hAnsi="Times New Roman" w:cs="Times New Roman"/>
                <w:sz w:val="24"/>
                <w:szCs w:val="24"/>
                <w:highlight w:val="none"/>
              </w:rPr>
              <w:t>消耗</w:t>
            </w:r>
            <w:r>
              <w:rPr>
                <w:rFonts w:hint="eastAsia" w:cs="Times New Roman"/>
                <w:sz w:val="24"/>
                <w:szCs w:val="24"/>
                <w:highlight w:val="none"/>
                <w:lang w:eastAsia="zh-CN"/>
              </w:rPr>
              <w:t>少量</w:t>
            </w:r>
            <w:r>
              <w:rPr>
                <w:rFonts w:hint="default" w:ascii="Times New Roman" w:hAnsi="Times New Roman" w:cs="Times New Roman"/>
                <w:sz w:val="24"/>
                <w:szCs w:val="24"/>
                <w:highlight w:val="none"/>
              </w:rPr>
              <w:t>水、电</w:t>
            </w:r>
            <w:r>
              <w:rPr>
                <w:rFonts w:hint="eastAsia" w:ascii="Times New Roman" w:hAnsi="Times New Roman" w:cs="Times New Roman"/>
                <w:sz w:val="24"/>
                <w:szCs w:val="24"/>
                <w:highlight w:val="none"/>
                <w:lang w:eastAsia="zh-CN"/>
              </w:rPr>
              <w:t>等资源</w:t>
            </w:r>
            <w:r>
              <w:rPr>
                <w:rFonts w:hint="default" w:ascii="Times New Roman" w:hAnsi="Times New Roman" w:cs="Times New Roman"/>
                <w:sz w:val="24"/>
                <w:szCs w:val="24"/>
                <w:highlight w:val="none"/>
              </w:rPr>
              <w:t>，</w:t>
            </w:r>
            <w:r>
              <w:rPr>
                <w:rFonts w:hint="eastAsia" w:ascii="Times New Roman" w:hAnsi="Times New Roman" w:cs="Times New Roman"/>
                <w:sz w:val="24"/>
                <w:szCs w:val="24"/>
                <w:highlight w:val="none"/>
                <w:lang w:eastAsia="zh-CN"/>
              </w:rPr>
              <w:t>项目资源利用不会突破地区资源利用上线。</w:t>
            </w:r>
          </w:p>
          <w:p w14:paraId="524CAC20">
            <w:pPr>
              <w:numPr>
                <w:ilvl w:val="0"/>
                <w:numId w:val="2"/>
              </w:numPr>
              <w:autoSpaceDE w:val="0"/>
              <w:autoSpaceDN w:val="0"/>
              <w:adjustRightInd w:val="0"/>
              <w:snapToGrid w:val="0"/>
              <w:spacing w:line="360" w:lineRule="auto"/>
              <w:ind w:firstLine="480" w:firstLineChars="200"/>
              <w:jc w:val="left"/>
              <w:rPr>
                <w:rFonts w:hint="default" w:ascii="Times New Roman" w:hAnsi="Times New Roman" w:cs="Times New Roman"/>
                <w:kern w:val="0"/>
                <w:sz w:val="24"/>
                <w:szCs w:val="24"/>
                <w:highlight w:val="none"/>
                <w:lang w:val="en-US" w:eastAsia="zh-CN"/>
              </w:rPr>
            </w:pPr>
            <w:r>
              <w:rPr>
                <w:rFonts w:hint="default" w:ascii="Times New Roman" w:hAnsi="Times New Roman" w:cs="Times New Roman"/>
                <w:kern w:val="0"/>
                <w:sz w:val="24"/>
                <w:szCs w:val="24"/>
                <w:highlight w:val="none"/>
                <w:lang w:val="en-US" w:eastAsia="zh-CN"/>
              </w:rPr>
              <w:t>生态环境准入清单</w:t>
            </w:r>
          </w:p>
          <w:p w14:paraId="4C4CD4B4">
            <w:pPr>
              <w:numPr>
                <w:ilvl w:val="0"/>
                <w:numId w:val="0"/>
              </w:numPr>
              <w:autoSpaceDE w:val="0"/>
              <w:autoSpaceDN w:val="0"/>
              <w:adjustRightInd w:val="0"/>
              <w:snapToGrid w:val="0"/>
              <w:spacing w:line="360" w:lineRule="auto"/>
              <w:ind w:firstLine="480" w:firstLineChars="200"/>
              <w:jc w:val="left"/>
              <w:rPr>
                <w:rFonts w:hint="default"/>
                <w:color w:val="000000" w:themeColor="text1"/>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根据鄂尔多斯市</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生态环境局发布《鄂尔多斯市生态环境准入清单》的通知（鄂环函〔2021〕95号）及《鄂尔多</w:t>
            </w:r>
            <w:r>
              <w:rPr>
                <w:rFonts w:hint="default" w:ascii="Times New Roman" w:hAnsi="Times New Roman" w:cs="Times New Roman"/>
                <w:color w:val="000000" w:themeColor="text1"/>
                <w:sz w:val="24"/>
                <w:szCs w:val="24"/>
                <w:highlight w:val="none"/>
                <w14:textFill>
                  <w14:solidFill>
                    <w14:schemeClr w14:val="tx1"/>
                  </w14:solidFill>
                </w14:textFill>
              </w:rPr>
              <w:t>斯市生态环境准入清单》文本，</w:t>
            </w:r>
            <w:r>
              <w:rPr>
                <w:rFonts w:hint="eastAsia" w:ascii="Times New Roman" w:cs="Times New Roman"/>
                <w:color w:val="000000" w:themeColor="text1"/>
                <w:sz w:val="24"/>
                <w:szCs w:val="24"/>
                <w:highlight w:val="none"/>
                <w:lang w:eastAsia="zh-CN"/>
                <w14:textFill>
                  <w14:solidFill>
                    <w14:schemeClr w14:val="tx1"/>
                  </w14:solidFill>
                </w14:textFill>
              </w:rPr>
              <w:t>根据三线一单查询文件（附件</w:t>
            </w:r>
            <w:r>
              <w:rPr>
                <w:rFonts w:hint="eastAsia" w:ascii="Times New Roman" w:cs="Times New Roman"/>
                <w:color w:val="000000" w:themeColor="text1"/>
                <w:sz w:val="24"/>
                <w:szCs w:val="24"/>
                <w:highlight w:val="none"/>
                <w:lang w:val="en-US" w:eastAsia="zh-CN"/>
                <w14:textFill>
                  <w14:solidFill>
                    <w14:schemeClr w14:val="tx1"/>
                  </w14:solidFill>
                </w14:textFill>
              </w:rPr>
              <w:t>7</w:t>
            </w:r>
            <w:r>
              <w:rPr>
                <w:rFonts w:hint="eastAsia" w:ascii="Times New Roman" w:cs="Times New Roman"/>
                <w:color w:val="000000" w:themeColor="text1"/>
                <w:sz w:val="24"/>
                <w:szCs w:val="24"/>
                <w:highlight w:val="none"/>
                <w:lang w:eastAsia="zh-CN"/>
                <w14:textFill>
                  <w14:solidFill>
                    <w14:schemeClr w14:val="tx1"/>
                  </w14:solidFill>
                </w14:textFill>
              </w:rPr>
              <w:t>），本项目压盖</w:t>
            </w:r>
            <w:r>
              <w:rPr>
                <w:rFonts w:hint="eastAsia" w:ascii="Times New Roman" w:cs="Times New Roman"/>
                <w:color w:val="000000" w:themeColor="text1"/>
                <w:sz w:val="24"/>
                <w:szCs w:val="24"/>
                <w:highlight w:val="none"/>
                <w:lang w:val="en-US" w:eastAsia="zh-CN"/>
                <w14:textFill>
                  <w14:solidFill>
                    <w14:schemeClr w14:val="tx1"/>
                  </w14:solidFill>
                </w14:textFill>
              </w:rPr>
              <w:t>要素图层4个，环境要素管控分区名称为：黄河头道拐杭锦旗生态用水补给区（环境要素管控分区编码YS1506252510001）、黄河杭锦</w:t>
            </w:r>
            <w:r>
              <w:rPr>
                <w:rFonts w:hint="eastAsia" w:ascii="Times New Roman" w:eastAsia="宋体" w:cs="Times New Roman"/>
                <w:color w:val="000000" w:themeColor="text1"/>
                <w:sz w:val="24"/>
                <w:szCs w:val="24"/>
                <w:highlight w:val="none"/>
                <w:lang w:val="en-US" w:eastAsia="zh-CN"/>
                <w14:textFill>
                  <w14:solidFill>
                    <w14:schemeClr w14:val="tx1"/>
                  </w14:solidFill>
                </w14:textFill>
              </w:rPr>
              <w:t>旗—达</w:t>
            </w:r>
            <w:r>
              <w:rPr>
                <w:rFonts w:hint="eastAsia" w:ascii="Times New Roman" w:cs="Times New Roman"/>
                <w:color w:val="000000" w:themeColor="text1"/>
                <w:sz w:val="24"/>
                <w:szCs w:val="24"/>
                <w:highlight w:val="none"/>
                <w:lang w:val="en-US" w:eastAsia="zh-CN"/>
                <w14:textFill>
                  <w14:solidFill>
                    <w14:schemeClr w14:val="tx1"/>
                  </w14:solidFill>
                </w14:textFill>
              </w:rPr>
              <w:t>拉特旗黑柳子控制单元（环境要素管控分区编码YS1506253210002）、大气一般管控区（环境要素管控分区编码YS1506253310001）、生态空间一般管控区（环境要素管控分区编码YS1506253110001），</w:t>
            </w:r>
            <w:r>
              <w:rPr>
                <w:rFonts w:hint="eastAsia" w:cs="Times New Roman"/>
                <w:color w:val="000000" w:themeColor="text1"/>
                <w:sz w:val="24"/>
                <w:szCs w:val="24"/>
                <w:highlight w:val="none"/>
                <w:lang w:val="en-US" w:eastAsia="zh-CN"/>
                <w14:textFill>
                  <w14:solidFill>
                    <w14:schemeClr w14:val="tx1"/>
                  </w14:solidFill>
                </w14:textFill>
              </w:rPr>
              <w:t>以及</w:t>
            </w:r>
            <w:r>
              <w:rPr>
                <w:rFonts w:hint="eastAsia" w:ascii="Times New Roman" w:cs="Times New Roman"/>
                <w:color w:val="000000" w:themeColor="text1"/>
                <w:sz w:val="24"/>
                <w:szCs w:val="24"/>
                <w:highlight w:val="none"/>
                <w:lang w:val="en-US" w:eastAsia="zh-CN"/>
                <w14:textFill>
                  <w14:solidFill>
                    <w14:schemeClr w14:val="tx1"/>
                  </w14:solidFill>
                </w14:textFill>
              </w:rPr>
              <w:t>管控单元1个（黄河头道拐达拉特旗生态用水补给区）。</w:t>
            </w:r>
            <w:r>
              <w:rPr>
                <w:rFonts w:hint="default" w:ascii="Times New Roman" w:hAnsi="Times New Roman" w:cs="Times New Roman"/>
                <w:color w:val="000000" w:themeColor="text1"/>
                <w:sz w:val="24"/>
                <w:szCs w:val="24"/>
                <w:highlight w:val="none"/>
                <w14:textFill>
                  <w14:solidFill>
                    <w14:schemeClr w14:val="tx1"/>
                  </w14:solidFill>
                </w14:textFill>
              </w:rPr>
              <w:t>本项目所在区域为重点管控单元，</w:t>
            </w:r>
            <w:r>
              <w:rPr>
                <w:rFonts w:hint="default" w:ascii="Times New Roman" w:hAnsi="Times New Roman" w:cs="Times New Roman"/>
                <w:color w:val="000000" w:themeColor="text1"/>
                <w:sz w:val="24"/>
                <w:szCs w:val="24"/>
                <w:highlight w:val="none"/>
                <w:lang w:eastAsia="zh-CN"/>
                <w14:textFill>
                  <w14:solidFill>
                    <w14:schemeClr w14:val="tx1"/>
                  </w14:solidFill>
                </w14:textFill>
              </w:rPr>
              <w:t>管控单元</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为</w:t>
            </w:r>
            <w:r>
              <w:rPr>
                <w:rFonts w:hint="eastAsia" w:cs="Times New Roman"/>
                <w:color w:val="auto"/>
                <w:sz w:val="24"/>
                <w:szCs w:val="24"/>
                <w:highlight w:val="none"/>
                <w:lang w:val="en-US" w:eastAsia="zh-CN"/>
              </w:rPr>
              <w:t>黄河头道拐达拉特旗生态用水补给区</w:t>
            </w:r>
            <w:r>
              <w:rPr>
                <w:rFonts w:hint="eastAsia" w:ascii="Times New Roman" w:cs="Times New Roman"/>
                <w:color w:val="000000" w:themeColor="text1"/>
                <w:sz w:val="24"/>
                <w:szCs w:val="24"/>
                <w:highlight w:val="none"/>
                <w:lang w:val="en-US" w:eastAsia="zh-CN"/>
                <w14:textFill>
                  <w14:solidFill>
                    <w14:schemeClr w14:val="tx1"/>
                  </w14:solidFill>
                </w14:textFill>
              </w:rPr>
              <w:t>，环境管控单元编码：</w:t>
            </w:r>
            <w:r>
              <w:rPr>
                <w:rFonts w:hint="eastAsia" w:ascii="Times New Roman" w:hAnsi="Times New Roman" w:cs="Times New Roman"/>
                <w:color w:val="auto"/>
                <w:sz w:val="24"/>
                <w:szCs w:val="24"/>
                <w:highlight w:val="none"/>
                <w:lang w:val="en-US" w:eastAsia="zh-CN"/>
              </w:rPr>
              <w:t>ZH15062520006</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本项目与</w:t>
            </w:r>
            <w:r>
              <w:rPr>
                <w:rFonts w:hint="eastAsia" w:ascii="Times New Roman" w:cs="Times New Roman"/>
                <w:color w:val="000000" w:themeColor="text1"/>
                <w:sz w:val="24"/>
                <w:szCs w:val="24"/>
                <w:highlight w:val="none"/>
                <w:lang w:val="en-US" w:eastAsia="zh-CN"/>
                <w14:textFill>
                  <w14:solidFill>
                    <w14:schemeClr w14:val="tx1"/>
                  </w14:solidFill>
                </w14:textFill>
              </w:rPr>
              <w:t>环境要素管控分区、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管控单元的管控要求符合性分析见表1-1。</w:t>
            </w:r>
          </w:p>
          <w:p w14:paraId="5BCCED03">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000000" w:themeColor="text1"/>
                <w:sz w:val="21"/>
                <w:szCs w:val="21"/>
                <w:highlight w:val="none"/>
                <w:lang w:val="en-US"/>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表</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1-1 本项目与管控单元的管控要求符合性分析一览表</w:t>
            </w:r>
          </w:p>
          <w:tbl>
            <w:tblPr>
              <w:tblStyle w:val="19"/>
              <w:tblW w:w="49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64"/>
              <w:gridCol w:w="372"/>
              <w:gridCol w:w="2340"/>
              <w:gridCol w:w="3024"/>
              <w:gridCol w:w="259"/>
            </w:tblGrid>
            <w:tr w14:paraId="7143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4" w:hRule="atLeast"/>
                <w:jc w:val="center"/>
              </w:trPr>
              <w:tc>
                <w:tcPr>
                  <w:tcW w:w="498" w:type="pct"/>
                  <w:noWrap w:val="0"/>
                  <w:tcMar>
                    <w:top w:w="0" w:type="dxa"/>
                    <w:left w:w="108" w:type="dxa"/>
                    <w:bottom w:w="0" w:type="dxa"/>
                    <w:right w:w="108" w:type="dxa"/>
                  </w:tcMar>
                  <w:vAlign w:val="center"/>
                </w:tcPr>
                <w:p w14:paraId="0716E3F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名称</w:t>
                  </w:r>
                </w:p>
              </w:tc>
              <w:tc>
                <w:tcPr>
                  <w:tcW w:w="2036" w:type="pct"/>
                  <w:gridSpan w:val="2"/>
                  <w:noWrap w:val="0"/>
                  <w:tcMar>
                    <w:top w:w="0" w:type="dxa"/>
                    <w:left w:w="108" w:type="dxa"/>
                    <w:bottom w:w="0" w:type="dxa"/>
                    <w:right w:w="108" w:type="dxa"/>
                  </w:tcMar>
                  <w:vAlign w:val="center"/>
                </w:tcPr>
                <w:p w14:paraId="11B1ABC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管控要求</w:t>
                  </w:r>
                </w:p>
              </w:tc>
              <w:tc>
                <w:tcPr>
                  <w:tcW w:w="2270" w:type="pct"/>
                  <w:noWrap w:val="0"/>
                  <w:vAlign w:val="center"/>
                </w:tcPr>
                <w:p w14:paraId="0755AE5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本项目情况</w:t>
                  </w:r>
                </w:p>
              </w:tc>
              <w:tc>
                <w:tcPr>
                  <w:tcW w:w="194" w:type="pct"/>
                  <w:noWrap w:val="0"/>
                  <w:vAlign w:val="center"/>
                </w:tcPr>
                <w:p w14:paraId="56125FD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符合性</w:t>
                  </w:r>
                </w:p>
              </w:tc>
            </w:tr>
            <w:tr w14:paraId="7FE2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2" w:hRule="atLeast"/>
                <w:jc w:val="center"/>
              </w:trPr>
              <w:tc>
                <w:tcPr>
                  <w:tcW w:w="4805" w:type="pct"/>
                  <w:gridSpan w:val="4"/>
                  <w:noWrap w:val="0"/>
                  <w:tcMar>
                    <w:top w:w="0" w:type="dxa"/>
                    <w:left w:w="108" w:type="dxa"/>
                    <w:bottom w:w="0" w:type="dxa"/>
                    <w:right w:w="108" w:type="dxa"/>
                  </w:tcMar>
                  <w:vAlign w:val="center"/>
                </w:tcPr>
                <w:p w14:paraId="7C308E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环境管控单元</w:t>
                  </w:r>
                </w:p>
              </w:tc>
              <w:tc>
                <w:tcPr>
                  <w:tcW w:w="194" w:type="pct"/>
                  <w:noWrap w:val="0"/>
                  <w:vAlign w:val="center"/>
                </w:tcPr>
                <w:p w14:paraId="4CB8CBB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r>
            <w:tr w14:paraId="5105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1" w:hRule="atLeast"/>
                <w:jc w:val="center"/>
              </w:trPr>
              <w:tc>
                <w:tcPr>
                  <w:tcW w:w="498" w:type="pct"/>
                  <w:vMerge w:val="restart"/>
                  <w:noWrap w:val="0"/>
                  <w:tcMar>
                    <w:top w:w="0" w:type="dxa"/>
                    <w:left w:w="108" w:type="dxa"/>
                    <w:bottom w:w="0" w:type="dxa"/>
                    <w:right w:w="108" w:type="dxa"/>
                  </w:tcMar>
                  <w:vAlign w:val="center"/>
                </w:tcPr>
                <w:p w14:paraId="2584ECA2">
                  <w:pPr>
                    <w:keepNext w:val="0"/>
                    <w:keepLines w:val="0"/>
                    <w:widowControl/>
                    <w:suppressLineNumbers w:val="0"/>
                    <w:jc w:val="left"/>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重点管控单元—</w:t>
                  </w:r>
                </w:p>
                <w:p w14:paraId="5CEAE080">
                  <w:pPr>
                    <w:keepNext w:val="0"/>
                    <w:keepLines w:val="0"/>
                    <w:widowControl/>
                    <w:suppressLineNumbers w:val="0"/>
                    <w:jc w:val="left"/>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黄河头道拐达拉特旗生态用水补给区环境管控单元编码：ZH15062520006</w:t>
                  </w:r>
                </w:p>
              </w:tc>
              <w:tc>
                <w:tcPr>
                  <w:tcW w:w="279" w:type="pct"/>
                  <w:noWrap w:val="0"/>
                  <w:tcMar>
                    <w:top w:w="0" w:type="dxa"/>
                    <w:left w:w="108" w:type="dxa"/>
                    <w:bottom w:w="0" w:type="dxa"/>
                    <w:right w:w="108" w:type="dxa"/>
                  </w:tcMar>
                  <w:vAlign w:val="center"/>
                </w:tcPr>
                <w:p w14:paraId="353107B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空间布局约束</w:t>
                  </w:r>
                </w:p>
              </w:tc>
              <w:tc>
                <w:tcPr>
                  <w:tcW w:w="1757" w:type="pct"/>
                  <w:noWrap w:val="0"/>
                  <w:tcMar>
                    <w:top w:w="0" w:type="dxa"/>
                    <w:left w:w="108" w:type="dxa"/>
                    <w:bottom w:w="0" w:type="dxa"/>
                    <w:right w:w="108" w:type="dxa"/>
                  </w:tcMar>
                  <w:vAlign w:val="center"/>
                </w:tcPr>
                <w:p w14:paraId="4A73A19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1.</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新增用水项目生产工艺、单位产品产值</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和</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水耗、用水效率等应满足国家相关节水要求。</w:t>
                  </w:r>
                </w:p>
                <w:p w14:paraId="0119E6E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完善规划和建设项目水资源论证制度。</w:t>
                  </w:r>
                </w:p>
                <w:p w14:paraId="47CB7C2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沿黄重点地区应按照《关于“十四五”推进沿黄重点地区工业项目入园及严控高污染、高耗水、高耗能项目的通知》（发改办产业〔2021〕635号）要求严控高耗水项目。</w:t>
                  </w:r>
                </w:p>
                <w:p w14:paraId="326ACA1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4.</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新增取用水项目单位产品水耗和复用水率应满足国家行业用水定额和《内蒙古自治区行业用水定额标准（DB15/T385-2019）》。</w:t>
                  </w:r>
                </w:p>
                <w:p w14:paraId="55E9CB0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5.</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新增取用水项目万元工业增加值用水量应满足最严格水资源管理三条红线中用水效率红线要求。</w:t>
                  </w:r>
                </w:p>
                <w:p w14:paraId="2B80525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6.</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新增取用水项目应优先使用再生水，工业生产、城市绿化、道路清扫、车辆冲洗、建筑施工以及生态景观等用水，要优先使用再生水。</w:t>
                  </w:r>
                </w:p>
                <w:p w14:paraId="37004B2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7.</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新增取用水项目污水排放率应满足国家和自治区“水十条”要求。</w:t>
                  </w:r>
                </w:p>
              </w:tc>
              <w:tc>
                <w:tcPr>
                  <w:tcW w:w="2270" w:type="pct"/>
                  <w:noWrap w:val="0"/>
                  <w:vAlign w:val="center"/>
                </w:tcPr>
                <w:p w14:paraId="50C065C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1.本项目为供水工程，用管道输水至蓄水池，满足国家相关节水要求</w:t>
                  </w:r>
                </w:p>
                <w:p w14:paraId="03D8D1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highlight w:val="none"/>
                      <w:lang w:val="en-US" w:eastAsia="zh-CN"/>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2.本项目水源引自《杭锦旗库布其沙漠现代农牧业1500万吨/a供水工程》，该项目已办理相关取水许可手续。</w:t>
                  </w:r>
                </w:p>
                <w:p w14:paraId="561FCDE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highlight w:val="none"/>
                      <w:lang w:val="en-US" w:eastAsia="zh-CN"/>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3.本项目不属于工业项目，本项目水源引自《杭锦旗库布其沙漠现代农牧业1500万吨/a供水工程》的已建管道末端连接，将排干水引入本工程新建蓄水池。项目建成后可为朔方新能源大基地提供新能源太阳能板清洗用水及生态用水。</w:t>
                  </w:r>
                  <w:r>
                    <w:rPr>
                      <w:rFonts w:hint="eastAsia"/>
                      <w:highlight w:val="none"/>
                      <w:lang w:val="en-US" w:eastAsia="zh-CN"/>
                    </w:rPr>
                    <w:t>输送水体为黄河沿岸排干退水，不涉及从地表水体及水渠内直接取水。</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《杭锦旗库布其沙漠现代农牧业1500万吨/a供水工程》</w:t>
                  </w:r>
                  <w:r>
                    <w:rPr>
                      <w:rFonts w:hint="eastAsia"/>
                      <w:highlight w:val="none"/>
                      <w:lang w:val="en-US" w:eastAsia="zh-CN"/>
                    </w:rPr>
                    <w:t>已办理相关取水许可手续，具体见附件6。</w:t>
                  </w:r>
                </w:p>
                <w:p w14:paraId="1A2738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宋体" w:eastAsia="宋体"/>
                      <w:highlight w:val="none"/>
                      <w:lang w:val="en-US" w:eastAsia="zh-CN"/>
                    </w:rPr>
                    <w:t>4.本</w:t>
                  </w:r>
                  <w:r>
                    <w:rPr>
                      <w:rFonts w:hint="eastAsia"/>
                      <w:highlight w:val="none"/>
                      <w:lang w:eastAsia="zh-CN"/>
                    </w:rPr>
                    <w:t>项目为供水工程，工程主要内容为输水管线和蓄水池，本工程不</w:t>
                  </w: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涉及产品水耗和复用水率。</w:t>
                  </w:r>
                </w:p>
                <w:p w14:paraId="594B4E5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5.本项目为供水工程，不涉及工业用水。不涉及新取用水。</w:t>
                  </w:r>
                </w:p>
                <w:p w14:paraId="29E0879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eastAsia="宋体"/>
                      <w:highlight w:val="none"/>
                      <w:lang w:eastAsia="zh-CN"/>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6.本项目水源引自《杭锦旗库布其沙漠现代农牧业1500万吨/a供水工程</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eastAsia"/>
                      <w:highlight w:val="none"/>
                      <w:lang w:val="en-US" w:eastAsia="zh-CN"/>
                    </w:rPr>
                    <w:t>，</w:t>
                  </w:r>
                  <w:r>
                    <w:rPr>
                      <w:rFonts w:hint="eastAsia"/>
                      <w:highlight w:val="none"/>
                      <w:lang w:eastAsia="zh-CN"/>
                    </w:rPr>
                    <w:t>输送的水体为黄河沿岸排干退水，拟供至</w:t>
                  </w:r>
                  <w:r>
                    <w:rPr>
                      <w:rFonts w:hint="default" w:ascii="Times New Roman" w:hAnsi="Times New Roman" w:cs="Times New Roman"/>
                      <w:color w:val="auto"/>
                      <w:highlight w:val="none"/>
                    </w:rPr>
                    <w:t>杭锦旗</w:t>
                  </w:r>
                  <w:r>
                    <w:rPr>
                      <w:rFonts w:hint="default" w:ascii="Times New Roman" w:hAnsi="Times New Roman" w:cs="Times New Roman"/>
                      <w:color w:val="auto"/>
                      <w:highlight w:val="none"/>
                      <w:lang w:eastAsia="zh-CN"/>
                    </w:rPr>
                    <w:t>朔方新能源大基地</w:t>
                  </w:r>
                  <w:r>
                    <w:rPr>
                      <w:rFonts w:hint="eastAsia" w:cs="Times New Roman"/>
                      <w:color w:val="auto"/>
                      <w:highlight w:val="none"/>
                      <w:lang w:eastAsia="zh-CN"/>
                    </w:rPr>
                    <w:t>用于太阳能板冲洗和生态用水。</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《杭锦旗库布其沙漠现代农牧业1500万吨/a供水工程》</w:t>
                  </w:r>
                  <w:r>
                    <w:rPr>
                      <w:rFonts w:hint="eastAsia"/>
                      <w:highlight w:val="none"/>
                      <w:lang w:val="en-US" w:eastAsia="zh-CN"/>
                    </w:rPr>
                    <w:t>已办理相关取水许可手续，具体见附件6。</w:t>
                  </w:r>
                </w:p>
                <w:p w14:paraId="07F216E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7.本项目运营期不产生废水</w:t>
                  </w:r>
                  <w:r>
                    <w:rPr>
                      <w:rFonts w:hint="eastAsia"/>
                      <w:highlight w:val="none"/>
                      <w:lang w:eastAsia="zh-CN"/>
                    </w:rPr>
                    <w:t>，本项目不涉及新增取水。</w:t>
                  </w:r>
                </w:p>
              </w:tc>
              <w:tc>
                <w:tcPr>
                  <w:tcW w:w="194" w:type="pct"/>
                  <w:noWrap w:val="0"/>
                  <w:vAlign w:val="center"/>
                </w:tcPr>
                <w:p w14:paraId="04EB29B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r w14:paraId="580F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3" w:hRule="atLeast"/>
                <w:jc w:val="center"/>
              </w:trPr>
              <w:tc>
                <w:tcPr>
                  <w:tcW w:w="498" w:type="pct"/>
                  <w:vMerge w:val="continue"/>
                  <w:noWrap w:val="0"/>
                  <w:tcMar>
                    <w:top w:w="0" w:type="dxa"/>
                    <w:left w:w="108" w:type="dxa"/>
                    <w:bottom w:w="0" w:type="dxa"/>
                    <w:right w:w="108" w:type="dxa"/>
                  </w:tcMar>
                  <w:vAlign w:val="center"/>
                </w:tcPr>
                <w:p w14:paraId="684B6D9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c>
                <w:tcPr>
                  <w:tcW w:w="279" w:type="pct"/>
                  <w:noWrap w:val="0"/>
                  <w:tcMar>
                    <w:top w:w="0" w:type="dxa"/>
                    <w:left w:w="108" w:type="dxa"/>
                    <w:bottom w:w="0" w:type="dxa"/>
                    <w:right w:w="108" w:type="dxa"/>
                  </w:tcMar>
                  <w:vAlign w:val="center"/>
                </w:tcPr>
                <w:p w14:paraId="265F889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资源开发效率</w:t>
                  </w:r>
                </w:p>
              </w:tc>
              <w:tc>
                <w:tcPr>
                  <w:tcW w:w="1757" w:type="pct"/>
                  <w:noWrap w:val="0"/>
                  <w:tcMar>
                    <w:top w:w="0" w:type="dxa"/>
                    <w:left w:w="108" w:type="dxa"/>
                    <w:bottom w:w="0" w:type="dxa"/>
                    <w:right w:w="108" w:type="dxa"/>
                  </w:tcMar>
                  <w:vAlign w:val="center"/>
                </w:tcPr>
                <w:p w14:paraId="7DEA2F0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合理配置控制断面上游水资源，保障下游合理生态需水。生态基流是河流生态需水的瞬时最小值，除天然来水小于生态基流外必须予以满足；基本生态需水要求年内不同时段满足一定的水量，对于有基本生态需水要求的河流除天然来水小于基本生态需水外应予以满足。湖泊应满足要求的湖水位（湖面面积）。</w:t>
                  </w:r>
                </w:p>
              </w:tc>
              <w:tc>
                <w:tcPr>
                  <w:tcW w:w="2270" w:type="pct"/>
                  <w:noWrap w:val="0"/>
                  <w:vAlign w:val="center"/>
                </w:tcPr>
                <w:p w14:paraId="4002F51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highlight w:val="none"/>
                      <w:lang w:eastAsia="zh-CN"/>
                    </w:rPr>
                    <w:t>本项目水源引自</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《杭锦旗库布其沙漠现代农牧业1500万吨/a供水工程》</w:t>
                  </w:r>
                  <w:r>
                    <w:rPr>
                      <w:rFonts w:hint="eastAsia"/>
                      <w:highlight w:val="none"/>
                      <w:lang w:val="en-US" w:eastAsia="zh-CN"/>
                    </w:rPr>
                    <w:t>，</w:t>
                  </w:r>
                  <w:r>
                    <w:rPr>
                      <w:rFonts w:hint="eastAsia"/>
                      <w:highlight w:val="none"/>
                      <w:lang w:eastAsia="zh-CN"/>
                    </w:rPr>
                    <w:t>输送的水体为黄河沿岸排干退水，</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《杭锦旗库布其沙漠现代农牧业1500万吨/a供水工程》</w:t>
                  </w:r>
                  <w:r>
                    <w:rPr>
                      <w:rFonts w:hint="eastAsia"/>
                      <w:highlight w:val="none"/>
                      <w:lang w:val="en-US" w:eastAsia="zh-CN"/>
                    </w:rPr>
                    <w:t>已办理相关取水许可手续，具体见附件6，确保该水量不会对黄河流域上下游的生态需水产生影响。</w:t>
                  </w:r>
                </w:p>
              </w:tc>
              <w:tc>
                <w:tcPr>
                  <w:tcW w:w="194" w:type="pct"/>
                  <w:noWrap w:val="0"/>
                  <w:vAlign w:val="center"/>
                </w:tcPr>
                <w:p w14:paraId="33CDD05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r w14:paraId="77B4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5" w:hRule="atLeast"/>
                <w:jc w:val="center"/>
              </w:trPr>
              <w:tc>
                <w:tcPr>
                  <w:tcW w:w="5000" w:type="pct"/>
                  <w:gridSpan w:val="5"/>
                  <w:noWrap w:val="0"/>
                  <w:tcMar>
                    <w:top w:w="0" w:type="dxa"/>
                    <w:left w:w="108" w:type="dxa"/>
                    <w:bottom w:w="0" w:type="dxa"/>
                    <w:right w:w="108" w:type="dxa"/>
                  </w:tcMar>
                  <w:vAlign w:val="center"/>
                </w:tcPr>
                <w:p w14:paraId="0D3BB61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环境要素管控分区</w:t>
                  </w:r>
                </w:p>
              </w:tc>
            </w:tr>
            <w:tr w14:paraId="5D63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45" w:hRule="atLeast"/>
                <w:jc w:val="center"/>
              </w:trPr>
              <w:tc>
                <w:tcPr>
                  <w:tcW w:w="498" w:type="pct"/>
                  <w:vMerge w:val="restart"/>
                  <w:noWrap w:val="0"/>
                  <w:tcMar>
                    <w:top w:w="0" w:type="dxa"/>
                    <w:left w:w="108" w:type="dxa"/>
                    <w:bottom w:w="0" w:type="dxa"/>
                    <w:right w:w="108" w:type="dxa"/>
                  </w:tcMar>
                  <w:vAlign w:val="center"/>
                </w:tcPr>
                <w:p w14:paraId="08BFE19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黄河头道拐杭锦旗生态用水补给区【YS1506252510001】</w:t>
                  </w:r>
                </w:p>
              </w:tc>
              <w:tc>
                <w:tcPr>
                  <w:tcW w:w="279" w:type="pct"/>
                  <w:noWrap w:val="0"/>
                  <w:tcMar>
                    <w:top w:w="0" w:type="dxa"/>
                    <w:left w:w="108" w:type="dxa"/>
                    <w:bottom w:w="0" w:type="dxa"/>
                    <w:right w:w="108" w:type="dxa"/>
                  </w:tcMar>
                  <w:vAlign w:val="center"/>
                </w:tcPr>
                <w:p w14:paraId="60F5919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空间布局约束</w:t>
                  </w:r>
                </w:p>
              </w:tc>
              <w:tc>
                <w:tcPr>
                  <w:tcW w:w="1757" w:type="pct"/>
                  <w:noWrap w:val="0"/>
                  <w:tcMar>
                    <w:top w:w="0" w:type="dxa"/>
                    <w:left w:w="108" w:type="dxa"/>
                    <w:bottom w:w="0" w:type="dxa"/>
                    <w:right w:w="108" w:type="dxa"/>
                  </w:tcMar>
                  <w:vAlign w:val="center"/>
                </w:tcPr>
                <w:p w14:paraId="660158E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1.</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新增用水项目生产工艺、单位产品和产值水耗、用水效率等应满足国家相关节水要求。</w:t>
                  </w:r>
                </w:p>
                <w:p w14:paraId="188C4B8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完善规划和建设项目水资源论证制度，以水定城、以水定人、以水定地、以水定产，合理确定经济布局、结构和规模。</w:t>
                  </w:r>
                </w:p>
                <w:p w14:paraId="6D89A4A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沿黄重点地区应按照《关于“十四五”推进沿黄重点地区工业项目入园及严控高污染、高耗水、高耗能项目的通知》（发改办产业〔2021〕635号）要求严控高耗水项目。</w:t>
                  </w:r>
                </w:p>
                <w:p w14:paraId="4A6414D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4.</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新增取用水项目单位产品水耗和复用水率应满足国家行业用水定额和《内蒙古自治区行业用水定额标准（DB15/T385-2019）》。</w:t>
                  </w:r>
                </w:p>
                <w:p w14:paraId="4D4515E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5.</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新增取用水项目万元工业增加值用水量应满足最严格水资源管理三条红线中用水效率红线要求。</w:t>
                  </w:r>
                </w:p>
                <w:p w14:paraId="0B3E588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6.</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新增取用水项目应优先使用再生水，工业生产、城市绿化、道路清扫、车辆冲洗、建筑施工以及生态景观等用水，要优先使用再生水。</w:t>
                  </w:r>
                </w:p>
                <w:p w14:paraId="133C600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7.</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新增取用水项目污水排放率应满足国家和自治区“水十条”要求。</w:t>
                  </w:r>
                </w:p>
              </w:tc>
              <w:tc>
                <w:tcPr>
                  <w:tcW w:w="2270" w:type="pct"/>
                  <w:noWrap w:val="0"/>
                  <w:vAlign w:val="center"/>
                </w:tcPr>
                <w:p w14:paraId="4800805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highlight w:val="none"/>
                      <w:lang w:eastAsia="zh-CN"/>
                    </w:rPr>
                  </w:pPr>
                  <w:r>
                    <w:rPr>
                      <w:rFonts w:hint="eastAsia"/>
                      <w:highlight w:val="none"/>
                      <w:lang w:val="en-US" w:eastAsia="zh-CN"/>
                    </w:rPr>
                    <w:t>1.</w:t>
                  </w:r>
                  <w:r>
                    <w:rPr>
                      <w:rFonts w:hint="eastAsia"/>
                      <w:highlight w:val="none"/>
                      <w:lang w:eastAsia="zh-CN"/>
                    </w:rPr>
                    <w:t>本项目不涉及新增</w:t>
                  </w:r>
                  <w:r>
                    <w:rPr>
                      <w:rFonts w:hint="eastAsia"/>
                      <w:highlight w:val="none"/>
                      <w:lang w:val="en-US" w:eastAsia="zh-CN"/>
                    </w:rPr>
                    <w:t>用水</w:t>
                  </w:r>
                  <w:r>
                    <w:rPr>
                      <w:rFonts w:hint="eastAsia"/>
                      <w:highlight w:val="none"/>
                      <w:lang w:eastAsia="zh-CN"/>
                    </w:rPr>
                    <w:t>。</w:t>
                  </w:r>
                </w:p>
                <w:p w14:paraId="3FFB200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highlight w:val="none"/>
                      <w:lang w:val="en-US" w:eastAsia="zh-CN"/>
                    </w:rPr>
                  </w:pPr>
                  <w:r>
                    <w:rPr>
                      <w:rFonts w:hint="eastAsia"/>
                      <w:highlight w:val="none"/>
                      <w:lang w:val="en-US" w:eastAsia="zh-CN"/>
                    </w:rPr>
                    <w:t>2.本项目水源引自《杭锦旗库布其沙漠现代农牧业1500万吨/a供水工程》，该项目已办理相关取水许可手续，见附件6。</w:t>
                  </w:r>
                </w:p>
                <w:p w14:paraId="718CE8D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highlight w:val="none"/>
                      <w:lang w:val="en-US" w:eastAsia="zh-CN"/>
                    </w:rPr>
                  </w:pPr>
                  <w:r>
                    <w:rPr>
                      <w:rFonts w:hint="eastAsia"/>
                      <w:highlight w:val="none"/>
                      <w:lang w:val="en-US" w:eastAsia="zh-CN"/>
                    </w:rPr>
                    <w:t>3.本项目不属于工业项目，本项目水源引自《杭锦旗库布其沙漠现代农牧业1500万吨/a供水工程》的已建管道末端连接，将排干水引入本工程新建蓄水池。项目建成后可为朔方新能源大基地提供新能源太阳能板清洗用水及生态用水。输送水体为黄河沿岸排干退水，不涉及从地表水体及水渠内直接取水。《杭锦旗库布其沙漠现代农牧业1500万吨/a供水工程》已办理相关取水许可手续，具体见附件6。</w:t>
                  </w:r>
                </w:p>
                <w:p w14:paraId="67F4238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highlight w:val="none"/>
                      <w:lang w:val="en-US" w:eastAsia="zh-CN"/>
                    </w:rPr>
                  </w:pPr>
                  <w:r>
                    <w:rPr>
                      <w:rFonts w:hint="eastAsia"/>
                      <w:highlight w:val="none"/>
                      <w:lang w:val="en-US" w:eastAsia="zh-CN"/>
                    </w:rPr>
                    <w:t>4.本项目为供水工程，工程主要内容为输水管线和蓄水池，本工程不涉及产品水耗和复用水率。</w:t>
                  </w:r>
                </w:p>
                <w:p w14:paraId="252CCC8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highlight w:val="none"/>
                      <w:lang w:val="en-US" w:eastAsia="zh-CN"/>
                    </w:rPr>
                  </w:pPr>
                  <w:r>
                    <w:rPr>
                      <w:rFonts w:hint="eastAsia"/>
                      <w:highlight w:val="none"/>
                      <w:lang w:val="en-US" w:eastAsia="zh-CN"/>
                    </w:rPr>
                    <w:t>5.本项目为供水工程，不涉及工业用水。不涉及新取用水。</w:t>
                  </w:r>
                </w:p>
                <w:p w14:paraId="04B9A38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highlight w:val="none"/>
                      <w:lang w:val="en-US" w:eastAsia="zh-CN"/>
                    </w:rPr>
                  </w:pPr>
                  <w:r>
                    <w:rPr>
                      <w:rFonts w:hint="eastAsia"/>
                      <w:highlight w:val="none"/>
                      <w:lang w:val="en-US" w:eastAsia="zh-CN"/>
                    </w:rPr>
                    <w:t>6.本项目水源引自《杭锦旗库布其沙漠现代农牧业1500万吨/a供水工程》，输送的水体为黄河沿岸排干退水，拟供至杭锦旗朔方新能源大基地用于太阳能板冲洗和生态用水，《杭锦旗库布其沙漠现代农牧业1500万吨/a供水工程》已办理相关取水许可手续，具体见附件6。</w:t>
                  </w:r>
                </w:p>
                <w:p w14:paraId="2FCE7E2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highlight w:val="none"/>
                      <w:lang w:val="en-US" w:eastAsia="zh-CN"/>
                    </w:rPr>
                  </w:pPr>
                  <w:r>
                    <w:rPr>
                      <w:rFonts w:hint="eastAsia"/>
                      <w:highlight w:val="none"/>
                      <w:lang w:val="en-US" w:eastAsia="zh-CN"/>
                    </w:rPr>
                    <w:t>7.本项目运营期不产生废水，本项目不涉及新增取水。</w:t>
                  </w:r>
                </w:p>
              </w:tc>
              <w:tc>
                <w:tcPr>
                  <w:tcW w:w="194" w:type="pct"/>
                  <w:noWrap w:val="0"/>
                  <w:vAlign w:val="center"/>
                </w:tcPr>
                <w:p w14:paraId="1B61E74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r w14:paraId="5992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45" w:hRule="atLeast"/>
                <w:jc w:val="center"/>
              </w:trPr>
              <w:tc>
                <w:tcPr>
                  <w:tcW w:w="498" w:type="pct"/>
                  <w:vMerge w:val="continue"/>
                  <w:noWrap w:val="0"/>
                  <w:tcMar>
                    <w:top w:w="0" w:type="dxa"/>
                    <w:left w:w="108" w:type="dxa"/>
                    <w:bottom w:w="0" w:type="dxa"/>
                    <w:right w:w="108" w:type="dxa"/>
                  </w:tcMar>
                  <w:vAlign w:val="center"/>
                </w:tcPr>
                <w:p w14:paraId="0EF056CB">
                  <w:pPr>
                    <w:pStyle w:val="13"/>
                    <w:keepNext w:val="0"/>
                    <w:keepLines w:val="0"/>
                    <w:pageBreakBefore w:val="0"/>
                    <w:widowControl w:val="0"/>
                    <w:kinsoku/>
                    <w:wordWrap/>
                    <w:overflowPunct/>
                    <w:topLinePunct w:val="0"/>
                    <w:autoSpaceDE/>
                    <w:autoSpaceDN/>
                    <w:bidi w:val="0"/>
                    <w:adjustRightInd/>
                    <w:snapToGrid/>
                    <w:spacing w:line="240" w:lineRule="auto"/>
                    <w:jc w:val="both"/>
                    <w:textAlignment w:val="auto"/>
                    <w:rPr>
                      <w:highlight w:val="none"/>
                    </w:rPr>
                  </w:pPr>
                </w:p>
              </w:tc>
              <w:tc>
                <w:tcPr>
                  <w:tcW w:w="279" w:type="pct"/>
                  <w:noWrap w:val="0"/>
                  <w:tcMar>
                    <w:top w:w="0" w:type="dxa"/>
                    <w:left w:w="108" w:type="dxa"/>
                    <w:bottom w:w="0" w:type="dxa"/>
                    <w:right w:w="108" w:type="dxa"/>
                  </w:tcMar>
                  <w:vAlign w:val="center"/>
                </w:tcPr>
                <w:p w14:paraId="3107AA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资源开发效率</w:t>
                  </w:r>
                </w:p>
              </w:tc>
              <w:tc>
                <w:tcPr>
                  <w:tcW w:w="1757" w:type="pct"/>
                  <w:noWrap w:val="0"/>
                  <w:tcMar>
                    <w:top w:w="0" w:type="dxa"/>
                    <w:left w:w="108" w:type="dxa"/>
                    <w:bottom w:w="0" w:type="dxa"/>
                    <w:right w:w="108" w:type="dxa"/>
                  </w:tcMar>
                  <w:vAlign w:val="center"/>
                </w:tcPr>
                <w:p w14:paraId="71978E9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电力、钢铁、纺织、造纸、石油化工、食品发酵等高耗水行业达到先进定额标准。水资源节约和循环利用达到国内先进水平。强化水资源论证管理，优化水源配置，鼓励优先配置利用中水、疏干水等非常规水源。</w:t>
                  </w:r>
                </w:p>
              </w:tc>
              <w:tc>
                <w:tcPr>
                  <w:tcW w:w="2270" w:type="pct"/>
                  <w:noWrap w:val="0"/>
                  <w:vAlign w:val="center"/>
                </w:tcPr>
                <w:p w14:paraId="486C419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本项目不属于高耗水项目。本项目水源引自《杭锦旗库布其沙漠现代农牧业1500万吨/a供水工程》，该项目已办理相关取水许可手续，见附件6。</w:t>
                  </w:r>
                </w:p>
                <w:p w14:paraId="4DD897F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c>
                <w:tcPr>
                  <w:tcW w:w="194" w:type="pct"/>
                  <w:noWrap w:val="0"/>
                  <w:vAlign w:val="center"/>
                </w:tcPr>
                <w:p w14:paraId="48D1479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r w14:paraId="2A2C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3" w:hRule="atLeast"/>
                <w:jc w:val="center"/>
              </w:trPr>
              <w:tc>
                <w:tcPr>
                  <w:tcW w:w="498" w:type="pct"/>
                  <w:noWrap w:val="0"/>
                  <w:tcMar>
                    <w:top w:w="0" w:type="dxa"/>
                    <w:left w:w="108" w:type="dxa"/>
                    <w:bottom w:w="0" w:type="dxa"/>
                    <w:right w:w="108" w:type="dxa"/>
                  </w:tcMar>
                  <w:vAlign w:val="center"/>
                </w:tcPr>
                <w:p w14:paraId="062270A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黄河杭锦旗-达拉特旗黑柳子控制单元【YS1506253210002】</w:t>
                  </w:r>
                </w:p>
              </w:tc>
              <w:tc>
                <w:tcPr>
                  <w:tcW w:w="279" w:type="pct"/>
                  <w:noWrap w:val="0"/>
                  <w:tcMar>
                    <w:top w:w="0" w:type="dxa"/>
                    <w:left w:w="108" w:type="dxa"/>
                    <w:bottom w:w="0" w:type="dxa"/>
                    <w:right w:w="108" w:type="dxa"/>
                  </w:tcMar>
                  <w:vAlign w:val="center"/>
                </w:tcPr>
                <w:p w14:paraId="1F92DDD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污染物排放管控</w:t>
                  </w:r>
                </w:p>
                <w:p w14:paraId="41EEAD6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c>
                <w:tcPr>
                  <w:tcW w:w="1757" w:type="pct"/>
                  <w:noWrap w:val="0"/>
                  <w:tcMar>
                    <w:top w:w="0" w:type="dxa"/>
                    <w:left w:w="108" w:type="dxa"/>
                    <w:bottom w:w="0" w:type="dxa"/>
                    <w:right w:w="108" w:type="dxa"/>
                  </w:tcMar>
                  <w:vAlign w:val="center"/>
                </w:tcPr>
                <w:p w14:paraId="73B738C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污水处理厂达标排放，严格执行“雨污分流，清污分流”，现有合流制排水系统应加快实施雨污分流改造，坚决取缔非法入河排污口，减少排污口数量、降低入河排污量。减少面源污染入河量，推进畜禽养殖粪污收集、处理利用设施建设，减少化肥农药使用量，提高农村生活</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污水</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收集处理率，农村生活污水排放标准执行《内蒙古自治区农村生活污水处理设施污染物排放标准》。</w:t>
                  </w:r>
                </w:p>
              </w:tc>
              <w:tc>
                <w:tcPr>
                  <w:tcW w:w="2270" w:type="pct"/>
                  <w:noWrap w:val="0"/>
                  <w:vAlign w:val="center"/>
                </w:tcPr>
                <w:p w14:paraId="7DA2F49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本项目运营期不涉及污水排放。</w:t>
                  </w:r>
                </w:p>
              </w:tc>
              <w:tc>
                <w:tcPr>
                  <w:tcW w:w="194" w:type="pct"/>
                  <w:noWrap w:val="0"/>
                  <w:vAlign w:val="center"/>
                </w:tcPr>
                <w:p w14:paraId="7527CAF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r w14:paraId="6D04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3" w:hRule="atLeast"/>
                <w:jc w:val="center"/>
              </w:trPr>
              <w:tc>
                <w:tcPr>
                  <w:tcW w:w="498" w:type="pct"/>
                  <w:noWrap w:val="0"/>
                  <w:tcMar>
                    <w:top w:w="0" w:type="dxa"/>
                    <w:left w:w="108" w:type="dxa"/>
                    <w:bottom w:w="0" w:type="dxa"/>
                    <w:right w:w="108" w:type="dxa"/>
                  </w:tcMar>
                  <w:vAlign w:val="center"/>
                </w:tcPr>
                <w:p w14:paraId="13A4616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大气一般管控区【YS1506253310001】</w:t>
                  </w:r>
                </w:p>
                <w:p w14:paraId="5B8AB93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c>
                <w:tcPr>
                  <w:tcW w:w="279" w:type="pct"/>
                  <w:noWrap w:val="0"/>
                  <w:tcMar>
                    <w:top w:w="0" w:type="dxa"/>
                    <w:left w:w="108" w:type="dxa"/>
                    <w:bottom w:w="0" w:type="dxa"/>
                    <w:right w:w="108" w:type="dxa"/>
                  </w:tcMar>
                  <w:vAlign w:val="center"/>
                </w:tcPr>
                <w:p w14:paraId="1EE8F12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空间布局约束</w:t>
                  </w:r>
                </w:p>
              </w:tc>
              <w:tc>
                <w:tcPr>
                  <w:tcW w:w="1757" w:type="pct"/>
                  <w:noWrap w:val="0"/>
                  <w:tcMar>
                    <w:top w:w="0" w:type="dxa"/>
                    <w:left w:w="108" w:type="dxa"/>
                    <w:bottom w:w="0" w:type="dxa"/>
                    <w:right w:w="108" w:type="dxa"/>
                  </w:tcMar>
                  <w:vAlign w:val="center"/>
                </w:tcPr>
                <w:p w14:paraId="28D507D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严格执行国家、自治区、鄂尔多斯市下达的相关大气污染防治要求，满足产业准入、总量控制、排放标准等管理制度要求。</w:t>
                  </w:r>
                </w:p>
              </w:tc>
              <w:tc>
                <w:tcPr>
                  <w:tcW w:w="2270" w:type="pct"/>
                  <w:noWrap w:val="0"/>
                  <w:vAlign w:val="center"/>
                </w:tcPr>
                <w:p w14:paraId="222CE41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本项目运营期不</w:t>
                  </w:r>
                  <w:r>
                    <w:rPr>
                      <w:rFonts w:hint="eastAsia"/>
                      <w:highlight w:val="none"/>
                      <w:lang w:eastAsia="zh-CN"/>
                    </w:rPr>
                    <w:t>产生大气污染物</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p>
              </w:tc>
              <w:tc>
                <w:tcPr>
                  <w:tcW w:w="194" w:type="pct"/>
                  <w:noWrap w:val="0"/>
                  <w:vAlign w:val="center"/>
                </w:tcPr>
                <w:p w14:paraId="2C1DD5F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r w14:paraId="1703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3" w:hRule="atLeast"/>
                <w:jc w:val="center"/>
              </w:trPr>
              <w:tc>
                <w:tcPr>
                  <w:tcW w:w="498" w:type="pct"/>
                  <w:noWrap w:val="0"/>
                  <w:tcMar>
                    <w:top w:w="0" w:type="dxa"/>
                    <w:left w:w="108" w:type="dxa"/>
                    <w:bottom w:w="0" w:type="dxa"/>
                    <w:right w:w="108" w:type="dxa"/>
                  </w:tcMar>
                  <w:vAlign w:val="center"/>
                </w:tcPr>
                <w:p w14:paraId="362906C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生态空间一般管控区【YS1506253110001】</w:t>
                  </w:r>
                </w:p>
                <w:p w14:paraId="6057BE8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c>
                <w:tcPr>
                  <w:tcW w:w="279" w:type="pct"/>
                  <w:noWrap w:val="0"/>
                  <w:tcMar>
                    <w:top w:w="0" w:type="dxa"/>
                    <w:left w:w="108" w:type="dxa"/>
                    <w:bottom w:w="0" w:type="dxa"/>
                    <w:right w:w="108" w:type="dxa"/>
                  </w:tcMar>
                  <w:vAlign w:val="center"/>
                </w:tcPr>
                <w:p w14:paraId="42EA26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空间布局约束</w:t>
                  </w:r>
                </w:p>
              </w:tc>
              <w:tc>
                <w:tcPr>
                  <w:tcW w:w="1757" w:type="pct"/>
                  <w:noWrap w:val="0"/>
                  <w:tcMar>
                    <w:top w:w="0" w:type="dxa"/>
                    <w:left w:w="108" w:type="dxa"/>
                    <w:bottom w:w="0" w:type="dxa"/>
                    <w:right w:w="108" w:type="dxa"/>
                  </w:tcMar>
                  <w:vAlign w:val="center"/>
                </w:tcPr>
                <w:p w14:paraId="20464AC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执行全市总体准入要求</w:t>
                  </w:r>
                </w:p>
              </w:tc>
              <w:tc>
                <w:tcPr>
                  <w:tcW w:w="2270" w:type="pct"/>
                  <w:noWrap w:val="0"/>
                  <w:vAlign w:val="center"/>
                </w:tcPr>
                <w:p w14:paraId="1377DEA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本项目与</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全市总体准入要求</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相符</w:t>
                  </w:r>
                </w:p>
              </w:tc>
              <w:tc>
                <w:tcPr>
                  <w:tcW w:w="194" w:type="pct"/>
                  <w:noWrap w:val="0"/>
                  <w:vAlign w:val="center"/>
                </w:tcPr>
                <w:p w14:paraId="370B074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bl>
          <w:p w14:paraId="1A3EEA6A">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综上所述，本项目能够满足管控单元的管控要求，不属于所在管控单元</w:t>
            </w:r>
            <w:r>
              <w:rPr>
                <w:rFonts w:hint="default" w:ascii="Times New Roman" w:hAnsi="Times New Roman" w:cs="Times New Roman"/>
                <w:color w:val="000000" w:themeColor="text1"/>
                <w:sz w:val="24"/>
                <w:szCs w:val="24"/>
                <w:highlight w:val="none"/>
                <w14:textFill>
                  <w14:solidFill>
                    <w14:schemeClr w14:val="tx1"/>
                  </w14:solidFill>
                </w14:textFill>
              </w:rPr>
              <w:t>中禁止</w:t>
            </w:r>
            <w:r>
              <w:rPr>
                <w:sz w:val="24"/>
                <w:highlight w:val="none"/>
              </w:rPr>
              <w:t>和限制</w:t>
            </w:r>
            <w:r>
              <w:rPr>
                <w:rFonts w:hint="default" w:ascii="Times New Roman" w:hAnsi="Times New Roman" w:cs="Times New Roman"/>
                <w:color w:val="000000" w:themeColor="text1"/>
                <w:sz w:val="24"/>
                <w:szCs w:val="24"/>
                <w:highlight w:val="none"/>
                <w14:textFill>
                  <w14:solidFill>
                    <w14:schemeClr w14:val="tx1"/>
                  </w14:solidFill>
                </w14:textFill>
              </w:rPr>
              <w:t>准入的项目类型。</w:t>
            </w:r>
          </w:p>
          <w:p w14:paraId="2051987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因此</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本项目满足区域生态环境准入要求。</w:t>
            </w:r>
          </w:p>
          <w:p w14:paraId="511E2F00">
            <w:pPr>
              <w:autoSpaceDE w:val="0"/>
              <w:autoSpaceDN w:val="0"/>
              <w:adjustRightInd w:val="0"/>
              <w:snapToGrid w:val="0"/>
              <w:rPr>
                <w:rFonts w:ascii="宋体" w:hAnsi="宋体" w:cs="宋体"/>
                <w:kern w:val="0"/>
                <w:szCs w:val="21"/>
                <w:highlight w:val="none"/>
              </w:rPr>
            </w:pPr>
          </w:p>
        </w:tc>
      </w:tr>
    </w:tbl>
    <w:p w14:paraId="7B40E475">
      <w:pPr>
        <w:spacing w:line="360" w:lineRule="auto"/>
        <w:outlineLvl w:val="0"/>
        <w:rPr>
          <w:rFonts w:eastAsia="黑体"/>
          <w:sz w:val="30"/>
          <w:highlight w:val="none"/>
        </w:rPr>
      </w:pPr>
    </w:p>
    <w:p w14:paraId="22588788">
      <w:pPr>
        <w:pStyle w:val="18"/>
        <w:ind w:left="0" w:leftChars="0" w:firstLine="0" w:firstLineChars="0"/>
        <w:rPr>
          <w:highlight w:val="none"/>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5D3300B">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二、建设内容</w:t>
      </w:r>
    </w:p>
    <w:tbl>
      <w:tblPr>
        <w:tblStyle w:val="19"/>
        <w:tblW w:w="909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0"/>
        <w:gridCol w:w="8380"/>
      </w:tblGrid>
      <w:tr w14:paraId="6E205A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93" w:hRule="atLeast"/>
        </w:trPr>
        <w:tc>
          <w:tcPr>
            <w:tcW w:w="710" w:type="dxa"/>
            <w:noWrap w:val="0"/>
            <w:vAlign w:val="center"/>
          </w:tcPr>
          <w:p w14:paraId="7F8F4CBC">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地理位置</w:t>
            </w:r>
          </w:p>
        </w:tc>
        <w:tc>
          <w:tcPr>
            <w:tcW w:w="8380" w:type="dxa"/>
            <w:noWrap w:val="0"/>
            <w:vAlign w:val="top"/>
          </w:tcPr>
          <w:p w14:paraId="74A8BDA6">
            <w:pPr>
              <w:pStyle w:val="1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eastAsia="zh-CN"/>
              </w:rPr>
              <w:t>本项目为供水</w:t>
            </w:r>
            <w:r>
              <w:rPr>
                <w:rFonts w:hint="eastAsia" w:ascii="Times New Roman" w:hAnsi="Times New Roman" w:eastAsia="宋体" w:cs="Times New Roman"/>
                <w:sz w:val="24"/>
                <w:szCs w:val="24"/>
                <w:highlight w:val="none"/>
                <w:lang w:eastAsia="zh-CN"/>
              </w:rPr>
              <w:t>工程</w:t>
            </w:r>
            <w:r>
              <w:rPr>
                <w:rFonts w:hint="default" w:ascii="Times New Roman" w:hAnsi="Times New Roman" w:eastAsia="宋体" w:cs="Times New Roman"/>
                <w:sz w:val="24"/>
                <w:szCs w:val="24"/>
                <w:highlight w:val="none"/>
                <w:lang w:eastAsia="zh-CN"/>
              </w:rPr>
              <w:t>，将</w:t>
            </w: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杭锦旗库布其沙漠现代农牧业1500万吨/a供水工程</w:t>
            </w:r>
            <w:r>
              <w:rPr>
                <w:rFonts w:hint="default" w:ascii="Times New Roman" w:hAnsi="Times New Roman" w:eastAsia="宋体" w:cs="Times New Roman"/>
                <w:sz w:val="24"/>
                <w:szCs w:val="24"/>
                <w:highlight w:val="none"/>
                <w:lang w:val="en-US" w:eastAsia="zh-CN"/>
              </w:rPr>
              <w:t>》取用的黄河沿岸排干退水，经本项目</w:t>
            </w:r>
            <w:r>
              <w:rPr>
                <w:rFonts w:hint="eastAsia" w:ascii="Times New Roman" w:hAnsi="Times New Roman" w:eastAsia="宋体" w:cs="Times New Roman"/>
                <w:sz w:val="24"/>
                <w:szCs w:val="24"/>
                <w:highlight w:val="none"/>
                <w:lang w:val="en-US" w:eastAsia="zh-CN"/>
              </w:rPr>
              <w:t>输水管线引至蓄水池，供给</w:t>
            </w:r>
            <w:r>
              <w:rPr>
                <w:rFonts w:hint="default" w:ascii="Times New Roman" w:hAnsi="Times New Roman" w:eastAsia="宋体" w:cs="Times New Roman"/>
                <w:sz w:val="24"/>
                <w:szCs w:val="24"/>
                <w:highlight w:val="none"/>
                <w:lang w:val="en-US" w:eastAsia="zh-CN"/>
              </w:rPr>
              <w:t>杭锦旗朔方新能源大基地。</w:t>
            </w:r>
          </w:p>
          <w:p w14:paraId="5C1E24A5">
            <w:pPr>
              <w:pStyle w:val="12"/>
              <w:keepNext w:val="0"/>
              <w:keepLines w:val="0"/>
              <w:pageBreakBefore w:val="0"/>
              <w:widowControl w:val="0"/>
              <w:kinsoku/>
              <w:wordWrap w:val="0"/>
              <w:overflowPunct/>
              <w:topLinePunct w:val="0"/>
              <w:autoSpaceDE/>
              <w:autoSpaceDN/>
              <w:bidi w:val="0"/>
              <w:adjustRightInd/>
              <w:snapToGrid/>
              <w:spacing w:before="0" w:after="0" w:line="360" w:lineRule="auto"/>
              <w:ind w:right="0"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杭锦旗库布其沙漠现代农牧业1500万吨/a供水工程</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项目位于杭锦旗吉日嘎朗图镇，</w:t>
            </w:r>
            <w:r>
              <w:rPr>
                <w:rFonts w:hint="eastAsia" w:cs="Times New Roman"/>
                <w:sz w:val="24"/>
                <w:szCs w:val="24"/>
                <w:highlight w:val="none"/>
                <w:lang w:val="en-US" w:eastAsia="zh-CN"/>
              </w:rPr>
              <w:t>该项目</w:t>
            </w:r>
            <w:r>
              <w:rPr>
                <w:rFonts w:hint="eastAsia" w:ascii="Times New Roman" w:hAnsi="Times New Roman" w:eastAsia="宋体" w:cs="Times New Roman"/>
                <w:sz w:val="24"/>
                <w:szCs w:val="24"/>
                <w:highlight w:val="none"/>
                <w:lang w:val="en-US" w:eastAsia="zh-CN"/>
              </w:rPr>
              <w:t>北临黄河，</w:t>
            </w:r>
            <w:r>
              <w:rPr>
                <w:rFonts w:hint="eastAsia" w:cs="Times New Roman"/>
                <w:sz w:val="24"/>
                <w:szCs w:val="24"/>
                <w:highlight w:val="none"/>
                <w:lang w:val="en-US" w:eastAsia="zh-CN"/>
              </w:rPr>
              <w:t>位于库布齐</w:t>
            </w:r>
            <w:r>
              <w:rPr>
                <w:rFonts w:hint="eastAsia" w:ascii="Times New Roman" w:hAnsi="Times New Roman" w:eastAsia="宋体" w:cs="Times New Roman"/>
                <w:sz w:val="24"/>
                <w:szCs w:val="24"/>
                <w:highlight w:val="none"/>
                <w:lang w:val="en-US" w:eastAsia="zh-CN"/>
              </w:rPr>
              <w:t>沙漠生态治理区北侧。</w:t>
            </w:r>
            <w:r>
              <w:rPr>
                <w:rFonts w:hint="eastAsia" w:cs="Times New Roman"/>
                <w:sz w:val="24"/>
                <w:szCs w:val="24"/>
                <w:highlight w:val="none"/>
                <w:lang w:val="en-US" w:eastAsia="zh-CN"/>
              </w:rPr>
              <w:t>该</w:t>
            </w:r>
            <w:r>
              <w:rPr>
                <w:rFonts w:hint="eastAsia" w:ascii="宋体" w:hAnsi="宋体" w:eastAsia="宋体" w:cs="宋体"/>
                <w:b w:val="0"/>
                <w:bCs/>
                <w:color w:val="auto"/>
                <w:kern w:val="2"/>
                <w:sz w:val="24"/>
                <w:szCs w:val="24"/>
                <w:highlight w:val="none"/>
                <w:lang w:val="en-US" w:eastAsia="zh-CN" w:bidi="ar-SA"/>
              </w:rPr>
              <w:t>工程水源在黄河杭锦旗南生态治理区总排干，桩号为1</w:t>
            </w:r>
            <w:r>
              <w:rPr>
                <w:rFonts w:hint="eastAsia" w:ascii="宋体" w:hAnsi="宋体" w:cs="宋体"/>
                <w:b w:val="0"/>
                <w:bCs/>
                <w:color w:val="auto"/>
                <w:kern w:val="2"/>
                <w:sz w:val="24"/>
                <w:szCs w:val="24"/>
                <w:highlight w:val="none"/>
                <w:lang w:val="en-US" w:eastAsia="zh-CN" w:bidi="ar-SA"/>
              </w:rPr>
              <w:t>48</w:t>
            </w:r>
            <w:r>
              <w:rPr>
                <w:rFonts w:hint="eastAsia" w:ascii="宋体" w:hAnsi="宋体" w:eastAsia="宋体" w:cs="宋体"/>
                <w:b w:val="0"/>
                <w:bCs/>
                <w:color w:val="auto"/>
                <w:kern w:val="2"/>
                <w:sz w:val="24"/>
                <w:szCs w:val="24"/>
                <w:highlight w:val="none"/>
                <w:lang w:val="en-US" w:eastAsia="zh-CN" w:bidi="ar-SA"/>
              </w:rPr>
              <w:t>+900处</w:t>
            </w:r>
            <w:r>
              <w:rPr>
                <w:rFonts w:hint="eastAsia" w:ascii="宋体" w:hAnsi="宋体" w:cs="宋体"/>
                <w:b w:val="0"/>
                <w:bCs/>
                <w:color w:val="auto"/>
                <w:kern w:val="2"/>
                <w:sz w:val="24"/>
                <w:szCs w:val="24"/>
                <w:highlight w:val="none"/>
                <w:lang w:val="en-US" w:eastAsia="zh-CN" w:bidi="ar-SA"/>
              </w:rPr>
              <w:t>，包括引蓄水工程、加压泵站工程、输水工程三部分。《</w:t>
            </w:r>
            <w:r>
              <w:rPr>
                <w:rFonts w:hint="eastAsia" w:ascii="宋体" w:hAnsi="宋体" w:cs="宋体"/>
                <w:color w:val="000000" w:themeColor="text1"/>
                <w:sz w:val="24"/>
                <w:szCs w:val="24"/>
                <w:highlight w:val="none"/>
                <w:lang w:eastAsia="zh-CN"/>
                <w14:textFill>
                  <w14:solidFill>
                    <w14:schemeClr w14:val="tx1"/>
                  </w14:solidFill>
                </w14:textFill>
              </w:rPr>
              <w:t>杭锦旗库布齐1500万吨/a（朔方新能源大基地）供水工程</w:t>
            </w:r>
            <w:r>
              <w:rPr>
                <w:rFonts w:hint="eastAsia" w:ascii="宋体" w:hAnsi="宋体" w:cs="宋体"/>
                <w:b w:val="0"/>
                <w:bCs/>
                <w:color w:val="auto"/>
                <w:kern w:val="2"/>
                <w:sz w:val="24"/>
                <w:szCs w:val="24"/>
                <w:highlight w:val="none"/>
                <w:lang w:val="en-US" w:eastAsia="zh-CN" w:bidi="ar-SA"/>
              </w:rPr>
              <w:t>》新建输水管道起点（X:4495781.974,Y:473993.155）直接与</w:t>
            </w: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杭锦旗库布其沙漠现代农牧业1500万吨/a供水工程</w:t>
            </w:r>
            <w:r>
              <w:rPr>
                <w:rFonts w:hint="default" w:ascii="Times New Roman" w:hAnsi="Times New Roman" w:eastAsia="宋体" w:cs="Times New Roman"/>
                <w:sz w:val="24"/>
                <w:szCs w:val="24"/>
                <w:highlight w:val="none"/>
                <w:lang w:val="en-US" w:eastAsia="zh-CN"/>
              </w:rPr>
              <w:t>》</w:t>
            </w:r>
            <w:r>
              <w:rPr>
                <w:rFonts w:hint="eastAsia" w:ascii="宋体" w:hAnsi="宋体" w:cs="宋体"/>
                <w:b w:val="0"/>
                <w:bCs/>
                <w:color w:val="auto"/>
                <w:kern w:val="2"/>
                <w:sz w:val="24"/>
                <w:szCs w:val="24"/>
                <w:highlight w:val="none"/>
                <w:lang w:val="en-US" w:eastAsia="zh-CN" w:bidi="ar-SA"/>
              </w:rPr>
              <w:t>的已建管道末端连接，将排干水引入本工程新建蓄水池，本项目管道终点（X:4490466.607,Y:475025.158）为本工程新建蓄水池。本项目蓄水池供给</w:t>
            </w:r>
            <w:r>
              <w:rPr>
                <w:rFonts w:hint="default" w:ascii="Times New Roman" w:hAnsi="Times New Roman" w:eastAsia="宋体" w:cs="Times New Roman"/>
                <w:sz w:val="24"/>
                <w:szCs w:val="24"/>
                <w:highlight w:val="none"/>
                <w:lang w:val="en-US" w:eastAsia="zh-CN"/>
              </w:rPr>
              <w:t>库布齐朔方新能源大基地</w:t>
            </w:r>
            <w:r>
              <w:rPr>
                <w:rFonts w:hint="eastAsia" w:cs="Times New Roman"/>
                <w:sz w:val="24"/>
                <w:szCs w:val="24"/>
                <w:highlight w:val="none"/>
                <w:lang w:val="en-US" w:eastAsia="zh-CN"/>
              </w:rPr>
              <w:t>的</w:t>
            </w:r>
            <w:r>
              <w:rPr>
                <w:rFonts w:hint="default" w:ascii="Times New Roman" w:hAnsi="Times New Roman" w:eastAsia="宋体" w:cs="Times New Roman"/>
                <w:sz w:val="24"/>
                <w:szCs w:val="24"/>
                <w:highlight w:val="none"/>
                <w:lang w:val="en-US" w:eastAsia="zh-CN"/>
              </w:rPr>
              <w:t>用水管道不在本次评价范围内，需另行评价。</w:t>
            </w:r>
          </w:p>
          <w:p w14:paraId="29E6F897">
            <w:pPr>
              <w:pStyle w:val="1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sz w:val="24"/>
                <w:szCs w:val="24"/>
                <w:highlight w:val="none"/>
                <w:lang w:val="en-US" w:eastAsia="zh-CN"/>
              </w:rPr>
              <w:t>朔方新能源大基地位于国道G242以东、S24沿黄高速以南，总占地面积48.7万亩，主要分布在吉日嘎朗图镇黄芥壕嘎查和呼和木独镇巴音温都尔嘎查。</w:t>
            </w:r>
          </w:p>
          <w:p w14:paraId="394C7F40">
            <w:pPr>
              <w:pStyle w:val="1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both"/>
              <w:textAlignment w:val="auto"/>
              <w:rPr>
                <w:color w:val="000000" w:themeColor="text1"/>
                <w:highlight w:val="none"/>
                <w14:textFill>
                  <w14:solidFill>
                    <w14:schemeClr w14:val="tx1"/>
                  </w14:solidFill>
                </w14:textFill>
              </w:rPr>
            </w:pPr>
            <w:r>
              <w:rPr>
                <w:rFonts w:hint="eastAsia" w:ascii="宋体" w:hAnsi="宋体" w:eastAsia="宋体" w:cs="宋体"/>
                <w:b w:val="0"/>
                <w:bCs/>
                <w:color w:val="auto"/>
                <w:kern w:val="2"/>
                <w:sz w:val="24"/>
                <w:szCs w:val="24"/>
                <w:highlight w:val="none"/>
                <w:lang w:val="en-US" w:eastAsia="zh-CN" w:bidi="ar-SA"/>
              </w:rPr>
              <w:t>本项目位于鄂尔多斯市杭锦旗吉日嘎朗图镇，</w:t>
            </w:r>
            <w:r>
              <w:rPr>
                <w:rFonts w:hint="eastAsia" w:cs="Times New Roman"/>
                <w:color w:val="000000" w:themeColor="text1"/>
                <w:sz w:val="24"/>
                <w:szCs w:val="24"/>
                <w:highlight w:val="none"/>
                <w:lang w:val="en-US" w:eastAsia="zh-CN"/>
                <w14:textFill>
                  <w14:solidFill>
                    <w14:schemeClr w14:val="tx1"/>
                  </w14:solidFill>
                </w14:textFill>
              </w:rPr>
              <w:t>项目区位于黄河以南，库布齐沙漠西北部</w:t>
            </w:r>
            <w:r>
              <w:rPr>
                <w:rFonts w:hint="eastAsia" w:ascii="宋体" w:hAnsi="宋体" w:eastAsia="宋体" w:cs="宋体"/>
                <w:b w:val="0"/>
                <w:bCs/>
                <w:color w:val="auto"/>
                <w:kern w:val="2"/>
                <w:sz w:val="24"/>
                <w:szCs w:val="24"/>
                <w:highlight w:val="none"/>
                <w:lang w:val="en-US" w:eastAsia="zh-CN" w:bidi="ar-SA"/>
              </w:rPr>
              <w:t>，位于朔方新能源大基地内，通过项目配套灌溉供水工程，为杭锦旗库布齐朔方新能源大基地供水。项目建成后可为朔方新能源大基地提供</w:t>
            </w:r>
            <w:r>
              <w:rPr>
                <w:rFonts w:hint="default" w:ascii="Times New Roman" w:hAnsi="Times New Roman" w:eastAsia="宋体" w:cs="Times New Roman"/>
                <w:color w:val="auto"/>
                <w:sz w:val="24"/>
                <w:szCs w:val="24"/>
                <w:highlight w:val="none"/>
                <w:lang w:val="en-US" w:eastAsia="zh-CN"/>
              </w:rPr>
              <w:t>新能源太阳能板清洗用水及</w:t>
            </w:r>
            <w:r>
              <w:rPr>
                <w:rFonts w:hint="eastAsia" w:ascii="Times New Roman" w:cs="Times New Roman"/>
                <w:color w:val="auto"/>
                <w:sz w:val="24"/>
                <w:szCs w:val="24"/>
                <w:highlight w:val="none"/>
                <w:lang w:val="en-US" w:eastAsia="zh-CN"/>
              </w:rPr>
              <w:t>生态用水</w:t>
            </w:r>
            <w:r>
              <w:rPr>
                <w:rFonts w:hint="eastAsia" w:cs="Times New Roman"/>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auto"/>
                <w:kern w:val="2"/>
                <w:sz w:val="24"/>
                <w:szCs w:val="24"/>
                <w:highlight w:val="none"/>
                <w:lang w:val="en-US" w:eastAsia="zh-CN" w:bidi="ar-SA"/>
              </w:rPr>
              <w:t>项目地理坐标见下表，</w:t>
            </w:r>
            <w:r>
              <w:rPr>
                <w:rFonts w:hint="default" w:ascii="宋体" w:hAnsi="宋体" w:eastAsia="宋体" w:cs="宋体"/>
                <w:b w:val="0"/>
                <w:bCs/>
                <w:color w:val="auto"/>
                <w:kern w:val="2"/>
                <w:sz w:val="24"/>
                <w:szCs w:val="24"/>
                <w:highlight w:val="none"/>
                <w:lang w:val="en-US" w:eastAsia="zh-CN" w:bidi="ar-SA"/>
              </w:rPr>
              <w:t>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目地理位置图见附图1。</w:t>
            </w:r>
          </w:p>
          <w:p w14:paraId="096C1059">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表</w:t>
            </w:r>
            <w:r>
              <w:rPr>
                <w:rFonts w:hint="eastAsia"/>
                <w:color w:val="000000" w:themeColor="text1"/>
                <w:sz w:val="21"/>
                <w:szCs w:val="21"/>
                <w:highlight w:val="none"/>
                <w:lang w:val="en-US" w:eastAsia="zh-CN"/>
                <w14:textFill>
                  <w14:solidFill>
                    <w14:schemeClr w14:val="tx1"/>
                  </w14:solidFill>
                </w14:textFill>
              </w:rPr>
              <w:t>2-1</w:t>
            </w:r>
            <w:r>
              <w:rPr>
                <w:rFonts w:hint="eastAsia"/>
                <w:color w:val="000000" w:themeColor="text1"/>
                <w:sz w:val="21"/>
                <w:szCs w:val="21"/>
                <w:highlight w:val="none"/>
                <w:lang w:eastAsia="zh-CN"/>
                <w14:textFill>
                  <w14:solidFill>
                    <w14:schemeClr w14:val="tx1"/>
                  </w14:solidFill>
                </w14:textFill>
              </w:rPr>
              <w:t>项目地理坐标</w:t>
            </w:r>
          </w:p>
          <w:tbl>
            <w:tblPr>
              <w:tblStyle w:val="1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54"/>
              <w:gridCol w:w="1500"/>
              <w:gridCol w:w="1500"/>
              <w:gridCol w:w="936"/>
              <w:gridCol w:w="1392"/>
              <w:gridCol w:w="1392"/>
            </w:tblGrid>
            <w:tr w14:paraId="37E63F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tblHeader/>
                <w:jc w:val="center"/>
              </w:trPr>
              <w:tc>
                <w:tcPr>
                  <w:tcW w:w="654" w:type="dxa"/>
                  <w:tcBorders>
                    <w:tl2br w:val="nil"/>
                    <w:tr2bl w:val="nil"/>
                  </w:tcBorders>
                  <w:noWrap/>
                  <w:vAlign w:val="bottom"/>
                </w:tcPr>
                <w:p w14:paraId="6491E065">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序号</w:t>
                  </w:r>
                </w:p>
              </w:tc>
              <w:tc>
                <w:tcPr>
                  <w:tcW w:w="1500" w:type="dxa"/>
                  <w:tcBorders>
                    <w:tl2br w:val="nil"/>
                    <w:tr2bl w:val="nil"/>
                  </w:tcBorders>
                  <w:noWrap/>
                  <w:vAlign w:val="bottom"/>
                </w:tcPr>
                <w:p w14:paraId="278EFFDF">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X</w:t>
                  </w:r>
                </w:p>
              </w:tc>
              <w:tc>
                <w:tcPr>
                  <w:tcW w:w="1500" w:type="dxa"/>
                  <w:tcBorders>
                    <w:tl2br w:val="nil"/>
                    <w:tr2bl w:val="nil"/>
                  </w:tcBorders>
                  <w:noWrap/>
                  <w:vAlign w:val="bottom"/>
                </w:tcPr>
                <w:p w14:paraId="2EC1D27C">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Y</w:t>
                  </w:r>
                </w:p>
              </w:tc>
              <w:tc>
                <w:tcPr>
                  <w:tcW w:w="936" w:type="dxa"/>
                  <w:tcBorders>
                    <w:tl2br w:val="nil"/>
                    <w:tr2bl w:val="nil"/>
                  </w:tcBorders>
                  <w:noWrap/>
                  <w:vAlign w:val="bottom"/>
                </w:tcPr>
                <w:p w14:paraId="41661C53">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序号</w:t>
                  </w:r>
                </w:p>
              </w:tc>
              <w:tc>
                <w:tcPr>
                  <w:tcW w:w="1392" w:type="dxa"/>
                  <w:tcBorders>
                    <w:tl2br w:val="nil"/>
                    <w:tr2bl w:val="nil"/>
                  </w:tcBorders>
                  <w:noWrap/>
                  <w:vAlign w:val="bottom"/>
                </w:tcPr>
                <w:p w14:paraId="2BA2F17E">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X</w:t>
                  </w:r>
                </w:p>
              </w:tc>
              <w:tc>
                <w:tcPr>
                  <w:tcW w:w="1392" w:type="dxa"/>
                  <w:tcBorders>
                    <w:tl2br w:val="nil"/>
                    <w:tr2bl w:val="nil"/>
                  </w:tcBorders>
                  <w:noWrap/>
                  <w:vAlign w:val="bottom"/>
                </w:tcPr>
                <w:p w14:paraId="684A620F">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Y</w:t>
                  </w:r>
                </w:p>
              </w:tc>
            </w:tr>
            <w:tr w14:paraId="35D287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tblHeader/>
                <w:jc w:val="center"/>
              </w:trPr>
              <w:tc>
                <w:tcPr>
                  <w:tcW w:w="3654" w:type="dxa"/>
                  <w:gridSpan w:val="3"/>
                  <w:tcBorders>
                    <w:tl2br w:val="nil"/>
                    <w:tr2bl w:val="nil"/>
                  </w:tcBorders>
                  <w:noWrap/>
                  <w:vAlign w:val="bottom"/>
                </w:tcPr>
                <w:p w14:paraId="589D6D0F">
                  <w:pPr>
                    <w:spacing w:line="240" w:lineRule="auto"/>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输水管线</w:t>
                  </w:r>
                </w:p>
              </w:tc>
              <w:tc>
                <w:tcPr>
                  <w:tcW w:w="3720" w:type="dxa"/>
                  <w:gridSpan w:val="3"/>
                  <w:tcBorders>
                    <w:tl2br w:val="nil"/>
                    <w:tr2bl w:val="nil"/>
                  </w:tcBorders>
                  <w:noWrap/>
                  <w:vAlign w:val="bottom"/>
                </w:tcPr>
                <w:p w14:paraId="604AC7D3">
                  <w:pPr>
                    <w:spacing w:line="240" w:lineRule="auto"/>
                    <w:jc w:val="both"/>
                    <w:rPr>
                      <w:rFonts w:hint="eastAsia" w:cs="Times New Roman"/>
                      <w:color w:val="000000" w:themeColor="text1"/>
                      <w:sz w:val="21"/>
                      <w:szCs w:val="21"/>
                      <w:highlight w:val="none"/>
                      <w:lang w:val="en-US" w:eastAsia="zh-CN"/>
                      <w14:textFill>
                        <w14:solidFill>
                          <w14:schemeClr w14:val="tx1"/>
                        </w14:solidFill>
                      </w14:textFill>
                    </w:rPr>
                  </w:pPr>
                  <w:r>
                    <w:rPr>
                      <w:rFonts w:hint="eastAsia"/>
                      <w:highlight w:val="none"/>
                      <w:lang w:eastAsia="zh-CN"/>
                    </w:rPr>
                    <w:t>蓄水池</w:t>
                  </w:r>
                </w:p>
              </w:tc>
            </w:tr>
            <w:tr w14:paraId="6B66F7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5F1C2436">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500" w:type="dxa"/>
                  <w:tcBorders>
                    <w:tl2br w:val="nil"/>
                    <w:tr2bl w:val="nil"/>
                  </w:tcBorders>
                  <w:noWrap/>
                  <w:vAlign w:val="top"/>
                </w:tcPr>
                <w:p w14:paraId="40FD567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highlight w:val="none"/>
                    </w:rPr>
                    <w:t>4495781.974</w:t>
                  </w:r>
                </w:p>
              </w:tc>
              <w:tc>
                <w:tcPr>
                  <w:tcW w:w="1500" w:type="dxa"/>
                  <w:tcBorders>
                    <w:tl2br w:val="nil"/>
                    <w:tr2bl w:val="nil"/>
                  </w:tcBorders>
                  <w:noWrap/>
                  <w:vAlign w:val="top"/>
                </w:tcPr>
                <w:p w14:paraId="3D6A5D2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473993.155</w:t>
                  </w:r>
                </w:p>
              </w:tc>
              <w:tc>
                <w:tcPr>
                  <w:tcW w:w="936" w:type="dxa"/>
                  <w:tcBorders>
                    <w:tl2br w:val="nil"/>
                    <w:tr2bl w:val="nil"/>
                  </w:tcBorders>
                  <w:noWrap/>
                  <w:vAlign w:val="bottom"/>
                </w:tcPr>
                <w:p w14:paraId="74FFC55A">
                  <w:pPr>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1</w:t>
                  </w:r>
                </w:p>
              </w:tc>
              <w:tc>
                <w:tcPr>
                  <w:tcW w:w="1392" w:type="dxa"/>
                  <w:tcBorders>
                    <w:tl2br w:val="nil"/>
                    <w:tr2bl w:val="nil"/>
                  </w:tcBorders>
                  <w:noWrap/>
                  <w:vAlign w:val="top"/>
                </w:tcPr>
                <w:p w14:paraId="078F03F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4490466.600</w:t>
                  </w:r>
                </w:p>
              </w:tc>
              <w:tc>
                <w:tcPr>
                  <w:tcW w:w="1392" w:type="dxa"/>
                  <w:tcBorders>
                    <w:tl2br w:val="nil"/>
                    <w:tr2bl w:val="nil"/>
                  </w:tcBorders>
                  <w:noWrap/>
                  <w:vAlign w:val="top"/>
                </w:tcPr>
                <w:p w14:paraId="1395992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475025.167</w:t>
                  </w:r>
                </w:p>
              </w:tc>
            </w:tr>
            <w:tr w14:paraId="41B985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24391FBD">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1500" w:type="dxa"/>
                  <w:tcBorders>
                    <w:tl2br w:val="nil"/>
                    <w:tr2bl w:val="nil"/>
                  </w:tcBorders>
                  <w:noWrap/>
                  <w:vAlign w:val="top"/>
                </w:tcPr>
                <w:p w14:paraId="35B3825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4495784.571</w:t>
                  </w:r>
                </w:p>
              </w:tc>
              <w:tc>
                <w:tcPr>
                  <w:tcW w:w="1500" w:type="dxa"/>
                  <w:tcBorders>
                    <w:tl2br w:val="nil"/>
                    <w:tr2bl w:val="nil"/>
                  </w:tcBorders>
                  <w:noWrap/>
                  <w:vAlign w:val="top"/>
                </w:tcPr>
                <w:p w14:paraId="6031BEC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474002.812</w:t>
                  </w:r>
                </w:p>
              </w:tc>
              <w:tc>
                <w:tcPr>
                  <w:tcW w:w="936" w:type="dxa"/>
                  <w:tcBorders>
                    <w:tl2br w:val="nil"/>
                    <w:tr2bl w:val="nil"/>
                  </w:tcBorders>
                  <w:noWrap/>
                  <w:vAlign w:val="bottom"/>
                </w:tcPr>
                <w:p w14:paraId="68E3C41D">
                  <w:pPr>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1392" w:type="dxa"/>
                  <w:tcBorders>
                    <w:tl2br w:val="nil"/>
                    <w:tr2bl w:val="nil"/>
                  </w:tcBorders>
                  <w:noWrap/>
                  <w:vAlign w:val="top"/>
                </w:tcPr>
                <w:p w14:paraId="6D0713D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4490314.103</w:t>
                  </w:r>
                </w:p>
              </w:tc>
              <w:tc>
                <w:tcPr>
                  <w:tcW w:w="1392" w:type="dxa"/>
                  <w:tcBorders>
                    <w:tl2br w:val="nil"/>
                    <w:tr2bl w:val="nil"/>
                  </w:tcBorders>
                  <w:noWrap/>
                  <w:vAlign w:val="top"/>
                </w:tcPr>
                <w:p w14:paraId="6E5CF32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475052.065</w:t>
                  </w:r>
                </w:p>
              </w:tc>
            </w:tr>
            <w:tr w14:paraId="4CF5F6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32EDA2F9">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1500" w:type="dxa"/>
                  <w:tcBorders>
                    <w:tl2br w:val="nil"/>
                    <w:tr2bl w:val="nil"/>
                  </w:tcBorders>
                  <w:noWrap/>
                  <w:vAlign w:val="top"/>
                </w:tcPr>
                <w:p w14:paraId="7B615DA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4492887.545</w:t>
                  </w:r>
                </w:p>
              </w:tc>
              <w:tc>
                <w:tcPr>
                  <w:tcW w:w="1500" w:type="dxa"/>
                  <w:tcBorders>
                    <w:tl2br w:val="nil"/>
                    <w:tr2bl w:val="nil"/>
                  </w:tcBorders>
                  <w:noWrap/>
                  <w:vAlign w:val="top"/>
                </w:tcPr>
                <w:p w14:paraId="3B7A41A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474782.066</w:t>
                  </w:r>
                </w:p>
              </w:tc>
              <w:tc>
                <w:tcPr>
                  <w:tcW w:w="936" w:type="dxa"/>
                  <w:tcBorders>
                    <w:tl2br w:val="nil"/>
                    <w:tr2bl w:val="nil"/>
                  </w:tcBorders>
                  <w:noWrap/>
                  <w:vAlign w:val="bottom"/>
                </w:tcPr>
                <w:p w14:paraId="1258D88A">
                  <w:pPr>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1392" w:type="dxa"/>
                  <w:tcBorders>
                    <w:tl2br w:val="nil"/>
                    <w:tr2bl w:val="nil"/>
                  </w:tcBorders>
                  <w:noWrap/>
                  <w:vAlign w:val="top"/>
                </w:tcPr>
                <w:p w14:paraId="068EBA4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4490280.370</w:t>
                  </w:r>
                </w:p>
              </w:tc>
              <w:tc>
                <w:tcPr>
                  <w:tcW w:w="1392" w:type="dxa"/>
                  <w:tcBorders>
                    <w:tl2br w:val="nil"/>
                    <w:tr2bl w:val="nil"/>
                  </w:tcBorders>
                  <w:noWrap/>
                  <w:vAlign w:val="top"/>
                </w:tcPr>
                <w:p w14:paraId="0371F0F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475053.670</w:t>
                  </w:r>
                </w:p>
              </w:tc>
            </w:tr>
            <w:tr w14:paraId="4921A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5D64BA1B">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1500" w:type="dxa"/>
                  <w:tcBorders>
                    <w:tl2br w:val="nil"/>
                    <w:tr2bl w:val="nil"/>
                  </w:tcBorders>
                  <w:noWrap/>
                  <w:vAlign w:val="top"/>
                </w:tcPr>
                <w:p w14:paraId="02E78DF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4490954.950</w:t>
                  </w:r>
                </w:p>
              </w:tc>
              <w:tc>
                <w:tcPr>
                  <w:tcW w:w="1500" w:type="dxa"/>
                  <w:tcBorders>
                    <w:tl2br w:val="nil"/>
                    <w:tr2bl w:val="nil"/>
                  </w:tcBorders>
                  <w:noWrap/>
                  <w:vAlign w:val="top"/>
                </w:tcPr>
                <w:p w14:paraId="551CACC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475301.904</w:t>
                  </w:r>
                </w:p>
              </w:tc>
              <w:tc>
                <w:tcPr>
                  <w:tcW w:w="936" w:type="dxa"/>
                  <w:tcBorders>
                    <w:tl2br w:val="nil"/>
                    <w:tr2bl w:val="nil"/>
                  </w:tcBorders>
                  <w:noWrap/>
                  <w:vAlign w:val="bottom"/>
                </w:tcPr>
                <w:p w14:paraId="50EC5449">
                  <w:pPr>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1392" w:type="dxa"/>
                  <w:tcBorders>
                    <w:tl2br w:val="nil"/>
                    <w:tr2bl w:val="nil"/>
                  </w:tcBorders>
                  <w:noWrap/>
                  <w:vAlign w:val="top"/>
                </w:tcPr>
                <w:p w14:paraId="1F079A4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4490120.241</w:t>
                  </w:r>
                </w:p>
              </w:tc>
              <w:tc>
                <w:tcPr>
                  <w:tcW w:w="1392" w:type="dxa"/>
                  <w:tcBorders>
                    <w:tl2br w:val="nil"/>
                    <w:tr2bl w:val="nil"/>
                  </w:tcBorders>
                  <w:noWrap/>
                  <w:vAlign w:val="top"/>
                </w:tcPr>
                <w:p w14:paraId="664F451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474871.451</w:t>
                  </w:r>
                </w:p>
              </w:tc>
            </w:tr>
            <w:tr w14:paraId="569E1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251D3E08">
                  <w:pPr>
                    <w:spacing w:line="24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c>
                <w:tcPr>
                  <w:tcW w:w="1500" w:type="dxa"/>
                  <w:tcBorders>
                    <w:tl2br w:val="nil"/>
                    <w:tr2bl w:val="nil"/>
                  </w:tcBorders>
                  <w:noWrap/>
                  <w:vAlign w:val="top"/>
                </w:tcPr>
                <w:p w14:paraId="506F6F8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4490466.607</w:t>
                  </w:r>
                </w:p>
              </w:tc>
              <w:tc>
                <w:tcPr>
                  <w:tcW w:w="1500" w:type="dxa"/>
                  <w:tcBorders>
                    <w:tl2br w:val="nil"/>
                    <w:tr2bl w:val="nil"/>
                  </w:tcBorders>
                  <w:noWrap/>
                  <w:vAlign w:val="top"/>
                </w:tcPr>
                <w:p w14:paraId="5DBC01C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kern w:val="2"/>
                      <w:sz w:val="21"/>
                      <w:szCs w:val="21"/>
                      <w:highlight w:val="none"/>
                      <w:lang w:val="en-US" w:eastAsia="en-US" w:bidi="ar-SA"/>
                    </w:rPr>
                  </w:pPr>
                  <w:r>
                    <w:rPr>
                      <w:rFonts w:hint="eastAsia"/>
                      <w:highlight w:val="none"/>
                    </w:rPr>
                    <w:t>475025.158</w:t>
                  </w:r>
                </w:p>
              </w:tc>
              <w:tc>
                <w:tcPr>
                  <w:tcW w:w="936" w:type="dxa"/>
                  <w:tcBorders>
                    <w:tl2br w:val="nil"/>
                    <w:tr2bl w:val="nil"/>
                  </w:tcBorders>
                  <w:noWrap/>
                  <w:vAlign w:val="bottom"/>
                </w:tcPr>
                <w:p w14:paraId="00E9A675">
                  <w:pPr>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c>
                <w:tcPr>
                  <w:tcW w:w="1392" w:type="dxa"/>
                  <w:tcBorders>
                    <w:tl2br w:val="nil"/>
                    <w:tr2bl w:val="nil"/>
                  </w:tcBorders>
                  <w:noWrap/>
                  <w:vAlign w:val="top"/>
                </w:tcPr>
                <w:p w14:paraId="38D89CF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4490234.175</w:t>
                  </w:r>
                </w:p>
              </w:tc>
              <w:tc>
                <w:tcPr>
                  <w:tcW w:w="1392" w:type="dxa"/>
                  <w:tcBorders>
                    <w:tl2br w:val="nil"/>
                    <w:tr2bl w:val="nil"/>
                  </w:tcBorders>
                  <w:noWrap/>
                  <w:vAlign w:val="top"/>
                </w:tcPr>
                <w:p w14:paraId="705C2CA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474719.807</w:t>
                  </w:r>
                </w:p>
              </w:tc>
            </w:tr>
            <w:tr w14:paraId="75A6A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3097A2C7">
                  <w:pPr>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6</w:t>
                  </w:r>
                </w:p>
              </w:tc>
              <w:tc>
                <w:tcPr>
                  <w:tcW w:w="1500" w:type="dxa"/>
                  <w:tcBorders>
                    <w:tl2br w:val="nil"/>
                    <w:tr2bl w:val="nil"/>
                  </w:tcBorders>
                  <w:noWrap/>
                  <w:vAlign w:val="top"/>
                </w:tcPr>
                <w:p w14:paraId="3440793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4490472.954</w:t>
                  </w:r>
                </w:p>
              </w:tc>
              <w:tc>
                <w:tcPr>
                  <w:tcW w:w="1500" w:type="dxa"/>
                  <w:tcBorders>
                    <w:tl2br w:val="nil"/>
                    <w:tr2bl w:val="nil"/>
                  </w:tcBorders>
                  <w:noWrap/>
                  <w:vAlign w:val="top"/>
                </w:tcPr>
                <w:p w14:paraId="633029C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475017.284</w:t>
                  </w:r>
                </w:p>
              </w:tc>
              <w:tc>
                <w:tcPr>
                  <w:tcW w:w="936" w:type="dxa"/>
                  <w:tcBorders>
                    <w:tl2br w:val="nil"/>
                    <w:tr2bl w:val="nil"/>
                  </w:tcBorders>
                  <w:noWrap/>
                  <w:vAlign w:val="bottom"/>
                </w:tcPr>
                <w:p w14:paraId="3362FC93">
                  <w:pPr>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w:t>
                  </w:r>
                </w:p>
              </w:tc>
              <w:tc>
                <w:tcPr>
                  <w:tcW w:w="1392" w:type="dxa"/>
                  <w:tcBorders>
                    <w:tl2br w:val="nil"/>
                    <w:tr2bl w:val="nil"/>
                  </w:tcBorders>
                  <w:noWrap/>
                  <w:vAlign w:val="top"/>
                </w:tcPr>
                <w:p w14:paraId="0577B8E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4490354.029</w:t>
                  </w:r>
                </w:p>
              </w:tc>
              <w:tc>
                <w:tcPr>
                  <w:tcW w:w="1392" w:type="dxa"/>
                  <w:tcBorders>
                    <w:tl2br w:val="nil"/>
                    <w:tr2bl w:val="nil"/>
                  </w:tcBorders>
                  <w:noWrap/>
                  <w:vAlign w:val="top"/>
                </w:tcPr>
                <w:p w14:paraId="4DDCBF0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474717.353</w:t>
                  </w:r>
                </w:p>
              </w:tc>
            </w:tr>
            <w:tr w14:paraId="0D74B9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7E59DE7B">
                  <w:pPr>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7</w:t>
                  </w:r>
                </w:p>
              </w:tc>
              <w:tc>
                <w:tcPr>
                  <w:tcW w:w="1500" w:type="dxa"/>
                  <w:tcBorders>
                    <w:tl2br w:val="nil"/>
                    <w:tr2bl w:val="nil"/>
                  </w:tcBorders>
                  <w:noWrap/>
                  <w:vAlign w:val="top"/>
                </w:tcPr>
                <w:p w14:paraId="07DEB3C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4490956.312</w:t>
                  </w:r>
                </w:p>
              </w:tc>
              <w:tc>
                <w:tcPr>
                  <w:tcW w:w="1500" w:type="dxa"/>
                  <w:tcBorders>
                    <w:tl2br w:val="nil"/>
                    <w:tr2bl w:val="nil"/>
                  </w:tcBorders>
                  <w:noWrap/>
                  <w:vAlign w:val="top"/>
                </w:tcPr>
                <w:p w14:paraId="6F3A489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475291.182</w:t>
                  </w:r>
                </w:p>
              </w:tc>
              <w:tc>
                <w:tcPr>
                  <w:tcW w:w="936" w:type="dxa"/>
                  <w:tcBorders>
                    <w:tl2br w:val="nil"/>
                    <w:tr2bl w:val="nil"/>
                  </w:tcBorders>
                  <w:noWrap/>
                  <w:vAlign w:val="bottom"/>
                </w:tcPr>
                <w:p w14:paraId="6935C59E">
                  <w:pPr>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7</w:t>
                  </w:r>
                </w:p>
              </w:tc>
              <w:tc>
                <w:tcPr>
                  <w:tcW w:w="1392" w:type="dxa"/>
                  <w:tcBorders>
                    <w:tl2br w:val="nil"/>
                    <w:tr2bl w:val="nil"/>
                  </w:tcBorders>
                  <w:noWrap/>
                  <w:vAlign w:val="top"/>
                </w:tcPr>
                <w:p w14:paraId="2C5650F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4490469.558</w:t>
                  </w:r>
                </w:p>
              </w:tc>
              <w:tc>
                <w:tcPr>
                  <w:tcW w:w="1392" w:type="dxa"/>
                  <w:tcBorders>
                    <w:tl2br w:val="nil"/>
                    <w:tr2bl w:val="nil"/>
                  </w:tcBorders>
                  <w:noWrap/>
                  <w:vAlign w:val="top"/>
                </w:tcPr>
                <w:p w14:paraId="185B0CE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474865.758</w:t>
                  </w:r>
                </w:p>
              </w:tc>
            </w:tr>
            <w:tr w14:paraId="42CA26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26EA3452">
                  <w:pPr>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8</w:t>
                  </w:r>
                </w:p>
              </w:tc>
              <w:tc>
                <w:tcPr>
                  <w:tcW w:w="1500" w:type="dxa"/>
                  <w:tcBorders>
                    <w:tl2br w:val="nil"/>
                    <w:tr2bl w:val="nil"/>
                  </w:tcBorders>
                  <w:noWrap/>
                  <w:vAlign w:val="top"/>
                </w:tcPr>
                <w:p w14:paraId="5C8EEE9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4492884.947</w:t>
                  </w:r>
                </w:p>
              </w:tc>
              <w:tc>
                <w:tcPr>
                  <w:tcW w:w="1500" w:type="dxa"/>
                  <w:tcBorders>
                    <w:tl2br w:val="nil"/>
                    <w:tr2bl w:val="nil"/>
                  </w:tcBorders>
                  <w:noWrap/>
                  <w:vAlign w:val="top"/>
                </w:tcPr>
                <w:p w14:paraId="739B374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474772.410</w:t>
                  </w:r>
                </w:p>
              </w:tc>
              <w:tc>
                <w:tcPr>
                  <w:tcW w:w="936" w:type="dxa"/>
                  <w:tcBorders>
                    <w:tl2br w:val="nil"/>
                    <w:tr2bl w:val="nil"/>
                  </w:tcBorders>
                  <w:noWrap/>
                  <w:vAlign w:val="top"/>
                </w:tcPr>
                <w:p w14:paraId="4CFF9CD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宋体"/>
                      <w:highlight w:val="none"/>
                      <w:lang w:val="en-US" w:eastAsia="zh-CN"/>
                    </w:rPr>
                  </w:pPr>
                  <w:r>
                    <w:rPr>
                      <w:rFonts w:hint="eastAsia"/>
                      <w:highlight w:val="none"/>
                      <w:lang w:val="en-US" w:eastAsia="zh-CN"/>
                    </w:rPr>
                    <w:t>/</w:t>
                  </w:r>
                </w:p>
              </w:tc>
              <w:tc>
                <w:tcPr>
                  <w:tcW w:w="1392" w:type="dxa"/>
                  <w:tcBorders>
                    <w:tl2br w:val="nil"/>
                    <w:tr2bl w:val="nil"/>
                  </w:tcBorders>
                  <w:noWrap/>
                  <w:vAlign w:val="top"/>
                </w:tcPr>
                <w:p w14:paraId="4694F0C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宋体"/>
                      <w:highlight w:val="none"/>
                      <w:lang w:val="en-US" w:eastAsia="zh-CN"/>
                    </w:rPr>
                  </w:pPr>
                  <w:r>
                    <w:rPr>
                      <w:rFonts w:hint="eastAsia"/>
                      <w:highlight w:val="none"/>
                      <w:lang w:val="en-US" w:eastAsia="zh-CN"/>
                    </w:rPr>
                    <w:t>/</w:t>
                  </w:r>
                </w:p>
              </w:tc>
              <w:tc>
                <w:tcPr>
                  <w:tcW w:w="1392" w:type="dxa"/>
                  <w:tcBorders>
                    <w:tl2br w:val="nil"/>
                    <w:tr2bl w:val="nil"/>
                  </w:tcBorders>
                  <w:noWrap/>
                  <w:vAlign w:val="top"/>
                </w:tcPr>
                <w:p w14:paraId="155B894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宋体"/>
                      <w:highlight w:val="none"/>
                      <w:lang w:val="en-US" w:eastAsia="zh-CN"/>
                    </w:rPr>
                  </w:pPr>
                  <w:r>
                    <w:rPr>
                      <w:rFonts w:hint="eastAsia"/>
                      <w:highlight w:val="none"/>
                      <w:lang w:val="en-US" w:eastAsia="zh-CN"/>
                    </w:rPr>
                    <w:t>/</w:t>
                  </w:r>
                </w:p>
              </w:tc>
            </w:tr>
            <w:tr w14:paraId="7D0BD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654" w:type="dxa"/>
                  <w:tcBorders>
                    <w:tl2br w:val="nil"/>
                    <w:tr2bl w:val="nil"/>
                  </w:tcBorders>
                  <w:noWrap/>
                  <w:vAlign w:val="bottom"/>
                </w:tcPr>
                <w:p w14:paraId="003AF7A6">
                  <w:pPr>
                    <w:spacing w:line="240" w:lineRule="auto"/>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w:t>
                  </w:r>
                </w:p>
              </w:tc>
              <w:tc>
                <w:tcPr>
                  <w:tcW w:w="1500" w:type="dxa"/>
                  <w:tcBorders>
                    <w:tl2br w:val="nil"/>
                    <w:tr2bl w:val="nil"/>
                  </w:tcBorders>
                  <w:noWrap/>
                  <w:vAlign w:val="top"/>
                </w:tcPr>
                <w:p w14:paraId="2391700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en-US" w:bidi="ar-SA"/>
                    </w:rPr>
                  </w:pPr>
                  <w:r>
                    <w:rPr>
                      <w:rFonts w:hint="eastAsia"/>
                      <w:highlight w:val="none"/>
                    </w:rPr>
                    <w:t>4495781.974</w:t>
                  </w:r>
                </w:p>
              </w:tc>
              <w:tc>
                <w:tcPr>
                  <w:tcW w:w="1500" w:type="dxa"/>
                  <w:tcBorders>
                    <w:tl2br w:val="nil"/>
                    <w:tr2bl w:val="nil"/>
                  </w:tcBorders>
                  <w:noWrap/>
                  <w:vAlign w:val="top"/>
                </w:tcPr>
                <w:p w14:paraId="3C6E92F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rPr>
                    <w:t>473993.155</w:t>
                  </w:r>
                </w:p>
              </w:tc>
              <w:tc>
                <w:tcPr>
                  <w:tcW w:w="936" w:type="dxa"/>
                  <w:tcBorders>
                    <w:tl2br w:val="nil"/>
                    <w:tr2bl w:val="nil"/>
                  </w:tcBorders>
                  <w:noWrap/>
                  <w:vAlign w:val="top"/>
                </w:tcPr>
                <w:p w14:paraId="679071A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宋体"/>
                      <w:highlight w:val="none"/>
                      <w:lang w:val="en-US" w:eastAsia="zh-CN"/>
                    </w:rPr>
                  </w:pPr>
                  <w:r>
                    <w:rPr>
                      <w:rFonts w:hint="eastAsia"/>
                      <w:highlight w:val="none"/>
                      <w:lang w:val="en-US" w:eastAsia="zh-CN"/>
                    </w:rPr>
                    <w:t>/</w:t>
                  </w:r>
                </w:p>
              </w:tc>
              <w:tc>
                <w:tcPr>
                  <w:tcW w:w="1392" w:type="dxa"/>
                  <w:tcBorders>
                    <w:tl2br w:val="nil"/>
                    <w:tr2bl w:val="nil"/>
                  </w:tcBorders>
                  <w:noWrap/>
                  <w:vAlign w:val="top"/>
                </w:tcPr>
                <w:p w14:paraId="04253E0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宋体"/>
                      <w:highlight w:val="none"/>
                      <w:lang w:val="en-US" w:eastAsia="zh-CN"/>
                    </w:rPr>
                  </w:pPr>
                  <w:r>
                    <w:rPr>
                      <w:rFonts w:hint="eastAsia"/>
                      <w:highlight w:val="none"/>
                      <w:lang w:val="en-US" w:eastAsia="zh-CN"/>
                    </w:rPr>
                    <w:t>/</w:t>
                  </w:r>
                </w:p>
              </w:tc>
              <w:tc>
                <w:tcPr>
                  <w:tcW w:w="1392" w:type="dxa"/>
                  <w:tcBorders>
                    <w:tl2br w:val="nil"/>
                    <w:tr2bl w:val="nil"/>
                  </w:tcBorders>
                  <w:noWrap/>
                  <w:vAlign w:val="top"/>
                </w:tcPr>
                <w:p w14:paraId="1C4CF42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宋体"/>
                      <w:highlight w:val="none"/>
                      <w:lang w:val="en-US" w:eastAsia="zh-CN"/>
                    </w:rPr>
                  </w:pPr>
                  <w:r>
                    <w:rPr>
                      <w:rFonts w:hint="eastAsia"/>
                      <w:highlight w:val="none"/>
                      <w:lang w:val="en-US" w:eastAsia="zh-CN"/>
                    </w:rPr>
                    <w:t>/</w:t>
                  </w:r>
                </w:p>
              </w:tc>
            </w:tr>
          </w:tbl>
          <w:p w14:paraId="57B25E3F">
            <w:pPr>
              <w:adjustRightInd w:val="0"/>
              <w:snapToGrid w:val="0"/>
              <w:jc w:val="both"/>
              <w:rPr>
                <w:rFonts w:ascii="宋体" w:hAnsi="宋体" w:cs="宋体"/>
                <w:color w:val="000000" w:themeColor="text1"/>
                <w:kern w:val="0"/>
                <w:szCs w:val="21"/>
                <w:highlight w:val="none"/>
                <w14:textFill>
                  <w14:solidFill>
                    <w14:schemeClr w14:val="tx1"/>
                  </w14:solidFill>
                </w14:textFill>
              </w:rPr>
            </w:pPr>
          </w:p>
        </w:tc>
      </w:tr>
      <w:tr w14:paraId="5D2185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34" w:hRule="atLeast"/>
        </w:trPr>
        <w:tc>
          <w:tcPr>
            <w:tcW w:w="710" w:type="dxa"/>
            <w:noWrap w:val="0"/>
            <w:vAlign w:val="center"/>
          </w:tcPr>
          <w:p w14:paraId="55496EF9">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项目组成及规模</w:t>
            </w:r>
          </w:p>
        </w:tc>
        <w:tc>
          <w:tcPr>
            <w:tcW w:w="8380" w:type="dxa"/>
            <w:noWrap w:val="0"/>
            <w:vAlign w:val="center"/>
          </w:tcPr>
          <w:p w14:paraId="0C4472C1">
            <w:pPr>
              <w:keepNext w:val="0"/>
              <w:keepLines w:val="0"/>
              <w:pageBreakBefore w:val="0"/>
              <w:widowControl w:val="0"/>
              <w:numPr>
                <w:ilvl w:val="0"/>
                <w:numId w:val="3"/>
              </w:numPr>
              <w:kinsoku/>
              <w:wordWrap/>
              <w:overflowPunct/>
              <w:topLinePunct w:val="0"/>
              <w:autoSpaceDE w:val="0"/>
              <w:autoSpaceDN w:val="0"/>
              <w:bidi w:val="0"/>
              <w:adjustRightInd w:val="0"/>
              <w:snapToGrid w:val="0"/>
              <w:spacing w:line="360" w:lineRule="auto"/>
              <w:ind w:left="0" w:leftChars="0" w:right="0" w:firstLine="482" w:firstLineChars="200"/>
              <w:jc w:val="left"/>
              <w:textAlignment w:val="auto"/>
              <w:rPr>
                <w:rFonts w:hint="default" w:ascii="Times New Roman" w:hAnsi="Times New Roman" w:cs="Times New Roman"/>
                <w:b/>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b/>
                <w:bCs w:val="0"/>
                <w:color w:val="000000" w:themeColor="text1"/>
                <w:sz w:val="24"/>
                <w:szCs w:val="24"/>
                <w:highlight w:val="none"/>
                <w:lang w:eastAsia="zh-CN"/>
                <w14:textFill>
                  <w14:solidFill>
                    <w14:schemeClr w14:val="tx1"/>
                  </w14:solidFill>
                </w14:textFill>
              </w:rPr>
              <w:t>工程概况</w:t>
            </w:r>
          </w:p>
          <w:p w14:paraId="08C3CA54">
            <w:pPr>
              <w:pStyle w:val="12"/>
              <w:keepNext w:val="0"/>
              <w:keepLines w:val="0"/>
              <w:pageBreakBefore w:val="0"/>
              <w:widowControl w:val="0"/>
              <w:kinsoku/>
              <w:wordWrap/>
              <w:overflowPunct/>
              <w:topLinePunct w:val="0"/>
              <w:bidi w:val="0"/>
              <w:spacing w:before="0" w:after="0" w:line="360" w:lineRule="auto"/>
              <w:ind w:right="0" w:firstLine="482" w:firstLineChars="200"/>
              <w:textAlignment w:val="auto"/>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1</w:t>
            </w:r>
            <w:r>
              <w:rPr>
                <w:rFonts w:hint="eastAsia" w:cs="Times New Roman"/>
                <w:b/>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项目背景</w:t>
            </w:r>
          </w:p>
          <w:p w14:paraId="598870E8">
            <w:pPr>
              <w:pStyle w:val="27"/>
              <w:keepNext w:val="0"/>
              <w:keepLines w:val="0"/>
              <w:pageBreakBefore w:val="0"/>
              <w:widowControl w:val="0"/>
              <w:kinsoku/>
              <w:wordWrap/>
              <w:overflowPunct/>
              <w:topLinePunct w:val="0"/>
              <w:autoSpaceDE w:val="0"/>
              <w:autoSpaceDN w:val="0"/>
              <w:bidi w:val="0"/>
              <w:adjustRightInd w:val="0"/>
              <w:snapToGrid/>
              <w:spacing w:line="360" w:lineRule="auto"/>
              <w:ind w:right="0" w:firstLine="480" w:firstLineChars="200"/>
              <w:jc w:val="both"/>
              <w:textAlignment w:val="auto"/>
              <w:rPr>
                <w:rFonts w:hint="default"/>
                <w:highlight w:val="none"/>
                <w:lang w:val="en-US" w:eastAsia="zh-CN"/>
              </w:rPr>
            </w:pPr>
            <w:r>
              <w:rPr>
                <w:rFonts w:hint="eastAsia" w:cs="Times New Roman"/>
                <w:color w:val="auto"/>
                <w:highlight w:val="none"/>
                <w:lang w:eastAsia="zh-CN"/>
              </w:rPr>
              <w:t>杭锦旗黄河南岸灌区</w:t>
            </w:r>
            <w:r>
              <w:rPr>
                <w:rFonts w:hint="default" w:ascii="Times New Roman" w:hAnsi="Times New Roman" w:cs="Times New Roman"/>
                <w:color w:val="auto"/>
                <w:highlight w:val="none"/>
              </w:rPr>
              <w:t>段年过境水量约310亿m³，</w:t>
            </w:r>
            <w:r>
              <w:rPr>
                <w:rFonts w:hint="default" w:ascii="Times New Roman" w:hAnsi="Times New Roman" w:cs="Times New Roman"/>
                <w:color w:val="auto"/>
                <w:highlight w:val="none"/>
                <w:lang w:val="en-US" w:eastAsia="zh-CN"/>
              </w:rPr>
              <w:t>黄河南岸总排干沟年</w:t>
            </w:r>
            <w:r>
              <w:rPr>
                <w:rFonts w:hint="eastAsia" w:ascii="Times New Roman" w:cs="Times New Roman"/>
                <w:color w:val="auto"/>
                <w:highlight w:val="none"/>
                <w:lang w:val="en-US" w:eastAsia="zh-CN"/>
              </w:rPr>
              <w:t>退</w:t>
            </w:r>
            <w:r>
              <w:rPr>
                <w:rFonts w:hint="default" w:ascii="Times New Roman" w:hAnsi="Times New Roman" w:cs="Times New Roman"/>
                <w:color w:val="auto"/>
                <w:highlight w:val="none"/>
                <w:lang w:val="en-US" w:eastAsia="zh-CN"/>
              </w:rPr>
              <w:t>水量超5000</w:t>
            </w:r>
            <w:r>
              <w:rPr>
                <w:rFonts w:hint="eastAsia" w:ascii="Times New Roman" w:cs="Times New Roman"/>
                <w:color w:val="auto"/>
                <w:highlight w:val="none"/>
                <w:lang w:val="en-US" w:eastAsia="zh-CN"/>
              </w:rPr>
              <w:t>万</w:t>
            </w:r>
            <w:r>
              <w:rPr>
                <w:rFonts w:hint="default" w:ascii="Times New Roman" w:hAnsi="Times New Roman" w:cs="Times New Roman"/>
                <w:color w:val="auto"/>
                <w:highlight w:val="none"/>
                <w:lang w:val="en-US" w:eastAsia="zh-CN"/>
              </w:rPr>
              <w:t>-6000万</w:t>
            </w:r>
            <w:r>
              <w:rPr>
                <w:rFonts w:hint="default" w:ascii="Times New Roman" w:hAnsi="Times New Roman" w:cs="Times New Roman"/>
                <w:color w:val="auto"/>
                <w:highlight w:val="none"/>
              </w:rPr>
              <w:t>m³。</w:t>
            </w:r>
            <w:r>
              <w:rPr>
                <w:rFonts w:hint="default"/>
                <w:highlight w:val="none"/>
                <w:lang w:val="en-US" w:eastAsia="zh-CN"/>
              </w:rPr>
              <w:t>排干退水水质不</w:t>
            </w:r>
            <w:r>
              <w:rPr>
                <w:rFonts w:hint="eastAsia"/>
                <w:highlight w:val="none"/>
                <w:lang w:val="en-US" w:eastAsia="zh-CN"/>
              </w:rPr>
              <w:t>稳定</w:t>
            </w:r>
            <w:r>
              <w:rPr>
                <w:rFonts w:hint="default"/>
                <w:highlight w:val="none"/>
                <w:lang w:val="en-US" w:eastAsia="zh-CN"/>
              </w:rPr>
              <w:t>，每年退水会使黄河水体的水质波动；而沿岸分布沙漠，地区准备发展沙漠经济，</w:t>
            </w:r>
            <w:r>
              <w:rPr>
                <w:rFonts w:hint="eastAsia"/>
                <w:highlight w:val="none"/>
                <w:lang w:val="en-US" w:eastAsia="zh-CN"/>
              </w:rPr>
              <w:t>在库布齐沙漠西侧规划建设朔方新能源大基地项目。该项目位于国道G242以东、S24沿黄高速以南，总占地面积48.7万亩，主要分布在吉日嘎朗图镇黄芥壕嘎查和呼和木独镇巴音温都尔嘎查，规划光伏装机总容量为13GW，探索实施“新能源+生态治理”“新能源+乡村振兴”等新能源大基地开发建设模式。目前基地规划等相关手续正在办理中。</w:t>
            </w:r>
          </w:p>
          <w:p w14:paraId="3BE85F3F">
            <w:pPr>
              <w:pStyle w:val="27"/>
              <w:keepNext w:val="0"/>
              <w:keepLines w:val="0"/>
              <w:pageBreakBefore w:val="0"/>
              <w:widowControl w:val="0"/>
              <w:kinsoku/>
              <w:wordWrap/>
              <w:overflowPunct/>
              <w:topLinePunct w:val="0"/>
              <w:autoSpaceDE w:val="0"/>
              <w:autoSpaceDN w:val="0"/>
              <w:bidi w:val="0"/>
              <w:adjustRightInd w:val="0"/>
              <w:snapToGrid/>
              <w:spacing w:line="360" w:lineRule="auto"/>
              <w:ind w:right="0" w:firstLine="480" w:firstLineChars="200"/>
              <w:jc w:val="both"/>
              <w:textAlignment w:val="auto"/>
              <w:rPr>
                <w:rFonts w:hint="default" w:ascii="宋体" w:eastAsia="宋体" w:cs="宋体"/>
                <w:highlight w:val="none"/>
                <w:lang w:val="en-US" w:eastAsia="zh-CN"/>
              </w:rPr>
            </w:pPr>
            <w:r>
              <w:rPr>
                <w:rFonts w:hint="default"/>
                <w:highlight w:val="none"/>
                <w:lang w:val="en-US" w:eastAsia="zh-CN"/>
              </w:rPr>
              <w:t>综合考虑黄河水质稳定性以及黄河沿岸的经济发展方向，拟对黄河南岸总排干沟年退水进行取用。通过本项目的建设，</w:t>
            </w:r>
            <w:r>
              <w:rPr>
                <w:rFonts w:hint="eastAsia"/>
                <w:highlight w:val="none"/>
                <w:lang w:val="en-US" w:eastAsia="zh-CN"/>
              </w:rPr>
              <w:t>为</w:t>
            </w:r>
            <w:r>
              <w:rPr>
                <w:rFonts w:hint="default" w:ascii="Times New Roman" w:hAnsi="Times New Roman" w:cs="Times New Roman"/>
                <w:color w:val="auto"/>
                <w:highlight w:val="none"/>
                <w:lang w:eastAsia="zh-CN"/>
              </w:rPr>
              <w:t>杭锦旗库布齐朔方新能源大基地供</w:t>
            </w:r>
            <w:r>
              <w:rPr>
                <w:rFonts w:hint="default" w:ascii="宋体" w:eastAsia="宋体" w:cs="宋体"/>
                <w:highlight w:val="none"/>
                <w:lang w:val="en-US" w:eastAsia="zh-CN"/>
              </w:rPr>
              <w:t>水，确保库布齐朔方新能源大基地新能源太阳能板清洗用水及</w:t>
            </w:r>
            <w:r>
              <w:rPr>
                <w:rFonts w:hint="eastAsia" w:ascii="宋体" w:eastAsia="宋体" w:cs="宋体"/>
                <w:highlight w:val="none"/>
                <w:lang w:val="en-US" w:eastAsia="zh-CN"/>
              </w:rPr>
              <w:t>生态用水</w:t>
            </w:r>
            <w:r>
              <w:rPr>
                <w:rFonts w:hint="default" w:ascii="宋体" w:eastAsia="宋体" w:cs="宋体"/>
                <w:highlight w:val="none"/>
                <w:lang w:val="en-US" w:eastAsia="zh-CN"/>
              </w:rPr>
              <w:t>供给。</w:t>
            </w:r>
          </w:p>
          <w:p w14:paraId="3E69ABC3">
            <w:pPr>
              <w:pStyle w:val="27"/>
              <w:keepNext w:val="0"/>
              <w:keepLines w:val="0"/>
              <w:pageBreakBefore w:val="0"/>
              <w:widowControl w:val="0"/>
              <w:kinsoku/>
              <w:wordWrap/>
              <w:overflowPunct/>
              <w:topLinePunct w:val="0"/>
              <w:autoSpaceDE w:val="0"/>
              <w:autoSpaceDN w:val="0"/>
              <w:bidi w:val="0"/>
              <w:adjustRightInd w:val="0"/>
              <w:snapToGrid/>
              <w:spacing w:line="360" w:lineRule="auto"/>
              <w:ind w:right="0" w:firstLine="480" w:firstLineChars="200"/>
              <w:jc w:val="both"/>
              <w:textAlignment w:val="auto"/>
              <w:rPr>
                <w:rFonts w:hint="eastAsia" w:ascii="宋体" w:eastAsia="宋体" w:cs="宋体"/>
                <w:highlight w:val="none"/>
                <w:lang w:val="en-US" w:eastAsia="zh-CN"/>
              </w:rPr>
            </w:pPr>
            <w:r>
              <w:rPr>
                <w:rFonts w:hint="default" w:ascii="宋体" w:eastAsia="宋体" w:cs="宋体"/>
                <w:highlight w:val="none"/>
                <w:lang w:val="en-US" w:eastAsia="zh-CN"/>
              </w:rPr>
              <w:t>本项目水源引自《</w:t>
            </w:r>
            <w:r>
              <w:rPr>
                <w:rFonts w:hint="eastAsia" w:ascii="宋体" w:eastAsia="宋体" w:cs="宋体"/>
                <w:highlight w:val="none"/>
                <w:lang w:val="en-US" w:eastAsia="zh-CN"/>
              </w:rPr>
              <w:t>杭锦旗库布其沙漠现代农牧业1500万吨/a供水工程</w:t>
            </w:r>
            <w:r>
              <w:rPr>
                <w:rFonts w:hint="default" w:ascii="宋体" w:eastAsia="宋体" w:cs="宋体"/>
                <w:highlight w:val="none"/>
                <w:lang w:val="en-US" w:eastAsia="zh-CN"/>
              </w:rPr>
              <w:t>》，输送的水体为黄河沿岸排干退水，拟供至杭锦旗朔方新能源大基地用于太阳能板冲洗</w:t>
            </w:r>
            <w:r>
              <w:rPr>
                <w:rFonts w:hint="eastAsia" w:ascii="宋体" w:eastAsia="宋体" w:cs="宋体"/>
                <w:highlight w:val="none"/>
                <w:lang w:val="en-US" w:eastAsia="zh-CN"/>
              </w:rPr>
              <w:t>和生态用水。</w:t>
            </w:r>
            <w:r>
              <w:rPr>
                <w:rFonts w:hint="default" w:ascii="宋体" w:eastAsia="宋体" w:cs="宋体"/>
                <w:highlight w:val="none"/>
                <w:lang w:val="en-US" w:eastAsia="zh-CN"/>
              </w:rPr>
              <w:t>《</w:t>
            </w:r>
            <w:r>
              <w:rPr>
                <w:rFonts w:hint="eastAsia" w:ascii="宋体" w:eastAsia="宋体" w:cs="宋体"/>
                <w:highlight w:val="none"/>
                <w:lang w:val="en-US" w:eastAsia="zh-CN"/>
              </w:rPr>
              <w:t>杭锦旗库布其沙漠现代农牧业1500万吨/a供水工程</w:t>
            </w:r>
            <w:r>
              <w:rPr>
                <w:rFonts w:hint="default" w:ascii="宋体" w:eastAsia="宋体" w:cs="宋体"/>
                <w:highlight w:val="none"/>
                <w:lang w:val="en-US" w:eastAsia="zh-CN"/>
              </w:rPr>
              <w:t>》已办理相关取水许可手续，具体见附件</w:t>
            </w:r>
            <w:r>
              <w:rPr>
                <w:rFonts w:hint="eastAsia" w:ascii="宋体" w:eastAsia="宋体" w:cs="宋体"/>
                <w:highlight w:val="none"/>
                <w:lang w:val="en-US" w:eastAsia="zh-CN"/>
              </w:rPr>
              <w:t>6</w:t>
            </w:r>
            <w:r>
              <w:rPr>
                <w:rFonts w:hint="default" w:ascii="宋体" w:eastAsia="宋体" w:cs="宋体"/>
                <w:highlight w:val="none"/>
                <w:lang w:val="en-US" w:eastAsia="zh-CN"/>
              </w:rPr>
              <w:t>。</w:t>
            </w:r>
            <w:r>
              <w:rPr>
                <w:rFonts w:hint="eastAsia" w:ascii="宋体" w:eastAsia="宋体" w:cs="宋体"/>
                <w:highlight w:val="none"/>
                <w:lang w:val="en-US" w:eastAsia="zh-CN"/>
              </w:rPr>
              <w:t>该</w:t>
            </w:r>
            <w:r>
              <w:rPr>
                <w:rFonts w:hint="default" w:ascii="宋体" w:eastAsia="宋体" w:cs="宋体"/>
                <w:highlight w:val="none"/>
                <w:lang w:val="en-US" w:eastAsia="zh-CN"/>
              </w:rPr>
              <w:t>项目于2022年12月30日取得了《鄂尔多斯市生态环境局杭锦旗分局关于</w:t>
            </w:r>
            <w:r>
              <w:rPr>
                <w:rFonts w:hint="eastAsia" w:ascii="宋体" w:eastAsia="宋体" w:cs="宋体"/>
                <w:highlight w:val="none"/>
                <w:lang w:val="en-US" w:eastAsia="zh-CN"/>
              </w:rPr>
              <w:t>杭锦旗库布其沙漠现代农牧业1500万吨/a供水工程</w:t>
            </w:r>
            <w:r>
              <w:rPr>
                <w:rFonts w:hint="default" w:ascii="宋体" w:eastAsia="宋体" w:cs="宋体"/>
                <w:highlight w:val="none"/>
                <w:lang w:val="en-US" w:eastAsia="zh-CN"/>
              </w:rPr>
              <w:t>环境影响报告表的批复》（鄂杭环审字</w:t>
            </w:r>
            <w:r>
              <w:rPr>
                <w:rFonts w:hint="eastAsia" w:ascii="宋体" w:eastAsia="宋体" w:cs="宋体"/>
                <w:highlight w:val="none"/>
                <w:lang w:val="en-US" w:eastAsia="zh-CN"/>
              </w:rPr>
              <w:t>〔2022〕</w:t>
            </w:r>
            <w:r>
              <w:rPr>
                <w:rFonts w:hint="default" w:ascii="宋体" w:eastAsia="宋体" w:cs="宋体"/>
                <w:highlight w:val="none"/>
                <w:lang w:val="en-US" w:eastAsia="zh-CN"/>
              </w:rPr>
              <w:t>37号）</w:t>
            </w:r>
            <w:r>
              <w:rPr>
                <w:rFonts w:hint="eastAsia" w:ascii="宋体" w:eastAsia="宋体" w:cs="宋体"/>
                <w:highlight w:val="none"/>
                <w:lang w:val="en-US" w:eastAsia="zh-CN"/>
              </w:rPr>
              <w:t>。本项目工程设计取水量与</w:t>
            </w:r>
            <w:r>
              <w:rPr>
                <w:rFonts w:hint="default" w:ascii="宋体" w:eastAsia="宋体" w:cs="宋体"/>
                <w:highlight w:val="none"/>
                <w:lang w:val="en-US" w:eastAsia="zh-CN"/>
              </w:rPr>
              <w:t>《</w:t>
            </w:r>
            <w:r>
              <w:rPr>
                <w:rFonts w:hint="eastAsia" w:ascii="宋体" w:eastAsia="宋体" w:cs="宋体"/>
                <w:highlight w:val="none"/>
                <w:lang w:val="en-US" w:eastAsia="zh-CN"/>
              </w:rPr>
              <w:t>杭锦旗库布其沙漠现代农牧业1500万吨/a供水工程</w:t>
            </w:r>
            <w:r>
              <w:rPr>
                <w:rFonts w:hint="default" w:ascii="宋体" w:eastAsia="宋体" w:cs="宋体"/>
                <w:highlight w:val="none"/>
                <w:lang w:val="en-US" w:eastAsia="zh-CN"/>
              </w:rPr>
              <w:t>》设计取水量</w:t>
            </w:r>
            <w:r>
              <w:rPr>
                <w:rFonts w:hint="eastAsia" w:ascii="宋体" w:eastAsia="宋体" w:cs="宋体"/>
                <w:highlight w:val="none"/>
                <w:lang w:val="en-US" w:eastAsia="zh-CN"/>
              </w:rPr>
              <w:t>相匹配。</w:t>
            </w:r>
          </w:p>
          <w:p w14:paraId="51948A84">
            <w:pPr>
              <w:pStyle w:val="27"/>
              <w:keepNext w:val="0"/>
              <w:keepLines w:val="0"/>
              <w:pageBreakBefore w:val="0"/>
              <w:widowControl w:val="0"/>
              <w:kinsoku/>
              <w:wordWrap/>
              <w:overflowPunct/>
              <w:topLinePunct w:val="0"/>
              <w:autoSpaceDE w:val="0"/>
              <w:autoSpaceDN w:val="0"/>
              <w:bidi w:val="0"/>
              <w:adjustRightInd w:val="0"/>
              <w:snapToGrid/>
              <w:spacing w:line="360" w:lineRule="auto"/>
              <w:ind w:right="0" w:firstLine="480" w:firstLineChars="200"/>
              <w:jc w:val="both"/>
              <w:textAlignment w:val="auto"/>
              <w:rPr>
                <w:rFonts w:hint="eastAsia" w:ascii="Times New Roman" w:cs="Times New Roman"/>
                <w:color w:val="auto"/>
                <w:highlight w:val="none"/>
                <w:lang w:eastAsia="zh-CN"/>
              </w:rPr>
            </w:pPr>
            <w:r>
              <w:rPr>
                <w:rFonts w:hint="default" w:ascii="宋体" w:eastAsia="宋体" w:cs="宋体"/>
                <w:highlight w:val="none"/>
                <w:lang w:val="en-US" w:eastAsia="zh-CN"/>
              </w:rPr>
              <w:t>《</w:t>
            </w:r>
            <w:r>
              <w:rPr>
                <w:rFonts w:hint="eastAsia" w:ascii="宋体" w:eastAsia="宋体" w:cs="宋体"/>
                <w:highlight w:val="none"/>
                <w:lang w:val="en-US" w:eastAsia="zh-CN"/>
              </w:rPr>
              <w:t>杭锦旗库布其沙漠现代农牧业1500万</w:t>
            </w:r>
            <w:r>
              <w:rPr>
                <w:rFonts w:hint="eastAsia" w:ascii="Times New Roman" w:cs="Times New Roman"/>
                <w:snapToGrid w:val="0"/>
                <w:color w:val="auto"/>
                <w:sz w:val="24"/>
                <w:szCs w:val="24"/>
                <w:highlight w:val="none"/>
                <w:lang w:val="en-US" w:eastAsia="zh-CN" w:bidi="ar-SA"/>
              </w:rPr>
              <w:t>吨/a供水工程</w:t>
            </w:r>
            <w:r>
              <w:rPr>
                <w:rFonts w:hint="default" w:ascii="Times New Roman" w:hAnsi="Times New Roman" w:eastAsia="宋体" w:cs="Times New Roman"/>
                <w:snapToGrid w:val="0"/>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eastAsia="zh-CN"/>
              </w:rPr>
              <w:t>水源地为杭锦旗黄河南岸灌区总排干桩号1</w:t>
            </w:r>
            <w:r>
              <w:rPr>
                <w:rFonts w:hint="eastAsia" w:ascii="Times New Roman" w:cs="Times New Roman"/>
                <w:color w:val="auto"/>
                <w:sz w:val="24"/>
                <w:szCs w:val="24"/>
                <w:highlight w:val="none"/>
                <w:lang w:val="en-US" w:eastAsia="zh-CN"/>
              </w:rPr>
              <w:t>48</w:t>
            </w:r>
            <w:r>
              <w:rPr>
                <w:rFonts w:hint="default" w:ascii="Times New Roman" w:hAnsi="Times New Roman" w:eastAsia="宋体" w:cs="Times New Roman"/>
                <w:color w:val="auto"/>
                <w:sz w:val="24"/>
                <w:szCs w:val="24"/>
                <w:highlight w:val="none"/>
                <w:lang w:eastAsia="zh-CN"/>
              </w:rPr>
              <w:t>+900km位置。</w:t>
            </w:r>
            <w:r>
              <w:rPr>
                <w:rFonts w:hint="default" w:ascii="Times New Roman" w:hAnsi="Times New Roman" w:eastAsia="宋体" w:cs="Times New Roman"/>
                <w:snapToGrid w:val="0"/>
                <w:color w:val="auto"/>
                <w:sz w:val="24"/>
                <w:szCs w:val="24"/>
                <w:highlight w:val="none"/>
                <w:lang w:val="en-US" w:eastAsia="zh-CN" w:bidi="ar-SA"/>
              </w:rPr>
              <w:t>本工程</w:t>
            </w:r>
            <w:r>
              <w:rPr>
                <w:rFonts w:hint="eastAsia" w:ascii="Times New Roman" w:cs="Times New Roman"/>
                <w:snapToGrid w:val="0"/>
                <w:color w:val="auto"/>
                <w:sz w:val="24"/>
                <w:szCs w:val="24"/>
                <w:highlight w:val="none"/>
                <w:lang w:val="en-US" w:eastAsia="zh-CN" w:bidi="ar-SA"/>
              </w:rPr>
              <w:t>以</w:t>
            </w:r>
            <w:r>
              <w:rPr>
                <w:rFonts w:hint="default" w:ascii="Times New Roman" w:hAnsi="Times New Roman" w:eastAsia="宋体" w:cs="Times New Roman"/>
                <w:snapToGrid w:val="0"/>
                <w:color w:val="auto"/>
                <w:sz w:val="24"/>
                <w:szCs w:val="24"/>
                <w:highlight w:val="none"/>
                <w:lang w:val="en-US" w:eastAsia="zh-CN" w:bidi="ar-SA"/>
              </w:rPr>
              <w:t>《</w:t>
            </w:r>
            <w:r>
              <w:rPr>
                <w:rFonts w:hint="eastAsia" w:ascii="Times New Roman" w:cs="Times New Roman"/>
                <w:snapToGrid w:val="0"/>
                <w:color w:val="auto"/>
                <w:sz w:val="24"/>
                <w:szCs w:val="24"/>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4"/>
                <w:szCs w:val="24"/>
                <w:highlight w:val="none"/>
                <w:lang w:val="en-US" w:eastAsia="zh-CN" w:bidi="ar-SA"/>
              </w:rPr>
              <w:t>》已建供水工程</w:t>
            </w:r>
            <w:r>
              <w:rPr>
                <w:rFonts w:hint="eastAsia" w:ascii="Times New Roman" w:hAnsi="Times New Roman" w:eastAsia="宋体" w:cs="Times New Roman"/>
                <w:snapToGrid w:val="0"/>
                <w:color w:val="auto"/>
                <w:sz w:val="24"/>
                <w:szCs w:val="24"/>
                <w:highlight w:val="none"/>
                <w:lang w:val="en-US" w:eastAsia="zh-CN" w:bidi="ar-SA"/>
              </w:rPr>
              <w:t>为基础</w:t>
            </w:r>
            <w:r>
              <w:rPr>
                <w:rFonts w:hint="default" w:ascii="Times New Roman" w:hAnsi="Times New Roman" w:eastAsia="宋体" w:cs="Times New Roman"/>
                <w:snapToGrid w:val="0"/>
                <w:color w:val="auto"/>
                <w:sz w:val="24"/>
                <w:szCs w:val="24"/>
                <w:highlight w:val="none"/>
                <w:lang w:val="en-US" w:eastAsia="zh-CN" w:bidi="ar-SA"/>
              </w:rPr>
              <w:t>，该</w:t>
            </w:r>
            <w:r>
              <w:rPr>
                <w:rFonts w:hint="default" w:ascii="Times New Roman" w:hAnsi="Times New Roman" w:eastAsia="宋体" w:cs="Times New Roman"/>
                <w:snapToGrid w:val="0"/>
                <w:color w:val="000000"/>
                <w:sz w:val="24"/>
                <w:szCs w:val="24"/>
                <w:highlight w:val="none"/>
                <w:lang w:val="en-US" w:eastAsia="zh-CN" w:bidi="ar-SA"/>
              </w:rPr>
              <w:t>工程设计取水量1500万m</w:t>
            </w:r>
            <w:r>
              <w:rPr>
                <w:rFonts w:hint="default" w:ascii="Times New Roman" w:hAnsi="Times New Roman" w:eastAsia="宋体" w:cs="Times New Roman"/>
                <w:snapToGrid w:val="0"/>
                <w:color w:val="000000"/>
                <w:sz w:val="24"/>
                <w:szCs w:val="24"/>
                <w:highlight w:val="none"/>
                <w:vertAlign w:val="superscript"/>
                <w:lang w:val="en-US" w:eastAsia="zh-CN" w:bidi="ar-SA"/>
              </w:rPr>
              <w:t>3</w:t>
            </w:r>
            <w:r>
              <w:rPr>
                <w:rFonts w:hint="default" w:ascii="Times New Roman" w:hAnsi="Times New Roman" w:eastAsia="宋体" w:cs="Times New Roman"/>
                <w:snapToGrid w:val="0"/>
                <w:color w:val="000000"/>
                <w:sz w:val="24"/>
                <w:szCs w:val="24"/>
                <w:highlight w:val="none"/>
                <w:lang w:val="en-US" w:eastAsia="zh-CN" w:bidi="ar-SA"/>
              </w:rPr>
              <w:t>/a，包括引蓄水工程、加压泵站工程、输水工程三部分。其中引水工程规模为9万m</w:t>
            </w:r>
            <w:r>
              <w:rPr>
                <w:rFonts w:hint="default" w:ascii="Times New Roman" w:hAnsi="Times New Roman" w:eastAsia="宋体" w:cs="Times New Roman"/>
                <w:snapToGrid w:val="0"/>
                <w:color w:val="000000"/>
                <w:sz w:val="24"/>
                <w:szCs w:val="24"/>
                <w:highlight w:val="none"/>
                <w:vertAlign w:val="superscript"/>
                <w:lang w:val="en-US" w:eastAsia="zh-CN" w:bidi="ar-SA"/>
              </w:rPr>
              <w:t>3</w:t>
            </w:r>
            <w:r>
              <w:rPr>
                <w:rFonts w:hint="default" w:ascii="Times New Roman" w:hAnsi="Times New Roman" w:eastAsia="宋体" w:cs="Times New Roman"/>
                <w:snapToGrid w:val="0"/>
                <w:color w:val="000000"/>
                <w:sz w:val="24"/>
                <w:szCs w:val="24"/>
                <w:highlight w:val="none"/>
                <w:lang w:val="en-US" w:eastAsia="zh-CN" w:bidi="ar-SA"/>
              </w:rPr>
              <w:t>/d</w:t>
            </w:r>
            <w:r>
              <w:rPr>
                <w:rFonts w:hint="eastAsia" w:ascii="Times New Roman" w:cs="Times New Roman"/>
                <w:snapToGrid w:val="0"/>
                <w:color w:val="000000"/>
                <w:sz w:val="24"/>
                <w:szCs w:val="24"/>
                <w:highlight w:val="none"/>
                <w:lang w:val="en-US" w:eastAsia="zh-CN" w:bidi="ar-SA"/>
              </w:rPr>
              <w:t>，</w:t>
            </w:r>
            <w:r>
              <w:rPr>
                <w:rFonts w:hint="default" w:ascii="Times New Roman" w:hAnsi="Times New Roman" w:eastAsia="宋体" w:cs="Times New Roman"/>
                <w:snapToGrid w:val="0"/>
                <w:color w:val="000000"/>
                <w:sz w:val="24"/>
                <w:szCs w:val="24"/>
                <w:highlight w:val="none"/>
                <w:lang w:val="en-US" w:eastAsia="zh-CN" w:bidi="ar-SA"/>
              </w:rPr>
              <w:t>蓄水池容量20万m</w:t>
            </w:r>
            <w:r>
              <w:rPr>
                <w:rFonts w:hint="default" w:ascii="Times New Roman" w:hAnsi="Times New Roman" w:eastAsia="宋体" w:cs="Times New Roman"/>
                <w:snapToGrid w:val="0"/>
                <w:color w:val="000000"/>
                <w:sz w:val="24"/>
                <w:szCs w:val="24"/>
                <w:highlight w:val="none"/>
                <w:vertAlign w:val="superscript"/>
                <w:lang w:val="en-US" w:eastAsia="zh-CN" w:bidi="ar-SA"/>
              </w:rPr>
              <w:t>3</w:t>
            </w:r>
            <w:r>
              <w:rPr>
                <w:rFonts w:hint="eastAsia" w:ascii="Times New Roman" w:cs="Times New Roman"/>
                <w:snapToGrid w:val="0"/>
                <w:color w:val="000000"/>
                <w:sz w:val="24"/>
                <w:szCs w:val="24"/>
                <w:highlight w:val="none"/>
                <w:lang w:val="en-US" w:eastAsia="zh-CN" w:bidi="ar-SA"/>
              </w:rPr>
              <w:t>；</w:t>
            </w:r>
            <w:r>
              <w:rPr>
                <w:rFonts w:hint="default" w:ascii="Times New Roman" w:hAnsi="Times New Roman" w:eastAsia="宋体" w:cs="Times New Roman"/>
                <w:snapToGrid w:val="0"/>
                <w:color w:val="000000"/>
                <w:sz w:val="24"/>
                <w:szCs w:val="24"/>
                <w:highlight w:val="none"/>
                <w:lang w:val="en-US" w:eastAsia="zh-CN" w:bidi="ar-SA"/>
              </w:rPr>
              <w:t>加压泵站由值班室、控制室、泵房、配套用房等组成</w:t>
            </w:r>
            <w:r>
              <w:rPr>
                <w:rFonts w:hint="eastAsia" w:ascii="Times New Roman" w:cs="Times New Roman"/>
                <w:snapToGrid w:val="0"/>
                <w:color w:val="000000"/>
                <w:sz w:val="24"/>
                <w:szCs w:val="24"/>
                <w:highlight w:val="none"/>
                <w:lang w:val="en-US" w:eastAsia="zh-CN" w:bidi="ar-SA"/>
              </w:rPr>
              <w:t>；</w:t>
            </w:r>
            <w:r>
              <w:rPr>
                <w:rFonts w:hint="default" w:ascii="Times New Roman" w:hAnsi="Times New Roman" w:eastAsia="宋体" w:cs="Times New Roman"/>
                <w:snapToGrid w:val="0"/>
                <w:color w:val="000000"/>
                <w:sz w:val="24"/>
                <w:szCs w:val="24"/>
                <w:highlight w:val="none"/>
                <w:lang w:val="en-US" w:eastAsia="zh-CN" w:bidi="ar-SA"/>
              </w:rPr>
              <w:t>输水管道总长17.81km，输水能力8.33万m</w:t>
            </w:r>
            <w:r>
              <w:rPr>
                <w:rFonts w:hint="default" w:ascii="Times New Roman" w:hAnsi="Times New Roman" w:eastAsia="宋体" w:cs="Times New Roman"/>
                <w:snapToGrid w:val="0"/>
                <w:color w:val="000000"/>
                <w:sz w:val="24"/>
                <w:szCs w:val="24"/>
                <w:highlight w:val="none"/>
                <w:vertAlign w:val="superscript"/>
                <w:lang w:val="en-US" w:eastAsia="zh-CN" w:bidi="ar-SA"/>
              </w:rPr>
              <w:t>3</w:t>
            </w:r>
            <w:r>
              <w:rPr>
                <w:rFonts w:hint="default" w:ascii="Times New Roman" w:hAnsi="Times New Roman" w:eastAsia="宋体" w:cs="Times New Roman"/>
                <w:snapToGrid w:val="0"/>
                <w:color w:val="000000"/>
                <w:sz w:val="24"/>
                <w:szCs w:val="24"/>
                <w:highlight w:val="none"/>
                <w:lang w:val="en-US" w:eastAsia="zh-CN" w:bidi="ar-SA"/>
              </w:rPr>
              <w:t>/d</w:t>
            </w:r>
            <w:r>
              <w:rPr>
                <w:rFonts w:hint="eastAsia" w:ascii="Times New Roman" w:cs="Times New Roman"/>
                <w:snapToGrid w:val="0"/>
                <w:color w:val="000000"/>
                <w:sz w:val="24"/>
                <w:szCs w:val="24"/>
                <w:highlight w:val="none"/>
                <w:lang w:val="en-US" w:eastAsia="zh-CN" w:bidi="ar-SA"/>
              </w:rPr>
              <w:t>，</w:t>
            </w:r>
            <w:r>
              <w:rPr>
                <w:rFonts w:hint="default" w:ascii="Times New Roman" w:hAnsi="Times New Roman" w:eastAsia="宋体" w:cs="Times New Roman"/>
                <w:snapToGrid w:val="0"/>
                <w:color w:val="000000"/>
                <w:sz w:val="24"/>
                <w:szCs w:val="24"/>
                <w:highlight w:val="none"/>
                <w:lang w:val="en-US" w:eastAsia="zh-CN" w:bidi="ar-SA"/>
              </w:rPr>
              <w:t>年运行180天，管道末端设两座蓄水池。</w:t>
            </w:r>
            <w:r>
              <w:rPr>
                <w:rFonts w:hint="eastAsia"/>
                <w:highlight w:val="none"/>
                <w:lang w:eastAsia="zh-CN"/>
              </w:rPr>
              <w:t>本项目水源引自</w:t>
            </w:r>
            <w:r>
              <w:rPr>
                <w:rFonts w:hint="default" w:ascii="Times New Roman" w:hAnsi="Times New Roman" w:eastAsia="宋体" w:cs="Times New Roman"/>
                <w:snapToGrid w:val="0"/>
                <w:color w:val="auto"/>
                <w:sz w:val="24"/>
                <w:szCs w:val="24"/>
                <w:highlight w:val="none"/>
                <w:lang w:val="en-US" w:eastAsia="zh-CN" w:bidi="ar-SA"/>
              </w:rPr>
              <w:t>《</w:t>
            </w:r>
            <w:r>
              <w:rPr>
                <w:rFonts w:hint="eastAsia" w:ascii="Times New Roman" w:cs="Times New Roman"/>
                <w:snapToGrid w:val="0"/>
                <w:color w:val="auto"/>
                <w:sz w:val="24"/>
                <w:szCs w:val="24"/>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4"/>
                <w:szCs w:val="24"/>
                <w:highlight w:val="none"/>
                <w:lang w:val="en-US" w:eastAsia="zh-CN" w:bidi="ar-SA"/>
              </w:rPr>
              <w:t>》</w:t>
            </w:r>
            <w:r>
              <w:rPr>
                <w:rFonts w:hint="eastAsia"/>
                <w:highlight w:val="none"/>
                <w:lang w:val="en-US" w:eastAsia="zh-CN"/>
              </w:rPr>
              <w:t>，</w:t>
            </w:r>
            <w:r>
              <w:rPr>
                <w:rFonts w:hint="default" w:ascii="Times New Roman" w:hAnsi="Times New Roman" w:eastAsia="宋体" w:cs="Times New Roman"/>
                <w:snapToGrid w:val="0"/>
                <w:color w:val="auto"/>
                <w:sz w:val="24"/>
                <w:szCs w:val="24"/>
                <w:highlight w:val="none"/>
                <w:lang w:val="en-US" w:eastAsia="zh-CN" w:bidi="ar-SA"/>
              </w:rPr>
              <w:t>本工程新建输水管道直接与该供水工程的</w:t>
            </w:r>
            <w:r>
              <w:rPr>
                <w:rFonts w:hint="default" w:ascii="Times New Roman" w:hAnsi="Times New Roman" w:eastAsia="宋体" w:cs="Times New Roman"/>
                <w:snapToGrid w:val="0"/>
                <w:color w:val="000000"/>
                <w:sz w:val="24"/>
                <w:szCs w:val="24"/>
                <w:highlight w:val="none"/>
                <w:lang w:val="en-US" w:eastAsia="zh-CN" w:bidi="ar-SA"/>
              </w:rPr>
              <w:t>已建管道</w:t>
            </w:r>
            <w:r>
              <w:rPr>
                <w:rFonts w:hint="default" w:ascii="Times New Roman" w:hAnsi="Times New Roman" w:eastAsia="宋体" w:cs="Times New Roman"/>
                <w:snapToGrid w:val="0"/>
                <w:color w:val="auto"/>
                <w:sz w:val="24"/>
                <w:szCs w:val="24"/>
                <w:highlight w:val="none"/>
                <w:lang w:val="en-US" w:eastAsia="zh-CN" w:bidi="ar-SA"/>
              </w:rPr>
              <w:t>末端连接，</w:t>
            </w:r>
            <w:r>
              <w:rPr>
                <w:rFonts w:hint="default" w:ascii="Times New Roman" w:hAnsi="Times New Roman" w:eastAsia="宋体" w:cs="Times New Roman"/>
                <w:color w:val="auto"/>
                <w:sz w:val="24"/>
                <w:szCs w:val="24"/>
                <w:highlight w:val="none"/>
                <w:lang w:val="en-US" w:eastAsia="zh-CN"/>
              </w:rPr>
              <w:t>将排干水引入</w:t>
            </w:r>
            <w:r>
              <w:rPr>
                <w:rFonts w:hint="default" w:ascii="Times New Roman" w:hAnsi="Times New Roman" w:eastAsia="宋体" w:cs="Times New Roman"/>
                <w:snapToGrid w:val="0"/>
                <w:color w:val="auto"/>
                <w:sz w:val="24"/>
                <w:szCs w:val="24"/>
                <w:highlight w:val="none"/>
                <w:lang w:val="en-US" w:eastAsia="zh-CN" w:bidi="ar-SA"/>
              </w:rPr>
              <w:t>本工程</w:t>
            </w:r>
            <w:r>
              <w:rPr>
                <w:rFonts w:hint="default" w:ascii="Times New Roman" w:hAnsi="Times New Roman" w:eastAsia="宋体" w:cs="Times New Roman"/>
                <w:color w:val="auto"/>
                <w:sz w:val="24"/>
                <w:szCs w:val="24"/>
                <w:highlight w:val="none"/>
                <w:lang w:val="en-US" w:eastAsia="zh-CN"/>
              </w:rPr>
              <w:t>新建蓄水池</w:t>
            </w:r>
            <w:r>
              <w:rPr>
                <w:rFonts w:hint="default" w:ascii="Times New Roman" w:hAnsi="Times New Roman" w:eastAsia="宋体" w:cs="Times New Roman"/>
                <w:snapToGrid w:val="0"/>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rPr>
              <w:t>项目建成后可为朔方新能源大基地提供新能源太阳能板清洗用水及</w:t>
            </w:r>
            <w:r>
              <w:rPr>
                <w:rFonts w:hint="eastAsia" w:ascii="Times New Roman" w:cs="Times New Roman"/>
                <w:color w:val="auto"/>
                <w:sz w:val="24"/>
                <w:szCs w:val="24"/>
                <w:highlight w:val="none"/>
                <w:lang w:val="en-US" w:eastAsia="zh-CN"/>
              </w:rPr>
              <w:t>生态用水</w:t>
            </w:r>
            <w:r>
              <w:rPr>
                <w:rFonts w:hint="default" w:ascii="Times New Roman" w:hAnsi="Times New Roman" w:eastAsia="宋体" w:cs="Times New Roman"/>
                <w:color w:val="auto"/>
                <w:sz w:val="24"/>
                <w:szCs w:val="24"/>
                <w:highlight w:val="none"/>
                <w:lang w:val="en-US" w:eastAsia="zh-CN"/>
              </w:rPr>
              <w:t>。</w:t>
            </w:r>
            <w:r>
              <w:rPr>
                <w:rFonts w:hint="eastAsia" w:ascii="宋体" w:hAnsi="宋体" w:cs="宋体"/>
                <w:b w:val="0"/>
                <w:bCs/>
                <w:color w:val="auto"/>
                <w:kern w:val="2"/>
                <w:sz w:val="24"/>
                <w:szCs w:val="24"/>
                <w:highlight w:val="none"/>
                <w:lang w:val="en-US" w:eastAsia="zh-CN" w:bidi="ar-SA"/>
              </w:rPr>
              <w:t>本项目蓄水池供给</w:t>
            </w:r>
            <w:r>
              <w:rPr>
                <w:rFonts w:hint="default" w:ascii="Times New Roman" w:hAnsi="Times New Roman" w:eastAsia="宋体" w:cs="Times New Roman"/>
                <w:sz w:val="24"/>
                <w:szCs w:val="24"/>
                <w:highlight w:val="none"/>
                <w:lang w:val="en-US" w:eastAsia="zh-CN"/>
              </w:rPr>
              <w:t>库布齐朔方新能源大基地</w:t>
            </w:r>
            <w:r>
              <w:rPr>
                <w:rFonts w:hint="eastAsia" w:cs="Times New Roman"/>
                <w:sz w:val="24"/>
                <w:szCs w:val="24"/>
                <w:highlight w:val="none"/>
                <w:lang w:val="en-US" w:eastAsia="zh-CN"/>
              </w:rPr>
              <w:t>的</w:t>
            </w:r>
            <w:r>
              <w:rPr>
                <w:rFonts w:hint="default" w:ascii="Times New Roman" w:hAnsi="Times New Roman" w:eastAsia="宋体" w:cs="Times New Roman"/>
                <w:sz w:val="24"/>
                <w:szCs w:val="24"/>
                <w:highlight w:val="none"/>
                <w:lang w:val="en-US" w:eastAsia="zh-CN"/>
              </w:rPr>
              <w:t>用水管道</w:t>
            </w:r>
            <w:r>
              <w:rPr>
                <w:rFonts w:hint="eastAsia" w:ascii="Times New Roman" w:cs="Times New Roman"/>
                <w:sz w:val="24"/>
                <w:szCs w:val="24"/>
                <w:highlight w:val="none"/>
                <w:lang w:val="en-US" w:eastAsia="zh-CN"/>
              </w:rPr>
              <w:t>以及泵站等工程</w:t>
            </w:r>
            <w:r>
              <w:rPr>
                <w:rFonts w:hint="default" w:ascii="Times New Roman" w:hAnsi="Times New Roman" w:eastAsia="宋体" w:cs="Times New Roman"/>
                <w:sz w:val="24"/>
                <w:szCs w:val="24"/>
                <w:highlight w:val="none"/>
                <w:lang w:val="en-US" w:eastAsia="zh-CN"/>
              </w:rPr>
              <w:t>不在本次评价范围内，需另行评价</w:t>
            </w:r>
            <w:r>
              <w:rPr>
                <w:rFonts w:hint="eastAsia" w:ascii="Times New Roman" w:cs="Times New Roman"/>
                <w:color w:val="auto"/>
                <w:highlight w:val="none"/>
                <w:lang w:eastAsia="zh-CN"/>
              </w:rPr>
              <w:t>。</w:t>
            </w:r>
          </w:p>
          <w:p w14:paraId="13C328B0">
            <w:pPr>
              <w:pStyle w:val="27"/>
              <w:keepNext w:val="0"/>
              <w:keepLines w:val="0"/>
              <w:pageBreakBefore w:val="0"/>
              <w:widowControl w:val="0"/>
              <w:kinsoku/>
              <w:wordWrap/>
              <w:overflowPunct/>
              <w:topLinePunct w:val="0"/>
              <w:autoSpaceDE w:val="0"/>
              <w:autoSpaceDN w:val="0"/>
              <w:bidi w:val="0"/>
              <w:adjustRightInd w:val="0"/>
              <w:snapToGrid/>
              <w:spacing w:line="360" w:lineRule="auto"/>
              <w:ind w:right="0" w:firstLine="480" w:firstLineChars="200"/>
              <w:jc w:val="both"/>
              <w:textAlignment w:val="auto"/>
              <w:rPr>
                <w:rFonts w:hint="default" w:ascii="Times New Roman" w:cs="Times New Roman"/>
                <w:color w:val="auto"/>
                <w:highlight w:val="none"/>
                <w:lang w:val="en-US" w:eastAsia="zh-CN"/>
              </w:rPr>
            </w:pPr>
            <w:r>
              <w:rPr>
                <w:rFonts w:hint="eastAsia" w:cs="Times New Roman"/>
                <w:sz w:val="24"/>
                <w:szCs w:val="24"/>
                <w:highlight w:val="none"/>
                <w:lang w:val="en-US" w:eastAsia="zh-CN"/>
              </w:rPr>
              <w:t>2024年1月8日杭锦旗水利局取得了</w:t>
            </w:r>
            <w:r>
              <w:rPr>
                <w:rFonts w:hint="eastAsia"/>
                <w:sz w:val="24"/>
                <w:highlight w:val="none"/>
                <w:lang w:eastAsia="zh-CN"/>
              </w:rPr>
              <w:t>杭锦旗发展和改革委员会出具的《杭锦旗发展和改革委员会关于杭锦旗库布齐1500万吨/a(朔方新能源大基地)供水工程可行性研究报告批复的通知》，杭锦旗水利局与鄂尔多斯市泽鑫水务投资集团有限责任公司签订了建设项目委托实施协议书（见附件</w:t>
            </w:r>
            <w:r>
              <w:rPr>
                <w:rFonts w:hint="eastAsia"/>
                <w:sz w:val="24"/>
                <w:highlight w:val="none"/>
                <w:lang w:val="en-US" w:eastAsia="zh-CN"/>
              </w:rPr>
              <w:t>3</w:t>
            </w:r>
            <w:r>
              <w:rPr>
                <w:rFonts w:hint="eastAsia"/>
                <w:sz w:val="24"/>
                <w:highlight w:val="none"/>
                <w:lang w:eastAsia="zh-CN"/>
              </w:rPr>
              <w:t>），鄂尔多斯市泽鑫水务投资集团有限责任公司接受杭锦旗水利局委托承担本项目责任，对本工程项目组织实施进行全过程管理和服务，承担本项目建设过程中建设单位管理责任与权利。鄂尔多斯市泽鑫水务投资集团有限责任公司在杭锦旗水利局已办理该工程前期工作手续的基础上，承办剩余前期工作手续。</w:t>
            </w:r>
          </w:p>
          <w:p w14:paraId="09A32AA0">
            <w:pPr>
              <w:pStyle w:val="27"/>
              <w:keepNext w:val="0"/>
              <w:keepLines w:val="0"/>
              <w:pageBreakBefore w:val="0"/>
              <w:kinsoku/>
              <w:wordWrap/>
              <w:overflowPunct/>
              <w:topLinePunct w:val="0"/>
              <w:bidi w:val="0"/>
              <w:spacing w:line="360" w:lineRule="auto"/>
              <w:ind w:right="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对照</w:t>
            </w:r>
            <w:r>
              <w:rPr>
                <w:rStyle w:val="24"/>
                <w:rFonts w:hint="default" w:ascii="Times New Roman" w:hAnsi="Times New Roman" w:cs="Times New Roman"/>
                <w:color w:val="000000" w:themeColor="text1"/>
                <w:kern w:val="2"/>
                <w:sz w:val="24"/>
                <w:szCs w:val="24"/>
                <w:highlight w:val="none"/>
                <w14:textFill>
                  <w14:solidFill>
                    <w14:schemeClr w14:val="tx1"/>
                  </w14:solidFill>
                </w14:textFill>
              </w:rPr>
              <w:t>《建设项目分类管理名录》（2021版）</w:t>
            </w:r>
            <w:r>
              <w:rPr>
                <w:rStyle w:val="24"/>
                <w:rFonts w:hint="eastAsia" w:ascii="Times New Roman" w:cs="Times New Roman"/>
                <w:color w:val="000000" w:themeColor="text1"/>
                <w:kern w:val="2"/>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本项目属于</w:t>
            </w:r>
            <w:r>
              <w:rPr>
                <w:rFonts w:hint="default" w:ascii="宋体" w:hAnsi="宋体" w:eastAsia="宋体" w:cs="宋体"/>
                <w:sz w:val="24"/>
                <w:szCs w:val="24"/>
                <w:highlight w:val="none"/>
                <w:lang w:val="en-US" w:eastAsia="zh-CN"/>
              </w:rPr>
              <w:t>四十三、水的生产和供应业“96</w:t>
            </w:r>
            <w:r>
              <w:rPr>
                <w:rFonts w:hint="eastAsia" w:hAnsi="宋体" w:cs="宋体"/>
                <w:sz w:val="24"/>
                <w:szCs w:val="24"/>
                <w:highlight w:val="none"/>
                <w:lang w:val="en-US" w:eastAsia="zh-CN"/>
              </w:rPr>
              <w:t>.</w:t>
            </w:r>
            <w:r>
              <w:rPr>
                <w:rFonts w:hint="default" w:ascii="宋体" w:hAnsi="宋体" w:eastAsia="宋体" w:cs="宋体"/>
                <w:sz w:val="24"/>
                <w:szCs w:val="24"/>
                <w:highlight w:val="none"/>
                <w:lang w:val="en-US" w:eastAsia="zh-CN"/>
              </w:rPr>
              <w:t>其他水的处理、利用与分配469”</w:t>
            </w:r>
            <w:r>
              <w:rPr>
                <w:rFonts w:hint="default" w:ascii="Times New Roman" w:hAnsi="Times New Roman" w:cs="Times New Roman"/>
                <w:color w:val="000000" w:themeColor="text1"/>
                <w:sz w:val="24"/>
                <w:szCs w:val="24"/>
                <w:highlight w:val="none"/>
                <w14:textFill>
                  <w14:solidFill>
                    <w14:schemeClr w14:val="tx1"/>
                  </w14:solidFill>
                </w14:textFill>
              </w:rPr>
              <w:t>，需编制环境影响报告表。建设方委托我公司（内蒙古金绿环保服务有限公司）进行本次环评工作，我公司根据相关导则、标准及行业规范要求编制了《</w:t>
            </w:r>
            <w:r>
              <w:rPr>
                <w:rFonts w:hint="eastAsia" w:hAnsi="宋体" w:cs="宋体"/>
                <w:color w:val="000000" w:themeColor="text1"/>
                <w:sz w:val="24"/>
                <w:szCs w:val="24"/>
                <w:highlight w:val="none"/>
                <w:lang w:eastAsia="zh-CN"/>
                <w14:textFill>
                  <w14:solidFill>
                    <w14:schemeClr w14:val="tx1"/>
                  </w14:solidFill>
                </w14:textFill>
              </w:rPr>
              <w:t>杭锦旗库布齐1500万吨/a（朔方新能源大基地）供水工程</w:t>
            </w:r>
            <w:r>
              <w:rPr>
                <w:rFonts w:hint="default" w:ascii="Times New Roman" w:hAnsi="Times New Roman" w:cs="Times New Roman"/>
                <w:color w:val="000000" w:themeColor="text1"/>
                <w:sz w:val="24"/>
                <w:szCs w:val="24"/>
                <w:highlight w:val="none"/>
                <w14:textFill>
                  <w14:solidFill>
                    <w14:schemeClr w14:val="tx1"/>
                  </w14:solidFill>
                </w14:textFill>
              </w:rPr>
              <w:t>环境影响评价报告表》。现报告已编制完成，呈生态环境保护主管部门审查。</w:t>
            </w:r>
          </w:p>
          <w:p w14:paraId="74CF4496">
            <w:pPr>
              <w:pStyle w:val="12"/>
              <w:keepNext w:val="0"/>
              <w:keepLines w:val="0"/>
              <w:pageBreakBefore w:val="0"/>
              <w:kinsoku/>
              <w:wordWrap/>
              <w:overflowPunct/>
              <w:topLinePunct w:val="0"/>
              <w:bidi w:val="0"/>
              <w:spacing w:before="0" w:after="0" w:line="360" w:lineRule="auto"/>
              <w:ind w:right="0" w:firstLine="482" w:firstLineChars="200"/>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2</w:t>
            </w:r>
            <w:r>
              <w:rPr>
                <w:rFonts w:hint="eastAsia" w:cs="Times New Roman"/>
                <w:b/>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color w:val="000000" w:themeColor="text1"/>
                <w:sz w:val="24"/>
                <w:szCs w:val="24"/>
                <w:highlight w:val="none"/>
                <w14:textFill>
                  <w14:solidFill>
                    <w14:schemeClr w14:val="tx1"/>
                  </w14:solidFill>
                </w14:textFill>
              </w:rPr>
              <w:t>项目基本情况</w:t>
            </w:r>
          </w:p>
          <w:p w14:paraId="2FB7C812">
            <w:pPr>
              <w:keepNext w:val="0"/>
              <w:keepLines w:val="0"/>
              <w:pageBreakBefore w:val="0"/>
              <w:kinsoku/>
              <w:wordWrap/>
              <w:overflowPunct/>
              <w:topLinePunct w:val="0"/>
              <w:bidi w:val="0"/>
              <w:spacing w:line="360" w:lineRule="auto"/>
              <w:ind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项目名称：</w:t>
            </w:r>
            <w:r>
              <w:rPr>
                <w:rFonts w:hint="eastAsia" w:ascii="宋体" w:hAnsi="宋体" w:cs="宋体"/>
                <w:color w:val="000000" w:themeColor="text1"/>
                <w:sz w:val="24"/>
                <w:szCs w:val="24"/>
                <w:highlight w:val="none"/>
                <w:lang w:eastAsia="zh-CN"/>
                <w14:textFill>
                  <w14:solidFill>
                    <w14:schemeClr w14:val="tx1"/>
                  </w14:solidFill>
                </w14:textFill>
              </w:rPr>
              <w:t>杭锦旗库布齐1500万吨/a（朔方新能源大基地）供水工程</w:t>
            </w:r>
          </w:p>
          <w:p w14:paraId="40855068">
            <w:pPr>
              <w:keepNext w:val="0"/>
              <w:keepLines w:val="0"/>
              <w:pageBreakBefore w:val="0"/>
              <w:kinsoku/>
              <w:wordWrap/>
              <w:overflowPunct/>
              <w:topLinePunct w:val="0"/>
              <w:bidi w:val="0"/>
              <w:spacing w:line="360" w:lineRule="auto"/>
              <w:ind w:right="0" w:firstLine="480"/>
              <w:textAlignment w:val="auto"/>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建设单位：</w:t>
            </w:r>
            <w:r>
              <w:rPr>
                <w:rFonts w:hint="eastAsia" w:ascii="宋体" w:hAnsi="宋体" w:cs="宋体"/>
                <w:color w:val="000000" w:themeColor="text1"/>
                <w:sz w:val="24"/>
                <w:szCs w:val="24"/>
                <w:highlight w:val="none"/>
                <w:lang w:eastAsia="zh-CN"/>
                <w14:textFill>
                  <w14:solidFill>
                    <w14:schemeClr w14:val="tx1"/>
                  </w14:solidFill>
                </w14:textFill>
              </w:rPr>
              <w:t>鄂尔多斯市泽鑫水务投资集团有限公司</w:t>
            </w:r>
          </w:p>
          <w:p w14:paraId="2BD7838D">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cs="Times New Roman"/>
                <w:bCs/>
                <w:color w:val="000000" w:themeColor="text1"/>
                <w:sz w:val="24"/>
                <w:szCs w:val="24"/>
                <w:highlight w:val="none"/>
                <w:lang w:eastAsia="zh-CN"/>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建设地点：</w:t>
            </w:r>
            <w:r>
              <w:rPr>
                <w:rFonts w:hint="eastAsia" w:ascii="宋体" w:hAnsi="宋体" w:cs="宋体"/>
                <w:sz w:val="24"/>
                <w:szCs w:val="24"/>
                <w:highlight w:val="none"/>
                <w:u w:val="none"/>
                <w:lang w:eastAsia="zh-CN"/>
              </w:rPr>
              <w:t>内蒙古</w:t>
            </w:r>
            <w:r>
              <w:rPr>
                <w:rFonts w:hint="eastAsia" w:ascii="宋体" w:hAnsi="宋体" w:cs="宋体"/>
                <w:sz w:val="24"/>
                <w:szCs w:val="24"/>
                <w:highlight w:val="none"/>
                <w:u w:val="none"/>
              </w:rPr>
              <w:t>自治区</w:t>
            </w:r>
            <w:r>
              <w:rPr>
                <w:rFonts w:hint="eastAsia" w:ascii="宋体" w:hAnsi="宋体" w:cs="宋体"/>
                <w:sz w:val="24"/>
                <w:szCs w:val="24"/>
                <w:highlight w:val="none"/>
                <w:u w:val="none"/>
                <w:lang w:eastAsia="zh-CN"/>
              </w:rPr>
              <w:t>鄂尔多斯市杭锦旗吉日嘎朗图镇</w:t>
            </w:r>
          </w:p>
          <w:p w14:paraId="27FE54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000000" w:themeColor="text1"/>
                <w:sz w:val="24"/>
                <w:szCs w:val="24"/>
                <w:highlight w:val="none"/>
                <w14:textFill>
                  <w14:solidFill>
                    <w14:schemeClr w14:val="tx1"/>
                  </w14:solidFill>
                </w14:textFill>
              </w:rPr>
            </w:pPr>
            <w:r>
              <w:rPr>
                <w:rFonts w:hint="eastAsia" w:cs="Times New Roman"/>
                <w:bCs/>
                <w:color w:val="000000" w:themeColor="text1"/>
                <w:sz w:val="24"/>
                <w:szCs w:val="24"/>
                <w:highlight w:val="none"/>
                <w:lang w:val="en-US" w:eastAsia="zh-CN"/>
                <w14:textFill>
                  <w14:solidFill>
                    <w14:schemeClr w14:val="tx1"/>
                  </w14:solidFill>
                </w14:textFill>
              </w:rPr>
              <w:t>占地面积：</w:t>
            </w:r>
            <w:r>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t>占地面积</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164426.21m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t>，其中永久占地面积</w:t>
            </w:r>
            <w:r>
              <w:rPr>
                <w:rFonts w:hint="default" w:ascii="Times New Roman" w:hAnsi="Times New Roman" w:eastAsia="宋体" w:cs="Times New Roman"/>
                <w:color w:val="auto"/>
                <w:spacing w:val="0"/>
                <w:sz w:val="24"/>
                <w:szCs w:val="24"/>
                <w:highlight w:val="none"/>
                <w:lang w:eastAsia="zh-CN"/>
              </w:rPr>
              <w:t>108915.3396</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t>，临时占地面积</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55510.8704</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cs="Times New Roman"/>
                <w:color w:val="000000" w:themeColor="text1"/>
                <w:kern w:val="2"/>
                <w:sz w:val="24"/>
                <w:szCs w:val="24"/>
                <w:highlight w:val="none"/>
                <w:vertAlign w:val="baseline"/>
                <w:lang w:val="en-US" w:eastAsia="zh-CN"/>
                <w14:textFill>
                  <w14:solidFill>
                    <w14:schemeClr w14:val="tx1"/>
                  </w14:solidFill>
                </w14:textFill>
              </w:rPr>
              <w:t>。</w:t>
            </w:r>
          </w:p>
          <w:p w14:paraId="697F0CF6">
            <w:pPr>
              <w:keepNext w:val="0"/>
              <w:keepLines w:val="0"/>
              <w:pageBreakBefore w:val="0"/>
              <w:kinsoku/>
              <w:wordWrap/>
              <w:overflowPunct/>
              <w:topLinePunct w:val="0"/>
              <w:bidi w:val="0"/>
              <w:spacing w:line="360" w:lineRule="auto"/>
              <w:ind w:right="0" w:firstLine="480"/>
              <w:textAlignment w:val="auto"/>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建设性质</w:t>
            </w:r>
            <w:r>
              <w:rPr>
                <w:rFonts w:hint="eastAsia"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Cs/>
                <w:color w:val="000000" w:themeColor="text1"/>
                <w:sz w:val="24"/>
                <w:szCs w:val="24"/>
                <w:highlight w:val="none"/>
                <w14:textFill>
                  <w14:solidFill>
                    <w14:schemeClr w14:val="tx1"/>
                  </w14:solidFill>
                </w14:textFill>
              </w:rPr>
              <w:t>新建</w:t>
            </w:r>
          </w:p>
          <w:p w14:paraId="741721AA">
            <w:pPr>
              <w:keepNext w:val="0"/>
              <w:keepLines w:val="0"/>
              <w:pageBreakBefore w:val="0"/>
              <w:kinsoku/>
              <w:wordWrap/>
              <w:overflowPunct/>
              <w:topLinePunct w:val="0"/>
              <w:bidi w:val="0"/>
              <w:spacing w:line="360" w:lineRule="auto"/>
              <w:ind w:right="0" w:firstLine="480"/>
              <w:textAlignment w:val="auto"/>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投资规模</w:t>
            </w:r>
            <w:r>
              <w:rPr>
                <w:rFonts w:hint="eastAsia"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Cs/>
                <w:color w:val="000000" w:themeColor="text1"/>
                <w:sz w:val="24"/>
                <w:szCs w:val="24"/>
                <w:highlight w:val="none"/>
                <w14:textFill>
                  <w14:solidFill>
                    <w14:schemeClr w14:val="tx1"/>
                  </w14:solidFill>
                </w14:textFill>
              </w:rPr>
              <w:t>总投资为</w:t>
            </w:r>
            <w:r>
              <w:rPr>
                <w:rFonts w:hint="eastAsia" w:cs="Times New Roman"/>
                <w:color w:val="000000" w:themeColor="text1"/>
                <w:sz w:val="24"/>
                <w:szCs w:val="24"/>
                <w:highlight w:val="none"/>
                <w:lang w:val="en-US" w:eastAsia="zh-CN"/>
                <w14:textFill>
                  <w14:solidFill>
                    <w14:schemeClr w14:val="tx1"/>
                  </w14:solidFill>
                </w14:textFill>
              </w:rPr>
              <w:t>2202.3</w:t>
            </w:r>
            <w:r>
              <w:rPr>
                <w:rFonts w:hint="default" w:ascii="Times New Roman" w:hAnsi="Times New Roman" w:cs="Times New Roman"/>
                <w:bCs/>
                <w:color w:val="000000" w:themeColor="text1"/>
                <w:sz w:val="24"/>
                <w:szCs w:val="24"/>
                <w:highlight w:val="none"/>
                <w14:textFill>
                  <w14:solidFill>
                    <w14:schemeClr w14:val="tx1"/>
                  </w14:solidFill>
                </w14:textFill>
              </w:rPr>
              <w:t>万元，其中环保投资</w:t>
            </w:r>
            <w:r>
              <w:rPr>
                <w:rFonts w:hint="eastAsia" w:ascii="Times New Roman" w:hAnsi="Times New Roman" w:cs="Times New Roman" w:eastAsiaTheme="minorEastAsia"/>
                <w:color w:val="auto"/>
                <w:sz w:val="24"/>
                <w:szCs w:val="24"/>
                <w:highlight w:val="none"/>
                <w:lang w:val="en-US" w:eastAsia="zh-CN" w:bidi="en-US"/>
              </w:rPr>
              <w:t>4</w:t>
            </w:r>
            <w:r>
              <w:rPr>
                <w:rFonts w:hint="eastAsia" w:cs="Times New Roman" w:eastAsiaTheme="minorEastAsia"/>
                <w:color w:val="auto"/>
                <w:sz w:val="24"/>
                <w:szCs w:val="24"/>
                <w:highlight w:val="none"/>
                <w:lang w:val="en-US" w:eastAsia="zh-CN" w:bidi="en-US"/>
              </w:rPr>
              <w:t>4</w:t>
            </w:r>
            <w:r>
              <w:rPr>
                <w:rFonts w:hint="eastAsia" w:ascii="Times New Roman" w:hAnsi="Times New Roman" w:cs="Times New Roman" w:eastAsiaTheme="minorEastAsia"/>
                <w:color w:val="auto"/>
                <w:sz w:val="24"/>
                <w:szCs w:val="24"/>
                <w:highlight w:val="none"/>
                <w:lang w:val="en-US" w:eastAsia="zh-CN" w:bidi="en-US"/>
              </w:rPr>
              <w:t>.1</w:t>
            </w:r>
            <w:r>
              <w:rPr>
                <w:rFonts w:hint="default" w:ascii="Times New Roman" w:hAnsi="Times New Roman" w:cs="Times New Roman"/>
                <w:bCs/>
                <w:color w:val="000000" w:themeColor="text1"/>
                <w:sz w:val="24"/>
                <w:szCs w:val="24"/>
                <w:highlight w:val="none"/>
                <w14:textFill>
                  <w14:solidFill>
                    <w14:schemeClr w14:val="tx1"/>
                  </w14:solidFill>
                </w14:textFill>
              </w:rPr>
              <w:t>万元，占总投资额的</w:t>
            </w:r>
            <w:r>
              <w:rPr>
                <w:rFonts w:hint="eastAsia" w:cs="Times New Roman"/>
                <w:bCs/>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bCs/>
                <w:color w:val="000000" w:themeColor="text1"/>
                <w:sz w:val="24"/>
                <w:szCs w:val="24"/>
                <w:highlight w:val="none"/>
                <w14:textFill>
                  <w14:solidFill>
                    <w14:schemeClr w14:val="tx1"/>
                  </w14:solidFill>
                </w14:textFill>
              </w:rPr>
              <w:t>%。</w:t>
            </w:r>
          </w:p>
          <w:p w14:paraId="5213B5AE">
            <w:pPr>
              <w:pStyle w:val="12"/>
              <w:keepNext w:val="0"/>
              <w:keepLines w:val="0"/>
              <w:pageBreakBefore w:val="0"/>
              <w:kinsoku/>
              <w:wordWrap/>
              <w:overflowPunct/>
              <w:topLinePunct w:val="0"/>
              <w:bidi w:val="0"/>
              <w:spacing w:before="0" w:after="0" w:line="360" w:lineRule="auto"/>
              <w:ind w:right="0" w:firstLine="482" w:firstLineChars="200"/>
              <w:textAlignment w:val="auto"/>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3</w:t>
            </w:r>
            <w:r>
              <w:rPr>
                <w:rFonts w:hint="eastAsia" w:cs="Times New Roman"/>
                <w:b/>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建设内容</w:t>
            </w:r>
            <w:r>
              <w:rPr>
                <w:rFonts w:hint="eastAsia" w:cs="Times New Roman"/>
                <w:b/>
                <w:color w:val="000000" w:themeColor="text1"/>
                <w:sz w:val="24"/>
                <w:szCs w:val="24"/>
                <w:highlight w:val="none"/>
                <w:lang w:val="en-US" w:eastAsia="zh-CN"/>
                <w14:textFill>
                  <w14:solidFill>
                    <w14:schemeClr w14:val="tx1"/>
                  </w14:solidFill>
                </w14:textFill>
              </w:rPr>
              <w:t>及规模</w:t>
            </w:r>
          </w:p>
          <w:p w14:paraId="54B34654">
            <w:pPr>
              <w:pStyle w:val="46"/>
              <w:rPr>
                <w:rFonts w:hint="eastAsia" w:eastAsia="宋体"/>
                <w:color w:val="000000" w:themeColor="text1"/>
                <w:sz w:val="24"/>
                <w:highlight w:val="none"/>
                <w:lang w:eastAsia="zh-CN"/>
                <w14:textFill>
                  <w14:solidFill>
                    <w14:schemeClr w14:val="tx1"/>
                  </w14:solidFill>
                </w14:textFill>
              </w:rPr>
            </w:pPr>
            <w:r>
              <w:rPr>
                <w:rFonts w:hint="default" w:ascii="Times New Roman" w:hAnsi="Times New Roman" w:eastAsia="宋体" w:cs="Times New Roman"/>
                <w:snapToGrid w:val="0"/>
                <w:color w:val="auto"/>
                <w:sz w:val="24"/>
                <w:szCs w:val="24"/>
                <w:highlight w:val="none"/>
                <w:lang w:val="en-US" w:eastAsia="zh-CN" w:bidi="ar-SA"/>
              </w:rPr>
              <w:t>本项目设计</w:t>
            </w:r>
            <w:r>
              <w:rPr>
                <w:rFonts w:hint="eastAsia"/>
                <w:highlight w:val="none"/>
                <w:lang w:eastAsia="zh-CN"/>
              </w:rPr>
              <w:t>年供输水量</w:t>
            </w:r>
            <w:r>
              <w:rPr>
                <w:rFonts w:hint="eastAsia"/>
                <w:highlight w:val="none"/>
                <w:lang w:val="en-US" w:eastAsia="zh-CN"/>
              </w:rPr>
              <w:t>1500万吨</w:t>
            </w:r>
            <w:r>
              <w:rPr>
                <w:rFonts w:hint="default" w:ascii="Times New Roman" w:hAnsi="Times New Roman" w:eastAsia="宋体" w:cs="Times New Roman"/>
                <w:snapToGrid w:val="0"/>
                <w:color w:val="auto"/>
                <w:sz w:val="24"/>
                <w:szCs w:val="24"/>
                <w:highlight w:val="none"/>
                <w:lang w:val="en-US" w:eastAsia="zh-CN" w:bidi="ar-SA"/>
              </w:rPr>
              <w:t>，供水工程包括蓄水池工程和输水工程两部分，蓄水池工程规模：蓄水池容量75万m³；输水工程</w:t>
            </w:r>
            <w:r>
              <w:rPr>
                <w:rFonts w:hint="eastAsia" w:ascii="Times New Roman" w:hAnsi="Times New Roman" w:cs="Times New Roman"/>
                <w:snapToGrid w:val="0"/>
                <w:color w:val="auto"/>
                <w:sz w:val="24"/>
                <w:szCs w:val="24"/>
                <w:highlight w:val="none"/>
                <w:lang w:val="en-US" w:eastAsia="zh-CN" w:bidi="ar-SA"/>
              </w:rPr>
              <w:t>：</w:t>
            </w:r>
            <w:r>
              <w:rPr>
                <w:rFonts w:hint="default" w:ascii="Times New Roman" w:hAnsi="Times New Roman" w:eastAsia="宋体" w:cs="Times New Roman"/>
                <w:snapToGrid w:val="0"/>
                <w:color w:val="auto"/>
                <w:sz w:val="24"/>
                <w:szCs w:val="24"/>
                <w:highlight w:val="none"/>
                <w:lang w:val="en-US" w:eastAsia="zh-CN" w:bidi="ar-SA"/>
              </w:rPr>
              <w:t>管道全长5.6km，采用管径DN800涂塑钢管。</w:t>
            </w:r>
            <w:r>
              <w:rPr>
                <w:rFonts w:hint="eastAsia"/>
                <w:color w:val="000000" w:themeColor="text1"/>
                <w:sz w:val="24"/>
                <w:highlight w:val="none"/>
                <w14:textFill>
                  <w14:solidFill>
                    <w14:schemeClr w14:val="tx1"/>
                  </w14:solidFill>
                </w14:textFill>
              </w:rPr>
              <w:t>本项目工程组成见表2</w:t>
            </w: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w:t>
            </w:r>
          </w:p>
          <w:p w14:paraId="42140BA7">
            <w:pPr>
              <w:jc w:val="center"/>
              <w:rPr>
                <w:rFonts w:hint="eastAsia"/>
                <w:b w:val="0"/>
                <w:bCs w:val="0"/>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表</w:t>
            </w:r>
            <w:r>
              <w:rPr>
                <w:rFonts w:hint="eastAsia"/>
                <w:b w:val="0"/>
                <w:bCs w:val="0"/>
                <w:color w:val="000000" w:themeColor="text1"/>
                <w:sz w:val="21"/>
                <w:szCs w:val="21"/>
                <w:highlight w:val="none"/>
                <w14:textFill>
                  <w14:solidFill>
                    <w14:schemeClr w14:val="tx1"/>
                  </w14:solidFill>
                </w14:textFill>
              </w:rPr>
              <w:t>2</w:t>
            </w:r>
            <w:r>
              <w:rPr>
                <w:b w:val="0"/>
                <w:bCs w:val="0"/>
                <w:color w:val="000000" w:themeColor="text1"/>
                <w:sz w:val="21"/>
                <w:szCs w:val="21"/>
                <w:highlight w:val="none"/>
                <w14:textFill>
                  <w14:solidFill>
                    <w14:schemeClr w14:val="tx1"/>
                  </w14:solidFill>
                </w14:textFill>
              </w:rPr>
              <w:t>-</w:t>
            </w:r>
            <w:r>
              <w:rPr>
                <w:rFonts w:hint="eastAsia"/>
                <w:b w:val="0"/>
                <w:bCs w:val="0"/>
                <w:color w:val="000000" w:themeColor="text1"/>
                <w:sz w:val="21"/>
                <w:szCs w:val="21"/>
                <w:highlight w:val="none"/>
                <w:lang w:val="en-US" w:eastAsia="zh-CN"/>
                <w14:textFill>
                  <w14:solidFill>
                    <w14:schemeClr w14:val="tx1"/>
                  </w14:solidFill>
                </w14:textFill>
              </w:rPr>
              <w:t>2</w:t>
            </w:r>
            <w:r>
              <w:rPr>
                <w:b w:val="0"/>
                <w:bCs w:val="0"/>
                <w:color w:val="000000" w:themeColor="text1"/>
                <w:sz w:val="21"/>
                <w:szCs w:val="21"/>
                <w:highlight w:val="none"/>
                <w14:textFill>
                  <w14:solidFill>
                    <w14:schemeClr w14:val="tx1"/>
                  </w14:solidFill>
                </w14:textFill>
              </w:rPr>
              <w:t xml:space="preserve">  工程组成一览表</w:t>
            </w:r>
          </w:p>
          <w:tbl>
            <w:tblPr>
              <w:tblStyle w:val="19"/>
              <w:tblW w:w="813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8"/>
              <w:gridCol w:w="987"/>
              <w:gridCol w:w="6307"/>
              <w:gridCol w:w="427"/>
            </w:tblGrid>
            <w:tr w14:paraId="008C68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56" w:type="pct"/>
                  <w:noWrap w:val="0"/>
                  <w:vAlign w:val="center"/>
                </w:tcPr>
                <w:p w14:paraId="2DAD022A">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分类</w:t>
                  </w:r>
                </w:p>
              </w:tc>
              <w:tc>
                <w:tcPr>
                  <w:tcW w:w="606" w:type="pct"/>
                  <w:noWrap w:val="0"/>
                  <w:vAlign w:val="center"/>
                </w:tcPr>
                <w:p w14:paraId="6D22F6C5">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工程</w:t>
                  </w:r>
                </w:p>
                <w:p w14:paraId="6F00D5AE">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名称</w:t>
                  </w:r>
                </w:p>
              </w:tc>
              <w:tc>
                <w:tcPr>
                  <w:tcW w:w="3874" w:type="pct"/>
                  <w:noWrap w:val="0"/>
                  <w:vAlign w:val="center"/>
                </w:tcPr>
                <w:p w14:paraId="2A61E63E">
                  <w:pPr>
                    <w:pStyle w:val="13"/>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主要建设内容</w:t>
                  </w:r>
                </w:p>
              </w:tc>
              <w:tc>
                <w:tcPr>
                  <w:tcW w:w="262" w:type="pct"/>
                  <w:noWrap w:val="0"/>
                  <w:vAlign w:val="center"/>
                </w:tcPr>
                <w:p w14:paraId="34EB94C4">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备注</w:t>
                  </w:r>
                </w:p>
              </w:tc>
            </w:tr>
            <w:tr w14:paraId="2430AA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restart"/>
                  <w:noWrap w:val="0"/>
                  <w:vAlign w:val="center"/>
                </w:tcPr>
                <w:p w14:paraId="1D1D5839">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主体</w:t>
                  </w:r>
                </w:p>
                <w:p w14:paraId="39447A66">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工程</w:t>
                  </w:r>
                </w:p>
              </w:tc>
              <w:tc>
                <w:tcPr>
                  <w:tcW w:w="606" w:type="pct"/>
                  <w:noWrap w:val="0"/>
                  <w:vAlign w:val="center"/>
                </w:tcPr>
                <w:p w14:paraId="6CAC8626">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auto"/>
                      <w:kern w:val="2"/>
                      <w:sz w:val="21"/>
                      <w:szCs w:val="21"/>
                      <w:highlight w:val="none"/>
                      <w:lang w:val="en-US" w:eastAsia="zh-CN" w:bidi="ar-SA"/>
                    </w:rPr>
                    <w:t>蓄水池工程</w:t>
                  </w:r>
                </w:p>
              </w:tc>
              <w:tc>
                <w:tcPr>
                  <w:tcW w:w="3874" w:type="pct"/>
                  <w:noWrap w:val="0"/>
                  <w:vAlign w:val="center"/>
                </w:tcPr>
                <w:p w14:paraId="0D4C185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本工程</w:t>
                  </w:r>
                  <w:r>
                    <w:rPr>
                      <w:rFonts w:hint="default" w:ascii="Times New Roman" w:hAnsi="Times New Roman" w:eastAsia="宋体" w:cs="Times New Roman"/>
                      <w:color w:val="auto"/>
                      <w:sz w:val="21"/>
                      <w:szCs w:val="21"/>
                      <w:highlight w:val="none"/>
                    </w:rPr>
                    <w:t>设</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座</w:t>
                  </w:r>
                  <w:r>
                    <w:rPr>
                      <w:rFonts w:hint="default" w:ascii="Times New Roman" w:hAnsi="Times New Roman" w:eastAsia="宋体" w:cs="Times New Roman"/>
                      <w:color w:val="auto"/>
                      <w:sz w:val="21"/>
                      <w:szCs w:val="21"/>
                      <w:highlight w:val="none"/>
                      <w:lang w:val="en-US" w:eastAsia="zh-CN"/>
                    </w:rPr>
                    <w:t>蓄水池</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eastAsia="zh-CN"/>
                    </w:rPr>
                    <w:t>蓄水池</w:t>
                  </w:r>
                  <w:r>
                    <w:rPr>
                      <w:rFonts w:hint="eastAsia" w:ascii="宋体" w:hAnsi="宋体" w:eastAsia="宋体" w:cs="宋体"/>
                      <w:bCs/>
                      <w:color w:val="auto"/>
                      <w:kern w:val="2"/>
                      <w:sz w:val="21"/>
                      <w:szCs w:val="21"/>
                      <w:highlight w:val="none"/>
                      <w:lang w:val="en-US" w:eastAsia="zh-CN" w:bidi="ar-SA"/>
                    </w:rPr>
                    <w:t>工程</w:t>
                  </w:r>
                  <w:r>
                    <w:rPr>
                      <w:rFonts w:hint="default" w:ascii="Times New Roman" w:hAnsi="Times New Roman" w:eastAsia="宋体" w:cs="Times New Roman"/>
                      <w:color w:val="auto"/>
                      <w:sz w:val="21"/>
                      <w:szCs w:val="21"/>
                      <w:highlight w:val="none"/>
                      <w:lang w:eastAsia="zh-CN"/>
                    </w:rPr>
                    <w:t>占地面积108854.97</w:t>
                  </w:r>
                  <w:r>
                    <w:rPr>
                      <w:rFonts w:hint="eastAsia" w:ascii="Times New Roman" w:hAnsi="Times New Roman" w:eastAsia="宋体" w:cs="Times New Roman"/>
                      <w:color w:val="auto"/>
                      <w:sz w:val="21"/>
                      <w:szCs w:val="21"/>
                      <w:highlight w:val="none"/>
                      <w:lang w:val="en-US" w:eastAsia="zh-CN"/>
                    </w:rPr>
                    <w:t>m</w:t>
                  </w:r>
                  <w:r>
                    <w:rPr>
                      <w:rFonts w:hint="eastAsia"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主要工程内容有蓄水池、坝顶道路以及</w:t>
                  </w:r>
                  <w:r>
                    <w:rPr>
                      <w:rFonts w:hint="default" w:ascii="Times New Roman" w:hAnsi="Times New Roman" w:eastAsia="宋体" w:cs="Times New Roman"/>
                      <w:snapToGrid/>
                      <w:color w:val="auto"/>
                      <w:kern w:val="2"/>
                      <w:sz w:val="21"/>
                      <w:szCs w:val="21"/>
                      <w:highlight w:val="none"/>
                      <w:lang w:val="en-US" w:eastAsia="zh-CN" w:bidi="ar-SA"/>
                    </w:rPr>
                    <w:t>绿化带</w:t>
                  </w:r>
                  <w:r>
                    <w:rPr>
                      <w:rFonts w:hint="eastAsia" w:ascii="Times New Roman" w:hAnsi="Times New Roman" w:eastAsia="宋体" w:cs="Times New Roman"/>
                      <w:snapToGrid/>
                      <w:color w:val="auto"/>
                      <w:kern w:val="2"/>
                      <w:sz w:val="21"/>
                      <w:szCs w:val="21"/>
                      <w:highlight w:val="none"/>
                      <w:lang w:val="en-US" w:eastAsia="zh-CN" w:bidi="ar-SA"/>
                    </w:rPr>
                    <w:t>。</w:t>
                  </w:r>
                </w:p>
                <w:p w14:paraId="08A16BB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蓄水池占地面积85542</w:t>
                  </w:r>
                  <w:r>
                    <w:rPr>
                      <w:rFonts w:hint="eastAsia" w:ascii="Times New Roman" w:hAnsi="Times New Roman" w:eastAsia="宋体" w:cs="Times New Roman"/>
                      <w:color w:val="auto"/>
                      <w:sz w:val="21"/>
                      <w:szCs w:val="21"/>
                      <w:highlight w:val="none"/>
                      <w:lang w:val="en-US" w:eastAsia="zh-CN"/>
                    </w:rPr>
                    <w:t>m</w:t>
                  </w:r>
                  <w:r>
                    <w:rPr>
                      <w:rFonts w:hint="eastAsia"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蓄水池有效容积为75万m³</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snapToGrid/>
                      <w:color w:val="auto"/>
                      <w:kern w:val="2"/>
                      <w:sz w:val="21"/>
                      <w:szCs w:val="21"/>
                      <w:highlight w:val="none"/>
                      <w:lang w:val="en-US" w:eastAsia="zh-CN" w:bidi="ar-SA"/>
                    </w:rPr>
                    <w:t>坝顶宽为10m，坝顶设置网围栏，砂石路及绿化带，</w:t>
                  </w:r>
                  <w:r>
                    <w:rPr>
                      <w:rFonts w:hint="default" w:ascii="Times New Roman" w:hAnsi="Times New Roman" w:eastAsia="宋体" w:cs="Times New Roman"/>
                      <w:color w:val="auto"/>
                      <w:sz w:val="21"/>
                      <w:szCs w:val="21"/>
                      <w:highlight w:val="none"/>
                      <w:lang w:val="en-US" w:eastAsia="zh-CN"/>
                    </w:rPr>
                    <w:t>蓄水池池底高程1104.05m，池顶设计高程1114.05，设计水位高程1111.55m。蓄水池内坡比1:4，边坡采用1.5mm厚HDPE土工膜防渗及护坡</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蓄水池池底采用20</w:t>
                  </w:r>
                  <w:r>
                    <w:rPr>
                      <w:rFonts w:hint="eastAsia" w:cs="Times New Roman"/>
                      <w:color w:val="auto"/>
                      <w:sz w:val="21"/>
                      <w:szCs w:val="21"/>
                      <w:highlight w:val="none"/>
                      <w:lang w:val="en-US" w:eastAsia="zh-CN"/>
                    </w:rPr>
                    <w:t>0m</w:t>
                  </w:r>
                  <w:r>
                    <w:rPr>
                      <w:rFonts w:hint="default" w:ascii="Times New Roman" w:hAnsi="Times New Roman" w:eastAsia="宋体" w:cs="Times New Roman"/>
                      <w:color w:val="auto"/>
                      <w:sz w:val="21"/>
                      <w:szCs w:val="21"/>
                      <w:highlight w:val="none"/>
                      <w:lang w:val="en-US" w:eastAsia="zh-CN"/>
                    </w:rPr>
                    <w:t>m素土回填，上铺1.5mm厚HDPE土工膜防渗，土工膜上铺设15</w:t>
                  </w:r>
                  <w:r>
                    <w:rPr>
                      <w:rFonts w:hint="eastAsia" w:cs="Times New Roman"/>
                      <w:color w:val="auto"/>
                      <w:sz w:val="21"/>
                      <w:szCs w:val="21"/>
                      <w:highlight w:val="none"/>
                      <w:lang w:val="en-US" w:eastAsia="zh-CN"/>
                    </w:rPr>
                    <w:t>0m</w:t>
                  </w:r>
                  <w:r>
                    <w:rPr>
                      <w:rFonts w:hint="default" w:ascii="Times New Roman" w:hAnsi="Times New Roman" w:eastAsia="宋体" w:cs="Times New Roman"/>
                      <w:color w:val="auto"/>
                      <w:sz w:val="21"/>
                      <w:szCs w:val="21"/>
                      <w:highlight w:val="none"/>
                      <w:lang w:val="en-US" w:eastAsia="zh-CN"/>
                    </w:rPr>
                    <w:t>m厚砂砾石</w:t>
                  </w:r>
                  <w:r>
                    <w:rPr>
                      <w:rFonts w:hint="eastAsia" w:cs="Times New Roman"/>
                      <w:color w:val="auto"/>
                      <w:sz w:val="21"/>
                      <w:szCs w:val="21"/>
                      <w:highlight w:val="none"/>
                      <w:lang w:val="en-US" w:eastAsia="zh-CN"/>
                    </w:rPr>
                    <w:t>垫</w:t>
                  </w:r>
                  <w:r>
                    <w:rPr>
                      <w:rFonts w:hint="default" w:ascii="Times New Roman" w:hAnsi="Times New Roman" w:eastAsia="宋体" w:cs="Times New Roman"/>
                      <w:color w:val="auto"/>
                      <w:sz w:val="21"/>
                      <w:szCs w:val="21"/>
                      <w:highlight w:val="none"/>
                      <w:lang w:val="en-US" w:eastAsia="zh-CN"/>
                    </w:rPr>
                    <w:t>层</w:t>
                  </w:r>
                  <w:r>
                    <w:rPr>
                      <w:rFonts w:hint="default" w:ascii="Times New Roman" w:hAnsi="Times New Roman" w:eastAsia="宋体" w:cs="Times New Roman"/>
                      <w:color w:val="auto"/>
                      <w:sz w:val="21"/>
                      <w:szCs w:val="21"/>
                      <w:highlight w:val="none"/>
                    </w:rPr>
                    <w:t>。</w:t>
                  </w:r>
                </w:p>
                <w:p w14:paraId="045D6D1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color w:val="auto"/>
                      <w:kern w:val="2"/>
                      <w:sz w:val="21"/>
                      <w:szCs w:val="21"/>
                      <w:highlight w:val="none"/>
                      <w:lang w:val="en-US" w:eastAsia="zh-CN" w:bidi="ar-SA"/>
                    </w:rPr>
                    <w:t>进水口管顶高程1112.25，进水口消力结构采用2m</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1m</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0.4m铅丝石笼消力</w:t>
                  </w:r>
                  <w:r>
                    <w:rPr>
                      <w:rFonts w:hint="eastAsia"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消力池长18m，宽4m</w:t>
                  </w:r>
                  <w:r>
                    <w:rPr>
                      <w:rFonts w:hint="eastAsia" w:cs="Times New Roman"/>
                      <w:snapToGrid/>
                      <w:color w:val="auto"/>
                      <w:kern w:val="2"/>
                      <w:sz w:val="21"/>
                      <w:szCs w:val="21"/>
                      <w:highlight w:val="none"/>
                      <w:lang w:val="en-US" w:eastAsia="zh-CN" w:bidi="ar-SA"/>
                    </w:rPr>
                    <w:t>。</w:t>
                  </w:r>
                  <w:r>
                    <w:rPr>
                      <w:rFonts w:hint="eastAsia" w:ascii="Times New Roman" w:hAnsi="Times New Roman" w:eastAsia="宋体" w:cs="Times New Roman"/>
                      <w:snapToGrid/>
                      <w:color w:val="auto"/>
                      <w:kern w:val="2"/>
                      <w:sz w:val="21"/>
                      <w:szCs w:val="21"/>
                      <w:highlight w:val="none"/>
                      <w:lang w:val="en-US" w:eastAsia="zh-CN" w:bidi="ar-SA"/>
                    </w:rPr>
                    <w:t>消力池池体结构为HDPE土工膜（1.5mm）+砂砾料垫层100mm+格宾石笼护底400mm</w:t>
                  </w:r>
                  <w:r>
                    <w:rPr>
                      <w:rFonts w:hint="default" w:ascii="Times New Roman" w:hAnsi="Times New Roman" w:eastAsia="宋体" w:cs="Times New Roman"/>
                      <w:snapToGrid/>
                      <w:color w:val="auto"/>
                      <w:kern w:val="2"/>
                      <w:sz w:val="21"/>
                      <w:szCs w:val="21"/>
                      <w:highlight w:val="none"/>
                      <w:lang w:val="en-US" w:eastAsia="zh-CN" w:bidi="ar-SA"/>
                    </w:rPr>
                    <w:t>。</w:t>
                  </w:r>
                </w:p>
                <w:p w14:paraId="1CAD506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宋体" w:hAnsi="宋体" w:eastAsia="宋体" w:cs="宋体"/>
                      <w:snapToGrid w:val="0"/>
                      <w:color w:val="000000"/>
                      <w:sz w:val="21"/>
                      <w:szCs w:val="21"/>
                      <w:highlight w:val="none"/>
                      <w:lang w:val="en-US" w:eastAsia="zh-CN" w:bidi="ar-SA"/>
                    </w:rPr>
                  </w:pPr>
                  <w:r>
                    <w:rPr>
                      <w:rFonts w:hint="eastAsia" w:ascii="Times New Roman" w:hAnsi="Times New Roman" w:eastAsia="宋体" w:cs="Times New Roman"/>
                      <w:snapToGrid/>
                      <w:color w:val="auto"/>
                      <w:kern w:val="2"/>
                      <w:sz w:val="21"/>
                      <w:szCs w:val="21"/>
                      <w:highlight w:val="none"/>
                      <w:lang w:val="en-US" w:eastAsia="zh-CN" w:bidi="ar-SA"/>
                    </w:rPr>
                    <w:t>坝顶设置</w:t>
                  </w:r>
                  <w:r>
                    <w:rPr>
                      <w:rFonts w:hint="default" w:ascii="Times New Roman" w:hAnsi="Times New Roman" w:eastAsia="宋体" w:cs="Times New Roman"/>
                      <w:snapToGrid/>
                      <w:color w:val="auto"/>
                      <w:kern w:val="2"/>
                      <w:sz w:val="21"/>
                      <w:szCs w:val="21"/>
                      <w:highlight w:val="none"/>
                      <w:lang w:val="en-US" w:eastAsia="zh-CN" w:bidi="ar-SA"/>
                    </w:rPr>
                    <w:t>网围栏</w:t>
                  </w:r>
                  <w:r>
                    <w:rPr>
                      <w:rFonts w:hint="eastAsia" w:ascii="Times New Roman" w:hAnsi="Times New Roman" w:eastAsia="宋体" w:cs="Times New Roman"/>
                      <w:snapToGrid/>
                      <w:color w:val="auto"/>
                      <w:kern w:val="2"/>
                      <w:sz w:val="21"/>
                      <w:szCs w:val="21"/>
                      <w:highlight w:val="none"/>
                      <w:lang w:val="en-US" w:eastAsia="zh-CN" w:bidi="ar-SA"/>
                    </w:rPr>
                    <w:t>，网围栏</w:t>
                  </w:r>
                  <w:r>
                    <w:rPr>
                      <w:rFonts w:hint="default" w:ascii="Times New Roman" w:hAnsi="Times New Roman" w:eastAsia="宋体" w:cs="Times New Roman"/>
                      <w:snapToGrid/>
                      <w:color w:val="auto"/>
                      <w:kern w:val="2"/>
                      <w:sz w:val="21"/>
                      <w:szCs w:val="21"/>
                      <w:highlight w:val="none"/>
                      <w:lang w:val="en-US" w:eastAsia="zh-CN" w:bidi="ar-SA"/>
                    </w:rPr>
                    <w:t>由钢立柱和刺铁丝网片组成，共设计网围栏长度1560米。</w:t>
                  </w:r>
                  <w:r>
                    <w:rPr>
                      <w:rFonts w:hint="eastAsia"/>
                      <w:highlight w:val="none"/>
                      <w:lang w:eastAsia="zh-CN"/>
                    </w:rPr>
                    <w:t>坝顶宽度约为</w:t>
                  </w:r>
                  <w:r>
                    <w:rPr>
                      <w:rFonts w:hint="eastAsia"/>
                      <w:highlight w:val="none"/>
                      <w:lang w:val="en-US" w:eastAsia="zh-CN"/>
                    </w:rPr>
                    <w:t>10m。</w:t>
                  </w:r>
                </w:p>
              </w:tc>
              <w:tc>
                <w:tcPr>
                  <w:tcW w:w="262" w:type="pct"/>
                  <w:vMerge w:val="restart"/>
                  <w:noWrap w:val="0"/>
                  <w:vAlign w:val="center"/>
                </w:tcPr>
                <w:p w14:paraId="2E4F4676">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新建</w:t>
                  </w:r>
                </w:p>
              </w:tc>
            </w:tr>
            <w:tr w14:paraId="6FC49F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256" w:type="pct"/>
                  <w:vMerge w:val="continue"/>
                  <w:noWrap w:val="0"/>
                  <w:vAlign w:val="center"/>
                </w:tcPr>
                <w:p w14:paraId="639B3766">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sz w:val="21"/>
                      <w:szCs w:val="21"/>
                      <w:highlight w:val="none"/>
                    </w:rPr>
                  </w:pPr>
                </w:p>
              </w:tc>
              <w:tc>
                <w:tcPr>
                  <w:tcW w:w="606" w:type="pct"/>
                  <w:noWrap w:val="0"/>
                  <w:vAlign w:val="center"/>
                </w:tcPr>
                <w:p w14:paraId="0617D134">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输水工程</w:t>
                  </w:r>
                </w:p>
              </w:tc>
              <w:tc>
                <w:tcPr>
                  <w:tcW w:w="3874" w:type="pct"/>
                  <w:noWrap w:val="0"/>
                  <w:vAlign w:val="center"/>
                </w:tcPr>
                <w:p w14:paraId="0EC94D15">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输水工程管道</w:t>
                  </w:r>
                  <w:r>
                    <w:rPr>
                      <w:rFonts w:hint="eastAsia" w:ascii="宋体" w:hAnsi="宋体" w:eastAsia="宋体" w:cs="宋体"/>
                      <w:color w:val="000000"/>
                      <w:sz w:val="21"/>
                      <w:szCs w:val="21"/>
                      <w:highlight w:val="none"/>
                      <w:lang w:eastAsia="zh-CN"/>
                    </w:rPr>
                    <w:t>全长5.6km</w:t>
                  </w:r>
                  <w:r>
                    <w:rPr>
                      <w:rFonts w:hint="eastAsia" w:ascii="宋体" w:hAnsi="宋体" w:eastAsia="宋体" w:cs="宋体"/>
                      <w:color w:val="000000"/>
                      <w:sz w:val="21"/>
                      <w:szCs w:val="21"/>
                      <w:highlight w:val="none"/>
                    </w:rPr>
                    <w:t>，单管</w:t>
                  </w:r>
                  <w:r>
                    <w:rPr>
                      <w:rFonts w:hint="eastAsia" w:ascii="宋体" w:hAnsi="宋体" w:eastAsia="宋体" w:cs="宋体"/>
                      <w:color w:val="000000"/>
                      <w:sz w:val="21"/>
                      <w:szCs w:val="21"/>
                      <w:highlight w:val="none"/>
                      <w:lang w:eastAsia="zh-CN"/>
                    </w:rPr>
                    <w:t>布设，设计输水能力4.1万</w:t>
                  </w:r>
                  <w:r>
                    <w:rPr>
                      <w:rFonts w:hint="default" w:ascii="Times New Roman" w:hAnsi="Times New Roman" w:eastAsia="宋体" w:cs="Times New Roman"/>
                      <w:color w:val="000000"/>
                      <w:sz w:val="21"/>
                      <w:szCs w:val="21"/>
                      <w:highlight w:val="none"/>
                      <w:lang w:eastAsia="zh-CN"/>
                    </w:rPr>
                    <w:t>m</w:t>
                  </w:r>
                  <w:r>
                    <w:rPr>
                      <w:rFonts w:hint="default" w:ascii="Times New Roman" w:hAnsi="Times New Roman" w:cs="Times New Roman"/>
                      <w:color w:val="000000"/>
                      <w:sz w:val="21"/>
                      <w:szCs w:val="21"/>
                      <w:highlight w:val="none"/>
                      <w:vertAlign w:val="superscript"/>
                      <w:lang w:val="en-US" w:eastAsia="zh-CN"/>
                    </w:rPr>
                    <w:t>3</w:t>
                  </w:r>
                  <w:r>
                    <w:rPr>
                      <w:rFonts w:hint="default" w:ascii="Times New Roman" w:hAnsi="Times New Roman" w:eastAsia="宋体" w:cs="Times New Roman"/>
                      <w:color w:val="000000"/>
                      <w:sz w:val="21"/>
                      <w:szCs w:val="21"/>
                      <w:highlight w:val="none"/>
                      <w:lang w:eastAsia="zh-CN"/>
                    </w:rPr>
                    <w:t>/d</w:t>
                  </w:r>
                  <w:r>
                    <w:rPr>
                      <w:rFonts w:hint="eastAsia" w:ascii="宋体" w:hAnsi="宋体" w:eastAsia="宋体" w:cs="宋体"/>
                      <w:color w:val="000000"/>
                      <w:sz w:val="21"/>
                      <w:szCs w:val="21"/>
                      <w:highlight w:val="none"/>
                      <w:lang w:eastAsia="zh-CN"/>
                    </w:rPr>
                    <w:t>，管径为</w:t>
                  </w:r>
                  <w:r>
                    <w:rPr>
                      <w:rFonts w:hint="default" w:ascii="Times New Roman" w:hAnsi="Times New Roman" w:eastAsia="宋体" w:cs="Times New Roman"/>
                      <w:color w:val="000000"/>
                      <w:sz w:val="21"/>
                      <w:szCs w:val="21"/>
                      <w:highlight w:val="none"/>
                      <w:lang w:eastAsia="zh-CN"/>
                    </w:rPr>
                    <w:t>DN800</w:t>
                  </w:r>
                  <w:r>
                    <w:rPr>
                      <w:rFonts w:hint="eastAsia" w:ascii="宋体" w:hAnsi="宋体" w:eastAsia="宋体" w:cs="宋体"/>
                      <w:color w:val="000000"/>
                      <w:sz w:val="21"/>
                      <w:szCs w:val="21"/>
                      <w:highlight w:val="none"/>
                      <w:lang w:eastAsia="zh-CN"/>
                    </w:rPr>
                    <w:t>涂塑钢管。管线标准埋设深度为</w:t>
                  </w:r>
                  <w:r>
                    <w:rPr>
                      <w:rFonts w:hint="default" w:ascii="Times New Roman" w:hAnsi="Times New Roman" w:eastAsia="宋体" w:cs="Times New Roman"/>
                      <w:color w:val="000000"/>
                      <w:sz w:val="21"/>
                      <w:szCs w:val="21"/>
                      <w:highlight w:val="none"/>
                      <w:lang w:eastAsia="zh-CN"/>
                    </w:rPr>
                    <w:t>2.5</w:t>
                  </w:r>
                  <w:r>
                    <w:rPr>
                      <w:rFonts w:hint="eastAsia" w:ascii="宋体" w:hAnsi="宋体" w:eastAsia="宋体" w:cs="宋体"/>
                      <w:color w:val="000000"/>
                      <w:sz w:val="21"/>
                      <w:szCs w:val="21"/>
                      <w:highlight w:val="none"/>
                      <w:lang w:eastAsia="zh-CN"/>
                    </w:rPr>
                    <w:t>米</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lang w:eastAsia="zh-CN"/>
                    </w:rPr>
                    <w:t>管顶以上1.7米</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lang w:eastAsia="zh-CN"/>
                    </w:rPr>
                    <w:t>。</w:t>
                  </w:r>
                </w:p>
              </w:tc>
              <w:tc>
                <w:tcPr>
                  <w:tcW w:w="262" w:type="pct"/>
                  <w:vMerge w:val="continue"/>
                  <w:noWrap w:val="0"/>
                  <w:vAlign w:val="center"/>
                </w:tcPr>
                <w:p w14:paraId="2443674B">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eastAsia="宋体"/>
                      <w:color w:val="000000" w:themeColor="text1"/>
                      <w:sz w:val="21"/>
                      <w:szCs w:val="21"/>
                      <w:highlight w:val="none"/>
                      <w:lang w:eastAsia="zh-CN"/>
                      <w14:textFill>
                        <w14:solidFill>
                          <w14:schemeClr w14:val="tx1"/>
                        </w14:solidFill>
                      </w14:textFill>
                    </w:rPr>
                  </w:pPr>
                </w:p>
              </w:tc>
            </w:tr>
            <w:tr w14:paraId="40FDF5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6" w:type="pct"/>
                  <w:vMerge w:val="restart"/>
                  <w:noWrap w:val="0"/>
                  <w:vAlign w:val="center"/>
                </w:tcPr>
                <w:p w14:paraId="45D1AC1E">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辅助工程</w:t>
                  </w:r>
                </w:p>
              </w:tc>
              <w:tc>
                <w:tcPr>
                  <w:tcW w:w="606" w:type="pct"/>
                  <w:noWrap w:val="0"/>
                  <w:vAlign w:val="center"/>
                </w:tcPr>
                <w:p w14:paraId="62D066AD">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蓄水池</w:t>
                  </w:r>
                  <w:r>
                    <w:rPr>
                      <w:rFonts w:hint="eastAsia" w:ascii="宋体" w:hAnsi="宋体" w:eastAsia="宋体" w:cs="宋体"/>
                      <w:color w:val="auto"/>
                      <w:sz w:val="21"/>
                      <w:szCs w:val="21"/>
                      <w:highlight w:val="none"/>
                    </w:rPr>
                    <w:t>工程</w:t>
                  </w:r>
                  <w:r>
                    <w:rPr>
                      <w:rFonts w:hint="eastAsia" w:ascii="Times New Roman" w:hAnsi="Times New Roman" w:eastAsia="宋体" w:cs="Times New Roman"/>
                      <w:b w:val="0"/>
                      <w:bCs w:val="0"/>
                      <w:color w:val="auto"/>
                      <w:sz w:val="21"/>
                      <w:szCs w:val="21"/>
                      <w:highlight w:val="none"/>
                      <w:lang w:val="en-US" w:eastAsia="zh-CN"/>
                    </w:rPr>
                    <w:t>坝顶道路</w:t>
                  </w:r>
                </w:p>
              </w:tc>
              <w:tc>
                <w:tcPr>
                  <w:tcW w:w="3874" w:type="pct"/>
                  <w:noWrap w:val="0"/>
                  <w:vAlign w:val="center"/>
                </w:tcPr>
                <w:p w14:paraId="7CACA282">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蓄水池坝顶道路采用砂砾石路面</w:t>
                  </w:r>
                  <w:r>
                    <w:rPr>
                      <w:rFonts w:hint="eastAsia" w:ascii="宋体" w:hAnsi="宋体" w:eastAsia="宋体" w:cs="宋体"/>
                      <w:color w:val="auto"/>
                      <w:sz w:val="21"/>
                      <w:szCs w:val="21"/>
                      <w:highlight w:val="none"/>
                    </w:rPr>
                    <w:t>，</w:t>
                  </w:r>
                  <w:r>
                    <w:rPr>
                      <w:rFonts w:hint="default" w:ascii="Times New Roman" w:hAnsi="Times New Roman" w:eastAsia="宋体" w:cs="Times New Roman"/>
                      <w:snapToGrid/>
                      <w:color w:val="auto"/>
                      <w:kern w:val="2"/>
                      <w:sz w:val="21"/>
                      <w:szCs w:val="21"/>
                      <w:highlight w:val="none"/>
                      <w:lang w:val="en-US" w:eastAsia="zh-CN" w:bidi="ar-SA"/>
                    </w:rPr>
                    <w:t>坝顶砂石路</w:t>
                  </w:r>
                  <w:r>
                    <w:rPr>
                      <w:rFonts w:hint="eastAsia" w:ascii="Times New Roman" w:hAnsi="Times New Roman" w:eastAsia="宋体" w:cs="Times New Roman"/>
                      <w:snapToGrid/>
                      <w:color w:val="auto"/>
                      <w:kern w:val="2"/>
                      <w:sz w:val="21"/>
                      <w:szCs w:val="21"/>
                      <w:highlight w:val="none"/>
                      <w:lang w:val="en-US" w:eastAsia="zh-CN" w:bidi="ar-SA"/>
                    </w:rPr>
                    <w:t>宽</w:t>
                  </w:r>
                  <w:r>
                    <w:rPr>
                      <w:rFonts w:hint="default" w:ascii="Times New Roman" w:hAnsi="Times New Roman" w:eastAsia="宋体" w:cs="Times New Roman"/>
                      <w:snapToGrid/>
                      <w:color w:val="auto"/>
                      <w:kern w:val="2"/>
                      <w:sz w:val="21"/>
                      <w:szCs w:val="21"/>
                      <w:highlight w:val="none"/>
                      <w:lang w:val="en-US" w:eastAsia="zh-CN" w:bidi="ar-SA"/>
                    </w:rPr>
                    <w:t>8米</w:t>
                  </w:r>
                  <w:r>
                    <w:rPr>
                      <w:rFonts w:hint="eastAsia"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路面结构为砂砾石，路面敷设砂砾石厚度为20cm</w:t>
                  </w:r>
                  <w:r>
                    <w:rPr>
                      <w:rFonts w:hint="eastAsia" w:ascii="宋体" w:hAnsi="宋体" w:eastAsia="宋体" w:cs="宋体"/>
                      <w:color w:val="auto"/>
                      <w:sz w:val="21"/>
                      <w:szCs w:val="21"/>
                      <w:highlight w:val="none"/>
                      <w:lang w:val="en-US" w:eastAsia="zh-CN"/>
                    </w:rPr>
                    <w:t>。</w:t>
                  </w:r>
                </w:p>
              </w:tc>
              <w:tc>
                <w:tcPr>
                  <w:tcW w:w="262" w:type="pct"/>
                  <w:noWrap w:val="0"/>
                  <w:vAlign w:val="center"/>
                </w:tcPr>
                <w:p w14:paraId="4ADA1341">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新建</w:t>
                  </w:r>
                </w:p>
              </w:tc>
            </w:tr>
            <w:tr w14:paraId="727F6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6" w:type="pct"/>
                  <w:vMerge w:val="continue"/>
                  <w:noWrap w:val="0"/>
                  <w:vAlign w:val="center"/>
                </w:tcPr>
                <w:p w14:paraId="6DA2D6C1">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606" w:type="pct"/>
                  <w:noWrap w:val="0"/>
                  <w:vAlign w:val="center"/>
                </w:tcPr>
                <w:p w14:paraId="65788E3D">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蓄水池</w:t>
                  </w:r>
                  <w:r>
                    <w:rPr>
                      <w:rFonts w:hint="eastAsia" w:ascii="宋体" w:hAnsi="宋体" w:eastAsia="宋体" w:cs="宋体"/>
                      <w:color w:val="auto"/>
                      <w:sz w:val="21"/>
                      <w:szCs w:val="21"/>
                      <w:highlight w:val="none"/>
                    </w:rPr>
                    <w:t>工程</w:t>
                  </w:r>
                  <w:r>
                    <w:rPr>
                      <w:rFonts w:hint="default" w:ascii="Times New Roman" w:hAnsi="Times New Roman" w:eastAsia="宋体" w:cs="Times New Roman"/>
                      <w:snapToGrid/>
                      <w:color w:val="auto"/>
                      <w:kern w:val="2"/>
                      <w:sz w:val="21"/>
                      <w:szCs w:val="21"/>
                      <w:highlight w:val="none"/>
                      <w:lang w:val="en-US" w:eastAsia="zh-CN" w:bidi="ar-SA"/>
                    </w:rPr>
                    <w:t>绿化带</w:t>
                  </w:r>
                </w:p>
              </w:tc>
              <w:tc>
                <w:tcPr>
                  <w:tcW w:w="3874" w:type="pct"/>
                  <w:noWrap w:val="0"/>
                  <w:vAlign w:val="center"/>
                </w:tcPr>
                <w:p w14:paraId="068B4278">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对坝顶道路一侧进行绿化，绿化面积共计0.23hm</w:t>
                  </w:r>
                  <w:r>
                    <w:rPr>
                      <w:rFonts w:hint="default" w:ascii="宋体" w:hAnsi="宋体" w:eastAsia="宋体" w:cs="宋体"/>
                      <w:color w:val="auto"/>
                      <w:sz w:val="21"/>
                      <w:szCs w:val="21"/>
                      <w:highlight w:val="none"/>
                      <w:vertAlign w:val="superscript"/>
                      <w:lang w:val="en-US" w:eastAsia="zh-CN"/>
                    </w:rPr>
                    <w:t>2</w:t>
                  </w:r>
                  <w:r>
                    <w:rPr>
                      <w:rFonts w:hint="default" w:ascii="宋体" w:hAnsi="宋体" w:eastAsia="宋体" w:cs="宋体"/>
                      <w:color w:val="auto"/>
                      <w:sz w:val="21"/>
                      <w:szCs w:val="21"/>
                      <w:highlight w:val="none"/>
                      <w:lang w:val="en-US" w:eastAsia="zh-CN"/>
                    </w:rPr>
                    <w:t>，绿化树种选择旱柳，单行种植，株距3m，共栽植旱柳370株。</w:t>
                  </w:r>
                </w:p>
                <w:p w14:paraId="7B7F3584">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default" w:ascii="宋体" w:hAnsi="宋体" w:eastAsia="宋体" w:cs="宋体"/>
                      <w:color w:val="auto"/>
                      <w:sz w:val="21"/>
                      <w:szCs w:val="21"/>
                      <w:highlight w:val="none"/>
                      <w:lang w:val="en-US" w:eastAsia="zh-CN"/>
                    </w:rPr>
                    <w:t>蓄水池外边坡防护采用1m×1m沙柳枝条扦插成网格防护。蓄水池外周边50米设置沙障防护，沙障采用网格式沙障，沙柳枝条</w:t>
                  </w:r>
                  <w:r>
                    <w:rPr>
                      <w:rFonts w:hint="eastAsia" w:ascii="宋体" w:hAnsi="宋体" w:cs="宋体"/>
                      <w:color w:val="auto"/>
                      <w:sz w:val="21"/>
                      <w:szCs w:val="21"/>
                      <w:highlight w:val="none"/>
                      <w:lang w:val="en-US" w:eastAsia="zh-CN"/>
                    </w:rPr>
                    <w:t>呈</w:t>
                  </w:r>
                  <w:r>
                    <w:rPr>
                      <w:rFonts w:hint="default" w:ascii="宋体" w:hAnsi="宋体" w:eastAsia="宋体" w:cs="宋体"/>
                      <w:color w:val="auto"/>
                      <w:sz w:val="21"/>
                      <w:szCs w:val="21"/>
                      <w:highlight w:val="none"/>
                      <w:lang w:val="en-US" w:eastAsia="zh-CN"/>
                    </w:rPr>
                    <w:t>菱形铺设，规格为2m×2m</w:t>
                  </w:r>
                  <w:r>
                    <w:rPr>
                      <w:rFonts w:hint="eastAsia" w:ascii="宋体" w:hAnsi="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交叉处采用草绳及扦插沙柳固定。</w:t>
                  </w:r>
                </w:p>
              </w:tc>
              <w:tc>
                <w:tcPr>
                  <w:tcW w:w="262" w:type="pct"/>
                  <w:noWrap w:val="0"/>
                  <w:vAlign w:val="center"/>
                </w:tcPr>
                <w:p w14:paraId="745A4847">
                  <w:pPr>
                    <w:pStyle w:val="13"/>
                    <w:keepNext w:val="0"/>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eastAsia" w:ascii="宋体" w:hAnsi="Courier New" w:eastAsia="宋体" w:cs="Century"/>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新建</w:t>
                  </w:r>
                </w:p>
              </w:tc>
            </w:tr>
            <w:tr w14:paraId="6259B1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6" w:type="pct"/>
                  <w:vMerge w:val="continue"/>
                  <w:noWrap w:val="0"/>
                  <w:vAlign w:val="center"/>
                </w:tcPr>
                <w:p w14:paraId="0BAA8A8F">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606" w:type="pct"/>
                  <w:noWrap w:val="0"/>
                  <w:vAlign w:val="center"/>
                </w:tcPr>
                <w:p w14:paraId="072F2E3E">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color w:val="auto"/>
                      <w:highlight w:val="none"/>
                    </w:rPr>
                    <w:t>管道附属建筑物</w:t>
                  </w:r>
                </w:p>
              </w:tc>
              <w:tc>
                <w:tcPr>
                  <w:tcW w:w="3874" w:type="pct"/>
                  <w:noWrap w:val="0"/>
                  <w:vAlign w:val="center"/>
                </w:tcPr>
                <w:p w14:paraId="66A0D72F">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设置</w:t>
                  </w:r>
                  <w:r>
                    <w:rPr>
                      <w:rFonts w:hint="eastAsia" w:ascii="宋体" w:hAnsi="宋体" w:cs="宋体"/>
                      <w:color w:val="auto"/>
                      <w:sz w:val="21"/>
                      <w:szCs w:val="21"/>
                      <w:highlight w:val="none"/>
                      <w:lang w:val="en-US" w:eastAsia="zh-CN"/>
                    </w:rPr>
                    <w:t>3座钢筋混凝土</w:t>
                  </w:r>
                  <w:r>
                    <w:rPr>
                      <w:rFonts w:hint="eastAsia" w:ascii="宋体" w:hAnsi="宋体" w:cs="宋体"/>
                      <w:color w:val="auto"/>
                      <w:sz w:val="21"/>
                      <w:szCs w:val="21"/>
                      <w:highlight w:val="none"/>
                      <w:lang w:eastAsia="zh-CN"/>
                    </w:rPr>
                    <w:t>阀门井，规格为</w:t>
                  </w:r>
                  <w:r>
                    <w:rPr>
                      <w:rFonts w:hint="eastAsia" w:ascii="宋体" w:hAnsi="宋体" w:cs="宋体"/>
                      <w:color w:val="auto"/>
                      <w:sz w:val="21"/>
                      <w:szCs w:val="21"/>
                      <w:highlight w:val="none"/>
                      <w:lang w:val="en-US" w:eastAsia="zh-CN"/>
                    </w:rPr>
                    <w:t>1800mm×2600mm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6座钢筋混凝土</w:t>
                  </w:r>
                  <w:r>
                    <w:rPr>
                      <w:rFonts w:hint="eastAsia" w:ascii="宋体" w:hAnsi="宋体" w:cs="宋体"/>
                      <w:color w:val="auto"/>
                      <w:sz w:val="21"/>
                      <w:szCs w:val="21"/>
                      <w:highlight w:val="none"/>
                      <w:lang w:eastAsia="zh-CN"/>
                    </w:rPr>
                    <w:t>排气井，规格为</w:t>
                  </w:r>
                  <w:r>
                    <w:rPr>
                      <w:rFonts w:hint="eastAsia" w:ascii="宋体" w:hAnsi="宋体" w:cs="宋体"/>
                      <w:color w:val="auto"/>
                      <w:sz w:val="21"/>
                      <w:szCs w:val="21"/>
                      <w:highlight w:val="none"/>
                      <w:lang w:val="en-US" w:eastAsia="zh-CN"/>
                    </w:rPr>
                    <w:t>1600mm×2000mm；6座砖砌</w:t>
                  </w:r>
                  <w:r>
                    <w:rPr>
                      <w:rFonts w:hint="eastAsia" w:ascii="宋体" w:hAnsi="宋体" w:cs="宋体"/>
                      <w:color w:val="auto"/>
                      <w:sz w:val="21"/>
                      <w:szCs w:val="21"/>
                      <w:highlight w:val="none"/>
                      <w:lang w:eastAsia="zh-CN"/>
                    </w:rPr>
                    <w:t>排泥井，规格：直径为</w:t>
                  </w:r>
                  <w:r>
                    <w:rPr>
                      <w:rFonts w:hint="eastAsia" w:ascii="宋体" w:hAnsi="宋体" w:cs="宋体"/>
                      <w:color w:val="auto"/>
                      <w:sz w:val="21"/>
                      <w:szCs w:val="21"/>
                      <w:highlight w:val="none"/>
                      <w:lang w:val="en-US" w:eastAsia="zh-CN"/>
                    </w:rPr>
                    <w:t>1200mm；</w:t>
                  </w:r>
                </w:p>
              </w:tc>
              <w:tc>
                <w:tcPr>
                  <w:tcW w:w="262" w:type="pct"/>
                  <w:noWrap w:val="0"/>
                  <w:vAlign w:val="center"/>
                </w:tcPr>
                <w:p w14:paraId="6794AA46">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新建</w:t>
                  </w:r>
                </w:p>
              </w:tc>
            </w:tr>
            <w:tr w14:paraId="0E24C6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 w:type="pct"/>
                  <w:vMerge w:val="restart"/>
                  <w:noWrap w:val="0"/>
                  <w:vAlign w:val="center"/>
                </w:tcPr>
                <w:p w14:paraId="154ED8F1">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临时工程</w:t>
                  </w:r>
                </w:p>
              </w:tc>
              <w:tc>
                <w:tcPr>
                  <w:tcW w:w="606" w:type="pct"/>
                  <w:noWrap w:val="0"/>
                  <w:vAlign w:val="center"/>
                </w:tcPr>
                <w:p w14:paraId="69276EFF">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施工道路</w:t>
                  </w:r>
                </w:p>
              </w:tc>
              <w:tc>
                <w:tcPr>
                  <w:tcW w:w="3874" w:type="pct"/>
                  <w:noWrap w:val="0"/>
                  <w:vAlign w:val="center"/>
                </w:tcPr>
                <w:p w14:paraId="1389FF6B">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施工道路主要依靠现有交通道路。项目区对外交通可通过乡村道路与公路相通；</w:t>
                  </w:r>
                  <w:r>
                    <w:rPr>
                      <w:rFonts w:hint="eastAsia" w:ascii="宋体" w:hAnsi="宋体" w:cs="宋体"/>
                      <w:color w:val="auto"/>
                      <w:sz w:val="21"/>
                      <w:szCs w:val="21"/>
                      <w:highlight w:val="none"/>
                      <w:lang w:eastAsia="zh-CN"/>
                    </w:rPr>
                    <w:t>蓄水池施工道路利用坝顶砂石路，不新建施工便道</w:t>
                  </w:r>
                  <w:r>
                    <w:rPr>
                      <w:rFonts w:hint="eastAsia" w:ascii="宋体" w:hAnsi="宋体" w:cs="宋体"/>
                      <w:color w:val="auto"/>
                      <w:sz w:val="21"/>
                      <w:szCs w:val="21"/>
                      <w:highlight w:val="none"/>
                      <w:lang w:val="en-US" w:eastAsia="zh-CN"/>
                    </w:rPr>
                    <w:t>。</w:t>
                  </w:r>
                </w:p>
              </w:tc>
              <w:tc>
                <w:tcPr>
                  <w:tcW w:w="262" w:type="pct"/>
                  <w:noWrap w:val="0"/>
                  <w:vAlign w:val="center"/>
                </w:tcPr>
                <w:p w14:paraId="0BEFF27D">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依托</w:t>
                  </w:r>
                </w:p>
              </w:tc>
            </w:tr>
            <w:tr w14:paraId="0CC78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56" w:type="pct"/>
                  <w:vMerge w:val="continue"/>
                  <w:noWrap w:val="0"/>
                  <w:vAlign w:val="center"/>
                </w:tcPr>
                <w:p w14:paraId="4382FB3C">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highlight w:val="none"/>
                    </w:rPr>
                  </w:pPr>
                </w:p>
              </w:tc>
              <w:tc>
                <w:tcPr>
                  <w:tcW w:w="606" w:type="pct"/>
                  <w:noWrap w:val="0"/>
                  <w:vAlign w:val="center"/>
                </w:tcPr>
                <w:p w14:paraId="29A20A21">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highlight w:val="none"/>
                      <w:lang w:eastAsia="zh-CN"/>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施工</w:t>
                  </w:r>
                  <w:r>
                    <w:rPr>
                      <w:rFonts w:hint="eastAsia" w:cs="Times New Roman"/>
                      <w:color w:val="000000" w:themeColor="text1"/>
                      <w:sz w:val="21"/>
                      <w:szCs w:val="21"/>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1"/>
                      <w:szCs w:val="21"/>
                      <w:highlight w:val="none"/>
                      <w14:textFill>
                        <w14:solidFill>
                          <w14:schemeClr w14:val="tx1"/>
                        </w14:solidFill>
                      </w14:textFill>
                    </w:rPr>
                    <w:t>生活区</w:t>
                  </w:r>
                </w:p>
              </w:tc>
              <w:tc>
                <w:tcPr>
                  <w:tcW w:w="3874" w:type="pct"/>
                  <w:noWrap w:val="0"/>
                  <w:vAlign w:val="center"/>
                </w:tcPr>
                <w:p w14:paraId="7C379057">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cs="Times New Roman"/>
                      <w:color w:val="auto"/>
                      <w:highlight w:val="none"/>
                      <w:lang w:eastAsia="zh-CN"/>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本工程</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设置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1处</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施工</w:t>
                  </w:r>
                  <w:r>
                    <w:rPr>
                      <w:rFonts w:hint="eastAsia" w:cs="Times New Roman"/>
                      <w:color w:val="000000" w:themeColor="text1"/>
                      <w:sz w:val="21"/>
                      <w:szCs w:val="21"/>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生活区，布置在</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蓄水池工程占地范围内</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空地</w:t>
                  </w:r>
                  <w:r>
                    <w:rPr>
                      <w:rFonts w:hint="default" w:ascii="Times New Roman" w:hAnsi="Times New Roman" w:eastAsia="宋体" w:cs="Times New Roman"/>
                      <w:color w:val="000000" w:themeColor="text1"/>
                      <w:sz w:val="21"/>
                      <w:szCs w:val="21"/>
                      <w:highlight w:val="none"/>
                      <w14:textFill>
                        <w14:solidFill>
                          <w14:schemeClr w14:val="tx1"/>
                        </w14:solidFill>
                      </w14:textFill>
                    </w:rPr>
                    <w:t>内</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施工</w:t>
                  </w:r>
                  <w:r>
                    <w:rPr>
                      <w:rFonts w:hint="eastAsia" w:cs="Times New Roman"/>
                      <w:color w:val="000000" w:themeColor="text1"/>
                      <w:sz w:val="21"/>
                      <w:szCs w:val="21"/>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1"/>
                      <w:szCs w:val="21"/>
                      <w:highlight w:val="none"/>
                      <w14:textFill>
                        <w14:solidFill>
                          <w14:schemeClr w14:val="tx1"/>
                        </w14:solidFill>
                      </w14:textFill>
                    </w:rPr>
                    <w:t>生活区</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总面积为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100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。施工生活用房以搭建板房为主。不新增临时占地。</w:t>
                  </w:r>
                </w:p>
              </w:tc>
              <w:tc>
                <w:tcPr>
                  <w:tcW w:w="262" w:type="pct"/>
                  <w:noWrap w:val="0"/>
                  <w:vAlign w:val="center"/>
                </w:tcPr>
                <w:p w14:paraId="710B07AC">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cs="Times New Roman"/>
                      <w:color w:val="auto"/>
                      <w:highlight w:val="none"/>
                      <w:lang w:eastAsia="zh-CN"/>
                    </w:rPr>
                  </w:pPr>
                  <w:r>
                    <w:rPr>
                      <w:rFonts w:hint="eastAsia" w:cs="Times New Roman"/>
                      <w:color w:val="auto"/>
                      <w:highlight w:val="none"/>
                      <w:lang w:eastAsia="zh-CN"/>
                    </w:rPr>
                    <w:t>新建</w:t>
                  </w:r>
                </w:p>
              </w:tc>
            </w:tr>
            <w:tr w14:paraId="607C1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256" w:type="pct"/>
                  <w:vMerge w:val="continue"/>
                  <w:noWrap w:val="0"/>
                  <w:vAlign w:val="center"/>
                </w:tcPr>
                <w:p w14:paraId="51979CF0">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highlight w:val="none"/>
                    </w:rPr>
                  </w:pPr>
                </w:p>
              </w:tc>
              <w:tc>
                <w:tcPr>
                  <w:tcW w:w="606" w:type="pct"/>
                  <w:noWrap w:val="0"/>
                  <w:vAlign w:val="center"/>
                </w:tcPr>
                <w:p w14:paraId="66A9EDBE">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highlight w:val="none"/>
                    </w:rPr>
                  </w:pPr>
                  <w:r>
                    <w:rPr>
                      <w:rFonts w:hint="eastAsia" w:cs="Times New Roman"/>
                      <w:snapToGrid/>
                      <w:color w:val="auto"/>
                      <w:kern w:val="2"/>
                      <w:sz w:val="21"/>
                      <w:szCs w:val="21"/>
                      <w:highlight w:val="none"/>
                      <w:lang w:eastAsia="zh-CN"/>
                    </w:rPr>
                    <w:t>临时仓库</w:t>
                  </w:r>
                </w:p>
              </w:tc>
              <w:tc>
                <w:tcPr>
                  <w:tcW w:w="3874" w:type="pct"/>
                  <w:noWrap w:val="0"/>
                  <w:vAlign w:val="center"/>
                </w:tcPr>
                <w:p w14:paraId="6C7F4827">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highlight w:val="none"/>
                    </w:rPr>
                  </w:pPr>
                  <w:r>
                    <w:rPr>
                      <w:rFonts w:hint="eastAsia" w:cs="Times New Roman"/>
                      <w:snapToGrid/>
                      <w:color w:val="auto"/>
                      <w:kern w:val="2"/>
                      <w:sz w:val="21"/>
                      <w:szCs w:val="21"/>
                      <w:highlight w:val="none"/>
                      <w:lang w:eastAsia="zh-CN"/>
                    </w:rPr>
                    <w:t>临时仓库包括露天堆场和室内仓库。设置</w:t>
                  </w:r>
                  <w:r>
                    <w:rPr>
                      <w:rFonts w:hint="eastAsia" w:cs="Times New Roman"/>
                      <w:snapToGrid/>
                      <w:color w:val="auto"/>
                      <w:kern w:val="2"/>
                      <w:sz w:val="21"/>
                      <w:szCs w:val="21"/>
                      <w:highlight w:val="none"/>
                      <w:lang w:val="en-US" w:eastAsia="zh-CN"/>
                    </w:rPr>
                    <w:t>1处临时</w:t>
                  </w:r>
                  <w:r>
                    <w:rPr>
                      <w:rFonts w:hint="eastAsia" w:cs="Times New Roman"/>
                      <w:snapToGrid/>
                      <w:color w:val="auto"/>
                      <w:kern w:val="2"/>
                      <w:sz w:val="21"/>
                      <w:szCs w:val="21"/>
                      <w:highlight w:val="none"/>
                      <w:lang w:eastAsia="zh-CN"/>
                    </w:rPr>
                    <w:t>露天</w:t>
                  </w:r>
                  <w:r>
                    <w:rPr>
                      <w:rFonts w:hint="eastAsia"/>
                      <w:highlight w:val="none"/>
                      <w:lang w:eastAsia="zh-CN"/>
                    </w:rPr>
                    <w:t>堆场</w:t>
                  </w:r>
                  <w:r>
                    <w:rPr>
                      <w:rFonts w:hint="eastAsia" w:cs="Times New Roman"/>
                      <w:snapToGrid/>
                      <w:color w:val="auto"/>
                      <w:kern w:val="2"/>
                      <w:sz w:val="21"/>
                      <w:szCs w:val="21"/>
                      <w:highlight w:val="none"/>
                      <w:lang w:val="en-US" w:eastAsia="zh-CN"/>
                    </w:rPr>
                    <w:t>，</w:t>
                  </w:r>
                  <w:r>
                    <w:rPr>
                      <w:rFonts w:hint="default" w:ascii="Times New Roman" w:hAnsi="Times New Roman" w:cs="Times New Roman"/>
                      <w:snapToGrid/>
                      <w:color w:val="auto"/>
                      <w:kern w:val="2"/>
                      <w:sz w:val="21"/>
                      <w:szCs w:val="21"/>
                      <w:highlight w:val="none"/>
                    </w:rPr>
                    <w:t>主要存放砂石骨料和临时堆存土料，占地面积为100m</w:t>
                  </w:r>
                  <w:r>
                    <w:rPr>
                      <w:rFonts w:hint="default" w:ascii="Times New Roman" w:hAnsi="Times New Roman" w:cs="Times New Roman"/>
                      <w:snapToGrid/>
                      <w:color w:val="auto"/>
                      <w:kern w:val="2"/>
                      <w:sz w:val="21"/>
                      <w:szCs w:val="21"/>
                      <w:highlight w:val="none"/>
                      <w:vertAlign w:val="superscript"/>
                    </w:rPr>
                    <w:t>2</w:t>
                  </w:r>
                  <w:r>
                    <w:rPr>
                      <w:rFonts w:hint="default" w:ascii="Times New Roman" w:hAnsi="Times New Roman" w:cs="Times New Roman"/>
                      <w:snapToGrid/>
                      <w:color w:val="auto"/>
                      <w:kern w:val="2"/>
                      <w:sz w:val="21"/>
                      <w:szCs w:val="21"/>
                      <w:highlight w:val="none"/>
                    </w:rPr>
                    <w:t>。本工程所用</w:t>
                  </w:r>
                  <w:r>
                    <w:rPr>
                      <w:rFonts w:hint="eastAsia" w:cs="Times New Roman"/>
                      <w:snapToGrid/>
                      <w:color w:val="auto"/>
                      <w:kern w:val="2"/>
                      <w:sz w:val="21"/>
                      <w:szCs w:val="21"/>
                      <w:highlight w:val="none"/>
                      <w:lang w:eastAsia="zh-CN"/>
                    </w:rPr>
                    <w:t>天然</w:t>
                  </w:r>
                  <w:r>
                    <w:rPr>
                      <w:rFonts w:hint="default" w:ascii="Times New Roman" w:hAnsi="Times New Roman" w:cs="Times New Roman"/>
                      <w:snapToGrid/>
                      <w:color w:val="auto"/>
                      <w:kern w:val="2"/>
                      <w:sz w:val="21"/>
                      <w:szCs w:val="21"/>
                      <w:highlight w:val="none"/>
                    </w:rPr>
                    <w:t>建筑材料，主要为土料、砂砾垫层料、碎石料和块石料，从巴彦淖尔市乌拉</w:t>
                  </w:r>
                  <w:r>
                    <w:rPr>
                      <w:rFonts w:hint="default" w:ascii="Times New Roman" w:hAnsi="Times New Roman" w:cs="Times New Roman"/>
                      <w:snapToGrid/>
                      <w:color w:val="auto"/>
                      <w:kern w:val="2"/>
                      <w:sz w:val="21"/>
                      <w:szCs w:val="21"/>
                      <w:highlight w:val="none"/>
                      <w:lang w:val="en-US" w:eastAsia="zh-CN"/>
                    </w:rPr>
                    <w:t>前</w:t>
                  </w:r>
                  <w:r>
                    <w:rPr>
                      <w:rFonts w:hint="default" w:ascii="Times New Roman" w:hAnsi="Times New Roman" w:cs="Times New Roman"/>
                      <w:snapToGrid/>
                      <w:color w:val="auto"/>
                      <w:kern w:val="2"/>
                      <w:sz w:val="21"/>
                      <w:szCs w:val="21"/>
                      <w:highlight w:val="none"/>
                    </w:rPr>
                    <w:t>旗购买，运距约180km</w:t>
                  </w:r>
                  <w:r>
                    <w:rPr>
                      <w:rFonts w:hint="eastAsia" w:cs="Times New Roman"/>
                      <w:snapToGrid/>
                      <w:color w:val="auto"/>
                      <w:kern w:val="2"/>
                      <w:sz w:val="21"/>
                      <w:szCs w:val="21"/>
                      <w:highlight w:val="none"/>
                      <w:lang w:eastAsia="zh-CN"/>
                    </w:rPr>
                    <w:t>，经S315和S316省道及乡村道路运输到工地</w:t>
                  </w:r>
                  <w:r>
                    <w:rPr>
                      <w:rFonts w:hint="default" w:ascii="Times New Roman" w:hAnsi="Times New Roman" w:cs="Times New Roman"/>
                      <w:snapToGrid/>
                      <w:color w:val="auto"/>
                      <w:kern w:val="2"/>
                      <w:sz w:val="21"/>
                      <w:szCs w:val="21"/>
                      <w:highlight w:val="none"/>
                      <w:lang w:eastAsia="zh-CN"/>
                    </w:rPr>
                    <w:t>。</w:t>
                  </w:r>
                  <w:r>
                    <w:rPr>
                      <w:rFonts w:hint="eastAsia" w:cs="Times New Roman"/>
                      <w:snapToGrid/>
                      <w:color w:val="auto"/>
                      <w:kern w:val="2"/>
                      <w:sz w:val="21"/>
                      <w:szCs w:val="21"/>
                      <w:highlight w:val="none"/>
                      <w:lang w:eastAsia="zh-CN"/>
                    </w:rPr>
                    <w:t>临时室内仓库主要存放小型施工机械等。本工程设置临时室内仓库建筑面积为100m</w:t>
                  </w:r>
                  <w:r>
                    <w:rPr>
                      <w:rFonts w:hint="eastAsia" w:cs="Times New Roman"/>
                      <w:snapToGrid/>
                      <w:color w:val="auto"/>
                      <w:kern w:val="2"/>
                      <w:sz w:val="21"/>
                      <w:szCs w:val="21"/>
                      <w:highlight w:val="none"/>
                      <w:vertAlign w:val="superscript"/>
                      <w:lang w:eastAsia="zh-CN"/>
                    </w:rPr>
                    <w:t>2</w:t>
                  </w:r>
                  <w:r>
                    <w:rPr>
                      <w:rFonts w:hint="eastAsia" w:cs="Times New Roman"/>
                      <w:snapToGrid/>
                      <w:color w:val="auto"/>
                      <w:kern w:val="2"/>
                      <w:sz w:val="21"/>
                      <w:szCs w:val="21"/>
                      <w:highlight w:val="none"/>
                      <w:lang w:eastAsia="zh-CN"/>
                    </w:rPr>
                    <w:t>，占地面积为100m</w:t>
                  </w:r>
                  <w:r>
                    <w:rPr>
                      <w:rFonts w:hint="eastAsia" w:cs="Times New Roman"/>
                      <w:snapToGrid/>
                      <w:color w:val="auto"/>
                      <w:kern w:val="2"/>
                      <w:sz w:val="21"/>
                      <w:szCs w:val="21"/>
                      <w:highlight w:val="none"/>
                      <w:vertAlign w:val="superscript"/>
                      <w:lang w:eastAsia="zh-CN"/>
                    </w:rPr>
                    <w:t>2</w:t>
                  </w:r>
                  <w:r>
                    <w:rPr>
                      <w:rFonts w:hint="eastAsia" w:cs="Times New Roman"/>
                      <w:snapToGrid/>
                      <w:color w:val="auto"/>
                      <w:kern w:val="2"/>
                      <w:sz w:val="21"/>
                      <w:szCs w:val="21"/>
                      <w:highlight w:val="none"/>
                      <w:lang w:eastAsia="zh-CN"/>
                    </w:rPr>
                    <w:t>。临时仓库</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位于</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蓄水池工程</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占地范围内，不新增临时占地。</w:t>
                  </w:r>
                  <w:r>
                    <w:rPr>
                      <w:rFonts w:hint="eastAsia"/>
                      <w:sz w:val="21"/>
                      <w:szCs w:val="21"/>
                      <w:highlight w:val="none"/>
                      <w:lang w:eastAsia="zh-CN"/>
                    </w:rPr>
                    <w:t>不在项目区设置混凝土拌合站，外购成品混凝土，罐车运至项目区。</w:t>
                  </w:r>
                </w:p>
              </w:tc>
              <w:tc>
                <w:tcPr>
                  <w:tcW w:w="262" w:type="pct"/>
                  <w:noWrap w:val="0"/>
                  <w:vAlign w:val="center"/>
                </w:tcPr>
                <w:p w14:paraId="68C7FD5C">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新建</w:t>
                  </w:r>
                </w:p>
              </w:tc>
            </w:tr>
            <w:tr w14:paraId="0C3DB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256" w:type="pct"/>
                  <w:noWrap w:val="0"/>
                  <w:vAlign w:val="center"/>
                </w:tcPr>
                <w:p w14:paraId="0AFCEEC1">
                  <w:pPr>
                    <w:pStyle w:val="13"/>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依托工程</w:t>
                  </w:r>
                </w:p>
              </w:tc>
              <w:tc>
                <w:tcPr>
                  <w:tcW w:w="606" w:type="pct"/>
                  <w:noWrap w:val="0"/>
                  <w:vAlign w:val="center"/>
                </w:tcPr>
                <w:p w14:paraId="4230BB09">
                  <w:pPr>
                    <w:pStyle w:val="13"/>
                    <w:keepNext w:val="0"/>
                    <w:keepLines w:val="0"/>
                    <w:pageBreakBefore w:val="0"/>
                    <w:widowControl w:val="0"/>
                    <w:numPr>
                      <w:ilvl w:val="0"/>
                      <w:numId w:val="0"/>
                    </w:numPr>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snapToGrid w:val="0"/>
                      <w:color w:val="auto"/>
                      <w:sz w:val="21"/>
                      <w:szCs w:val="21"/>
                      <w:highlight w:val="none"/>
                      <w:lang w:val="en-US" w:eastAsia="zh-CN" w:bidi="ar-SA"/>
                    </w:rPr>
                    <w:t>杭锦旗库布其沙漠现代农牧业1500万吨/a供水工程</w:t>
                  </w:r>
                </w:p>
              </w:tc>
              <w:tc>
                <w:tcPr>
                  <w:tcW w:w="3874" w:type="pct"/>
                  <w:noWrap w:val="0"/>
                  <w:vAlign w:val="center"/>
                </w:tcPr>
                <w:p w14:paraId="55AFB2B5">
                  <w:pPr>
                    <w:keepNext w:val="0"/>
                    <w:keepLines w:val="0"/>
                    <w:pageBreakBefore w:val="0"/>
                    <w:widowControl/>
                    <w:suppressLineNumbers w:val="0"/>
                    <w:kinsoku/>
                    <w:wordWrap/>
                    <w:overflowPunct/>
                    <w:topLinePunct w:val="0"/>
                    <w:autoSpaceDE/>
                    <w:autoSpaceDN/>
                    <w:bidi w:val="0"/>
                    <w:spacing w:line="240" w:lineRule="auto"/>
                    <w:ind w:firstLine="0" w:firstLineChars="0"/>
                    <w:jc w:val="both"/>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eastAsia="宋体" w:cs="Times New Roman"/>
                      <w:snapToGrid w:val="0"/>
                      <w:color w:val="auto"/>
                      <w:sz w:val="21"/>
                      <w:szCs w:val="21"/>
                      <w:highlight w:val="none"/>
                      <w:lang w:val="en-US" w:eastAsia="zh-CN" w:bidi="ar-SA"/>
                    </w:rPr>
                    <w:t>工程设计取水量1500万m</w:t>
                  </w:r>
                  <w:r>
                    <w:rPr>
                      <w:rFonts w:hint="eastAsia" w:eastAsia="宋体" w:cs="Times New Roman"/>
                      <w:snapToGrid w:val="0"/>
                      <w:color w:val="auto"/>
                      <w:sz w:val="21"/>
                      <w:szCs w:val="21"/>
                      <w:highlight w:val="none"/>
                      <w:lang w:val="en-US" w:eastAsia="zh-CN" w:bidi="ar-SA"/>
                    </w:rPr>
                    <w:t>3</w:t>
                  </w:r>
                  <w:r>
                    <w:rPr>
                      <w:rFonts w:hint="default" w:eastAsia="宋体" w:cs="Times New Roman"/>
                      <w:snapToGrid w:val="0"/>
                      <w:color w:val="auto"/>
                      <w:sz w:val="21"/>
                      <w:szCs w:val="21"/>
                      <w:highlight w:val="none"/>
                      <w:lang w:val="en-US" w:eastAsia="zh-CN" w:bidi="ar-SA"/>
                    </w:rPr>
                    <w:t>/a，包括引蓄水工程、加压泵站工程、输水工程三部分。其中引水工程规模为9万m3/d</w:t>
                  </w:r>
                  <w:r>
                    <w:rPr>
                      <w:rFonts w:hint="eastAsia" w:eastAsia="宋体" w:cs="Times New Roman"/>
                      <w:snapToGrid w:val="0"/>
                      <w:color w:val="auto"/>
                      <w:sz w:val="21"/>
                      <w:szCs w:val="21"/>
                      <w:highlight w:val="none"/>
                      <w:lang w:val="en-US" w:eastAsia="zh-CN" w:bidi="ar-SA"/>
                    </w:rPr>
                    <w:t>，</w:t>
                  </w:r>
                  <w:r>
                    <w:rPr>
                      <w:rFonts w:hint="default" w:eastAsia="宋体" w:cs="Times New Roman"/>
                      <w:snapToGrid w:val="0"/>
                      <w:color w:val="auto"/>
                      <w:sz w:val="21"/>
                      <w:szCs w:val="21"/>
                      <w:highlight w:val="none"/>
                      <w:lang w:val="en-US" w:eastAsia="zh-CN" w:bidi="ar-SA"/>
                    </w:rPr>
                    <w:t>蓄水池容量20万m3</w:t>
                  </w:r>
                  <w:r>
                    <w:rPr>
                      <w:rFonts w:hint="eastAsia" w:eastAsia="宋体" w:cs="Times New Roman"/>
                      <w:snapToGrid w:val="0"/>
                      <w:color w:val="auto"/>
                      <w:sz w:val="21"/>
                      <w:szCs w:val="21"/>
                      <w:highlight w:val="none"/>
                      <w:lang w:val="en-US" w:eastAsia="zh-CN" w:bidi="ar-SA"/>
                    </w:rPr>
                    <w:t>；</w:t>
                  </w:r>
                  <w:r>
                    <w:rPr>
                      <w:rFonts w:hint="default" w:eastAsia="宋体" w:cs="Times New Roman"/>
                      <w:snapToGrid w:val="0"/>
                      <w:color w:val="auto"/>
                      <w:sz w:val="21"/>
                      <w:szCs w:val="21"/>
                      <w:highlight w:val="none"/>
                      <w:lang w:val="en-US" w:eastAsia="zh-CN" w:bidi="ar-SA"/>
                    </w:rPr>
                    <w:t>加压泵站由值班室、控制室、泵房、配套用房等组成，总建筑面积758.23m</w:t>
                  </w:r>
                  <w:r>
                    <w:rPr>
                      <w:rFonts w:hint="eastAsia" w:eastAsia="宋体" w:cs="Times New Roman"/>
                      <w:snapToGrid w:val="0"/>
                      <w:color w:val="auto"/>
                      <w:sz w:val="21"/>
                      <w:szCs w:val="21"/>
                      <w:highlight w:val="none"/>
                      <w:lang w:val="en-US" w:eastAsia="zh-CN" w:bidi="ar-SA"/>
                    </w:rPr>
                    <w:t>2；</w:t>
                  </w:r>
                  <w:r>
                    <w:rPr>
                      <w:rFonts w:hint="default" w:eastAsia="宋体" w:cs="Times New Roman"/>
                      <w:snapToGrid w:val="0"/>
                      <w:color w:val="auto"/>
                      <w:sz w:val="21"/>
                      <w:szCs w:val="21"/>
                      <w:highlight w:val="none"/>
                      <w:lang w:val="en-US" w:eastAsia="zh-CN" w:bidi="ar-SA"/>
                    </w:rPr>
                    <w:t>输水管道总长17.81km，输水能力8.33万m</w:t>
                  </w:r>
                  <w:r>
                    <w:rPr>
                      <w:rFonts w:hint="eastAsia" w:eastAsia="宋体" w:cs="Times New Roman"/>
                      <w:snapToGrid w:val="0"/>
                      <w:color w:val="auto"/>
                      <w:sz w:val="21"/>
                      <w:szCs w:val="21"/>
                      <w:highlight w:val="none"/>
                      <w:lang w:val="en-US" w:eastAsia="zh-CN" w:bidi="ar-SA"/>
                    </w:rPr>
                    <w:t>3</w:t>
                  </w:r>
                  <w:r>
                    <w:rPr>
                      <w:rFonts w:hint="default" w:eastAsia="宋体" w:cs="Times New Roman"/>
                      <w:snapToGrid w:val="0"/>
                      <w:color w:val="auto"/>
                      <w:sz w:val="21"/>
                      <w:szCs w:val="21"/>
                      <w:highlight w:val="none"/>
                      <w:lang w:val="en-US" w:eastAsia="zh-CN" w:bidi="ar-SA"/>
                    </w:rPr>
                    <w:t>/d</w:t>
                  </w:r>
                  <w:r>
                    <w:rPr>
                      <w:rFonts w:hint="eastAsia" w:eastAsia="宋体" w:cs="Times New Roman"/>
                      <w:snapToGrid w:val="0"/>
                      <w:color w:val="auto"/>
                      <w:sz w:val="21"/>
                      <w:szCs w:val="21"/>
                      <w:highlight w:val="none"/>
                      <w:lang w:val="en-US" w:eastAsia="zh-CN" w:bidi="ar-SA"/>
                    </w:rPr>
                    <w:t>，</w:t>
                  </w:r>
                  <w:r>
                    <w:rPr>
                      <w:rFonts w:hint="default" w:eastAsia="宋体" w:cs="Times New Roman"/>
                      <w:snapToGrid w:val="0"/>
                      <w:color w:val="auto"/>
                      <w:sz w:val="21"/>
                      <w:szCs w:val="21"/>
                      <w:highlight w:val="none"/>
                      <w:lang w:val="en-US" w:eastAsia="zh-CN" w:bidi="ar-SA"/>
                    </w:rPr>
                    <w:t>年运行180天，管道末端设两座蓄水池。该项目于2022年12月30日取得了《鄂尔多斯市生态环境局杭锦旗分局关于</w:t>
                  </w:r>
                  <w:r>
                    <w:rPr>
                      <w:rFonts w:hint="eastAsia" w:eastAsia="宋体" w:cs="Times New Roman"/>
                      <w:snapToGrid w:val="0"/>
                      <w:color w:val="auto"/>
                      <w:sz w:val="21"/>
                      <w:szCs w:val="21"/>
                      <w:highlight w:val="none"/>
                      <w:lang w:val="en-US" w:eastAsia="zh-CN" w:bidi="ar-SA"/>
                    </w:rPr>
                    <w:t>杭锦旗库布其沙漠现代农牧业1500万吨/a供水工程</w:t>
                  </w:r>
                  <w:r>
                    <w:rPr>
                      <w:rFonts w:hint="default" w:eastAsia="宋体" w:cs="Times New Roman"/>
                      <w:snapToGrid w:val="0"/>
                      <w:color w:val="auto"/>
                      <w:sz w:val="21"/>
                      <w:szCs w:val="21"/>
                      <w:highlight w:val="none"/>
                      <w:lang w:val="en-US" w:eastAsia="zh-CN" w:bidi="ar-SA"/>
                    </w:rPr>
                    <w:t>环境影响报告表的批复》（鄂杭环审字</w:t>
                  </w:r>
                  <w:r>
                    <w:rPr>
                      <w:rFonts w:hint="eastAsia" w:eastAsia="宋体" w:cs="Times New Roman"/>
                      <w:snapToGrid w:val="0"/>
                      <w:color w:val="auto"/>
                      <w:sz w:val="21"/>
                      <w:szCs w:val="21"/>
                      <w:highlight w:val="none"/>
                      <w:lang w:val="en-US" w:eastAsia="zh-CN" w:bidi="ar-SA"/>
                    </w:rPr>
                    <w:t>〔2022〕</w:t>
                  </w:r>
                  <w:r>
                    <w:rPr>
                      <w:rFonts w:hint="default" w:eastAsia="宋体" w:cs="Times New Roman"/>
                      <w:snapToGrid w:val="0"/>
                      <w:color w:val="auto"/>
                      <w:sz w:val="21"/>
                      <w:szCs w:val="21"/>
                      <w:highlight w:val="none"/>
                      <w:lang w:val="en-US" w:eastAsia="zh-CN" w:bidi="ar-SA"/>
                    </w:rPr>
                    <w:t>37号）《</w:t>
                  </w:r>
                  <w:r>
                    <w:rPr>
                      <w:rFonts w:hint="eastAsia" w:eastAsia="宋体" w:cs="Times New Roman"/>
                      <w:snapToGrid w:val="0"/>
                      <w:color w:val="auto"/>
                      <w:sz w:val="21"/>
                      <w:szCs w:val="21"/>
                      <w:highlight w:val="none"/>
                      <w:lang w:val="en-US" w:eastAsia="zh-CN" w:bidi="ar-SA"/>
                    </w:rPr>
                    <w:t>杭锦旗库布其沙漠现代农牧业1500万吨/a供水工程</w:t>
                  </w:r>
                  <w:r>
                    <w:rPr>
                      <w:rFonts w:hint="default" w:eastAsia="宋体" w:cs="Times New Roman"/>
                      <w:snapToGrid w:val="0"/>
                      <w:color w:val="auto"/>
                      <w:sz w:val="21"/>
                      <w:szCs w:val="21"/>
                      <w:highlight w:val="none"/>
                      <w:lang w:val="en-US" w:eastAsia="zh-CN" w:bidi="ar-SA"/>
                    </w:rPr>
                    <w:t>》</w:t>
                  </w:r>
                  <w:r>
                    <w:rPr>
                      <w:rFonts w:hint="eastAsia" w:eastAsia="宋体" w:cs="Times New Roman"/>
                      <w:snapToGrid w:val="0"/>
                      <w:color w:val="auto"/>
                      <w:sz w:val="21"/>
                      <w:szCs w:val="21"/>
                      <w:highlight w:val="none"/>
                      <w:lang w:val="en-US" w:eastAsia="zh-CN" w:bidi="ar-SA"/>
                    </w:rPr>
                    <w:t>已建取水口，取水口位置已建蓄水池，设计引水管道，与本次新建管道连接，为本次75万m³蓄水池供水。</w:t>
                  </w:r>
                </w:p>
              </w:tc>
              <w:tc>
                <w:tcPr>
                  <w:tcW w:w="262" w:type="pct"/>
                  <w:noWrap w:val="0"/>
                  <w:vAlign w:val="center"/>
                </w:tcPr>
                <w:p w14:paraId="0B8767B0">
                  <w:pPr>
                    <w:pStyle w:val="13"/>
                    <w:keepNext w:val="0"/>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依托</w:t>
                  </w:r>
                </w:p>
              </w:tc>
            </w:tr>
            <w:tr w14:paraId="58ABC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56" w:type="pct"/>
                  <w:vMerge w:val="restart"/>
                  <w:noWrap w:val="0"/>
                  <w:vAlign w:val="center"/>
                </w:tcPr>
                <w:p w14:paraId="39813BDD">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公用工程</w:t>
                  </w:r>
                </w:p>
              </w:tc>
              <w:tc>
                <w:tcPr>
                  <w:tcW w:w="606" w:type="pct"/>
                  <w:noWrap w:val="0"/>
                  <w:vAlign w:val="center"/>
                </w:tcPr>
                <w:p w14:paraId="280043E4">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供电工程</w:t>
                  </w:r>
                </w:p>
              </w:tc>
              <w:tc>
                <w:tcPr>
                  <w:tcW w:w="3874" w:type="pct"/>
                  <w:noWrap w:val="0"/>
                  <w:vAlign w:val="center"/>
                </w:tcPr>
                <w:p w14:paraId="5547D9DE">
                  <w:pPr>
                    <w:pStyle w:val="28"/>
                    <w:keepNext w:val="0"/>
                    <w:keepLines w:val="0"/>
                    <w:pageBreakBefore w:val="0"/>
                    <w:kinsoku/>
                    <w:wordWrap/>
                    <w:overflowPunct/>
                    <w:topLinePunct w:val="0"/>
                    <w:autoSpaceDE/>
                    <w:autoSpaceDN/>
                    <w:bidi w:val="0"/>
                    <w:spacing w:line="240" w:lineRule="auto"/>
                    <w:ind w:left="0" w:leftChars="0" w:firstLine="0" w:firstLineChars="0"/>
                    <w:jc w:val="both"/>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本项目供电由当地电网10kv输电线路供电，施工用电便利，可以满足本项目施工要求</w:t>
                  </w:r>
                </w:p>
              </w:tc>
              <w:tc>
                <w:tcPr>
                  <w:tcW w:w="262" w:type="pct"/>
                  <w:noWrap w:val="0"/>
                  <w:vAlign w:val="center"/>
                </w:tcPr>
                <w:p w14:paraId="5AC14CFF">
                  <w:pPr>
                    <w:pStyle w:val="28"/>
                    <w:keepNext w:val="0"/>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依托</w:t>
                  </w:r>
                </w:p>
              </w:tc>
            </w:tr>
            <w:tr w14:paraId="1A224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56" w:type="pct"/>
                  <w:vMerge w:val="continue"/>
                  <w:noWrap w:val="0"/>
                  <w:vAlign w:val="center"/>
                </w:tcPr>
                <w:p w14:paraId="782E4CE4">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000000" w:themeColor="text1"/>
                      <w:sz w:val="21"/>
                      <w:szCs w:val="21"/>
                      <w:highlight w:val="none"/>
                      <w14:textFill>
                        <w14:solidFill>
                          <w14:schemeClr w14:val="tx1"/>
                        </w14:solidFill>
                      </w14:textFill>
                    </w:rPr>
                  </w:pPr>
                </w:p>
              </w:tc>
              <w:tc>
                <w:tcPr>
                  <w:tcW w:w="606" w:type="pct"/>
                  <w:noWrap w:val="0"/>
                  <w:vAlign w:val="center"/>
                </w:tcPr>
                <w:p w14:paraId="6AE6A906">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供水工程</w:t>
                  </w:r>
                </w:p>
              </w:tc>
              <w:tc>
                <w:tcPr>
                  <w:tcW w:w="3874" w:type="pct"/>
                  <w:noWrap w:val="0"/>
                  <w:vAlign w:val="center"/>
                </w:tcPr>
                <w:p w14:paraId="445F93F6">
                  <w:pPr>
                    <w:keepNext w:val="0"/>
                    <w:keepLines w:val="0"/>
                    <w:pageBreakBefore w:val="0"/>
                    <w:widowControl/>
                    <w:suppressLineNumbers w:val="0"/>
                    <w:kinsoku/>
                    <w:wordWrap/>
                    <w:overflowPunct/>
                    <w:topLinePunct w:val="0"/>
                    <w:autoSpaceDE/>
                    <w:autoSpaceDN/>
                    <w:bidi w:val="0"/>
                    <w:spacing w:line="240" w:lineRule="auto"/>
                    <w:ind w:firstLine="0" w:firstLineChars="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施工用水包括生产用水和生活用水，可从附近村庄水井拉水；</w:t>
                  </w:r>
                </w:p>
                <w:p w14:paraId="4715441A">
                  <w:pPr>
                    <w:keepNext w:val="0"/>
                    <w:keepLines w:val="0"/>
                    <w:pageBreakBefore w:val="0"/>
                    <w:widowControl/>
                    <w:suppressLineNumbers w:val="0"/>
                    <w:kinsoku/>
                    <w:wordWrap/>
                    <w:overflowPunct/>
                    <w:topLinePunct w:val="0"/>
                    <w:autoSpaceDE/>
                    <w:autoSpaceDN/>
                    <w:bidi w:val="0"/>
                    <w:spacing w:line="240" w:lineRule="auto"/>
                    <w:ind w:firstLine="0" w:firstLineChars="0"/>
                    <w:jc w:val="both"/>
                    <w:textAlignment w:val="auto"/>
                    <w:rPr>
                      <w:rFonts w:hint="eastAsia" w:ascii="宋体" w:hAnsi="宋体" w:eastAsia="宋体" w:cs="宋体"/>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bidi="ar-SA"/>
                    </w:rPr>
                    <w:t>《</w:t>
                  </w:r>
                  <w:r>
                    <w:rPr>
                      <w:rFonts w:hint="eastAsia" w:cs="Times New Roman"/>
                      <w:snapToGrid w:val="0"/>
                      <w:color w:val="auto"/>
                      <w:sz w:val="21"/>
                      <w:szCs w:val="21"/>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水源在</w:t>
                  </w:r>
                  <w:r>
                    <w:rPr>
                      <w:rFonts w:hint="default" w:ascii="Times New Roman" w:hAnsi="Times New Roman" w:eastAsia="宋体" w:cs="Times New Roman"/>
                      <w:color w:val="auto"/>
                      <w:sz w:val="21"/>
                      <w:szCs w:val="21"/>
                      <w:highlight w:val="none"/>
                      <w:lang w:eastAsia="zh-CN"/>
                    </w:rPr>
                    <w:t>杭锦旗黄河南岸灌区总排干桩号1</w:t>
                  </w:r>
                  <w:r>
                    <w:rPr>
                      <w:rFonts w:hint="eastAsia" w:cs="Times New Roman"/>
                      <w:color w:val="auto"/>
                      <w:sz w:val="21"/>
                      <w:szCs w:val="21"/>
                      <w:highlight w:val="none"/>
                      <w:lang w:val="en-US" w:eastAsia="zh-CN"/>
                    </w:rPr>
                    <w:t>48</w:t>
                  </w:r>
                  <w:r>
                    <w:rPr>
                      <w:rFonts w:hint="default" w:ascii="Times New Roman" w:hAnsi="Times New Roman" w:eastAsia="宋体" w:cs="Times New Roman"/>
                      <w:color w:val="auto"/>
                      <w:sz w:val="21"/>
                      <w:szCs w:val="21"/>
                      <w:highlight w:val="none"/>
                      <w:lang w:eastAsia="zh-CN"/>
                    </w:rPr>
                    <w:t>+900km</w:t>
                  </w:r>
                  <w:r>
                    <w:rPr>
                      <w:rFonts w:hint="eastAsia" w:ascii="Times New Roman" w:hAnsi="Times New Roman" w:eastAsia="宋体" w:cs="Times New Roman"/>
                      <w:color w:val="auto"/>
                      <w:sz w:val="21"/>
                      <w:szCs w:val="21"/>
                      <w:highlight w:val="none"/>
                      <w:lang w:eastAsia="zh-CN"/>
                    </w:rPr>
                    <w:t>处，</w:t>
                  </w:r>
                  <w:r>
                    <w:rPr>
                      <w:rFonts w:hint="eastAsia"/>
                      <w:sz w:val="21"/>
                      <w:szCs w:val="21"/>
                      <w:highlight w:val="none"/>
                      <w:lang w:eastAsia="zh-CN"/>
                    </w:rPr>
                    <w:t>本项目水源引自</w:t>
                  </w:r>
                  <w:r>
                    <w:rPr>
                      <w:rFonts w:hint="default" w:ascii="Times New Roman" w:hAnsi="Times New Roman" w:eastAsia="宋体" w:cs="Times New Roman"/>
                      <w:snapToGrid w:val="0"/>
                      <w:color w:val="auto"/>
                      <w:sz w:val="21"/>
                      <w:szCs w:val="21"/>
                      <w:highlight w:val="none"/>
                      <w:lang w:val="en-US" w:eastAsia="zh-CN" w:bidi="ar-SA"/>
                    </w:rPr>
                    <w:t>《</w:t>
                  </w:r>
                  <w:r>
                    <w:rPr>
                      <w:rFonts w:hint="eastAsia" w:cs="Times New Roman"/>
                      <w:snapToGrid w:val="0"/>
                      <w:color w:val="auto"/>
                      <w:sz w:val="21"/>
                      <w:szCs w:val="21"/>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1"/>
                      <w:szCs w:val="21"/>
                      <w:highlight w:val="none"/>
                      <w:lang w:val="en-US" w:eastAsia="zh-CN" w:bidi="ar-SA"/>
                    </w:rPr>
                    <w:t>》</w:t>
                  </w:r>
                  <w:r>
                    <w:rPr>
                      <w:rFonts w:hint="eastAsia" w:cs="Times New Roman"/>
                      <w:snapToGrid w:val="0"/>
                      <w:color w:val="auto"/>
                      <w:sz w:val="21"/>
                      <w:szCs w:val="21"/>
                      <w:highlight w:val="none"/>
                      <w:lang w:val="en-US" w:eastAsia="zh-CN" w:bidi="ar-SA"/>
                    </w:rPr>
                    <w:t>，</w:t>
                  </w:r>
                  <w:r>
                    <w:rPr>
                      <w:rFonts w:hint="eastAsia" w:ascii="Times New Roman" w:hAnsi="Times New Roman" w:eastAsia="宋体" w:cs="Times New Roman"/>
                      <w:color w:val="auto"/>
                      <w:sz w:val="21"/>
                      <w:szCs w:val="21"/>
                      <w:highlight w:val="none"/>
                      <w:lang w:eastAsia="zh-CN"/>
                    </w:rPr>
                    <w:t>本工程利用</w:t>
                  </w:r>
                  <w:r>
                    <w:rPr>
                      <w:rFonts w:hint="default" w:ascii="Times New Roman" w:hAnsi="Times New Roman" w:eastAsia="宋体" w:cs="Times New Roman"/>
                      <w:snapToGrid w:val="0"/>
                      <w:color w:val="auto"/>
                      <w:sz w:val="21"/>
                      <w:szCs w:val="21"/>
                      <w:highlight w:val="none"/>
                      <w:lang w:val="en-US" w:eastAsia="zh-CN" w:bidi="ar-SA"/>
                    </w:rPr>
                    <w:t>《</w:t>
                  </w:r>
                  <w:r>
                    <w:rPr>
                      <w:rFonts w:hint="eastAsia" w:cs="Times New Roman"/>
                      <w:snapToGrid w:val="0"/>
                      <w:color w:val="auto"/>
                      <w:sz w:val="21"/>
                      <w:szCs w:val="21"/>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1"/>
                      <w:szCs w:val="21"/>
                      <w:highlight w:val="none"/>
                      <w:lang w:val="en-US" w:eastAsia="zh-CN" w:bidi="ar-SA"/>
                    </w:rPr>
                    <w:t>》</w:t>
                  </w:r>
                  <w:r>
                    <w:rPr>
                      <w:rFonts w:hint="eastAsia" w:ascii="Times New Roman" w:hAnsi="Times New Roman" w:eastAsia="宋体" w:cs="Times New Roman"/>
                      <w:snapToGrid w:val="0"/>
                      <w:color w:val="auto"/>
                      <w:sz w:val="21"/>
                      <w:szCs w:val="21"/>
                      <w:highlight w:val="none"/>
                      <w:lang w:val="en-US" w:eastAsia="zh-CN" w:bidi="ar-SA"/>
                    </w:rPr>
                    <w:t>已建输水管道与本项目新建输水管线相接，</w:t>
                  </w:r>
                  <w:r>
                    <w:rPr>
                      <w:rFonts w:hint="eastAsia" w:ascii="宋体" w:hAnsi="宋体" w:eastAsia="宋体" w:cs="宋体"/>
                      <w:bCs/>
                      <w:color w:val="auto"/>
                      <w:kern w:val="2"/>
                      <w:sz w:val="21"/>
                      <w:szCs w:val="21"/>
                      <w:highlight w:val="none"/>
                      <w:lang w:val="en-US" w:eastAsia="zh-CN" w:bidi="ar-SA"/>
                    </w:rPr>
                    <w:t>经本项目输水管道</w:t>
                  </w:r>
                  <w:r>
                    <w:rPr>
                      <w:rFonts w:hint="eastAsia" w:ascii="Times New Roman" w:hAnsi="Times New Roman" w:eastAsia="宋体" w:cs="Times New Roman"/>
                      <w:snapToGrid w:val="0"/>
                      <w:color w:val="auto"/>
                      <w:sz w:val="21"/>
                      <w:szCs w:val="21"/>
                      <w:highlight w:val="none"/>
                      <w:lang w:val="en-US" w:eastAsia="zh-CN" w:bidi="ar-SA"/>
                    </w:rPr>
                    <w:t>引排干水至本项目蓄水池</w:t>
                  </w:r>
                  <w:r>
                    <w:rPr>
                      <w:rFonts w:hint="eastAsia"/>
                      <w:highlight w:val="none"/>
                      <w:lang w:eastAsia="zh-CN"/>
                    </w:rPr>
                    <w:t>，</w:t>
                  </w:r>
                  <w:r>
                    <w:rPr>
                      <w:rFonts w:hint="eastAsia" w:ascii="宋体" w:hAnsi="宋体" w:eastAsia="宋体" w:cs="宋体"/>
                      <w:bCs/>
                      <w:color w:val="auto"/>
                      <w:kern w:val="2"/>
                      <w:sz w:val="21"/>
                      <w:szCs w:val="21"/>
                      <w:highlight w:val="none"/>
                      <w:lang w:val="en-US" w:eastAsia="zh-CN" w:bidi="ar-SA"/>
                    </w:rPr>
                    <w:t>向朔方大基地用水点供水</w:t>
                  </w:r>
                  <w:r>
                    <w:rPr>
                      <w:rFonts w:hint="eastAsia" w:ascii="宋体" w:hAnsi="宋体" w:cs="宋体"/>
                      <w:bCs/>
                      <w:color w:val="auto"/>
                      <w:kern w:val="2"/>
                      <w:sz w:val="21"/>
                      <w:szCs w:val="21"/>
                      <w:highlight w:val="none"/>
                      <w:lang w:val="en-US" w:eastAsia="zh-CN" w:bidi="ar-SA"/>
                    </w:rPr>
                    <w:t>。</w:t>
                  </w:r>
                </w:p>
              </w:tc>
              <w:tc>
                <w:tcPr>
                  <w:tcW w:w="262" w:type="pct"/>
                  <w:noWrap w:val="0"/>
                  <w:vAlign w:val="center"/>
                </w:tcPr>
                <w:p w14:paraId="0E9F39FF">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新建</w:t>
                  </w:r>
                </w:p>
              </w:tc>
            </w:tr>
            <w:tr w14:paraId="6DB812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56" w:type="pct"/>
                  <w:vMerge w:val="restart"/>
                  <w:noWrap w:val="0"/>
                  <w:vAlign w:val="center"/>
                </w:tcPr>
                <w:p w14:paraId="0D8CFAFC">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环保</w:t>
                  </w:r>
                </w:p>
                <w:p w14:paraId="469ADFE3">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工程</w:t>
                  </w:r>
                </w:p>
              </w:tc>
              <w:tc>
                <w:tcPr>
                  <w:tcW w:w="606" w:type="pct"/>
                  <w:noWrap w:val="0"/>
                  <w:vAlign w:val="center"/>
                </w:tcPr>
                <w:p w14:paraId="3694F58E">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废气</w:t>
                  </w:r>
                </w:p>
              </w:tc>
              <w:tc>
                <w:tcPr>
                  <w:tcW w:w="3874" w:type="pct"/>
                  <w:noWrap w:val="0"/>
                  <w:vAlign w:val="center"/>
                </w:tcPr>
                <w:p w14:paraId="071A3A98">
                  <w:pPr>
                    <w:pStyle w:val="13"/>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施工现场</w:t>
                  </w:r>
                  <w:r>
                    <w:rPr>
                      <w:rFonts w:hint="eastAsia" w:ascii="Times New Roman" w:hAnsi="Times New Roman" w:cs="Times New Roman"/>
                      <w:color w:val="000000" w:themeColor="text1"/>
                      <w:sz w:val="21"/>
                      <w:szCs w:val="21"/>
                      <w:highlight w:val="none"/>
                      <w:lang w:eastAsia="zh-CN"/>
                      <w14:textFill>
                        <w14:solidFill>
                          <w14:schemeClr w14:val="tx1"/>
                        </w14:solidFill>
                      </w14:textFill>
                    </w:rPr>
                    <w:t>设置围挡，</w:t>
                  </w:r>
                  <w:r>
                    <w:rPr>
                      <w:rFonts w:hint="eastAsia" w:ascii="宋体" w:hAnsi="宋体" w:cs="宋体"/>
                      <w:sz w:val="21"/>
                      <w:szCs w:val="21"/>
                      <w:highlight w:val="none"/>
                      <w:lang w:val="en-US" w:eastAsia="zh-CN"/>
                    </w:rPr>
                    <w:t>施工场地内易产生扬尘的物料堆置须</w:t>
                  </w:r>
                  <w:r>
                    <w:rPr>
                      <w:rFonts w:hint="eastAsia" w:hAnsi="宋体" w:cs="宋体"/>
                      <w:sz w:val="21"/>
                      <w:szCs w:val="21"/>
                      <w:highlight w:val="none"/>
                      <w:lang w:val="en-US" w:eastAsia="zh-CN"/>
                    </w:rPr>
                    <w:t>采取</w:t>
                  </w:r>
                  <w:r>
                    <w:rPr>
                      <w:rFonts w:hint="eastAsia" w:ascii="宋体" w:hAnsi="宋体" w:cs="宋体"/>
                      <w:sz w:val="21"/>
                      <w:szCs w:val="21"/>
                      <w:highlight w:val="none"/>
                      <w:lang w:val="en-US" w:eastAsia="zh-CN"/>
                    </w:rPr>
                    <w:t>密闭、遮盖、洒水等抑尘措施</w:t>
                  </w:r>
                  <w:r>
                    <w:rPr>
                      <w:rFonts w:hint="eastAsia" w:hAnsi="宋体" w:cs="宋体"/>
                      <w:sz w:val="21"/>
                      <w:szCs w:val="21"/>
                      <w:highlight w:val="none"/>
                      <w:lang w:val="en-US" w:eastAsia="zh-CN"/>
                    </w:rPr>
                    <w:t>，</w:t>
                  </w:r>
                  <w:r>
                    <w:rPr>
                      <w:rFonts w:hint="eastAsia" w:ascii="Times New Roman" w:hAnsi="Times New Roman" w:cs="Times New Roman"/>
                      <w:color w:val="000000" w:themeColor="text1"/>
                      <w:sz w:val="21"/>
                      <w:szCs w:val="21"/>
                      <w:highlight w:val="none"/>
                      <w:lang w:eastAsia="zh-CN"/>
                      <w14:textFill>
                        <w14:solidFill>
                          <w14:schemeClr w14:val="tx1"/>
                        </w14:solidFill>
                      </w14:textFill>
                    </w:rPr>
                    <w:t>施工期间</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对道路扬尘进行洒水抑尘</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、汽车尾气及运输粉尘采取控制车速、合理采取密封运输方式</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p>
              </w:tc>
              <w:tc>
                <w:tcPr>
                  <w:tcW w:w="262" w:type="pct"/>
                  <w:noWrap w:val="0"/>
                  <w:vAlign w:val="center"/>
                </w:tcPr>
                <w:p w14:paraId="290A38E1">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CDBB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56" w:type="pct"/>
                  <w:vMerge w:val="continue"/>
                  <w:noWrap w:val="0"/>
                  <w:vAlign w:val="center"/>
                </w:tcPr>
                <w:p w14:paraId="52DC9F16">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p>
              </w:tc>
              <w:tc>
                <w:tcPr>
                  <w:tcW w:w="606" w:type="pct"/>
                  <w:vMerge w:val="restart"/>
                  <w:noWrap w:val="0"/>
                  <w:vAlign w:val="center"/>
                </w:tcPr>
                <w:p w14:paraId="660A2BCC">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废水</w:t>
                  </w:r>
                </w:p>
              </w:tc>
              <w:tc>
                <w:tcPr>
                  <w:tcW w:w="3874" w:type="pct"/>
                  <w:noWrap w:val="0"/>
                  <w:vAlign w:val="center"/>
                </w:tcPr>
                <w:p w14:paraId="0469005F">
                  <w:pPr>
                    <w:pStyle w:val="13"/>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宋体" w:hAnsi="宋体" w:cs="宋体"/>
                      <w:sz w:val="21"/>
                      <w:szCs w:val="21"/>
                      <w:highlight w:val="none"/>
                      <w:lang w:val="en-US" w:eastAsia="zh-CN"/>
                    </w:rPr>
                    <w:t>施工人员生活污水</w:t>
                  </w:r>
                  <w:r>
                    <w:rPr>
                      <w:rFonts w:hint="eastAsia" w:ascii="宋体" w:hAnsi="宋体" w:cs="宋体"/>
                      <w:sz w:val="21"/>
                      <w:szCs w:val="21"/>
                      <w:highlight w:val="none"/>
                      <w:lang w:val="en-US" w:eastAsia="zh-CN"/>
                    </w:rPr>
                    <w:t>设置临时化粪池收集后送至吉日嘎朗图镇生活污水处理厂。</w:t>
                  </w:r>
                  <w:r>
                    <w:rPr>
                      <w:rFonts w:hint="eastAsia"/>
                      <w:color w:val="000000" w:themeColor="text1"/>
                      <w:sz w:val="21"/>
                      <w:szCs w:val="21"/>
                      <w:highlight w:val="none"/>
                      <w:lang w:eastAsia="zh-CN"/>
                      <w14:textFill>
                        <w14:solidFill>
                          <w14:schemeClr w14:val="tx1"/>
                        </w14:solidFill>
                      </w14:textFill>
                    </w:rPr>
                    <w:t>项目运营期不产生废水。</w:t>
                  </w:r>
                </w:p>
              </w:tc>
              <w:tc>
                <w:tcPr>
                  <w:tcW w:w="262" w:type="pct"/>
                  <w:vMerge w:val="restart"/>
                  <w:noWrap w:val="0"/>
                  <w:vAlign w:val="center"/>
                </w:tcPr>
                <w:p w14:paraId="6E8A13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72D31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56" w:type="pct"/>
                  <w:vMerge w:val="continue"/>
                  <w:noWrap w:val="0"/>
                  <w:vAlign w:val="center"/>
                </w:tcPr>
                <w:p w14:paraId="10E85CB1">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highlight w:val="none"/>
                      <w14:textFill>
                        <w14:solidFill>
                          <w14:schemeClr w14:val="tx1"/>
                        </w14:solidFill>
                      </w14:textFill>
                    </w:rPr>
                  </w:pPr>
                </w:p>
              </w:tc>
              <w:tc>
                <w:tcPr>
                  <w:tcW w:w="606" w:type="pct"/>
                  <w:vMerge w:val="continue"/>
                  <w:noWrap w:val="0"/>
                  <w:vAlign w:val="center"/>
                </w:tcPr>
                <w:p w14:paraId="4E576B59">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highlight w:val="none"/>
                      <w14:textFill>
                        <w14:solidFill>
                          <w14:schemeClr w14:val="tx1"/>
                        </w14:solidFill>
                      </w14:textFill>
                    </w:rPr>
                  </w:pPr>
                </w:p>
              </w:tc>
              <w:tc>
                <w:tcPr>
                  <w:tcW w:w="3874" w:type="pct"/>
                  <w:noWrap w:val="0"/>
                  <w:vAlign w:val="center"/>
                </w:tcPr>
                <w:p w14:paraId="3E5AA9EC">
                  <w:pPr>
                    <w:pStyle w:val="13"/>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auto"/>
                      <w:sz w:val="21"/>
                      <w:szCs w:val="21"/>
                      <w:highlight w:val="none"/>
                      <w:lang w:val="en-US" w:eastAsia="zh-CN"/>
                    </w:rPr>
                    <w:t>施工作业废水经过沉淀池沉淀回用，输水管线试压后，废水从管内排出，进入下一段管线循环使用，试压结束后，废水经过沉淀池沉淀，然后用于施工场地洒水降尘。</w:t>
                  </w:r>
                </w:p>
              </w:tc>
              <w:tc>
                <w:tcPr>
                  <w:tcW w:w="262" w:type="pct"/>
                  <w:vMerge w:val="continue"/>
                  <w:noWrap w:val="0"/>
                  <w:vAlign w:val="center"/>
                </w:tcPr>
                <w:p w14:paraId="2C87C4FC">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cs="Times New Roman"/>
                      <w:color w:val="000000" w:themeColor="text1"/>
                      <w:sz w:val="21"/>
                      <w:szCs w:val="21"/>
                      <w:highlight w:val="none"/>
                      <w14:textFill>
                        <w14:solidFill>
                          <w14:schemeClr w14:val="tx1"/>
                        </w14:solidFill>
                      </w14:textFill>
                    </w:rPr>
                  </w:pPr>
                </w:p>
              </w:tc>
            </w:tr>
            <w:tr w14:paraId="6DB2B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56" w:type="pct"/>
                  <w:vMerge w:val="continue"/>
                  <w:noWrap w:val="0"/>
                  <w:vAlign w:val="center"/>
                </w:tcPr>
                <w:p w14:paraId="50F48D62">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p>
              </w:tc>
              <w:tc>
                <w:tcPr>
                  <w:tcW w:w="606" w:type="pct"/>
                  <w:noWrap w:val="0"/>
                  <w:vAlign w:val="center"/>
                </w:tcPr>
                <w:p w14:paraId="1562CF37">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噪声</w:t>
                  </w:r>
                </w:p>
              </w:tc>
              <w:tc>
                <w:tcPr>
                  <w:tcW w:w="3874" w:type="pct"/>
                  <w:noWrap w:val="0"/>
                  <w:vAlign w:val="center"/>
                </w:tcPr>
                <w:p w14:paraId="3CC2C153">
                  <w:pPr>
                    <w:pStyle w:val="13"/>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合理安排施工作业时间，优先选用高效低噪声设备，减少高噪声设备同时作业</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ascii="Times New Roman" w:hAnsi="Times New Roman" w:cs="Times New Roman"/>
                      <w:color w:val="000000" w:themeColor="text1"/>
                      <w:sz w:val="21"/>
                      <w:szCs w:val="21"/>
                      <w:highlight w:val="none"/>
                      <w14:textFill>
                        <w14:solidFill>
                          <w14:schemeClr w14:val="tx1"/>
                        </w14:solidFill>
                      </w14:textFill>
                    </w:rPr>
                    <w:t>进出车辆合理安排，尽量减少鸣笛。</w:t>
                  </w:r>
                </w:p>
              </w:tc>
              <w:tc>
                <w:tcPr>
                  <w:tcW w:w="262" w:type="pct"/>
                  <w:noWrap w:val="0"/>
                  <w:vAlign w:val="center"/>
                </w:tcPr>
                <w:p w14:paraId="4A02FC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4AF3A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6" w:type="pct"/>
                  <w:vMerge w:val="continue"/>
                  <w:noWrap w:val="0"/>
                  <w:vAlign w:val="top"/>
                </w:tcPr>
                <w:p w14:paraId="3CADD440">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p>
              </w:tc>
              <w:tc>
                <w:tcPr>
                  <w:tcW w:w="606" w:type="pct"/>
                  <w:noWrap w:val="0"/>
                  <w:vAlign w:val="center"/>
                </w:tcPr>
                <w:p w14:paraId="72369D40">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固废</w:t>
                  </w:r>
                </w:p>
              </w:tc>
              <w:tc>
                <w:tcPr>
                  <w:tcW w:w="3874" w:type="pct"/>
                  <w:noWrap w:val="0"/>
                  <w:vAlign w:val="center"/>
                </w:tcPr>
                <w:p w14:paraId="6F11086E">
                  <w:pPr>
                    <w:pStyle w:val="13"/>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14:textFill>
                        <w14:solidFill>
                          <w14:schemeClr w14:val="tx1"/>
                        </w14:solidFill>
                      </w14:textFill>
                    </w:rPr>
                    <w:t>施工</w:t>
                  </w:r>
                  <w:r>
                    <w:rPr>
                      <w:rFonts w:hint="eastAsia"/>
                      <w:color w:val="000000" w:themeColor="text1"/>
                      <w:sz w:val="21"/>
                      <w:szCs w:val="21"/>
                      <w:highlight w:val="none"/>
                      <w:lang w:eastAsia="zh-CN"/>
                      <w14:textFill>
                        <w14:solidFill>
                          <w14:schemeClr w14:val="tx1"/>
                        </w14:solidFill>
                      </w14:textFill>
                    </w:rPr>
                    <w:t>区</w:t>
                  </w:r>
                  <w:r>
                    <w:rPr>
                      <w:rFonts w:hint="eastAsia"/>
                      <w:color w:val="000000" w:themeColor="text1"/>
                      <w:sz w:val="21"/>
                      <w:szCs w:val="21"/>
                      <w:highlight w:val="none"/>
                      <w14:textFill>
                        <w14:solidFill>
                          <w14:schemeClr w14:val="tx1"/>
                        </w14:solidFill>
                      </w14:textFill>
                    </w:rPr>
                    <w:t>设置垃圾桶，统一收集</w:t>
                  </w:r>
                  <w:r>
                    <w:rPr>
                      <w:rFonts w:hint="eastAsia"/>
                      <w:color w:val="000000" w:themeColor="text1"/>
                      <w:sz w:val="21"/>
                      <w:szCs w:val="21"/>
                      <w:highlight w:val="none"/>
                      <w:lang w:eastAsia="zh-CN"/>
                      <w14:textFill>
                        <w14:solidFill>
                          <w14:schemeClr w14:val="tx1"/>
                        </w14:solidFill>
                      </w14:textFill>
                    </w:rPr>
                    <w:t>后</w:t>
                  </w:r>
                  <w:r>
                    <w:rPr>
                      <w:rFonts w:hint="default" w:ascii="Times New Roman" w:hAnsi="Times New Roman" w:eastAsia="宋体" w:cs="Times New Roman"/>
                      <w:color w:val="auto"/>
                      <w:sz w:val="21"/>
                      <w:szCs w:val="21"/>
                      <w:highlight w:val="none"/>
                    </w:rPr>
                    <w:t>交由环卫部门清运处置</w:t>
                  </w:r>
                  <w:r>
                    <w:rPr>
                      <w:rFonts w:hint="eastAsia" w:ascii="Times New Roman" w:hAnsi="Times New Roman" w:cs="Times New Roman"/>
                      <w:color w:val="auto"/>
                      <w:sz w:val="21"/>
                      <w:szCs w:val="21"/>
                      <w:highlight w:val="none"/>
                      <w:lang w:eastAsia="zh-CN"/>
                    </w:rPr>
                    <w:t>，弃土送到朔方大基地用于场地平整</w:t>
                  </w:r>
                  <w:r>
                    <w:rPr>
                      <w:rFonts w:hint="eastAsia"/>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eastAsia="zh-CN"/>
                      <w14:textFill>
                        <w14:solidFill>
                          <w14:schemeClr w14:val="tx1"/>
                        </w14:solidFill>
                      </w14:textFill>
                    </w:rPr>
                    <w:t>在</w:t>
                  </w:r>
                  <w:r>
                    <w:rPr>
                      <w:rFonts w:hint="eastAsia"/>
                      <w:sz w:val="21"/>
                      <w:szCs w:val="21"/>
                      <w:highlight w:val="none"/>
                      <w:lang w:val="en-US" w:eastAsia="zh-CN"/>
                    </w:rPr>
                    <w:t>运营期间，蓄水池沉淀的泥沙将被送往当地生活垃圾填埋场进行填埋覆土。</w:t>
                  </w:r>
                </w:p>
              </w:tc>
              <w:tc>
                <w:tcPr>
                  <w:tcW w:w="262" w:type="pct"/>
                  <w:noWrap w:val="0"/>
                  <w:vAlign w:val="center"/>
                </w:tcPr>
                <w:p w14:paraId="76E4E9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45167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56" w:type="pct"/>
                  <w:vMerge w:val="continue"/>
                  <w:noWrap w:val="0"/>
                  <w:vAlign w:val="top"/>
                </w:tcPr>
                <w:p w14:paraId="6660C809">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p>
              </w:tc>
              <w:tc>
                <w:tcPr>
                  <w:tcW w:w="606" w:type="pct"/>
                  <w:noWrap w:val="0"/>
                  <w:vAlign w:val="center"/>
                </w:tcPr>
                <w:p w14:paraId="01E4682E">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auto"/>
                      <w:sz w:val="21"/>
                      <w:szCs w:val="21"/>
                      <w:highlight w:val="none"/>
                    </w:rPr>
                    <w:t>生态环境</w:t>
                  </w:r>
                </w:p>
              </w:tc>
              <w:tc>
                <w:tcPr>
                  <w:tcW w:w="3874" w:type="pct"/>
                  <w:noWrap w:val="0"/>
                  <w:vAlign w:val="center"/>
                </w:tcPr>
                <w:p w14:paraId="29E2CF5F">
                  <w:pPr>
                    <w:keepNext w:val="0"/>
                    <w:keepLines w:val="0"/>
                    <w:pageBreakBefore w:val="0"/>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rPr>
                    <w:t>工程施工结束后对</w:t>
                  </w:r>
                  <w:r>
                    <w:rPr>
                      <w:rFonts w:hint="eastAsia"/>
                      <w:sz w:val="21"/>
                      <w:szCs w:val="21"/>
                      <w:highlight w:val="none"/>
                      <w:lang w:val="en-US" w:eastAsia="zh-CN"/>
                    </w:rPr>
                    <w:t>管线临时占地</w:t>
                  </w:r>
                  <w:r>
                    <w:rPr>
                      <w:rFonts w:hint="eastAsia"/>
                      <w:sz w:val="21"/>
                      <w:szCs w:val="21"/>
                      <w:highlight w:val="none"/>
                    </w:rPr>
                    <w:t>进行土地整治，</w:t>
                  </w:r>
                  <w:r>
                    <w:rPr>
                      <w:rFonts w:hint="eastAsia"/>
                      <w:sz w:val="21"/>
                      <w:szCs w:val="21"/>
                      <w:highlight w:val="none"/>
                      <w:lang w:val="en-US" w:eastAsia="zh-CN"/>
                    </w:rPr>
                    <w:t>管线临时占地</w:t>
                  </w:r>
                  <w:r>
                    <w:rPr>
                      <w:rFonts w:hint="eastAsia"/>
                      <w:sz w:val="21"/>
                      <w:szCs w:val="21"/>
                      <w:highlight w:val="none"/>
                    </w:rPr>
                    <w:t>实施沙柳网格沙障，并在沙障内撒播种草</w:t>
                  </w:r>
                  <w:r>
                    <w:rPr>
                      <w:rFonts w:hint="eastAsia"/>
                      <w:sz w:val="21"/>
                      <w:szCs w:val="21"/>
                      <w:highlight w:val="none"/>
                      <w:lang w:eastAsia="zh-CN"/>
                    </w:rPr>
                    <w:t>，</w:t>
                  </w:r>
                  <w:r>
                    <w:rPr>
                      <w:rFonts w:hint="eastAsia"/>
                      <w:sz w:val="21"/>
                      <w:szCs w:val="21"/>
                      <w:highlight w:val="none"/>
                      <w:lang w:val="en-US" w:eastAsia="zh-CN"/>
                    </w:rPr>
                    <w:t>草籽可选择种植沙打旺、羊柴，临时占地植物措施种植面积为</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55510.8704</w:t>
                  </w: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m</w:t>
                  </w:r>
                  <w:r>
                    <w:rPr>
                      <w:rFonts w:hint="default" w:ascii="Times New Roman" w:hAnsi="Times New Roman" w:eastAsia="宋体" w:cs="Times New Roman"/>
                      <w:color w:val="000000" w:themeColor="text1"/>
                      <w:spacing w:val="0"/>
                      <w:sz w:val="21"/>
                      <w:szCs w:val="21"/>
                      <w:highlight w:val="none"/>
                      <w:vertAlign w:val="superscript"/>
                      <w14:textFill>
                        <w14:solidFill>
                          <w14:schemeClr w14:val="tx1"/>
                        </w14:solidFill>
                      </w14:textFill>
                    </w:rPr>
                    <w:t>2</w:t>
                  </w:r>
                  <w:r>
                    <w:rPr>
                      <w:rFonts w:hint="eastAsia"/>
                      <w:sz w:val="21"/>
                      <w:szCs w:val="21"/>
                      <w:highlight w:val="none"/>
                    </w:rPr>
                    <w:t>。</w:t>
                  </w:r>
                </w:p>
                <w:p w14:paraId="354F2523">
                  <w:pPr>
                    <w:keepNext w:val="0"/>
                    <w:keepLines w:val="0"/>
                    <w:pageBreakBefore w:val="0"/>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default" w:ascii="Times New Roman" w:hAnsi="Times New Roman" w:eastAsia="宋体" w:cs="Times New Roman"/>
                      <w:snapToGrid/>
                      <w:color w:val="auto"/>
                      <w:kern w:val="2"/>
                      <w:sz w:val="21"/>
                      <w:szCs w:val="21"/>
                      <w:highlight w:val="none"/>
                      <w:lang w:val="en-US" w:eastAsia="zh-CN" w:bidi="ar-SA"/>
                    </w:rPr>
                    <w:t>主体工程结束后对坝顶道路一侧进行绿化，绿化面积共计0.23hm</w:t>
                  </w:r>
                  <w:r>
                    <w:rPr>
                      <w:rFonts w:hint="default" w:ascii="Times New Roman" w:hAnsi="Times New Roman" w:eastAsia="宋体" w:cs="Times New Roman"/>
                      <w:snapToGrid/>
                      <w:color w:val="auto"/>
                      <w:kern w:val="2"/>
                      <w:sz w:val="21"/>
                      <w:szCs w:val="21"/>
                      <w:highlight w:val="none"/>
                      <w:vertAlign w:val="superscript"/>
                      <w:lang w:val="en-US" w:eastAsia="zh-CN" w:bidi="ar-SA"/>
                    </w:rPr>
                    <w:t>2</w:t>
                  </w:r>
                  <w:r>
                    <w:rPr>
                      <w:rFonts w:hint="default" w:ascii="Times New Roman" w:hAnsi="Times New Roman" w:eastAsia="宋体" w:cs="Times New Roman"/>
                      <w:snapToGrid/>
                      <w:color w:val="auto"/>
                      <w:kern w:val="2"/>
                      <w:sz w:val="21"/>
                      <w:szCs w:val="21"/>
                      <w:highlight w:val="none"/>
                      <w:lang w:val="en-US" w:eastAsia="zh-CN" w:bidi="ar-SA"/>
                    </w:rPr>
                    <w:t>，绿化树种选择旱柳，单行种植，株距3m，共栽植旱柳370株。</w:t>
                  </w:r>
                </w:p>
                <w:p w14:paraId="5C7F66CA">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both"/>
                    <w:textAlignment w:val="auto"/>
                    <w:outlineLvl w:val="9"/>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蓄水池外边坡防护采用1m×1m沙柳枝条扦插成网格防护，沙障内撒播草籽</w:t>
                  </w:r>
                  <w:r>
                    <w:rPr>
                      <w:rFonts w:hint="eastAsia" w:ascii="Times New Roman" w:hAnsi="Times New Roman" w:cs="Times New Roman"/>
                      <w:snapToGrid/>
                      <w:color w:val="auto"/>
                      <w:kern w:val="2"/>
                      <w:sz w:val="21"/>
                      <w:szCs w:val="21"/>
                      <w:highlight w:val="none"/>
                      <w:lang w:val="en-US" w:eastAsia="zh-CN" w:bidi="ar-SA"/>
                    </w:rPr>
                    <w:t>，草籽可选择沙打旺、羊柴</w:t>
                  </w:r>
                  <w:r>
                    <w:rPr>
                      <w:rFonts w:hint="default" w:ascii="Times New Roman" w:hAnsi="Times New Roman" w:eastAsia="宋体" w:cs="Times New Roman"/>
                      <w:snapToGrid/>
                      <w:color w:val="auto"/>
                      <w:kern w:val="2"/>
                      <w:sz w:val="21"/>
                      <w:szCs w:val="21"/>
                      <w:highlight w:val="none"/>
                      <w:lang w:val="en-US" w:eastAsia="zh-CN" w:bidi="ar-SA"/>
                    </w:rPr>
                    <w:t>。</w:t>
                  </w:r>
                </w:p>
                <w:p w14:paraId="5C29BDC4">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both"/>
                    <w:textAlignment w:val="auto"/>
                    <w:outlineLvl w:val="9"/>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color w:val="auto"/>
                      <w:kern w:val="2"/>
                      <w:sz w:val="21"/>
                      <w:szCs w:val="21"/>
                      <w:highlight w:val="none"/>
                      <w:lang w:val="en-US" w:eastAsia="zh-CN" w:bidi="ar-SA"/>
                    </w:rPr>
                    <w:t>蓄水池外周边50米设置沙障防护，沙障采用网格式沙障，沙柳枝条</w:t>
                  </w:r>
                  <w:r>
                    <w:rPr>
                      <w:rFonts w:hint="eastAsia" w:ascii="Times New Roman" w:hAnsi="Times New Roman" w:cs="Times New Roman"/>
                      <w:snapToGrid/>
                      <w:color w:val="auto"/>
                      <w:kern w:val="2"/>
                      <w:sz w:val="21"/>
                      <w:szCs w:val="21"/>
                      <w:highlight w:val="none"/>
                      <w:lang w:val="en-US" w:eastAsia="zh-CN" w:bidi="ar-SA"/>
                    </w:rPr>
                    <w:t>呈</w:t>
                  </w:r>
                  <w:r>
                    <w:rPr>
                      <w:rFonts w:hint="default" w:ascii="Times New Roman" w:hAnsi="Times New Roman" w:eastAsia="宋体" w:cs="Times New Roman"/>
                      <w:snapToGrid/>
                      <w:color w:val="auto"/>
                      <w:kern w:val="2"/>
                      <w:sz w:val="21"/>
                      <w:szCs w:val="21"/>
                      <w:highlight w:val="none"/>
                      <w:lang w:val="en-US" w:eastAsia="zh-CN" w:bidi="ar-SA"/>
                    </w:rPr>
                    <w:t>菱形铺设，规格为2m×2m，交叉处采用草绳及扦插沙柳固定。</w:t>
                  </w:r>
                </w:p>
              </w:tc>
              <w:tc>
                <w:tcPr>
                  <w:tcW w:w="262" w:type="pct"/>
                  <w:noWrap w:val="0"/>
                  <w:vAlign w:val="center"/>
                </w:tcPr>
                <w:p w14:paraId="52F96A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5A7EDC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56" w:type="pct"/>
                  <w:vMerge w:val="continue"/>
                  <w:noWrap w:val="0"/>
                  <w:vAlign w:val="top"/>
                </w:tcPr>
                <w:p w14:paraId="651837A6">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000000" w:themeColor="text1"/>
                      <w:sz w:val="21"/>
                      <w:szCs w:val="21"/>
                      <w:highlight w:val="none"/>
                      <w14:textFill>
                        <w14:solidFill>
                          <w14:schemeClr w14:val="tx1"/>
                        </w14:solidFill>
                      </w14:textFill>
                    </w:rPr>
                  </w:pPr>
                </w:p>
              </w:tc>
              <w:tc>
                <w:tcPr>
                  <w:tcW w:w="606" w:type="pct"/>
                  <w:noWrap w:val="0"/>
                  <w:vAlign w:val="center"/>
                </w:tcPr>
                <w:p w14:paraId="6A03CFBB">
                  <w:pPr>
                    <w:pStyle w:val="13"/>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eastAsia"/>
                      <w:highlight w:val="none"/>
                      <w:lang w:eastAsia="zh-CN"/>
                    </w:rPr>
                    <w:t>风险防范措施</w:t>
                  </w:r>
                </w:p>
              </w:tc>
              <w:tc>
                <w:tcPr>
                  <w:tcW w:w="3874" w:type="pct"/>
                  <w:noWrap w:val="0"/>
                  <w:vAlign w:val="center"/>
                </w:tcPr>
                <w:p w14:paraId="12C5DD3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eastAsia="zh-CN"/>
                    </w:rPr>
                    <w:t>蓄水池</w:t>
                  </w:r>
                  <w:r>
                    <w:rPr>
                      <w:rFonts w:hint="eastAsia" w:ascii="Times New Roman" w:hAnsi="Times New Roman" w:eastAsia="宋体" w:cs="Times New Roman"/>
                      <w:snapToGrid/>
                      <w:color w:val="auto"/>
                      <w:kern w:val="2"/>
                      <w:sz w:val="21"/>
                      <w:szCs w:val="21"/>
                      <w:highlight w:val="none"/>
                      <w:lang w:val="en-US" w:eastAsia="zh-CN" w:bidi="ar-SA"/>
                    </w:rPr>
                    <w:t>坝顶设置</w:t>
                  </w:r>
                  <w:r>
                    <w:rPr>
                      <w:rFonts w:hint="default" w:ascii="Times New Roman" w:hAnsi="Times New Roman" w:eastAsia="宋体" w:cs="Times New Roman"/>
                      <w:snapToGrid/>
                      <w:color w:val="auto"/>
                      <w:kern w:val="2"/>
                      <w:sz w:val="21"/>
                      <w:szCs w:val="21"/>
                      <w:highlight w:val="none"/>
                      <w:lang w:val="en-US" w:eastAsia="zh-CN" w:bidi="ar-SA"/>
                    </w:rPr>
                    <w:t>网围栏</w:t>
                  </w:r>
                  <w:r>
                    <w:rPr>
                      <w:rFonts w:hint="eastAsia" w:ascii="Times New Roman" w:hAnsi="Times New Roman" w:eastAsia="宋体" w:cs="Times New Roman"/>
                      <w:snapToGrid/>
                      <w:color w:val="auto"/>
                      <w:kern w:val="2"/>
                      <w:sz w:val="21"/>
                      <w:szCs w:val="21"/>
                      <w:highlight w:val="none"/>
                      <w:lang w:val="en-US" w:eastAsia="zh-CN" w:bidi="ar-SA"/>
                    </w:rPr>
                    <w:t>，池体</w:t>
                  </w:r>
                  <w:r>
                    <w:rPr>
                      <w:rFonts w:hint="default" w:ascii="Times New Roman" w:hAnsi="Times New Roman" w:eastAsia="宋体" w:cs="Times New Roman"/>
                      <w:color w:val="auto"/>
                      <w:sz w:val="21"/>
                      <w:szCs w:val="21"/>
                      <w:highlight w:val="none"/>
                      <w:lang w:val="en-US" w:eastAsia="zh-CN"/>
                    </w:rPr>
                    <w:t>边坡采用1.5mm厚HDPE土工膜防渗及护坡</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蓄水池池底采用20</w:t>
                  </w:r>
                  <w:r>
                    <w:rPr>
                      <w:rFonts w:hint="eastAsia" w:cs="Times New Roman"/>
                      <w:color w:val="auto"/>
                      <w:sz w:val="21"/>
                      <w:szCs w:val="21"/>
                      <w:highlight w:val="none"/>
                      <w:lang w:val="en-US" w:eastAsia="zh-CN"/>
                    </w:rPr>
                    <w:t>0m</w:t>
                  </w:r>
                  <w:r>
                    <w:rPr>
                      <w:rFonts w:hint="default" w:ascii="Times New Roman" w:hAnsi="Times New Roman" w:eastAsia="宋体" w:cs="Times New Roman"/>
                      <w:color w:val="auto"/>
                      <w:sz w:val="21"/>
                      <w:szCs w:val="21"/>
                      <w:highlight w:val="none"/>
                      <w:lang w:val="en-US" w:eastAsia="zh-CN"/>
                    </w:rPr>
                    <w:t>m素土回填，上铺1.5mm厚HDPE土工膜防渗，土工膜上铺设15</w:t>
                  </w:r>
                  <w:r>
                    <w:rPr>
                      <w:rFonts w:hint="eastAsia" w:cs="Times New Roman"/>
                      <w:color w:val="auto"/>
                      <w:sz w:val="21"/>
                      <w:szCs w:val="21"/>
                      <w:highlight w:val="none"/>
                      <w:lang w:val="en-US" w:eastAsia="zh-CN"/>
                    </w:rPr>
                    <w:t>0m</w:t>
                  </w:r>
                  <w:r>
                    <w:rPr>
                      <w:rFonts w:hint="default" w:ascii="Times New Roman" w:hAnsi="Times New Roman" w:eastAsia="宋体" w:cs="Times New Roman"/>
                      <w:color w:val="auto"/>
                      <w:sz w:val="21"/>
                      <w:szCs w:val="21"/>
                      <w:highlight w:val="none"/>
                      <w:lang w:val="en-US" w:eastAsia="zh-CN"/>
                    </w:rPr>
                    <w:t>m厚砂砾石</w:t>
                  </w:r>
                  <w:r>
                    <w:rPr>
                      <w:rFonts w:hint="eastAsia" w:cs="Times New Roman"/>
                      <w:color w:val="auto"/>
                      <w:sz w:val="21"/>
                      <w:szCs w:val="21"/>
                      <w:highlight w:val="none"/>
                      <w:lang w:val="en-US" w:eastAsia="zh-CN"/>
                    </w:rPr>
                    <w:t>垫</w:t>
                  </w:r>
                  <w:r>
                    <w:rPr>
                      <w:rFonts w:hint="default" w:ascii="Times New Roman" w:hAnsi="Times New Roman" w:eastAsia="宋体" w:cs="Times New Roman"/>
                      <w:color w:val="auto"/>
                      <w:sz w:val="21"/>
                      <w:szCs w:val="21"/>
                      <w:highlight w:val="none"/>
                      <w:lang w:val="en-US" w:eastAsia="zh-CN"/>
                    </w:rPr>
                    <w:t>层</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snapToGrid/>
                      <w:color w:val="auto"/>
                      <w:kern w:val="2"/>
                      <w:sz w:val="21"/>
                      <w:szCs w:val="21"/>
                      <w:highlight w:val="none"/>
                      <w:lang w:val="en-US" w:eastAsia="zh-CN" w:bidi="ar-SA"/>
                    </w:rPr>
                    <w:t>进水口</w:t>
                  </w:r>
                  <w:r>
                    <w:rPr>
                      <w:rFonts w:hint="eastAsia" w:ascii="Times New Roman" w:hAnsi="Times New Roman" w:eastAsia="宋体" w:cs="Times New Roman"/>
                      <w:snapToGrid/>
                      <w:color w:val="auto"/>
                      <w:kern w:val="2"/>
                      <w:sz w:val="21"/>
                      <w:szCs w:val="21"/>
                      <w:highlight w:val="none"/>
                      <w:lang w:val="en-US" w:eastAsia="zh-CN" w:bidi="ar-SA"/>
                    </w:rPr>
                    <w:t>消力池池体结构为HDPE土工膜（1.5mm）+砂砾料垫层100mm+格宾石笼护底400mm</w:t>
                  </w:r>
                  <w:r>
                    <w:rPr>
                      <w:rFonts w:hint="default" w:ascii="Times New Roman" w:hAnsi="Times New Roman" w:eastAsia="宋体" w:cs="Times New Roman"/>
                      <w:snapToGrid/>
                      <w:color w:val="auto"/>
                      <w:kern w:val="2"/>
                      <w:sz w:val="21"/>
                      <w:szCs w:val="21"/>
                      <w:highlight w:val="none"/>
                      <w:lang w:val="en-US" w:eastAsia="zh-CN" w:bidi="ar-SA"/>
                    </w:rPr>
                    <w:t>。</w:t>
                  </w:r>
                </w:p>
              </w:tc>
              <w:tc>
                <w:tcPr>
                  <w:tcW w:w="262" w:type="pct"/>
                  <w:noWrap w:val="0"/>
                  <w:vAlign w:val="center"/>
                </w:tcPr>
                <w:p w14:paraId="65D955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bl>
          <w:p w14:paraId="5E0A1F68">
            <w:pPr>
              <w:pStyle w:val="12"/>
              <w:keepNext w:val="0"/>
              <w:keepLines w:val="0"/>
              <w:pageBreakBefore w:val="0"/>
              <w:kinsoku/>
              <w:wordWrap/>
              <w:overflowPunct/>
              <w:topLinePunct w:val="0"/>
              <w:bidi w:val="0"/>
              <w:spacing w:before="0" w:after="0" w:line="360" w:lineRule="auto"/>
              <w:ind w:right="0" w:firstLine="482" w:firstLineChars="200"/>
              <w:textAlignment w:val="auto"/>
              <w:rPr>
                <w:rFonts w:hint="eastAsia" w:cs="Times New Roman"/>
                <w:b/>
                <w:color w:val="000000" w:themeColor="text1"/>
                <w:sz w:val="24"/>
                <w:szCs w:val="24"/>
                <w:highlight w:val="none"/>
                <w:lang w:val="en-US" w:eastAsia="zh-CN"/>
                <w14:textFill>
                  <w14:solidFill>
                    <w14:schemeClr w14:val="tx1"/>
                  </w14:solidFill>
                </w14:textFill>
              </w:rPr>
            </w:pPr>
          </w:p>
          <w:p w14:paraId="488DBA17">
            <w:pPr>
              <w:pStyle w:val="12"/>
              <w:keepNext w:val="0"/>
              <w:keepLines w:val="0"/>
              <w:pageBreakBefore w:val="0"/>
              <w:kinsoku/>
              <w:wordWrap/>
              <w:overflowPunct/>
              <w:topLinePunct w:val="0"/>
              <w:bidi w:val="0"/>
              <w:spacing w:before="0" w:after="0" w:line="360" w:lineRule="auto"/>
              <w:ind w:right="0" w:firstLine="482" w:firstLineChars="200"/>
              <w:textAlignment w:val="auto"/>
              <w:rPr>
                <w:rFonts w:hint="eastAsia" w:cs="Times New Roman"/>
                <w:b/>
                <w:color w:val="000000" w:themeColor="text1"/>
                <w:sz w:val="24"/>
                <w:szCs w:val="24"/>
                <w:highlight w:val="none"/>
                <w:lang w:val="en-US" w:eastAsia="zh-CN"/>
                <w14:textFill>
                  <w14:solidFill>
                    <w14:schemeClr w14:val="tx1"/>
                  </w14:solidFill>
                </w14:textFill>
              </w:rPr>
            </w:pPr>
          </w:p>
          <w:p w14:paraId="054124D0">
            <w:pPr>
              <w:pStyle w:val="12"/>
              <w:keepNext w:val="0"/>
              <w:keepLines w:val="0"/>
              <w:pageBreakBefore w:val="0"/>
              <w:kinsoku/>
              <w:wordWrap/>
              <w:overflowPunct/>
              <w:topLinePunct w:val="0"/>
              <w:bidi w:val="0"/>
              <w:spacing w:before="0" w:after="0" w:line="360" w:lineRule="auto"/>
              <w:ind w:right="0" w:firstLine="482" w:firstLineChars="200"/>
              <w:textAlignment w:val="auto"/>
              <w:rPr>
                <w:rFonts w:hint="eastAsia" w:cs="Times New Roman"/>
                <w:b/>
                <w:color w:val="000000" w:themeColor="text1"/>
                <w:sz w:val="24"/>
                <w:szCs w:val="24"/>
                <w:highlight w:val="none"/>
                <w:lang w:val="en-US" w:eastAsia="zh-CN"/>
                <w14:textFill>
                  <w14:solidFill>
                    <w14:schemeClr w14:val="tx1"/>
                  </w14:solidFill>
                </w14:textFill>
              </w:rPr>
            </w:pPr>
            <w:r>
              <w:rPr>
                <w:rFonts w:hint="eastAsia" w:cs="Times New Roman"/>
                <w:b/>
                <w:color w:val="000000" w:themeColor="text1"/>
                <w:sz w:val="24"/>
                <w:szCs w:val="24"/>
                <w:highlight w:val="none"/>
                <w:lang w:val="en-US" w:eastAsia="zh-CN"/>
                <w14:textFill>
                  <w14:solidFill>
                    <w14:schemeClr w14:val="tx1"/>
                  </w14:solidFill>
                </w14:textFill>
              </w:rPr>
              <w:t>4.占地情况</w:t>
            </w:r>
          </w:p>
          <w:p w14:paraId="583C1A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highlight w:val="none"/>
                <w:lang w:val="en-US" w:eastAsia="zh-CN"/>
              </w:rPr>
            </w:pPr>
            <w:r>
              <w:rPr>
                <w:rFonts w:hint="default" w:ascii="Times New Roman" w:hAnsi="Times New Roman" w:eastAsia="宋体" w:cs="Times New Roman"/>
                <w:spacing w:val="0"/>
                <w:sz w:val="24"/>
                <w:szCs w:val="24"/>
                <w:highlight w:val="none"/>
                <w:vertAlign w:val="baseline"/>
                <w:lang w:val="en-US" w:eastAsia="zh-CN"/>
              </w:rPr>
              <w:t>项目位于</w:t>
            </w:r>
            <w:r>
              <w:rPr>
                <w:rFonts w:hint="default" w:ascii="Times New Roman" w:hAnsi="Times New Roman" w:eastAsia="宋体" w:cs="Times New Roman"/>
                <w:spacing w:val="0"/>
                <w:sz w:val="24"/>
                <w:szCs w:val="24"/>
                <w:highlight w:val="none"/>
                <w:u w:val="none"/>
                <w:lang w:eastAsia="zh-CN"/>
              </w:rPr>
              <w:t>内蒙古</w:t>
            </w:r>
            <w:r>
              <w:rPr>
                <w:rFonts w:hint="default" w:ascii="Times New Roman" w:hAnsi="Times New Roman" w:eastAsia="宋体" w:cs="Times New Roman"/>
                <w:spacing w:val="0"/>
                <w:sz w:val="24"/>
                <w:szCs w:val="24"/>
                <w:highlight w:val="none"/>
                <w:u w:val="none"/>
              </w:rPr>
              <w:t>自治区</w:t>
            </w:r>
            <w:r>
              <w:rPr>
                <w:rFonts w:hint="default" w:ascii="Times New Roman" w:hAnsi="Times New Roman" w:eastAsia="宋体" w:cs="Times New Roman"/>
                <w:spacing w:val="0"/>
                <w:sz w:val="24"/>
                <w:szCs w:val="24"/>
                <w:highlight w:val="none"/>
                <w:u w:val="none"/>
                <w:lang w:eastAsia="zh-CN"/>
              </w:rPr>
              <w:t>鄂尔多斯市杭锦旗吉日嘎朗图镇</w:t>
            </w:r>
            <w:r>
              <w:rPr>
                <w:rFonts w:hint="default" w:ascii="Times New Roman" w:hAnsi="Times New Roman" w:eastAsia="宋体" w:cs="Times New Roman"/>
                <w:spacing w:val="0"/>
                <w:sz w:val="24"/>
                <w:szCs w:val="24"/>
                <w:highlight w:val="none"/>
                <w:vertAlign w:val="baseline"/>
                <w:lang w:val="en-US" w:eastAsia="zh-CN"/>
              </w:rPr>
              <w:t>，</w:t>
            </w:r>
            <w:r>
              <w:rPr>
                <w:rFonts w:hint="default" w:ascii="Times New Roman" w:hAnsi="Times New Roman" w:eastAsia="宋体" w:cs="Times New Roman"/>
                <w:b w:val="0"/>
                <w:bCs w:val="0"/>
                <w:color w:val="000000" w:themeColor="text1"/>
                <w:spacing w:val="0"/>
                <w:kern w:val="2"/>
                <w:sz w:val="24"/>
                <w:szCs w:val="24"/>
                <w:highlight w:val="none"/>
                <w:lang w:val="en-US" w:eastAsia="zh-CN" w:bidi="ar-SA"/>
                <w14:textFill>
                  <w14:solidFill>
                    <w14:schemeClr w14:val="tx1"/>
                  </w14:solidFill>
                </w14:textFill>
              </w:rPr>
              <w:t>工程占地总面积164426.21</w:t>
            </w:r>
            <w:r>
              <w:rPr>
                <w:rFonts w:hint="default" w:ascii="Times New Roman" w:hAnsi="Times New Roman" w:eastAsia="宋体" w:cs="Times New Roman"/>
                <w:color w:val="000000" w:themeColor="text1"/>
                <w:spacing w:val="0"/>
                <w:kern w:val="2"/>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0"/>
                <w:kern w:val="2"/>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auto"/>
                <w:spacing w:val="0"/>
                <w:kern w:val="0"/>
                <w:sz w:val="24"/>
                <w:szCs w:val="24"/>
                <w:highlight w:val="none"/>
                <w:lang w:val="en-US" w:eastAsia="zh-CN" w:bidi="ar"/>
              </w:rPr>
              <w:t>永久占地为蓄水池工程占地（包括蓄水池池体、</w:t>
            </w:r>
            <w:r>
              <w:rPr>
                <w:rFonts w:hint="default" w:ascii="Times New Roman" w:hAnsi="Times New Roman" w:eastAsia="宋体" w:cs="Times New Roman"/>
                <w:color w:val="auto"/>
                <w:spacing w:val="0"/>
                <w:sz w:val="24"/>
                <w:szCs w:val="24"/>
                <w:highlight w:val="none"/>
                <w:lang w:eastAsia="zh-CN"/>
              </w:rPr>
              <w:t>坝顶道路</w:t>
            </w:r>
            <w:r>
              <w:rPr>
                <w:rFonts w:hint="default" w:ascii="Times New Roman" w:hAnsi="Times New Roman" w:eastAsia="宋体" w:cs="Times New Roman"/>
                <w:spacing w:val="0"/>
                <w:sz w:val="24"/>
                <w:szCs w:val="24"/>
                <w:highlight w:val="none"/>
                <w:lang w:eastAsia="zh-CN"/>
              </w:rPr>
              <w:t>以及蓄水池</w:t>
            </w:r>
            <w:r>
              <w:rPr>
                <w:rFonts w:hint="default" w:ascii="Times New Roman" w:hAnsi="Times New Roman" w:eastAsia="宋体" w:cs="Times New Roman"/>
                <w:spacing w:val="0"/>
                <w:sz w:val="24"/>
                <w:szCs w:val="24"/>
                <w:highlight w:val="none"/>
                <w:lang w:val="en-US" w:eastAsia="zh-CN"/>
              </w:rPr>
              <w:t>绿化带</w:t>
            </w:r>
            <w:r>
              <w:rPr>
                <w:rFonts w:hint="default" w:ascii="Times New Roman" w:hAnsi="Times New Roman" w:eastAsia="宋体" w:cs="Times New Roman"/>
                <w:spacing w:val="0"/>
                <w:sz w:val="24"/>
                <w:szCs w:val="24"/>
                <w:highlight w:val="none"/>
                <w:lang w:eastAsia="zh-CN"/>
              </w:rPr>
              <w:t>工程</w:t>
            </w:r>
            <w:r>
              <w:rPr>
                <w:rFonts w:hint="default" w:ascii="Times New Roman" w:hAnsi="Times New Roman" w:eastAsia="宋体" w:cs="Times New Roman"/>
                <w:color w:val="auto"/>
                <w:spacing w:val="0"/>
                <w:kern w:val="0"/>
                <w:sz w:val="24"/>
                <w:szCs w:val="24"/>
                <w:highlight w:val="none"/>
                <w:lang w:val="en-US" w:eastAsia="zh-CN" w:bidi="ar"/>
              </w:rPr>
              <w:t>）</w:t>
            </w:r>
            <w:r>
              <w:rPr>
                <w:rFonts w:hint="eastAsia" w:cs="Times New Roman"/>
                <w:color w:val="auto"/>
                <w:spacing w:val="0"/>
                <w:kern w:val="0"/>
                <w:sz w:val="24"/>
                <w:szCs w:val="24"/>
                <w:highlight w:val="none"/>
                <w:lang w:val="en-US" w:eastAsia="zh-CN" w:bidi="ar"/>
              </w:rPr>
              <w:t>以及管道附属建筑物占地；蓄水池工程</w:t>
            </w:r>
            <w:r>
              <w:rPr>
                <w:rFonts w:hint="default" w:ascii="Times New Roman" w:hAnsi="Times New Roman" w:eastAsia="宋体" w:cs="Times New Roman"/>
                <w:color w:val="auto"/>
                <w:spacing w:val="0"/>
                <w:kern w:val="0"/>
                <w:sz w:val="24"/>
                <w:szCs w:val="24"/>
                <w:highlight w:val="none"/>
                <w:lang w:val="en-US" w:eastAsia="zh-CN" w:bidi="ar"/>
              </w:rPr>
              <w:t>占地</w:t>
            </w:r>
            <w:r>
              <w:rPr>
                <w:rFonts w:hint="default" w:ascii="Times New Roman" w:hAnsi="Times New Roman" w:eastAsia="宋体" w:cs="Times New Roman"/>
                <w:color w:val="000000" w:themeColor="text1"/>
                <w:spacing w:val="0"/>
                <w:kern w:val="2"/>
                <w:sz w:val="24"/>
                <w:szCs w:val="24"/>
                <w:highlight w:val="none"/>
                <w:lang w:eastAsia="zh-CN"/>
                <w14:textFill>
                  <w14:solidFill>
                    <w14:schemeClr w14:val="tx1"/>
                  </w14:solidFill>
                </w14:textFill>
              </w:rPr>
              <w:t>面积约</w:t>
            </w:r>
            <w:r>
              <w:rPr>
                <w:rFonts w:hint="default" w:ascii="Times New Roman" w:hAnsi="Times New Roman" w:eastAsia="宋体" w:cs="Times New Roman"/>
                <w:color w:val="auto"/>
                <w:spacing w:val="0"/>
                <w:sz w:val="24"/>
                <w:szCs w:val="24"/>
                <w:highlight w:val="none"/>
                <w:lang w:eastAsia="zh-CN"/>
              </w:rPr>
              <w:t>108854.97</w:t>
            </w:r>
            <w:r>
              <w:rPr>
                <w:rFonts w:hint="default" w:ascii="Times New Roman" w:hAnsi="Times New Roman" w:eastAsia="宋体" w:cs="Times New Roman"/>
                <w:color w:val="000000" w:themeColor="text1"/>
                <w:spacing w:val="0"/>
                <w:kern w:val="2"/>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0"/>
                <w:kern w:val="2"/>
                <w:sz w:val="24"/>
                <w:szCs w:val="24"/>
                <w:highlight w:val="none"/>
                <w:vertAlign w:val="superscript"/>
                <w:lang w:val="en-US" w:eastAsia="zh-CN"/>
                <w14:textFill>
                  <w14:solidFill>
                    <w14:schemeClr w14:val="tx1"/>
                  </w14:solidFill>
                </w14:textFill>
              </w:rPr>
              <w:t>2</w:t>
            </w:r>
            <w:r>
              <w:rPr>
                <w:rFonts w:hint="eastAsia" w:cs="Times New Roman"/>
                <w:color w:val="000000" w:themeColor="text1"/>
                <w:spacing w:val="0"/>
                <w:kern w:val="2"/>
                <w:sz w:val="24"/>
                <w:szCs w:val="24"/>
                <w:highlight w:val="none"/>
                <w:vertAlign w:val="baseline"/>
                <w:lang w:val="en-US" w:eastAsia="zh-CN"/>
                <w14:textFill>
                  <w14:solidFill>
                    <w14:schemeClr w14:val="tx1"/>
                  </w14:solidFill>
                </w14:textFill>
              </w:rPr>
              <w:t>；</w:t>
            </w:r>
            <w:r>
              <w:rPr>
                <w:rFonts w:hint="eastAsia" w:cs="Times New Roman"/>
                <w:color w:val="auto"/>
                <w:spacing w:val="0"/>
                <w:kern w:val="0"/>
                <w:sz w:val="24"/>
                <w:szCs w:val="24"/>
                <w:highlight w:val="none"/>
                <w:lang w:val="en-US" w:eastAsia="zh-CN" w:bidi="ar"/>
              </w:rPr>
              <w:t>管道附属建筑物主要是</w:t>
            </w:r>
            <w:r>
              <w:rPr>
                <w:rFonts w:hint="eastAsia" w:cs="Times New Roman"/>
                <w:color w:val="000000" w:themeColor="text1"/>
                <w:spacing w:val="0"/>
                <w:kern w:val="2"/>
                <w:sz w:val="24"/>
                <w:szCs w:val="24"/>
                <w:highlight w:val="none"/>
                <w:vertAlign w:val="baseline"/>
                <w:lang w:val="en-US" w:eastAsia="zh-CN"/>
                <w14:textFill>
                  <w14:solidFill>
                    <w14:schemeClr w14:val="tx1"/>
                  </w14:solidFill>
                </w14:textFill>
              </w:rPr>
              <w:t>排气井、阀井、排泥井，总</w:t>
            </w:r>
            <w:r>
              <w:rPr>
                <w:rFonts w:hint="default" w:ascii="Times New Roman" w:hAnsi="Times New Roman" w:eastAsia="宋体" w:cs="Times New Roman"/>
                <w:color w:val="auto"/>
                <w:spacing w:val="0"/>
                <w:kern w:val="0"/>
                <w:sz w:val="24"/>
                <w:szCs w:val="24"/>
                <w:highlight w:val="none"/>
                <w:lang w:val="en-US" w:eastAsia="zh-CN" w:bidi="ar"/>
              </w:rPr>
              <w:t>占地</w:t>
            </w:r>
            <w:r>
              <w:rPr>
                <w:rFonts w:hint="default" w:ascii="Times New Roman" w:hAnsi="Times New Roman" w:eastAsia="宋体" w:cs="Times New Roman"/>
                <w:color w:val="000000" w:themeColor="text1"/>
                <w:spacing w:val="0"/>
                <w:kern w:val="2"/>
                <w:sz w:val="24"/>
                <w:szCs w:val="24"/>
                <w:highlight w:val="none"/>
                <w:lang w:eastAsia="zh-CN"/>
                <w14:textFill>
                  <w14:solidFill>
                    <w14:schemeClr w14:val="tx1"/>
                  </w14:solidFill>
                </w14:textFill>
              </w:rPr>
              <w:t>面积约</w:t>
            </w:r>
            <w:r>
              <w:rPr>
                <w:rFonts w:hint="default" w:ascii="Times New Roman" w:hAnsi="Times New Roman" w:eastAsia="宋体" w:cs="Times New Roman"/>
                <w:color w:val="000000" w:themeColor="text1"/>
                <w:spacing w:val="0"/>
                <w:kern w:val="2"/>
                <w:sz w:val="24"/>
                <w:szCs w:val="24"/>
                <w:highlight w:val="none"/>
                <w:lang w:val="en-US" w:eastAsia="zh-CN"/>
                <w14:textFill>
                  <w14:solidFill>
                    <w14:schemeClr w14:val="tx1"/>
                  </w14:solidFill>
                </w14:textFill>
              </w:rPr>
              <w:t>60.3696m</w:t>
            </w:r>
            <w:r>
              <w:rPr>
                <w:rFonts w:hint="default" w:ascii="Times New Roman" w:hAnsi="Times New Roman" w:eastAsia="宋体" w:cs="Times New Roman"/>
                <w:color w:val="000000" w:themeColor="text1"/>
                <w:spacing w:val="0"/>
                <w:kern w:val="2"/>
                <w:sz w:val="24"/>
                <w:szCs w:val="24"/>
                <w:highlight w:val="none"/>
                <w:vertAlign w:val="superscript"/>
                <w:lang w:val="en-US" w:eastAsia="zh-CN"/>
                <w14:textFill>
                  <w14:solidFill>
                    <w14:schemeClr w14:val="tx1"/>
                  </w14:solidFill>
                </w14:textFill>
              </w:rPr>
              <w:t>2</w:t>
            </w:r>
            <w:r>
              <w:rPr>
                <w:rFonts w:hint="eastAsia" w:cs="Times New Roman"/>
                <w:color w:val="000000" w:themeColor="text1"/>
                <w:spacing w:val="0"/>
                <w:kern w:val="2"/>
                <w:sz w:val="24"/>
                <w:szCs w:val="24"/>
                <w:highlight w:val="none"/>
                <w:vertAlign w:val="baseline"/>
                <w:lang w:val="en-US" w:eastAsia="zh-CN"/>
                <w14:textFill>
                  <w14:solidFill>
                    <w14:schemeClr w14:val="tx1"/>
                  </w14:solidFill>
                </w14:textFill>
              </w:rPr>
              <w:t>；永久</w:t>
            </w:r>
            <w:r>
              <w:rPr>
                <w:rFonts w:hint="eastAsia" w:ascii="Times New Roman" w:hAnsi="Times New Roman" w:eastAsia="宋体" w:cs="Times New Roman"/>
                <w:color w:val="000000"/>
                <w:sz w:val="24"/>
                <w:szCs w:val="24"/>
                <w:highlight w:val="none"/>
                <w:lang w:val="en-US" w:eastAsia="zh-CN"/>
              </w:rPr>
              <w:t>占地类型为沙地、其他草地</w:t>
            </w:r>
            <w:r>
              <w:rPr>
                <w:rFonts w:hint="default" w:ascii="Times New Roman" w:hAnsi="Times New Roman" w:eastAsia="宋体" w:cs="Times New Roman"/>
                <w:b w:val="0"/>
                <w:bCs w:val="0"/>
                <w:color w:val="000000" w:themeColor="text1"/>
                <w:spacing w:val="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auto"/>
                <w:spacing w:val="0"/>
                <w:sz w:val="24"/>
                <w:szCs w:val="24"/>
                <w:highlight w:val="none"/>
              </w:rPr>
              <w:t>临时占地</w:t>
            </w:r>
            <w:r>
              <w:rPr>
                <w:rFonts w:hint="default" w:ascii="Times New Roman" w:hAnsi="Times New Roman" w:eastAsia="宋体" w:cs="Times New Roman"/>
                <w:color w:val="auto"/>
                <w:spacing w:val="0"/>
                <w:sz w:val="24"/>
                <w:szCs w:val="24"/>
                <w:highlight w:val="none"/>
                <w:lang w:eastAsia="zh-CN"/>
              </w:rPr>
              <w:t>主要</w:t>
            </w:r>
            <w:r>
              <w:rPr>
                <w:rFonts w:hint="eastAsia" w:cs="Times New Roman"/>
                <w:color w:val="auto"/>
                <w:spacing w:val="0"/>
                <w:sz w:val="24"/>
                <w:szCs w:val="24"/>
                <w:highlight w:val="none"/>
                <w:lang w:eastAsia="zh-CN"/>
              </w:rPr>
              <w:t>是</w:t>
            </w:r>
            <w:r>
              <w:rPr>
                <w:rFonts w:hint="eastAsia" w:ascii="Times New Roman" w:hAnsi="Times New Roman" w:eastAsia="宋体" w:cs="Times New Roman"/>
                <w:color w:val="auto"/>
                <w:spacing w:val="0"/>
                <w:sz w:val="24"/>
                <w:szCs w:val="24"/>
                <w:highlight w:val="none"/>
                <w:lang w:eastAsia="zh-CN"/>
              </w:rPr>
              <w:t>输水</w:t>
            </w:r>
            <w:r>
              <w:rPr>
                <w:rFonts w:hint="default" w:ascii="Times New Roman" w:hAnsi="Times New Roman" w:eastAsia="宋体" w:cs="Times New Roman"/>
                <w:color w:val="auto"/>
                <w:spacing w:val="0"/>
                <w:sz w:val="24"/>
                <w:szCs w:val="24"/>
                <w:highlight w:val="none"/>
                <w:lang w:eastAsia="zh-CN"/>
              </w:rPr>
              <w:t>管线施工占地</w:t>
            </w:r>
            <w:r>
              <w:rPr>
                <w:rFonts w:hint="default" w:ascii="Times New Roman" w:hAnsi="Times New Roman" w:eastAsia="宋体" w:cs="Times New Roman"/>
                <w:spacing w:val="0"/>
                <w:sz w:val="24"/>
                <w:szCs w:val="24"/>
                <w:highlight w:val="none"/>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占地面积</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约</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为</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55510.8704</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0"/>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w:t>
            </w:r>
            <w:r>
              <w:rPr>
                <w:rFonts w:hint="eastAsia" w:ascii="Times New Roman" w:hAnsi="Times New Roman" w:eastAsia="宋体" w:cs="Times New Roman"/>
                <w:color w:val="000000"/>
                <w:sz w:val="24"/>
                <w:szCs w:val="24"/>
                <w:highlight w:val="none"/>
                <w:lang w:val="en-US" w:eastAsia="zh-CN"/>
              </w:rPr>
              <w:t>占地类型为沙地、其他草地</w:t>
            </w:r>
            <w:r>
              <w:rPr>
                <w:rFonts w:hint="default" w:ascii="Times New Roman" w:hAnsi="Times New Roman" w:eastAsia="宋体" w:cs="Times New Roman"/>
                <w:color w:val="auto"/>
                <w:spacing w:val="0"/>
                <w:sz w:val="24"/>
                <w:szCs w:val="24"/>
                <w:highlight w:val="none"/>
              </w:rPr>
              <w:t>。</w:t>
            </w:r>
            <w:r>
              <w:rPr>
                <w:rFonts w:hint="eastAsia" w:cs="Times New Roman"/>
                <w:snapToGrid/>
                <w:color w:val="auto"/>
                <w:kern w:val="2"/>
                <w:sz w:val="24"/>
                <w:szCs w:val="24"/>
                <w:highlight w:val="none"/>
                <w:lang w:eastAsia="zh-CN"/>
              </w:rPr>
              <w:t>临时仓库包括露天堆场和室内仓库。设置</w:t>
            </w:r>
            <w:r>
              <w:rPr>
                <w:rFonts w:hint="eastAsia" w:cs="Times New Roman"/>
                <w:snapToGrid/>
                <w:color w:val="auto"/>
                <w:kern w:val="2"/>
                <w:sz w:val="24"/>
                <w:szCs w:val="24"/>
                <w:highlight w:val="none"/>
                <w:lang w:val="en-US" w:eastAsia="zh-CN"/>
              </w:rPr>
              <w:t>1处临时</w:t>
            </w:r>
            <w:r>
              <w:rPr>
                <w:rFonts w:hint="eastAsia" w:cs="Times New Roman"/>
                <w:snapToGrid/>
                <w:color w:val="auto"/>
                <w:kern w:val="2"/>
                <w:sz w:val="24"/>
                <w:szCs w:val="24"/>
                <w:highlight w:val="none"/>
                <w:lang w:eastAsia="zh-CN"/>
              </w:rPr>
              <w:t>露天堆场</w:t>
            </w:r>
            <w:r>
              <w:rPr>
                <w:rFonts w:hint="eastAsia" w:cs="Times New Roman"/>
                <w:snapToGrid/>
                <w:color w:val="auto"/>
                <w:kern w:val="2"/>
                <w:sz w:val="24"/>
                <w:szCs w:val="24"/>
                <w:highlight w:val="none"/>
                <w:lang w:val="en-US" w:eastAsia="zh-CN"/>
              </w:rPr>
              <w:t>，</w:t>
            </w:r>
            <w:r>
              <w:rPr>
                <w:rFonts w:hint="default" w:ascii="Times New Roman" w:hAnsi="Times New Roman" w:cs="Times New Roman"/>
                <w:snapToGrid/>
                <w:color w:val="auto"/>
                <w:kern w:val="2"/>
                <w:sz w:val="24"/>
                <w:szCs w:val="24"/>
                <w:highlight w:val="none"/>
              </w:rPr>
              <w:t>主要存放砂石骨料和临时堆存土料，占地面积为100m</w:t>
            </w:r>
            <w:r>
              <w:rPr>
                <w:rFonts w:hint="default" w:ascii="Times New Roman" w:hAnsi="Times New Roman" w:cs="Times New Roman"/>
                <w:snapToGrid/>
                <w:color w:val="auto"/>
                <w:kern w:val="2"/>
                <w:sz w:val="24"/>
                <w:szCs w:val="24"/>
                <w:highlight w:val="none"/>
                <w:vertAlign w:val="superscript"/>
              </w:rPr>
              <w:t>2</w:t>
            </w:r>
            <w:r>
              <w:rPr>
                <w:rFonts w:hint="default" w:ascii="Times New Roman" w:hAnsi="Times New Roman" w:cs="Times New Roman"/>
                <w:snapToGrid/>
                <w:color w:val="auto"/>
                <w:kern w:val="2"/>
                <w:sz w:val="24"/>
                <w:szCs w:val="24"/>
                <w:highlight w:val="none"/>
                <w:lang w:eastAsia="zh-CN"/>
              </w:rPr>
              <w:t>。</w:t>
            </w:r>
            <w:r>
              <w:rPr>
                <w:rFonts w:hint="eastAsia" w:cs="Times New Roman"/>
                <w:snapToGrid/>
                <w:color w:val="auto"/>
                <w:kern w:val="2"/>
                <w:sz w:val="24"/>
                <w:szCs w:val="24"/>
                <w:highlight w:val="none"/>
                <w:lang w:eastAsia="zh-CN"/>
              </w:rPr>
              <w:t>临时室内仓库主要存放小型施工机械等。本工程设置临时室内仓库占地面积为100m</w:t>
            </w:r>
            <w:r>
              <w:rPr>
                <w:rFonts w:hint="eastAsia" w:cs="Times New Roman"/>
                <w:snapToGrid/>
                <w:color w:val="auto"/>
                <w:kern w:val="2"/>
                <w:sz w:val="24"/>
                <w:szCs w:val="24"/>
                <w:highlight w:val="none"/>
                <w:vertAlign w:val="superscript"/>
                <w:lang w:eastAsia="zh-CN"/>
              </w:rPr>
              <w:t>2</w:t>
            </w:r>
            <w:r>
              <w:rPr>
                <w:rFonts w:hint="eastAsia" w:cs="Times New Roman"/>
                <w:snapToGrid/>
                <w:color w:val="auto"/>
                <w:kern w:val="2"/>
                <w:sz w:val="24"/>
                <w:szCs w:val="24"/>
                <w:highlight w:val="none"/>
                <w:lang w:eastAsia="zh-CN"/>
              </w:rPr>
              <w:t>。临时仓库</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位于</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蓄水池工程永久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占地范围内，不新增临时占地。</w:t>
            </w:r>
            <w:r>
              <w:rPr>
                <w:rFonts w:hint="default" w:ascii="Times New Roman" w:hAnsi="Times New Roman" w:eastAsia="宋体" w:cs="Times New Roman"/>
                <w:color w:val="000000" w:themeColor="text1"/>
                <w:sz w:val="24"/>
                <w:szCs w:val="24"/>
                <w:highlight w:val="none"/>
                <w14:textFill>
                  <w14:solidFill>
                    <w14:schemeClr w14:val="tx1"/>
                  </w14:solidFill>
                </w14:textFill>
              </w:rPr>
              <w:t>本工程</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设置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w:t>
            </w:r>
            <w:r>
              <w:rPr>
                <w:rFonts w:hint="eastAsia" w:cs="Times New Roman"/>
                <w:color w:val="000000" w:themeColor="text1"/>
                <w:sz w:val="24"/>
                <w:szCs w:val="24"/>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生活区，布置在</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蓄水池工程占地范围内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空地</w:t>
            </w:r>
            <w:r>
              <w:rPr>
                <w:rFonts w:hint="default" w:ascii="Times New Roman" w:hAnsi="Times New Roman" w:eastAsia="宋体" w:cs="Times New Roman"/>
                <w:color w:val="000000" w:themeColor="text1"/>
                <w:sz w:val="24"/>
                <w:szCs w:val="24"/>
                <w:highlight w:val="none"/>
                <w14:textFill>
                  <w14:solidFill>
                    <w14:schemeClr w14:val="tx1"/>
                  </w14:solidFill>
                </w14:textFill>
              </w:rPr>
              <w:t>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施工</w:t>
            </w:r>
            <w:r>
              <w:rPr>
                <w:rFonts w:hint="eastAsia" w:cs="Times New Roman"/>
                <w:color w:val="000000" w:themeColor="text1"/>
                <w:sz w:val="24"/>
                <w:szCs w:val="24"/>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4"/>
                <w:szCs w:val="24"/>
                <w:highlight w:val="none"/>
                <w14:textFill>
                  <w14:solidFill>
                    <w14:schemeClr w14:val="tx1"/>
                  </w14:solidFill>
                </w14:textFill>
              </w:rPr>
              <w:t>生活区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总面积为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。施工生活用房以搭建板房为主。施工生活生产区位于</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蓄水池工程</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占地范围内，不新增临时占地。</w:t>
            </w:r>
            <w:r>
              <w:rPr>
                <w:rFonts w:hint="default" w:ascii="Times New Roman" w:hAnsi="Times New Roman" w:eastAsia="宋体" w:cs="Times New Roman"/>
                <w:color w:val="auto"/>
                <w:spacing w:val="0"/>
                <w:sz w:val="24"/>
                <w:szCs w:val="24"/>
                <w:highlight w:val="none"/>
                <w:lang w:val="en-US" w:eastAsia="zh-CN"/>
              </w:rPr>
              <w:t>本项目用地情况见表2-3。</w:t>
            </w:r>
          </w:p>
          <w:p w14:paraId="28BCAE02">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表</w:t>
            </w:r>
            <w:r>
              <w:rPr>
                <w:rFonts w:hint="eastAsia" w:ascii="Times New Roman" w:hAnsi="Times New Roman" w:cs="Times New Roman"/>
                <w:sz w:val="21"/>
                <w:szCs w:val="21"/>
                <w:highlight w:val="none"/>
                <w:lang w:val="en-US" w:eastAsia="zh-CN"/>
              </w:rPr>
              <w:t>2-3</w:t>
            </w:r>
            <w:r>
              <w:rPr>
                <w:rFonts w:hint="default" w:ascii="Times New Roman" w:hAnsi="Times New Roman" w:cs="Times New Roman"/>
                <w:sz w:val="21"/>
                <w:szCs w:val="21"/>
                <w:highlight w:val="none"/>
                <w:lang w:val="en-US" w:eastAsia="zh-CN"/>
              </w:rPr>
              <w:t xml:space="preserve"> 项目占地表</w:t>
            </w:r>
          </w:p>
          <w:tbl>
            <w:tblPr>
              <w:tblStyle w:val="19"/>
              <w:tblW w:w="7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815"/>
              <w:gridCol w:w="696"/>
              <w:gridCol w:w="1548"/>
              <w:gridCol w:w="1248"/>
              <w:gridCol w:w="1784"/>
            </w:tblGrid>
            <w:tr w14:paraId="2B55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10" w:type="dxa"/>
                  <w:vMerge w:val="restart"/>
                  <w:noWrap w:val="0"/>
                  <w:vAlign w:val="center"/>
                </w:tcPr>
                <w:p w14:paraId="05C53666">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序号</w:t>
                  </w:r>
                </w:p>
              </w:tc>
              <w:tc>
                <w:tcPr>
                  <w:tcW w:w="1815" w:type="dxa"/>
                  <w:vMerge w:val="restart"/>
                  <w:noWrap w:val="0"/>
                  <w:vAlign w:val="center"/>
                </w:tcPr>
                <w:p w14:paraId="3048ED66">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名称</w:t>
                  </w:r>
                </w:p>
              </w:tc>
              <w:tc>
                <w:tcPr>
                  <w:tcW w:w="696" w:type="dxa"/>
                  <w:vMerge w:val="restart"/>
                  <w:noWrap w:val="0"/>
                  <w:vAlign w:val="center"/>
                </w:tcPr>
                <w:p w14:paraId="6427E92C">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单位</w:t>
                  </w:r>
                </w:p>
              </w:tc>
              <w:tc>
                <w:tcPr>
                  <w:tcW w:w="2796" w:type="dxa"/>
                  <w:gridSpan w:val="2"/>
                  <w:noWrap w:val="0"/>
                  <w:vAlign w:val="center"/>
                </w:tcPr>
                <w:p w14:paraId="52EA7944">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面积</w:t>
                  </w:r>
                </w:p>
              </w:tc>
              <w:tc>
                <w:tcPr>
                  <w:tcW w:w="1784" w:type="dxa"/>
                  <w:vMerge w:val="restart"/>
                  <w:noWrap w:val="0"/>
                  <w:vAlign w:val="center"/>
                </w:tcPr>
                <w:p w14:paraId="2ACD50A6">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占地类型</w:t>
                  </w:r>
                </w:p>
              </w:tc>
            </w:tr>
            <w:tr w14:paraId="037B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14:paraId="403EF45F">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c>
                <w:tcPr>
                  <w:tcW w:w="1815" w:type="dxa"/>
                  <w:vMerge w:val="continue"/>
                  <w:noWrap w:val="0"/>
                  <w:vAlign w:val="center"/>
                </w:tcPr>
                <w:p w14:paraId="43922322">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c>
                <w:tcPr>
                  <w:tcW w:w="696" w:type="dxa"/>
                  <w:vMerge w:val="continue"/>
                  <w:noWrap w:val="0"/>
                  <w:vAlign w:val="center"/>
                </w:tcPr>
                <w:p w14:paraId="3994E237">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c>
                <w:tcPr>
                  <w:tcW w:w="1548" w:type="dxa"/>
                  <w:noWrap w:val="0"/>
                  <w:vAlign w:val="center"/>
                </w:tcPr>
                <w:p w14:paraId="3F64BC46">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永久占地</w:t>
                  </w:r>
                </w:p>
              </w:tc>
              <w:tc>
                <w:tcPr>
                  <w:tcW w:w="1248" w:type="dxa"/>
                  <w:noWrap w:val="0"/>
                  <w:vAlign w:val="center"/>
                </w:tcPr>
                <w:p w14:paraId="52A73C8D">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临时占地</w:t>
                  </w:r>
                </w:p>
              </w:tc>
              <w:tc>
                <w:tcPr>
                  <w:tcW w:w="1784" w:type="dxa"/>
                  <w:vMerge w:val="continue"/>
                  <w:noWrap w:val="0"/>
                  <w:vAlign w:val="center"/>
                </w:tcPr>
                <w:p w14:paraId="4FE0A368">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r>
            <w:tr w14:paraId="6D7E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710" w:type="dxa"/>
                  <w:noWrap w:val="0"/>
                  <w:vAlign w:val="center"/>
                </w:tcPr>
                <w:p w14:paraId="0B47008D">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c>
                <w:tcPr>
                  <w:tcW w:w="1815" w:type="dxa"/>
                  <w:noWrap w:val="0"/>
                  <w:vAlign w:val="center"/>
                </w:tcPr>
                <w:p w14:paraId="4F6D6E18">
                  <w:pP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auto"/>
                      <w:kern w:val="0"/>
                      <w:sz w:val="24"/>
                      <w:szCs w:val="24"/>
                      <w:highlight w:val="none"/>
                      <w:lang w:val="en-US" w:eastAsia="zh-CN" w:bidi="ar"/>
                    </w:rPr>
                    <w:t>蓄水池工程</w:t>
                  </w:r>
                </w:p>
              </w:tc>
              <w:tc>
                <w:tcPr>
                  <w:tcW w:w="696" w:type="dxa"/>
                  <w:noWrap w:val="0"/>
                  <w:vAlign w:val="center"/>
                </w:tcPr>
                <w:p w14:paraId="257F2203">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2</w:t>
                  </w:r>
                </w:p>
              </w:tc>
              <w:tc>
                <w:tcPr>
                  <w:tcW w:w="1548" w:type="dxa"/>
                  <w:noWrap w:val="0"/>
                  <w:vAlign w:val="center"/>
                </w:tcPr>
                <w:p w14:paraId="63E3D4FE">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b w:val="0"/>
                      <w:bCs w:val="0"/>
                      <w:sz w:val="21"/>
                      <w:szCs w:val="21"/>
                      <w:highlight w:val="none"/>
                      <w:lang w:val="en-US" w:eastAsia="zh-CN"/>
                    </w:rPr>
                  </w:pPr>
                  <w:r>
                    <w:rPr>
                      <w:rFonts w:hint="default" w:ascii="Times New Roman" w:hAnsi="Times New Roman" w:eastAsia="宋体" w:cs="Times New Roman"/>
                      <w:color w:val="auto"/>
                      <w:sz w:val="21"/>
                      <w:szCs w:val="21"/>
                      <w:highlight w:val="none"/>
                      <w:lang w:eastAsia="zh-CN"/>
                    </w:rPr>
                    <w:t>108854.97</w:t>
                  </w:r>
                </w:p>
              </w:tc>
              <w:tc>
                <w:tcPr>
                  <w:tcW w:w="1248" w:type="dxa"/>
                  <w:noWrap w:val="0"/>
                  <w:vAlign w:val="center"/>
                </w:tcPr>
                <w:p w14:paraId="54FA7331">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z w:val="21"/>
                      <w:szCs w:val="21"/>
                      <w:highlight w:val="none"/>
                      <w:lang w:val="en-US" w:eastAsia="zh-CN"/>
                    </w:rPr>
                  </w:pPr>
                  <w:r>
                    <w:rPr>
                      <w:rFonts w:hint="eastAsia" w:cs="Times New Roman"/>
                      <w:b w:val="0"/>
                      <w:bCs w:val="0"/>
                      <w:sz w:val="21"/>
                      <w:szCs w:val="21"/>
                      <w:highlight w:val="none"/>
                      <w:lang w:val="en-US" w:eastAsia="zh-CN"/>
                    </w:rPr>
                    <w:t>/</w:t>
                  </w:r>
                </w:p>
              </w:tc>
              <w:tc>
                <w:tcPr>
                  <w:tcW w:w="1784" w:type="dxa"/>
                  <w:vMerge w:val="restart"/>
                  <w:noWrap w:val="0"/>
                  <w:vAlign w:val="center"/>
                </w:tcPr>
                <w:p w14:paraId="098144B2">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沙地</w:t>
                  </w:r>
                  <w:r>
                    <w:rPr>
                      <w:rFonts w:hint="eastAsia" w:cs="Times New Roman"/>
                      <w:sz w:val="21"/>
                      <w:szCs w:val="21"/>
                      <w:highlight w:val="none"/>
                      <w:lang w:val="en-US" w:eastAsia="zh-CN"/>
                    </w:rPr>
                    <w:t>、其他草地</w:t>
                  </w:r>
                </w:p>
              </w:tc>
            </w:tr>
            <w:tr w14:paraId="094E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710" w:type="dxa"/>
                  <w:noWrap w:val="0"/>
                  <w:vAlign w:val="center"/>
                </w:tcPr>
                <w:p w14:paraId="3BF142F1">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2</w:t>
                  </w:r>
                </w:p>
              </w:tc>
              <w:tc>
                <w:tcPr>
                  <w:tcW w:w="1815" w:type="dxa"/>
                  <w:noWrap w:val="0"/>
                  <w:vAlign w:val="center"/>
                </w:tcPr>
                <w:p w14:paraId="51AE0C7A">
                  <w:pP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排气井、阀井、排泥井</w:t>
                  </w:r>
                </w:p>
              </w:tc>
              <w:tc>
                <w:tcPr>
                  <w:tcW w:w="696" w:type="dxa"/>
                  <w:noWrap w:val="0"/>
                  <w:vAlign w:val="center"/>
                </w:tcPr>
                <w:p w14:paraId="74D1D9F6">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2</w:t>
                  </w:r>
                </w:p>
              </w:tc>
              <w:tc>
                <w:tcPr>
                  <w:tcW w:w="1548" w:type="dxa"/>
                  <w:noWrap w:val="0"/>
                  <w:vAlign w:val="center"/>
                </w:tcPr>
                <w:p w14:paraId="78E765B8">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60.3696</w:t>
                  </w:r>
                </w:p>
              </w:tc>
              <w:tc>
                <w:tcPr>
                  <w:tcW w:w="1248" w:type="dxa"/>
                  <w:noWrap w:val="0"/>
                  <w:vAlign w:val="center"/>
                </w:tcPr>
                <w:p w14:paraId="1320B0DC">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cs="Times New Roman"/>
                      <w:b w:val="0"/>
                      <w:bCs w:val="0"/>
                      <w:sz w:val="21"/>
                      <w:szCs w:val="21"/>
                      <w:highlight w:val="none"/>
                      <w:lang w:val="en-US" w:eastAsia="zh-CN"/>
                    </w:rPr>
                  </w:pPr>
                  <w:r>
                    <w:rPr>
                      <w:rFonts w:hint="eastAsia" w:cs="Times New Roman"/>
                      <w:b w:val="0"/>
                      <w:bCs w:val="0"/>
                      <w:sz w:val="21"/>
                      <w:szCs w:val="21"/>
                      <w:highlight w:val="none"/>
                      <w:lang w:val="en-US" w:eastAsia="zh-CN"/>
                    </w:rPr>
                    <w:t>/</w:t>
                  </w:r>
                </w:p>
              </w:tc>
              <w:tc>
                <w:tcPr>
                  <w:tcW w:w="1784" w:type="dxa"/>
                  <w:vMerge w:val="continue"/>
                  <w:noWrap w:val="0"/>
                  <w:vAlign w:val="center"/>
                </w:tcPr>
                <w:p w14:paraId="1ADEC0B5">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sz w:val="21"/>
                      <w:szCs w:val="21"/>
                      <w:highlight w:val="none"/>
                      <w:lang w:val="en-US" w:eastAsia="zh-CN"/>
                    </w:rPr>
                  </w:pPr>
                </w:p>
              </w:tc>
            </w:tr>
            <w:tr w14:paraId="1FCD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10" w:type="dxa"/>
                  <w:noWrap w:val="0"/>
                  <w:vAlign w:val="center"/>
                </w:tcPr>
                <w:p w14:paraId="6DADFC02">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3</w:t>
                  </w:r>
                </w:p>
              </w:tc>
              <w:tc>
                <w:tcPr>
                  <w:tcW w:w="1815" w:type="dxa"/>
                  <w:noWrap w:val="0"/>
                  <w:vAlign w:val="center"/>
                </w:tcPr>
                <w:p w14:paraId="4D904870">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kern w:val="2"/>
                      <w:sz w:val="21"/>
                      <w:szCs w:val="21"/>
                      <w:highlight w:val="none"/>
                      <w:lang w:val="en-US" w:eastAsia="zh-CN" w:bidi="ar-SA"/>
                    </w:rPr>
                  </w:pPr>
                  <w:r>
                    <w:rPr>
                      <w:rFonts w:hint="eastAsia" w:cs="Times New Roman"/>
                      <w:kern w:val="2"/>
                      <w:sz w:val="21"/>
                      <w:szCs w:val="21"/>
                      <w:highlight w:val="none"/>
                      <w:lang w:val="en-US" w:eastAsia="zh-CN" w:bidi="ar-SA"/>
                    </w:rPr>
                    <w:t>输水管线</w:t>
                  </w:r>
                </w:p>
              </w:tc>
              <w:tc>
                <w:tcPr>
                  <w:tcW w:w="696" w:type="dxa"/>
                  <w:noWrap w:val="0"/>
                  <w:vAlign w:val="center"/>
                </w:tcPr>
                <w:p w14:paraId="62B13E4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2</w:t>
                  </w:r>
                </w:p>
              </w:tc>
              <w:tc>
                <w:tcPr>
                  <w:tcW w:w="1548" w:type="dxa"/>
                  <w:noWrap w:val="0"/>
                  <w:vAlign w:val="center"/>
                </w:tcPr>
                <w:p w14:paraId="4E065B8A">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kern w:val="2"/>
                      <w:sz w:val="21"/>
                      <w:szCs w:val="21"/>
                      <w:highlight w:val="none"/>
                      <w:lang w:val="en-US" w:eastAsia="zh-CN" w:bidi="ar-SA"/>
                    </w:rPr>
                  </w:pPr>
                  <w:r>
                    <w:rPr>
                      <w:rFonts w:hint="eastAsia" w:cs="Times New Roman"/>
                      <w:b w:val="0"/>
                      <w:bCs w:val="0"/>
                      <w:kern w:val="2"/>
                      <w:sz w:val="21"/>
                      <w:szCs w:val="21"/>
                      <w:highlight w:val="none"/>
                      <w:lang w:val="en-US" w:eastAsia="zh-CN" w:bidi="ar-SA"/>
                    </w:rPr>
                    <w:t>/</w:t>
                  </w:r>
                </w:p>
              </w:tc>
              <w:tc>
                <w:tcPr>
                  <w:tcW w:w="1248" w:type="dxa"/>
                  <w:noWrap w:val="0"/>
                  <w:vAlign w:val="center"/>
                </w:tcPr>
                <w:p w14:paraId="1AAF2B87">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b w:val="0"/>
                      <w:bCs w:val="0"/>
                      <w:kern w:val="2"/>
                      <w:sz w:val="21"/>
                      <w:szCs w:val="21"/>
                      <w:highlight w:val="none"/>
                      <w:lang w:val="en-US" w:eastAsia="zh-CN" w:bidi="ar-SA"/>
                    </w:rPr>
                  </w:pPr>
                  <w:r>
                    <w:rPr>
                      <w:rFonts w:hint="eastAsia"/>
                      <w:highlight w:val="none"/>
                    </w:rPr>
                    <w:t>55510.8704</w:t>
                  </w:r>
                </w:p>
              </w:tc>
              <w:tc>
                <w:tcPr>
                  <w:tcW w:w="1784" w:type="dxa"/>
                  <w:noWrap w:val="0"/>
                  <w:vAlign w:val="center"/>
                </w:tcPr>
                <w:p w14:paraId="7A6E74C1">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沙地</w:t>
                  </w:r>
                  <w:r>
                    <w:rPr>
                      <w:rFonts w:hint="eastAsia" w:cs="Times New Roman"/>
                      <w:sz w:val="21"/>
                      <w:szCs w:val="21"/>
                      <w:highlight w:val="none"/>
                      <w:lang w:val="en-US" w:eastAsia="zh-CN"/>
                    </w:rPr>
                    <w:t>、其他草地</w:t>
                  </w:r>
                </w:p>
              </w:tc>
            </w:tr>
            <w:tr w14:paraId="7D68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525" w:type="dxa"/>
                  <w:gridSpan w:val="2"/>
                  <w:noWrap w:val="0"/>
                  <w:vAlign w:val="center"/>
                </w:tcPr>
                <w:p w14:paraId="3DF6F8DD">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合计</w:t>
                  </w:r>
                </w:p>
              </w:tc>
              <w:tc>
                <w:tcPr>
                  <w:tcW w:w="696" w:type="dxa"/>
                  <w:noWrap w:val="0"/>
                  <w:vAlign w:val="center"/>
                </w:tcPr>
                <w:p w14:paraId="5EE24D66">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2</w:t>
                  </w:r>
                </w:p>
              </w:tc>
              <w:tc>
                <w:tcPr>
                  <w:tcW w:w="1548" w:type="dxa"/>
                  <w:noWrap w:val="0"/>
                  <w:vAlign w:val="center"/>
                </w:tcPr>
                <w:p w14:paraId="0DBBF143">
                  <w:pPr>
                    <w:keepNext w:val="0"/>
                    <w:keepLines w:val="0"/>
                    <w:widowControl/>
                    <w:suppressLineNumbers w:val="0"/>
                    <w:jc w:val="center"/>
                    <w:textAlignment w:val="center"/>
                    <w:rPr>
                      <w:rFonts w:hint="default" w:ascii="宋体" w:hAnsi="宋体" w:eastAsia="宋体" w:cs="宋体"/>
                      <w:i w:val="0"/>
                      <w:iCs w:val="0"/>
                      <w:color w:val="000000" w:themeColor="text1"/>
                      <w:kern w:val="2"/>
                      <w:sz w:val="22"/>
                      <w:szCs w:val="22"/>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108915.3396</w:t>
                  </w:r>
                </w:p>
              </w:tc>
              <w:tc>
                <w:tcPr>
                  <w:tcW w:w="1248" w:type="dxa"/>
                  <w:noWrap w:val="0"/>
                  <w:vAlign w:val="center"/>
                </w:tcPr>
                <w:p w14:paraId="2D7DAE3C">
                  <w:pPr>
                    <w:keepNext w:val="0"/>
                    <w:keepLines w:val="0"/>
                    <w:widowControl/>
                    <w:suppressLineNumbers w:val="0"/>
                    <w:jc w:val="right"/>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eastAsia"/>
                      <w:highlight w:val="none"/>
                    </w:rPr>
                    <w:t>55510.8704</w:t>
                  </w:r>
                </w:p>
              </w:tc>
              <w:tc>
                <w:tcPr>
                  <w:tcW w:w="1784" w:type="dxa"/>
                  <w:noWrap w:val="0"/>
                  <w:vAlign w:val="center"/>
                </w:tcPr>
                <w:p w14:paraId="306E295E">
                  <w:pPr>
                    <w:pStyle w:val="3"/>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r>
          </w:tbl>
          <w:p w14:paraId="634548D0">
            <w:pPr>
              <w:pStyle w:val="12"/>
              <w:keepNext w:val="0"/>
              <w:keepLines w:val="0"/>
              <w:pageBreakBefore w:val="0"/>
              <w:kinsoku/>
              <w:wordWrap/>
              <w:overflowPunct/>
              <w:topLinePunct w:val="0"/>
              <w:bidi w:val="0"/>
              <w:spacing w:before="0" w:after="0" w:line="360" w:lineRule="auto"/>
              <w:ind w:right="0" w:firstLine="482" w:firstLineChars="200"/>
              <w:textAlignment w:val="auto"/>
              <w:rPr>
                <w:rFonts w:hint="default" w:cs="Times New Roman"/>
                <w:b/>
                <w:color w:val="000000" w:themeColor="text1"/>
                <w:sz w:val="24"/>
                <w:szCs w:val="24"/>
                <w:highlight w:val="none"/>
                <w:lang w:val="en-US" w:eastAsia="zh-CN"/>
                <w14:textFill>
                  <w14:solidFill>
                    <w14:schemeClr w14:val="tx1"/>
                  </w14:solidFill>
                </w14:textFill>
              </w:rPr>
            </w:pPr>
            <w:r>
              <w:rPr>
                <w:rFonts w:hint="eastAsia" w:cs="Times New Roman"/>
                <w:b/>
                <w:color w:val="000000" w:themeColor="text1"/>
                <w:sz w:val="24"/>
                <w:szCs w:val="24"/>
                <w:highlight w:val="none"/>
                <w:lang w:val="en-US" w:eastAsia="zh-CN"/>
                <w14:textFill>
                  <w14:solidFill>
                    <w14:schemeClr w14:val="tx1"/>
                  </w14:solidFill>
                </w14:textFill>
              </w:rPr>
              <w:t>5.</w:t>
            </w:r>
            <w:r>
              <w:rPr>
                <w:rFonts w:hint="default" w:cs="Times New Roman"/>
                <w:b/>
                <w:color w:val="000000" w:themeColor="text1"/>
                <w:sz w:val="24"/>
                <w:szCs w:val="24"/>
                <w:highlight w:val="none"/>
                <w:lang w:val="en-US" w:eastAsia="zh-CN"/>
                <w14:textFill>
                  <w14:solidFill>
                    <w14:schemeClr w14:val="tx1"/>
                  </w14:solidFill>
                </w14:textFill>
              </w:rPr>
              <w:t>土石方工程量</w:t>
            </w:r>
          </w:p>
          <w:p w14:paraId="4B110563">
            <w:pPr>
              <w:pStyle w:val="4"/>
              <w:spacing w:after="0" w:line="360" w:lineRule="auto"/>
              <w:ind w:left="0" w:leftChars="0" w:firstLine="480"/>
              <w:jc w:val="both"/>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工程土石方开挖中，在满足主体设计要求的前提下尽量减少开挖量，以减少对地面的扰动，</w:t>
            </w:r>
            <w:r>
              <w:rPr>
                <w:rFonts w:hint="eastAsia" w:ascii="Times New Roman" w:hAnsi="Times New Roman" w:eastAsia="宋体" w:cs="Times New Roman"/>
                <w:sz w:val="24"/>
                <w:szCs w:val="24"/>
                <w:highlight w:val="none"/>
                <w:lang w:eastAsia="zh-CN"/>
              </w:rPr>
              <w:t>蓄水池</w:t>
            </w:r>
            <w:r>
              <w:rPr>
                <w:rFonts w:hint="default" w:ascii="Times New Roman" w:hAnsi="Times New Roman" w:eastAsia="宋体" w:cs="Times New Roman"/>
                <w:sz w:val="24"/>
                <w:szCs w:val="24"/>
                <w:highlight w:val="none"/>
                <w:lang w:eastAsia="zh-CN"/>
              </w:rPr>
              <w:t>工程</w:t>
            </w:r>
            <w:r>
              <w:rPr>
                <w:rFonts w:hint="eastAsia" w:cs="Times New Roman"/>
                <w:sz w:val="24"/>
                <w:szCs w:val="24"/>
                <w:highlight w:val="none"/>
                <w:lang w:eastAsia="zh-CN"/>
              </w:rPr>
              <w:t>挖方</w:t>
            </w:r>
            <w:r>
              <w:rPr>
                <w:rFonts w:hint="default" w:ascii="Times New Roman" w:hAnsi="Times New Roman" w:eastAsia="宋体" w:cs="Times New Roman"/>
                <w:sz w:val="24"/>
                <w:szCs w:val="24"/>
                <w:highlight w:val="none"/>
              </w:rPr>
              <w:t>总量</w:t>
            </w:r>
            <w:r>
              <w:rPr>
                <w:rFonts w:hint="eastAsia" w:ascii="Times New Roman" w:hAnsi="Times New Roman" w:eastAsia="宋体" w:cs="Times New Roman"/>
                <w:sz w:val="24"/>
                <w:szCs w:val="24"/>
                <w:highlight w:val="none"/>
                <w:lang w:eastAsia="zh-CN"/>
              </w:rPr>
              <w:t>约</w:t>
            </w:r>
            <w:r>
              <w:rPr>
                <w:rFonts w:hint="default" w:ascii="Times New Roman" w:hAnsi="Times New Roman" w:eastAsia="宋体" w:cs="Times New Roman"/>
                <w:b w:val="0"/>
                <w:bCs w:val="0"/>
                <w:i w:val="0"/>
                <w:iCs w:val="0"/>
                <w:color w:val="000000"/>
                <w:kern w:val="2"/>
                <w:sz w:val="24"/>
                <w:szCs w:val="24"/>
                <w:highlight w:val="none"/>
                <w:u w:val="none"/>
                <w:lang w:val="en-US" w:eastAsia="zh-CN" w:bidi="ar-SA"/>
              </w:rPr>
              <w:t>754012.22</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3</w:t>
            </w:r>
            <w:r>
              <w:rPr>
                <w:rFonts w:hint="default" w:ascii="Times New Roman" w:hAnsi="Times New Roman" w:eastAsia="宋体" w:cs="Times New Roman"/>
                <w:sz w:val="24"/>
                <w:szCs w:val="24"/>
                <w:highlight w:val="none"/>
              </w:rPr>
              <w:t>，</w:t>
            </w:r>
            <w:r>
              <w:rPr>
                <w:rFonts w:hint="eastAsia" w:cs="Times New Roman"/>
                <w:sz w:val="24"/>
                <w:szCs w:val="24"/>
                <w:highlight w:val="none"/>
                <w:lang w:eastAsia="zh-CN"/>
              </w:rPr>
              <w:t>土方回填用于</w:t>
            </w:r>
            <w:r>
              <w:rPr>
                <w:rFonts w:hint="default" w:ascii="Times New Roman" w:hAnsi="Times New Roman" w:eastAsia="宋体" w:cs="Times New Roman"/>
                <w:sz w:val="24"/>
                <w:szCs w:val="24"/>
                <w:highlight w:val="none"/>
              </w:rPr>
              <w:t>围堤</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池底回填土</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土石方回填后产生731687.72m</w:t>
            </w:r>
            <w:r>
              <w:rPr>
                <w:rFonts w:hint="default" w:ascii="Times New Roman" w:hAnsi="Times New Roman" w:eastAsia="宋体" w:cs="Times New Roman"/>
                <w:sz w:val="24"/>
                <w:szCs w:val="24"/>
                <w:highlight w:val="none"/>
                <w:vertAlign w:val="superscript"/>
              </w:rPr>
              <w:t>3</w:t>
            </w:r>
            <w:r>
              <w:rPr>
                <w:rFonts w:hint="default" w:ascii="Times New Roman" w:hAnsi="Times New Roman" w:eastAsia="宋体" w:cs="Times New Roman"/>
                <w:sz w:val="24"/>
                <w:szCs w:val="24"/>
                <w:highlight w:val="none"/>
              </w:rPr>
              <w:t>的弃土，</w:t>
            </w:r>
            <w:r>
              <w:rPr>
                <w:rFonts w:hint="default" w:ascii="Times New Roman" w:hAnsi="Times New Roman" w:eastAsia="宋体" w:cs="Times New Roman"/>
                <w:sz w:val="24"/>
                <w:szCs w:val="24"/>
                <w:highlight w:val="none"/>
                <w:lang w:eastAsia="zh-CN"/>
              </w:rPr>
              <w:t>弃土送到朔方大基地用于场地平整</w:t>
            </w:r>
            <w:r>
              <w:rPr>
                <w:rFonts w:hint="eastAsia" w:ascii="Times New Roman" w:hAnsi="Times New Roman" w:eastAsia="宋体" w:cs="Times New Roman"/>
                <w:sz w:val="24"/>
                <w:szCs w:val="24"/>
                <w:highlight w:val="none"/>
                <w:lang w:eastAsia="zh-CN"/>
              </w:rPr>
              <w:t>；输水</w:t>
            </w:r>
            <w:r>
              <w:rPr>
                <w:rFonts w:hint="default" w:ascii="Times New Roman" w:hAnsi="Times New Roman" w:eastAsia="宋体" w:cs="Times New Roman"/>
                <w:sz w:val="24"/>
                <w:szCs w:val="24"/>
                <w:highlight w:val="none"/>
              </w:rPr>
              <w:t>管线工程</w:t>
            </w:r>
            <w:r>
              <w:rPr>
                <w:rFonts w:hint="eastAsia"/>
                <w:bCs/>
                <w:color w:val="auto"/>
                <w:sz w:val="24"/>
                <w:highlight w:val="none"/>
              </w:rPr>
              <w:t>挖方量</w:t>
            </w:r>
            <w:r>
              <w:rPr>
                <w:rFonts w:hint="default" w:ascii="Times New Roman" w:hAnsi="Times New Roman" w:eastAsia="宋体" w:cs="Times New Roman"/>
                <w:sz w:val="24"/>
                <w:szCs w:val="24"/>
                <w:highlight w:val="none"/>
                <w:lang w:val="en-US" w:eastAsia="zh-CN"/>
              </w:rPr>
              <w:t>63000.00</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3</w:t>
            </w:r>
            <w:r>
              <w:rPr>
                <w:rFonts w:hint="default" w:ascii="Times New Roman" w:hAnsi="Times New Roman" w:eastAsia="宋体" w:cs="Times New Roman"/>
                <w:sz w:val="24"/>
                <w:szCs w:val="24"/>
                <w:highlight w:val="none"/>
              </w:rPr>
              <w:t>，</w:t>
            </w:r>
            <w:r>
              <w:rPr>
                <w:rFonts w:hint="eastAsia" w:cs="Times New Roman"/>
                <w:sz w:val="24"/>
                <w:szCs w:val="24"/>
                <w:highlight w:val="none"/>
                <w:lang w:eastAsia="zh-CN"/>
              </w:rPr>
              <w:t>填方量</w:t>
            </w:r>
            <w:r>
              <w:rPr>
                <w:rFonts w:hint="default" w:ascii="Times New Roman" w:hAnsi="Times New Roman" w:eastAsia="宋体" w:cs="Times New Roman"/>
                <w:sz w:val="24"/>
                <w:szCs w:val="24"/>
                <w:highlight w:val="none"/>
                <w:lang w:val="en-US" w:eastAsia="zh-CN"/>
              </w:rPr>
              <w:t>63000.00</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3</w:t>
            </w:r>
            <w:r>
              <w:rPr>
                <w:rFonts w:hint="eastAsia" w:ascii="Times New Roman" w:hAnsi="Times New Roman"/>
                <w:color w:val="000000"/>
                <w:sz w:val="24"/>
                <w:highlight w:val="none"/>
                <w:lang w:val="en-US" w:eastAsia="zh-CN"/>
              </w:rPr>
              <w:t>，挖方用于管沟回填及平整场地，无弃方。</w:t>
            </w:r>
          </w:p>
          <w:p w14:paraId="1641E870">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eastAsia="zh-CN"/>
              </w:rPr>
              <w:t>表</w:t>
            </w:r>
            <w:r>
              <w:rPr>
                <w:rFonts w:hint="default" w:ascii="Times New Roman" w:hAnsi="Times New Roman" w:eastAsia="宋体" w:cs="Times New Roman"/>
                <w:sz w:val="21"/>
                <w:szCs w:val="21"/>
                <w:highlight w:val="none"/>
                <w:lang w:val="en-US" w:eastAsia="zh-CN"/>
              </w:rPr>
              <w:t>2-</w:t>
            </w: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lang w:val="en-US" w:eastAsia="zh-CN"/>
              </w:rPr>
              <w:t xml:space="preserve"> 本项目土石方平衡一览表</w:t>
            </w:r>
          </w:p>
          <w:tbl>
            <w:tblPr>
              <w:tblStyle w:val="19"/>
              <w:tblW w:w="7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684"/>
              <w:gridCol w:w="1174"/>
              <w:gridCol w:w="840"/>
              <w:gridCol w:w="1771"/>
              <w:gridCol w:w="1931"/>
            </w:tblGrid>
            <w:tr w14:paraId="3E4F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63" w:type="dxa"/>
                  <w:gridSpan w:val="3"/>
                  <w:noWrap w:val="0"/>
                  <w:vAlign w:val="center"/>
                </w:tcPr>
                <w:p w14:paraId="36880D0A">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项目</w:t>
                  </w:r>
                </w:p>
              </w:tc>
              <w:tc>
                <w:tcPr>
                  <w:tcW w:w="840" w:type="dxa"/>
                  <w:noWrap w:val="0"/>
                  <w:vAlign w:val="center"/>
                </w:tcPr>
                <w:p w14:paraId="409E44D2">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单位</w:t>
                  </w:r>
                </w:p>
              </w:tc>
              <w:tc>
                <w:tcPr>
                  <w:tcW w:w="1771" w:type="dxa"/>
                  <w:noWrap w:val="0"/>
                  <w:vAlign w:val="center"/>
                </w:tcPr>
                <w:p w14:paraId="59425815">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数量</w:t>
                  </w:r>
                </w:p>
              </w:tc>
              <w:tc>
                <w:tcPr>
                  <w:tcW w:w="1931" w:type="dxa"/>
                  <w:noWrap w:val="0"/>
                  <w:vAlign w:val="center"/>
                </w:tcPr>
                <w:p w14:paraId="369E2AAD">
                  <w:pPr>
                    <w:jc w:val="center"/>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土石方去向</w:t>
                  </w:r>
                </w:p>
              </w:tc>
            </w:tr>
            <w:tr w14:paraId="57AD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5" w:type="dxa"/>
                  <w:vMerge w:val="restart"/>
                  <w:noWrap w:val="0"/>
                  <w:vAlign w:val="center"/>
                </w:tcPr>
                <w:p w14:paraId="0957D6B8">
                  <w:pPr>
                    <w:jc w:val="center"/>
                    <w:rPr>
                      <w:rFonts w:hint="default" w:ascii="Times New Roman" w:hAnsi="Times New Roman" w:eastAsia="宋体" w:cs="Times New Roman"/>
                      <w:b w:val="0"/>
                      <w:bCs w:val="0"/>
                      <w:sz w:val="21"/>
                      <w:szCs w:val="21"/>
                      <w:highlight w:val="none"/>
                      <w:lang w:eastAsia="zh-CN"/>
                    </w:rPr>
                  </w:pPr>
                  <w:r>
                    <w:rPr>
                      <w:rFonts w:hint="eastAsia" w:cs="Times New Roman"/>
                      <w:b w:val="0"/>
                      <w:bCs w:val="0"/>
                      <w:sz w:val="21"/>
                      <w:szCs w:val="21"/>
                      <w:highlight w:val="none"/>
                      <w:lang w:eastAsia="zh-CN"/>
                    </w:rPr>
                    <w:t>蓄水池工程</w:t>
                  </w:r>
                </w:p>
              </w:tc>
              <w:tc>
                <w:tcPr>
                  <w:tcW w:w="1858" w:type="dxa"/>
                  <w:gridSpan w:val="2"/>
                  <w:noWrap w:val="0"/>
                  <w:vAlign w:val="center"/>
                </w:tcPr>
                <w:p w14:paraId="05E1A31E">
                  <w:pPr>
                    <w:widowControl/>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挖方</w:t>
                  </w:r>
                </w:p>
              </w:tc>
              <w:tc>
                <w:tcPr>
                  <w:tcW w:w="840" w:type="dxa"/>
                  <w:noWrap w:val="0"/>
                  <w:vAlign w:val="center"/>
                </w:tcPr>
                <w:p w14:paraId="475BC662">
                  <w:pPr>
                    <w:widowControl/>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14:paraId="7895FC5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2"/>
                      <w:sz w:val="21"/>
                      <w:szCs w:val="21"/>
                      <w:highlight w:val="none"/>
                      <w:u w:val="none"/>
                      <w:lang w:val="en-US" w:eastAsia="zh-CN" w:bidi="ar-SA"/>
                    </w:rPr>
                  </w:pPr>
                  <w:r>
                    <w:rPr>
                      <w:rFonts w:hint="default" w:ascii="Times New Roman" w:hAnsi="Times New Roman" w:eastAsia="宋体" w:cs="Times New Roman"/>
                      <w:b w:val="0"/>
                      <w:bCs w:val="0"/>
                      <w:i w:val="0"/>
                      <w:iCs w:val="0"/>
                      <w:color w:val="000000"/>
                      <w:kern w:val="2"/>
                      <w:sz w:val="21"/>
                      <w:szCs w:val="21"/>
                      <w:highlight w:val="none"/>
                      <w:u w:val="none"/>
                      <w:lang w:val="en-US" w:eastAsia="zh-CN" w:bidi="ar-SA"/>
                    </w:rPr>
                    <w:t>754012.22</w:t>
                  </w:r>
                </w:p>
              </w:tc>
              <w:tc>
                <w:tcPr>
                  <w:tcW w:w="1931" w:type="dxa"/>
                  <w:vMerge w:val="restart"/>
                  <w:noWrap w:val="0"/>
                  <w:vAlign w:val="center"/>
                </w:tcPr>
                <w:p w14:paraId="30865444">
                  <w:pPr>
                    <w:widowControl/>
                    <w:jc w:val="center"/>
                    <w:rPr>
                      <w:rFonts w:hint="default" w:ascii="Times New Roman" w:hAnsi="Times New Roman" w:eastAsia="宋体" w:cs="Times New Roman"/>
                      <w:b w:val="0"/>
                      <w:bCs w:val="0"/>
                      <w:sz w:val="21"/>
                      <w:szCs w:val="21"/>
                      <w:highlight w:val="none"/>
                      <w:lang w:val="en-US" w:eastAsia="zh-CN"/>
                    </w:rPr>
                  </w:pPr>
                  <w:r>
                    <w:rPr>
                      <w:rFonts w:hint="eastAsia"/>
                      <w:highlight w:val="none"/>
                      <w:lang w:eastAsia="zh-CN"/>
                    </w:rPr>
                    <w:t>弃土送到朔方大基地用于场地平整</w:t>
                  </w:r>
                </w:p>
              </w:tc>
            </w:tr>
            <w:tr w14:paraId="2358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105" w:type="dxa"/>
                  <w:vMerge w:val="continue"/>
                  <w:noWrap w:val="0"/>
                  <w:vAlign w:val="center"/>
                </w:tcPr>
                <w:p w14:paraId="1A5BEF3C">
                  <w:pPr>
                    <w:jc w:val="center"/>
                    <w:rPr>
                      <w:rFonts w:hint="default" w:ascii="Times New Roman" w:hAnsi="Times New Roman" w:eastAsia="宋体" w:cs="Times New Roman"/>
                      <w:b w:val="0"/>
                      <w:bCs w:val="0"/>
                      <w:sz w:val="21"/>
                      <w:szCs w:val="21"/>
                      <w:highlight w:val="none"/>
                    </w:rPr>
                  </w:pPr>
                </w:p>
              </w:tc>
              <w:tc>
                <w:tcPr>
                  <w:tcW w:w="684" w:type="dxa"/>
                  <w:vMerge w:val="restart"/>
                  <w:noWrap w:val="0"/>
                  <w:vAlign w:val="center"/>
                </w:tcPr>
                <w:p w14:paraId="3A7603A3">
                  <w:pPr>
                    <w:jc w:val="center"/>
                    <w:rPr>
                      <w:rFonts w:hint="eastAsia" w:ascii="Times New Roman" w:hAnsi="Times New Roman" w:eastAsia="宋体" w:cs="Times New Roman"/>
                      <w:b w:val="0"/>
                      <w:bCs w:val="0"/>
                      <w:sz w:val="21"/>
                      <w:szCs w:val="21"/>
                      <w:highlight w:val="none"/>
                      <w:lang w:eastAsia="zh-CN"/>
                    </w:rPr>
                  </w:pPr>
                  <w:r>
                    <w:rPr>
                      <w:rFonts w:hint="eastAsia" w:cs="Times New Roman"/>
                      <w:b w:val="0"/>
                      <w:bCs w:val="0"/>
                      <w:sz w:val="21"/>
                      <w:szCs w:val="21"/>
                      <w:highlight w:val="none"/>
                      <w:lang w:eastAsia="zh-CN"/>
                    </w:rPr>
                    <w:t>填方</w:t>
                  </w:r>
                </w:p>
              </w:tc>
              <w:tc>
                <w:tcPr>
                  <w:tcW w:w="1174" w:type="dxa"/>
                  <w:noWrap w:val="0"/>
                  <w:vAlign w:val="center"/>
                </w:tcPr>
                <w:p w14:paraId="22E5B6DA">
                  <w:pPr>
                    <w:jc w:val="cente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围堤回填土</w:t>
                  </w:r>
                  <w:r>
                    <w:rPr>
                      <w:rFonts w:hint="eastAsia" w:cs="Times New Roman"/>
                      <w:b w:val="0"/>
                      <w:bCs w:val="0"/>
                      <w:sz w:val="21"/>
                      <w:szCs w:val="21"/>
                      <w:highlight w:val="none"/>
                      <w:lang w:val="en-US" w:eastAsia="zh-CN"/>
                    </w:rPr>
                    <w:t>方</w:t>
                  </w:r>
                </w:p>
              </w:tc>
              <w:tc>
                <w:tcPr>
                  <w:tcW w:w="840" w:type="dxa"/>
                  <w:noWrap w:val="0"/>
                  <w:vAlign w:val="center"/>
                </w:tcPr>
                <w:p w14:paraId="3EDB2A42">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p w14:paraId="5E247A78">
                  <w:pPr>
                    <w:rPr>
                      <w:highlight w:val="none"/>
                    </w:rPr>
                  </w:pPr>
                </w:p>
                <w:p w14:paraId="43BBBCB9">
                  <w:pPr>
                    <w:rPr>
                      <w:highlight w:val="none"/>
                    </w:rPr>
                  </w:pPr>
                </w:p>
              </w:tc>
              <w:tc>
                <w:tcPr>
                  <w:tcW w:w="1771" w:type="dxa"/>
                  <w:noWrap w:val="0"/>
                  <w:vAlign w:val="center"/>
                </w:tcPr>
                <w:p w14:paraId="3BF69172">
                  <w:pPr>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highlight w:val="none"/>
                    </w:rPr>
                    <w:t>11112.5</w:t>
                  </w:r>
                </w:p>
              </w:tc>
              <w:tc>
                <w:tcPr>
                  <w:tcW w:w="1931" w:type="dxa"/>
                  <w:vMerge w:val="continue"/>
                  <w:noWrap w:val="0"/>
                  <w:vAlign w:val="center"/>
                </w:tcPr>
                <w:p w14:paraId="285AAD1A">
                  <w:pPr>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p>
              </w:tc>
            </w:tr>
            <w:tr w14:paraId="0C3E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105" w:type="dxa"/>
                  <w:vMerge w:val="continue"/>
                  <w:noWrap w:val="0"/>
                  <w:vAlign w:val="center"/>
                </w:tcPr>
                <w:p w14:paraId="423973F0">
                  <w:pPr>
                    <w:jc w:val="center"/>
                    <w:rPr>
                      <w:highlight w:val="none"/>
                    </w:rPr>
                  </w:pPr>
                </w:p>
              </w:tc>
              <w:tc>
                <w:tcPr>
                  <w:tcW w:w="684" w:type="dxa"/>
                  <w:vMerge w:val="continue"/>
                  <w:noWrap w:val="0"/>
                  <w:vAlign w:val="center"/>
                </w:tcPr>
                <w:p w14:paraId="1B0495C4">
                  <w:pPr>
                    <w:jc w:val="center"/>
                    <w:rPr>
                      <w:rFonts w:hint="default" w:ascii="Times New Roman" w:hAnsi="Times New Roman" w:eastAsia="宋体" w:cs="Times New Roman"/>
                      <w:b w:val="0"/>
                      <w:bCs w:val="0"/>
                      <w:sz w:val="21"/>
                      <w:szCs w:val="21"/>
                      <w:highlight w:val="none"/>
                    </w:rPr>
                  </w:pPr>
                </w:p>
              </w:tc>
              <w:tc>
                <w:tcPr>
                  <w:tcW w:w="1174" w:type="dxa"/>
                  <w:noWrap w:val="0"/>
                  <w:vAlign w:val="center"/>
                </w:tcPr>
                <w:p w14:paraId="42C3353A">
                  <w:pPr>
                    <w:jc w:val="cente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池底素土回填土</w:t>
                  </w:r>
                  <w:r>
                    <w:rPr>
                      <w:rFonts w:hint="eastAsia" w:cs="Times New Roman"/>
                      <w:b w:val="0"/>
                      <w:bCs w:val="0"/>
                      <w:sz w:val="21"/>
                      <w:szCs w:val="21"/>
                      <w:highlight w:val="none"/>
                      <w:lang w:val="en-US" w:eastAsia="zh-CN"/>
                    </w:rPr>
                    <w:t>方</w:t>
                  </w:r>
                </w:p>
              </w:tc>
              <w:tc>
                <w:tcPr>
                  <w:tcW w:w="840" w:type="dxa"/>
                  <w:noWrap w:val="0"/>
                  <w:vAlign w:val="center"/>
                </w:tcPr>
                <w:p w14:paraId="67256638">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14:paraId="632D3682">
                  <w:pPr>
                    <w:jc w:val="center"/>
                    <w:rPr>
                      <w:rFonts w:hint="default" w:ascii="Times New Roman" w:hAnsi="Times New Roman" w:eastAsia="宋体" w:cs="Times New Roman"/>
                      <w:b w:val="0"/>
                      <w:bCs w:val="0"/>
                      <w:sz w:val="21"/>
                      <w:szCs w:val="21"/>
                      <w:highlight w:val="none"/>
                    </w:rPr>
                  </w:pPr>
                  <w:r>
                    <w:rPr>
                      <w:rFonts w:hint="eastAsia"/>
                      <w:highlight w:val="none"/>
                    </w:rPr>
                    <w:t>11212</w:t>
                  </w:r>
                </w:p>
              </w:tc>
              <w:tc>
                <w:tcPr>
                  <w:tcW w:w="1931" w:type="dxa"/>
                  <w:vMerge w:val="continue"/>
                  <w:noWrap w:val="0"/>
                  <w:vAlign w:val="center"/>
                </w:tcPr>
                <w:p w14:paraId="21A5F357">
                  <w:pPr>
                    <w:jc w:val="center"/>
                    <w:rPr>
                      <w:rFonts w:hint="default" w:ascii="Times New Roman" w:hAnsi="Times New Roman" w:eastAsia="宋体" w:cs="Times New Roman"/>
                      <w:b w:val="0"/>
                      <w:bCs w:val="0"/>
                      <w:sz w:val="21"/>
                      <w:szCs w:val="21"/>
                      <w:highlight w:val="none"/>
                    </w:rPr>
                  </w:pPr>
                </w:p>
              </w:tc>
            </w:tr>
            <w:tr w14:paraId="745F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5" w:type="dxa"/>
                  <w:vMerge w:val="continue"/>
                  <w:noWrap w:val="0"/>
                  <w:vAlign w:val="center"/>
                </w:tcPr>
                <w:p w14:paraId="1DA8C979">
                  <w:pPr>
                    <w:jc w:val="center"/>
                    <w:rPr>
                      <w:rFonts w:hint="default" w:ascii="Times New Roman" w:hAnsi="Times New Roman" w:eastAsia="宋体" w:cs="Times New Roman"/>
                      <w:b w:val="0"/>
                      <w:bCs w:val="0"/>
                      <w:sz w:val="21"/>
                      <w:szCs w:val="21"/>
                      <w:highlight w:val="none"/>
                    </w:rPr>
                  </w:pPr>
                </w:p>
              </w:tc>
              <w:tc>
                <w:tcPr>
                  <w:tcW w:w="1858" w:type="dxa"/>
                  <w:gridSpan w:val="2"/>
                  <w:noWrap w:val="0"/>
                  <w:vAlign w:val="center"/>
                </w:tcPr>
                <w:p w14:paraId="5C9B281B">
                  <w:pPr>
                    <w:jc w:val="center"/>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弃</w:t>
                  </w:r>
                  <w:r>
                    <w:rPr>
                      <w:rFonts w:hint="default" w:ascii="Times New Roman" w:hAnsi="Times New Roman" w:eastAsia="宋体" w:cs="Times New Roman"/>
                      <w:b w:val="0"/>
                      <w:bCs w:val="0"/>
                      <w:sz w:val="21"/>
                      <w:szCs w:val="21"/>
                      <w:highlight w:val="none"/>
                    </w:rPr>
                    <w:t>土</w:t>
                  </w:r>
                </w:p>
              </w:tc>
              <w:tc>
                <w:tcPr>
                  <w:tcW w:w="840" w:type="dxa"/>
                  <w:noWrap w:val="0"/>
                  <w:vAlign w:val="center"/>
                </w:tcPr>
                <w:p w14:paraId="0F5CF770">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m³</w:t>
                  </w:r>
                </w:p>
                <w:p w14:paraId="6C632BA1">
                  <w:pPr>
                    <w:rPr>
                      <w:highlight w:val="none"/>
                    </w:rPr>
                  </w:pPr>
                </w:p>
                <w:p w14:paraId="082C7436">
                  <w:pPr>
                    <w:rPr>
                      <w:highlight w:val="none"/>
                    </w:rPr>
                  </w:pPr>
                </w:p>
              </w:tc>
              <w:tc>
                <w:tcPr>
                  <w:tcW w:w="1771" w:type="dxa"/>
                  <w:noWrap w:val="0"/>
                  <w:vAlign w:val="center"/>
                </w:tcPr>
                <w:p w14:paraId="28837C2F">
                  <w:pPr>
                    <w:widowControl/>
                    <w:jc w:val="center"/>
                    <w:rPr>
                      <w:rFonts w:hint="default" w:ascii="Times New Roman" w:hAnsi="Times New Roman" w:eastAsia="宋体" w:cs="Times New Roman"/>
                      <w:b w:val="0"/>
                      <w:bCs w:val="0"/>
                      <w:sz w:val="21"/>
                      <w:szCs w:val="21"/>
                      <w:highlight w:val="none"/>
                      <w:lang w:val="en-US" w:eastAsia="zh-CN"/>
                    </w:rPr>
                  </w:pPr>
                  <w:r>
                    <w:rPr>
                      <w:rFonts w:hint="eastAsia"/>
                      <w:highlight w:val="none"/>
                    </w:rPr>
                    <w:t>731687.72</w:t>
                  </w:r>
                </w:p>
              </w:tc>
              <w:tc>
                <w:tcPr>
                  <w:tcW w:w="1931" w:type="dxa"/>
                  <w:vMerge w:val="continue"/>
                  <w:noWrap w:val="0"/>
                  <w:vAlign w:val="center"/>
                </w:tcPr>
                <w:p w14:paraId="64D2EA03">
                  <w:pPr>
                    <w:widowControl/>
                    <w:jc w:val="center"/>
                    <w:rPr>
                      <w:rFonts w:hint="default" w:ascii="Times New Roman" w:hAnsi="Times New Roman" w:eastAsia="宋体" w:cs="Times New Roman"/>
                      <w:b w:val="0"/>
                      <w:bCs w:val="0"/>
                      <w:sz w:val="21"/>
                      <w:szCs w:val="21"/>
                      <w:highlight w:val="none"/>
                      <w:lang w:val="en-US" w:eastAsia="zh-CN"/>
                    </w:rPr>
                  </w:pPr>
                </w:p>
              </w:tc>
            </w:tr>
            <w:tr w14:paraId="3CBE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5" w:type="dxa"/>
                  <w:vMerge w:val="restart"/>
                  <w:noWrap w:val="0"/>
                  <w:vAlign w:val="center"/>
                </w:tcPr>
                <w:p w14:paraId="7661A8A4">
                  <w:pPr>
                    <w:jc w:val="center"/>
                    <w:rPr>
                      <w:rFonts w:hint="default" w:ascii="Times New Roman" w:hAnsi="Times New Roman" w:eastAsia="宋体" w:cs="Times New Roman"/>
                      <w:b w:val="0"/>
                      <w:bCs w:val="0"/>
                      <w:sz w:val="21"/>
                      <w:szCs w:val="21"/>
                      <w:highlight w:val="none"/>
                      <w:lang w:eastAsia="zh-CN"/>
                    </w:rPr>
                  </w:pPr>
                  <w:r>
                    <w:rPr>
                      <w:rFonts w:hint="eastAsia" w:cs="Times New Roman"/>
                      <w:b w:val="0"/>
                      <w:bCs w:val="0"/>
                      <w:sz w:val="21"/>
                      <w:szCs w:val="21"/>
                      <w:highlight w:val="none"/>
                      <w:lang w:eastAsia="zh-CN"/>
                    </w:rPr>
                    <w:t>输水管线</w:t>
                  </w:r>
                </w:p>
              </w:tc>
              <w:tc>
                <w:tcPr>
                  <w:tcW w:w="1858" w:type="dxa"/>
                  <w:gridSpan w:val="2"/>
                  <w:noWrap w:val="0"/>
                  <w:vAlign w:val="center"/>
                </w:tcPr>
                <w:p w14:paraId="2702BD22">
                  <w:pPr>
                    <w:widowControl/>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挖方</w:t>
                  </w:r>
                </w:p>
              </w:tc>
              <w:tc>
                <w:tcPr>
                  <w:tcW w:w="840" w:type="dxa"/>
                  <w:noWrap w:val="0"/>
                  <w:vAlign w:val="center"/>
                </w:tcPr>
                <w:p w14:paraId="6EDA7EC2">
                  <w:pPr>
                    <w:widowControl/>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14:paraId="0220D230">
                  <w:pPr>
                    <w:widowControl/>
                    <w:jc w:val="cente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 xml:space="preserve">63000.00 </w:t>
                  </w:r>
                </w:p>
              </w:tc>
              <w:tc>
                <w:tcPr>
                  <w:tcW w:w="1931" w:type="dxa"/>
                  <w:vMerge w:val="restart"/>
                  <w:noWrap w:val="0"/>
                  <w:vAlign w:val="center"/>
                </w:tcPr>
                <w:p w14:paraId="4F8CFA3D">
                  <w:pPr>
                    <w:widowControl/>
                    <w:jc w:val="cente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挖方用于管沟回填及平整场地，无弃方</w:t>
                  </w:r>
                </w:p>
              </w:tc>
            </w:tr>
            <w:tr w14:paraId="40C1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5" w:type="dxa"/>
                  <w:vMerge w:val="continue"/>
                  <w:noWrap w:val="0"/>
                  <w:vAlign w:val="center"/>
                </w:tcPr>
                <w:p w14:paraId="1AD82E35">
                  <w:pPr>
                    <w:jc w:val="center"/>
                    <w:rPr>
                      <w:rFonts w:hint="default" w:ascii="Times New Roman" w:hAnsi="Times New Roman" w:eastAsia="宋体" w:cs="Times New Roman"/>
                      <w:b w:val="0"/>
                      <w:bCs w:val="0"/>
                      <w:sz w:val="21"/>
                      <w:szCs w:val="21"/>
                      <w:highlight w:val="none"/>
                    </w:rPr>
                  </w:pPr>
                </w:p>
              </w:tc>
              <w:tc>
                <w:tcPr>
                  <w:tcW w:w="1858" w:type="dxa"/>
                  <w:gridSpan w:val="2"/>
                  <w:noWrap w:val="0"/>
                  <w:vAlign w:val="center"/>
                </w:tcPr>
                <w:p w14:paraId="16E08D6A">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填方</w:t>
                  </w:r>
                </w:p>
              </w:tc>
              <w:tc>
                <w:tcPr>
                  <w:tcW w:w="840" w:type="dxa"/>
                  <w:noWrap w:val="0"/>
                  <w:vAlign w:val="center"/>
                </w:tcPr>
                <w:p w14:paraId="565AB2EA">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14:paraId="79D52172">
                  <w:pPr>
                    <w:widowControl/>
                    <w:jc w:val="cente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63000.00</w:t>
                  </w:r>
                </w:p>
              </w:tc>
              <w:tc>
                <w:tcPr>
                  <w:tcW w:w="1931" w:type="dxa"/>
                  <w:vMerge w:val="continue"/>
                  <w:noWrap w:val="0"/>
                  <w:vAlign w:val="center"/>
                </w:tcPr>
                <w:p w14:paraId="688F2D99">
                  <w:pPr>
                    <w:widowControl/>
                    <w:jc w:val="center"/>
                    <w:rPr>
                      <w:rFonts w:hint="default" w:ascii="Times New Roman" w:hAnsi="Times New Roman" w:eastAsia="宋体" w:cs="Times New Roman"/>
                      <w:b w:val="0"/>
                      <w:bCs w:val="0"/>
                      <w:sz w:val="21"/>
                      <w:szCs w:val="21"/>
                      <w:highlight w:val="none"/>
                      <w:lang w:val="en-US" w:eastAsia="zh-CN"/>
                    </w:rPr>
                  </w:pPr>
                </w:p>
              </w:tc>
            </w:tr>
          </w:tbl>
          <w:p w14:paraId="24612EA7">
            <w:pPr>
              <w:pStyle w:val="28"/>
              <w:keepNext w:val="0"/>
              <w:keepLines w:val="0"/>
              <w:pageBreakBefore w:val="0"/>
              <w:widowControl w:val="0"/>
              <w:kinsoku/>
              <w:wordWrap/>
              <w:overflowPunct/>
              <w:topLinePunct w:val="0"/>
              <w:autoSpaceDE/>
              <w:autoSpaceDN/>
              <w:bidi w:val="0"/>
              <w:adjustRightInd/>
              <w:snapToGrid w:val="0"/>
              <w:jc w:val="both"/>
              <w:textAlignment w:val="auto"/>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t>6.工程设计</w:t>
            </w:r>
          </w:p>
          <w:p w14:paraId="19285F6C">
            <w:pPr>
              <w:pStyle w:val="8"/>
              <w:pageBreakBefore w:val="0"/>
              <w:kinsoku/>
              <w:wordWrap/>
              <w:overflowPunct/>
              <w:topLinePunct w:val="0"/>
              <w:autoSpaceDE/>
              <w:autoSpaceDN/>
              <w:bidi w:val="0"/>
              <w:adjustRightInd/>
              <w:snapToGrid w:val="0"/>
              <w:spacing w:before="0" w:after="0"/>
              <w:ind w:firstLine="480" w:firstLineChars="200"/>
              <w:textAlignment w:val="auto"/>
              <w:rPr>
                <w:rFonts w:hint="default" w:ascii="Times New Roman" w:hAnsi="Times New Roman" w:eastAsia="宋体" w:cs="Times New Roman"/>
                <w:b w:val="0"/>
                <w:bCs/>
                <w:color w:val="auto"/>
                <w:sz w:val="24"/>
                <w:szCs w:val="24"/>
                <w:highlight w:val="none"/>
                <w:lang w:eastAsia="zh-CN"/>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6.1</w:t>
            </w:r>
            <w:r>
              <w:rPr>
                <w:rFonts w:hint="default" w:ascii="Times New Roman" w:hAnsi="Times New Roman" w:eastAsia="宋体" w:cs="Times New Roman"/>
                <w:b w:val="0"/>
                <w:bCs/>
                <w:color w:val="auto"/>
                <w:sz w:val="24"/>
                <w:szCs w:val="24"/>
                <w:highlight w:val="none"/>
                <w:lang w:val="en-US" w:eastAsia="zh-CN"/>
              </w:rPr>
              <w:t>输</w:t>
            </w:r>
            <w:r>
              <w:rPr>
                <w:rFonts w:hint="default" w:ascii="Times New Roman" w:hAnsi="Times New Roman" w:eastAsia="宋体" w:cs="Times New Roman"/>
                <w:b w:val="0"/>
                <w:bCs/>
                <w:color w:val="auto"/>
                <w:sz w:val="24"/>
                <w:szCs w:val="24"/>
                <w:highlight w:val="none"/>
              </w:rPr>
              <w:t>水</w:t>
            </w:r>
            <w:r>
              <w:rPr>
                <w:rFonts w:hint="default" w:ascii="Times New Roman" w:hAnsi="Times New Roman" w:eastAsia="宋体" w:cs="Times New Roman"/>
                <w:b w:val="0"/>
                <w:bCs/>
                <w:color w:val="auto"/>
                <w:sz w:val="24"/>
                <w:szCs w:val="24"/>
                <w:highlight w:val="none"/>
                <w:lang w:val="en-US" w:eastAsia="zh-CN"/>
              </w:rPr>
              <w:t>工程</w:t>
            </w:r>
          </w:p>
          <w:p w14:paraId="63687387">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6.1.1管道管径与材质</w:t>
            </w:r>
          </w:p>
          <w:p w14:paraId="76DB83DD">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000000"/>
                <w:sz w:val="24"/>
                <w:szCs w:val="24"/>
                <w:highlight w:val="none"/>
              </w:rPr>
              <w:t>输水工程管道</w:t>
            </w:r>
            <w:r>
              <w:rPr>
                <w:rFonts w:hint="default" w:ascii="Times New Roman" w:hAnsi="Times New Roman" w:eastAsia="宋体" w:cs="Times New Roman"/>
                <w:color w:val="000000"/>
                <w:sz w:val="24"/>
                <w:szCs w:val="24"/>
                <w:highlight w:val="none"/>
                <w:lang w:eastAsia="zh-CN"/>
              </w:rPr>
              <w:t>全长5.6km</w:t>
            </w:r>
            <w:r>
              <w:rPr>
                <w:rFonts w:hint="default" w:ascii="Times New Roman" w:hAnsi="Times New Roman" w:eastAsia="宋体" w:cs="Times New Roman"/>
                <w:color w:val="000000"/>
                <w:sz w:val="24"/>
                <w:szCs w:val="24"/>
                <w:highlight w:val="none"/>
              </w:rPr>
              <w:t>，单管</w:t>
            </w:r>
            <w:r>
              <w:rPr>
                <w:rFonts w:hint="default" w:ascii="Times New Roman" w:hAnsi="Times New Roman" w:eastAsia="宋体" w:cs="Times New Roman"/>
                <w:color w:val="000000"/>
                <w:sz w:val="24"/>
                <w:szCs w:val="24"/>
                <w:highlight w:val="none"/>
                <w:lang w:eastAsia="zh-CN"/>
              </w:rPr>
              <w:t>布设，设计输水能力</w:t>
            </w:r>
            <w:r>
              <w:rPr>
                <w:rFonts w:hint="default" w:ascii="Times New Roman" w:hAnsi="Times New Roman" w:eastAsia="宋体" w:cs="Times New Roman"/>
                <w:snapToGrid w:val="0"/>
                <w:color w:val="000000"/>
                <w:sz w:val="24"/>
                <w:szCs w:val="24"/>
                <w:highlight w:val="none"/>
                <w:lang w:val="en-US" w:eastAsia="zh-CN" w:bidi="ar-SA"/>
              </w:rPr>
              <w:t>1500万m</w:t>
            </w:r>
            <w:r>
              <w:rPr>
                <w:rFonts w:hint="eastAsia" w:ascii="Times New Roman" w:hAnsi="Times New Roman" w:eastAsia="宋体" w:cs="Times New Roman"/>
                <w:snapToGrid w:val="0"/>
                <w:color w:val="000000"/>
                <w:sz w:val="24"/>
                <w:szCs w:val="24"/>
                <w:highlight w:val="none"/>
                <w:vertAlign w:val="superscript"/>
                <w:lang w:val="en-US" w:eastAsia="zh-CN" w:bidi="ar-SA"/>
              </w:rPr>
              <w:t>3</w:t>
            </w:r>
            <w:r>
              <w:rPr>
                <w:rFonts w:hint="default" w:ascii="Times New Roman" w:hAnsi="Times New Roman" w:eastAsia="宋体" w:cs="Times New Roman"/>
                <w:snapToGrid w:val="0"/>
                <w:color w:val="000000"/>
                <w:sz w:val="24"/>
                <w:szCs w:val="24"/>
                <w:highlight w:val="none"/>
                <w:lang w:val="en-US" w:eastAsia="zh-CN" w:bidi="ar-SA"/>
              </w:rPr>
              <w:t>/a</w:t>
            </w:r>
            <w:r>
              <w:rPr>
                <w:rFonts w:hint="default" w:ascii="Times New Roman" w:hAnsi="Times New Roman" w:eastAsia="宋体" w:cs="Times New Roman"/>
                <w:color w:val="000000"/>
                <w:sz w:val="24"/>
                <w:szCs w:val="24"/>
                <w:highlight w:val="none"/>
                <w:lang w:eastAsia="zh-CN"/>
              </w:rPr>
              <w:t>，管径为DN800涂塑钢管。</w:t>
            </w:r>
          </w:p>
          <w:p w14:paraId="4DE0874E">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rPr>
              <w:t>管道附属建筑物设计</w:t>
            </w:r>
          </w:p>
          <w:p w14:paraId="23A7A123">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（1）各类阀门井</w:t>
            </w:r>
          </w:p>
          <w:p w14:paraId="279714A5">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本工程采用</w:t>
            </w:r>
            <w:r>
              <w:rPr>
                <w:rFonts w:hint="default" w:ascii="Times New Roman" w:hAnsi="Times New Roman" w:eastAsia="宋体" w:cs="Times New Roman"/>
                <w:color w:val="auto"/>
                <w:sz w:val="24"/>
                <w:szCs w:val="24"/>
                <w:highlight w:val="none"/>
                <w:lang w:val="en-US" w:eastAsia="zh-CN"/>
              </w:rPr>
              <w:t>现浇</w:t>
            </w:r>
            <w:r>
              <w:rPr>
                <w:rFonts w:hint="default" w:ascii="Times New Roman" w:hAnsi="Times New Roman" w:eastAsia="宋体" w:cs="Times New Roman"/>
                <w:color w:val="auto"/>
                <w:sz w:val="24"/>
                <w:szCs w:val="24"/>
                <w:highlight w:val="none"/>
              </w:rPr>
              <w:t>钢筋混凝土阀门井，结构形式选用定型设计图集</w:t>
            </w:r>
            <w:r>
              <w:rPr>
                <w:rFonts w:hint="eastAsia" w:cs="Times New Roman"/>
                <w:color w:val="auto"/>
                <w:sz w:val="24"/>
                <w:szCs w:val="24"/>
                <w:highlight w:val="none"/>
                <w:lang w:eastAsia="zh-CN"/>
              </w:rPr>
              <w:t>并按</w:t>
            </w:r>
            <w:r>
              <w:rPr>
                <w:rFonts w:hint="default" w:ascii="Times New Roman" w:hAnsi="Times New Roman" w:eastAsia="宋体" w:cs="Times New Roman"/>
                <w:color w:val="auto"/>
                <w:sz w:val="24"/>
                <w:szCs w:val="24"/>
                <w:highlight w:val="none"/>
              </w:rPr>
              <w:t>《市政给水管道工程及附属设施》相应的标准设计。</w:t>
            </w:r>
            <w:r>
              <w:rPr>
                <w:rFonts w:hint="eastAsia" w:cs="Times New Roman"/>
                <w:color w:val="auto"/>
                <w:sz w:val="24"/>
                <w:szCs w:val="24"/>
                <w:highlight w:val="none"/>
                <w:lang w:eastAsia="zh-CN"/>
              </w:rPr>
              <w:t>本项目</w:t>
            </w:r>
            <w:r>
              <w:rPr>
                <w:rFonts w:hint="default" w:ascii="Times New Roman" w:hAnsi="Times New Roman" w:eastAsia="宋体" w:cs="Times New Roman"/>
                <w:color w:val="auto"/>
                <w:sz w:val="24"/>
                <w:szCs w:val="24"/>
                <w:highlight w:val="none"/>
                <w:lang w:eastAsia="zh-CN"/>
              </w:rPr>
              <w:t>设置</w:t>
            </w:r>
            <w:r>
              <w:rPr>
                <w:rFonts w:hint="eastAsia" w:cs="Times New Roman"/>
                <w:color w:val="auto"/>
                <w:sz w:val="24"/>
                <w:szCs w:val="24"/>
                <w:highlight w:val="none"/>
                <w:lang w:eastAsia="zh-CN"/>
              </w:rPr>
              <w:t>了</w:t>
            </w:r>
            <w:r>
              <w:rPr>
                <w:rFonts w:hint="default" w:ascii="Times New Roman" w:hAnsi="Times New Roman" w:eastAsia="宋体" w:cs="Times New Roman"/>
                <w:color w:val="auto"/>
                <w:sz w:val="24"/>
                <w:szCs w:val="24"/>
                <w:highlight w:val="none"/>
                <w:lang w:val="en-US" w:eastAsia="zh-CN"/>
              </w:rPr>
              <w:t>3座钢筋混凝土</w:t>
            </w:r>
            <w:r>
              <w:rPr>
                <w:rFonts w:hint="default" w:ascii="Times New Roman" w:hAnsi="Times New Roman" w:eastAsia="宋体" w:cs="Times New Roman"/>
                <w:color w:val="auto"/>
                <w:sz w:val="24"/>
                <w:szCs w:val="24"/>
                <w:highlight w:val="none"/>
                <w:lang w:eastAsia="zh-CN"/>
              </w:rPr>
              <w:t>阀门井，规格为</w:t>
            </w:r>
            <w:r>
              <w:rPr>
                <w:rFonts w:hint="default" w:ascii="Times New Roman" w:hAnsi="Times New Roman" w:eastAsia="宋体" w:cs="Times New Roman"/>
                <w:color w:val="auto"/>
                <w:sz w:val="24"/>
                <w:szCs w:val="24"/>
                <w:highlight w:val="none"/>
                <w:lang w:val="en-US" w:eastAsia="zh-CN"/>
              </w:rPr>
              <w:t>1800mm×2600mm</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6座钢筋混凝土</w:t>
            </w:r>
            <w:r>
              <w:rPr>
                <w:rFonts w:hint="default" w:ascii="Times New Roman" w:hAnsi="Times New Roman" w:eastAsia="宋体" w:cs="Times New Roman"/>
                <w:color w:val="auto"/>
                <w:sz w:val="24"/>
                <w:szCs w:val="24"/>
                <w:highlight w:val="none"/>
                <w:lang w:eastAsia="zh-CN"/>
              </w:rPr>
              <w:t>排气井，规格为</w:t>
            </w:r>
            <w:r>
              <w:rPr>
                <w:rFonts w:hint="default" w:ascii="Times New Roman" w:hAnsi="Times New Roman" w:eastAsia="宋体" w:cs="Times New Roman"/>
                <w:color w:val="auto"/>
                <w:sz w:val="24"/>
                <w:szCs w:val="24"/>
                <w:highlight w:val="none"/>
                <w:lang w:val="en-US" w:eastAsia="zh-CN"/>
              </w:rPr>
              <w:t>1600mm×2000mm；6座砖砌</w:t>
            </w:r>
            <w:r>
              <w:rPr>
                <w:rFonts w:hint="default" w:ascii="Times New Roman" w:hAnsi="Times New Roman" w:eastAsia="宋体" w:cs="Times New Roman"/>
                <w:color w:val="auto"/>
                <w:sz w:val="24"/>
                <w:szCs w:val="24"/>
                <w:highlight w:val="none"/>
                <w:lang w:eastAsia="zh-CN"/>
              </w:rPr>
              <w:t>排泥井，规格直径为</w:t>
            </w:r>
            <w:r>
              <w:rPr>
                <w:rFonts w:hint="default" w:ascii="Times New Roman" w:hAnsi="Times New Roman" w:eastAsia="宋体" w:cs="Times New Roman"/>
                <w:color w:val="auto"/>
                <w:sz w:val="24"/>
                <w:szCs w:val="24"/>
                <w:highlight w:val="none"/>
                <w:lang w:val="en-US" w:eastAsia="zh-CN"/>
              </w:rPr>
              <w:t>1200mm</w:t>
            </w:r>
            <w:r>
              <w:rPr>
                <w:rFonts w:hint="eastAsia" w:cs="Times New Roman"/>
                <w:color w:val="auto"/>
                <w:sz w:val="24"/>
                <w:szCs w:val="24"/>
                <w:highlight w:val="none"/>
                <w:lang w:val="en-US" w:eastAsia="zh-CN"/>
              </w:rPr>
              <w:t>。</w:t>
            </w:r>
          </w:p>
          <w:p w14:paraId="237AB460">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（2）管线标准埋设深度为</w:t>
            </w:r>
            <w:r>
              <w:rPr>
                <w:rFonts w:hint="default" w:ascii="Times New Roman" w:hAnsi="Times New Roman" w:eastAsia="宋体" w:cs="Times New Roman"/>
                <w:color w:val="auto"/>
                <w:sz w:val="24"/>
                <w:szCs w:val="24"/>
                <w:highlight w:val="none"/>
                <w:lang w:val="en-US" w:eastAsia="zh-CN"/>
              </w:rPr>
              <w:t>2.5</w:t>
            </w:r>
            <w:r>
              <w:rPr>
                <w:rFonts w:hint="default" w:ascii="Times New Roman" w:hAnsi="Times New Roman" w:eastAsia="宋体" w:cs="Times New Roman"/>
                <w:color w:val="auto"/>
                <w:sz w:val="24"/>
                <w:szCs w:val="24"/>
                <w:highlight w:val="none"/>
              </w:rPr>
              <w:t>米</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管顶以上1.7米</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00D79BA8">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管道开挖临时边坡采用1:1.5，根据管道安装要求，管沟开挖宽度为管道两侧各预留600mm。</w:t>
            </w:r>
          </w:p>
          <w:p w14:paraId="78732D80">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）输水管道连接方式设计</w:t>
            </w:r>
          </w:p>
          <w:p w14:paraId="5DFA34F6">
            <w:pPr>
              <w:pStyle w:val="46"/>
              <w:pageBreakBefore w:val="0"/>
              <w:kinsoku/>
              <w:wordWrap/>
              <w:overflowPunct/>
              <w:topLinePunct w:val="0"/>
              <w:autoSpaceDE/>
              <w:autoSpaceDN/>
              <w:bidi w:val="0"/>
              <w:adjustRightInd/>
              <w:ind w:firstLine="480" w:firstLineChars="200"/>
              <w:textAlignment w:val="auto"/>
              <w:rPr>
                <w:rFonts w:hint="default" w:ascii="Times New Roman" w:hAnsi="Times New Roman" w:eastAsia="宋体" w:cs="Times New Roman"/>
                <w:color w:val="auto"/>
                <w:sz w:val="24"/>
                <w:szCs w:val="24"/>
                <w:highlight w:val="none"/>
              </w:rPr>
            </w:pPr>
            <w:r>
              <w:rPr>
                <w:rFonts w:hint="eastAsia" w:ascii="东文宋体" w:hAnsi="东文宋体" w:eastAsia="东文宋体" w:cs="东文宋体"/>
                <w:color w:val="auto"/>
                <w:sz w:val="24"/>
                <w:szCs w:val="24"/>
                <w:highlight w:val="none"/>
              </w:rPr>
              <w:t>①</w:t>
            </w:r>
            <w:r>
              <w:rPr>
                <w:rFonts w:hint="default" w:ascii="Times New Roman" w:hAnsi="Times New Roman" w:eastAsia="宋体" w:cs="Times New Roman"/>
                <w:color w:val="auto"/>
                <w:sz w:val="24"/>
                <w:szCs w:val="24"/>
                <w:highlight w:val="none"/>
                <w:lang w:val="en-US" w:eastAsia="zh-CN"/>
              </w:rPr>
              <w:t>涂塑钢管</w:t>
            </w:r>
            <w:r>
              <w:rPr>
                <w:rFonts w:hint="default" w:ascii="Times New Roman" w:hAnsi="Times New Roman" w:eastAsia="宋体" w:cs="Times New Roman"/>
                <w:color w:val="auto"/>
                <w:sz w:val="24"/>
                <w:szCs w:val="24"/>
                <w:highlight w:val="none"/>
              </w:rPr>
              <w:t>与</w:t>
            </w:r>
            <w:r>
              <w:rPr>
                <w:rFonts w:hint="default" w:ascii="Times New Roman" w:hAnsi="Times New Roman" w:eastAsia="宋体" w:cs="Times New Roman"/>
                <w:color w:val="auto"/>
                <w:sz w:val="24"/>
                <w:szCs w:val="24"/>
                <w:highlight w:val="none"/>
                <w:lang w:val="en-US" w:eastAsia="zh-CN"/>
              </w:rPr>
              <w:t>涂塑钢管</w:t>
            </w:r>
            <w:r>
              <w:rPr>
                <w:rFonts w:hint="default" w:ascii="Times New Roman" w:hAnsi="Times New Roman" w:eastAsia="宋体" w:cs="Times New Roman"/>
                <w:color w:val="auto"/>
                <w:sz w:val="24"/>
                <w:szCs w:val="24"/>
                <w:highlight w:val="none"/>
              </w:rPr>
              <w:t>采用</w:t>
            </w:r>
            <w:r>
              <w:rPr>
                <w:rFonts w:hint="default" w:ascii="Times New Roman" w:hAnsi="Times New Roman" w:eastAsia="宋体" w:cs="Times New Roman"/>
                <w:color w:val="auto"/>
                <w:sz w:val="24"/>
                <w:szCs w:val="24"/>
                <w:highlight w:val="none"/>
                <w:lang w:val="en-US" w:eastAsia="zh-CN"/>
              </w:rPr>
              <w:t>焊接工艺</w:t>
            </w:r>
            <w:r>
              <w:rPr>
                <w:rFonts w:hint="default" w:ascii="Times New Roman" w:hAnsi="Times New Roman" w:eastAsia="宋体" w:cs="Times New Roman"/>
                <w:color w:val="auto"/>
                <w:sz w:val="24"/>
                <w:szCs w:val="24"/>
                <w:highlight w:val="none"/>
              </w:rPr>
              <w:t>连接；</w:t>
            </w:r>
          </w:p>
          <w:p w14:paraId="48991994">
            <w:pPr>
              <w:pStyle w:val="28"/>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东文宋体" w:hAnsi="东文宋体" w:eastAsia="东文宋体" w:cs="东文宋体"/>
                <w:color w:val="auto"/>
                <w:sz w:val="24"/>
                <w:szCs w:val="24"/>
                <w:highlight w:val="none"/>
                <w:lang w:val="en-US" w:eastAsia="zh-CN"/>
              </w:rPr>
              <w:t>②</w:t>
            </w:r>
            <w:r>
              <w:rPr>
                <w:rFonts w:hint="default" w:ascii="Times New Roman" w:hAnsi="Times New Roman" w:eastAsia="宋体" w:cs="Times New Roman"/>
                <w:color w:val="auto"/>
                <w:sz w:val="24"/>
                <w:szCs w:val="24"/>
                <w:highlight w:val="none"/>
              </w:rPr>
              <w:t>管线折点处，角度大于10度时采用</w:t>
            </w:r>
            <w:r>
              <w:rPr>
                <w:rFonts w:hint="default" w:ascii="Times New Roman" w:hAnsi="Times New Roman" w:eastAsia="宋体" w:cs="Times New Roman"/>
                <w:color w:val="auto"/>
                <w:sz w:val="24"/>
                <w:szCs w:val="24"/>
                <w:highlight w:val="none"/>
                <w:lang w:val="en-US" w:eastAsia="zh-CN"/>
              </w:rPr>
              <w:t>涂塑钢管</w:t>
            </w:r>
            <w:r>
              <w:rPr>
                <w:rFonts w:hint="default" w:ascii="Times New Roman" w:hAnsi="Times New Roman" w:eastAsia="宋体" w:cs="Times New Roman"/>
                <w:color w:val="auto"/>
                <w:sz w:val="24"/>
                <w:szCs w:val="24"/>
                <w:highlight w:val="none"/>
              </w:rPr>
              <w:t>标准弯头连接并适当采用管道自身借转角度</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角度小于10度则采用管道承插口借转连接，</w:t>
            </w:r>
            <w:r>
              <w:rPr>
                <w:rFonts w:hint="default" w:ascii="Times New Roman" w:hAnsi="Times New Roman" w:eastAsia="宋体" w:cs="Times New Roman"/>
                <w:color w:val="auto"/>
                <w:sz w:val="24"/>
                <w:szCs w:val="24"/>
                <w:highlight w:val="none"/>
                <w:lang w:val="en-US" w:eastAsia="zh-CN"/>
              </w:rPr>
              <w:t>涂塑钢</w:t>
            </w:r>
            <w:r>
              <w:rPr>
                <w:rFonts w:hint="default" w:ascii="Times New Roman" w:hAnsi="Times New Roman" w:eastAsia="宋体" w:cs="Times New Roman"/>
                <w:color w:val="auto"/>
                <w:sz w:val="24"/>
                <w:szCs w:val="24"/>
                <w:highlight w:val="none"/>
              </w:rPr>
              <w:t>管承插口一次借转不得超过1度。</w:t>
            </w:r>
          </w:p>
          <w:p w14:paraId="04F4B2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napToGrid/>
                <w:color w:val="auto"/>
                <w:kern w:val="2"/>
                <w:sz w:val="24"/>
                <w:szCs w:val="24"/>
                <w:highlight w:val="none"/>
                <w:lang w:val="en-US" w:eastAsia="zh-CN" w:bidi="ar-SA"/>
              </w:rPr>
              <w:t>6.2蓄水池</w:t>
            </w:r>
            <w:r>
              <w:rPr>
                <w:rFonts w:hint="default" w:ascii="Times New Roman" w:hAnsi="Times New Roman" w:eastAsia="宋体" w:cs="Times New Roman"/>
                <w:color w:val="000000"/>
                <w:kern w:val="0"/>
                <w:sz w:val="24"/>
                <w:szCs w:val="24"/>
                <w:highlight w:val="none"/>
                <w:lang w:val="en-US" w:eastAsia="zh-CN" w:bidi="ar"/>
              </w:rPr>
              <w:t>工程</w:t>
            </w:r>
          </w:p>
          <w:p w14:paraId="4358A37F">
            <w:pPr>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蓄水池利用原低洼地形，蓄水池基本全部为地下开挖式，原地面以上部分为填筑，蓄水池有效容积为75万m³，设计蓄水池占地面积85542㎡，坝顶宽为10m，坝顶设置网围栏，砂石路及绿化带。本次池顶设计高程为1114.05m，池底高程1104.05m，设计水位高程1111.55m，进水口管顶高程1112.25，池底素土回填厚度20cm，进水口消力结构采用2m*1m*0.4m铅丝石笼消力。</w:t>
            </w:r>
          </w:p>
          <w:p w14:paraId="10F24DC3">
            <w:pPr>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eastAsia" w:cs="Times New Roman"/>
                <w:snapToGrid/>
                <w:color w:val="auto"/>
                <w:kern w:val="2"/>
                <w:sz w:val="24"/>
                <w:szCs w:val="24"/>
                <w:highlight w:val="none"/>
                <w:lang w:val="en-US" w:eastAsia="zh-CN" w:bidi="ar-SA"/>
              </w:rPr>
              <w:t>6.2.</w:t>
            </w:r>
            <w:r>
              <w:rPr>
                <w:rFonts w:hint="default" w:ascii="Times New Roman" w:hAnsi="Times New Roman" w:eastAsia="宋体" w:cs="Times New Roman"/>
                <w:snapToGrid/>
                <w:color w:val="auto"/>
                <w:kern w:val="2"/>
                <w:sz w:val="24"/>
                <w:szCs w:val="24"/>
                <w:highlight w:val="none"/>
                <w:lang w:val="en-US" w:eastAsia="zh-CN" w:bidi="ar-SA"/>
              </w:rPr>
              <w:t>1蓄水池</w:t>
            </w:r>
            <w:r>
              <w:rPr>
                <w:rFonts w:hint="eastAsia"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设计</w:t>
            </w:r>
          </w:p>
          <w:p w14:paraId="44606CD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sz w:val="24"/>
                <w:szCs w:val="24"/>
                <w:highlight w:val="none"/>
              </w:rPr>
            </w:pPr>
            <w:r>
              <w:rPr>
                <w:rFonts w:hint="default" w:ascii="Times New Roman" w:hAnsi="Times New Roman" w:eastAsia="宋体" w:cs="Times New Roman"/>
                <w:snapToGrid/>
                <w:color w:val="auto"/>
                <w:kern w:val="2"/>
                <w:sz w:val="24"/>
                <w:szCs w:val="24"/>
                <w:highlight w:val="none"/>
                <w:lang w:val="en-US" w:eastAsia="zh-CN" w:bidi="ar-SA"/>
              </w:rPr>
              <w:t>蓄水池填筑部分</w:t>
            </w:r>
            <w:r>
              <w:rPr>
                <w:rFonts w:hint="eastAsia"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压实度不小于0.95，</w:t>
            </w:r>
            <w:r>
              <w:rPr>
                <w:rFonts w:hint="eastAsia" w:cs="Times New Roman"/>
                <w:snapToGrid/>
                <w:color w:val="auto"/>
                <w:kern w:val="2"/>
                <w:sz w:val="24"/>
                <w:szCs w:val="24"/>
                <w:highlight w:val="none"/>
                <w:lang w:val="en-US" w:eastAsia="zh-CN" w:bidi="ar-SA"/>
              </w:rPr>
              <w:t>同时</w:t>
            </w:r>
            <w:r>
              <w:rPr>
                <w:rFonts w:hint="default" w:ascii="Times New Roman" w:hAnsi="Times New Roman" w:eastAsia="宋体" w:cs="Times New Roman"/>
                <w:snapToGrid/>
                <w:color w:val="auto"/>
                <w:kern w:val="2"/>
                <w:sz w:val="24"/>
                <w:szCs w:val="24"/>
                <w:highlight w:val="none"/>
                <w:lang w:val="en-US" w:eastAsia="zh-CN" w:bidi="ar-SA"/>
              </w:rPr>
              <w:t>池顶</w:t>
            </w:r>
            <w:r>
              <w:rPr>
                <w:rFonts w:hint="eastAsia" w:cs="Times New Roman"/>
                <w:snapToGrid/>
                <w:color w:val="auto"/>
                <w:kern w:val="2"/>
                <w:sz w:val="24"/>
                <w:szCs w:val="24"/>
                <w:highlight w:val="none"/>
                <w:lang w:val="en-US" w:eastAsia="zh-CN" w:bidi="ar-SA"/>
              </w:rPr>
              <w:t>和</w:t>
            </w:r>
            <w:r>
              <w:rPr>
                <w:rFonts w:hint="default" w:ascii="Times New Roman" w:hAnsi="Times New Roman" w:eastAsia="宋体" w:cs="Times New Roman"/>
                <w:snapToGrid/>
                <w:color w:val="auto"/>
                <w:kern w:val="2"/>
                <w:sz w:val="24"/>
                <w:szCs w:val="24"/>
                <w:highlight w:val="none"/>
                <w:lang w:val="en-US" w:eastAsia="zh-CN" w:bidi="ar-SA"/>
              </w:rPr>
              <w:t>池壁</w:t>
            </w:r>
            <w:r>
              <w:rPr>
                <w:rFonts w:hint="eastAsia" w:cs="Times New Roman"/>
                <w:snapToGrid/>
                <w:color w:val="auto"/>
                <w:kern w:val="2"/>
                <w:sz w:val="24"/>
                <w:szCs w:val="24"/>
                <w:highlight w:val="none"/>
                <w:lang w:val="en-US" w:eastAsia="zh-CN" w:bidi="ar-SA"/>
              </w:rPr>
              <w:t>需要</w:t>
            </w:r>
            <w:r>
              <w:rPr>
                <w:rFonts w:hint="default" w:ascii="Times New Roman" w:hAnsi="Times New Roman" w:eastAsia="宋体" w:cs="Times New Roman"/>
                <w:snapToGrid/>
                <w:color w:val="auto"/>
                <w:kern w:val="2"/>
                <w:sz w:val="24"/>
                <w:szCs w:val="24"/>
                <w:highlight w:val="none"/>
                <w:lang w:val="en-US" w:eastAsia="zh-CN" w:bidi="ar-SA"/>
              </w:rPr>
              <w:t>开挖松动层</w:t>
            </w:r>
            <w:r>
              <w:rPr>
                <w:rFonts w:hint="eastAsia" w:cs="Times New Roman"/>
                <w:snapToGrid/>
                <w:color w:val="auto"/>
                <w:kern w:val="2"/>
                <w:sz w:val="24"/>
                <w:szCs w:val="24"/>
                <w:highlight w:val="none"/>
                <w:lang w:val="en-US" w:eastAsia="zh-CN" w:bidi="ar-SA"/>
              </w:rPr>
              <w:t>进行</w:t>
            </w:r>
            <w:r>
              <w:rPr>
                <w:rFonts w:hint="default" w:ascii="Times New Roman" w:hAnsi="Times New Roman" w:eastAsia="宋体" w:cs="Times New Roman"/>
                <w:snapToGrid/>
                <w:color w:val="auto"/>
                <w:kern w:val="2"/>
                <w:sz w:val="24"/>
                <w:szCs w:val="24"/>
                <w:highlight w:val="none"/>
                <w:lang w:val="en-US" w:eastAsia="zh-CN" w:bidi="ar-SA"/>
              </w:rPr>
              <w:t>夯实</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本次设计</w:t>
            </w:r>
            <w:r>
              <w:rPr>
                <w:rFonts w:hint="eastAsia"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边坡采用1：4的坡比，边坡采用1.5mm厚HDPE土工膜</w:t>
            </w:r>
            <w:r>
              <w:rPr>
                <w:rFonts w:hint="eastAsia" w:cs="Times New Roman"/>
                <w:snapToGrid/>
                <w:color w:val="auto"/>
                <w:kern w:val="2"/>
                <w:sz w:val="24"/>
                <w:szCs w:val="24"/>
                <w:highlight w:val="none"/>
                <w:lang w:val="en-US" w:eastAsia="zh-CN" w:bidi="ar-SA"/>
              </w:rPr>
              <w:t>进行</w:t>
            </w:r>
            <w:r>
              <w:rPr>
                <w:rFonts w:hint="default" w:ascii="Times New Roman" w:hAnsi="Times New Roman" w:eastAsia="宋体" w:cs="Times New Roman"/>
                <w:snapToGrid/>
                <w:color w:val="auto"/>
                <w:kern w:val="2"/>
                <w:sz w:val="24"/>
                <w:szCs w:val="24"/>
                <w:highlight w:val="none"/>
                <w:lang w:val="en-US" w:eastAsia="zh-CN" w:bidi="ar-SA"/>
              </w:rPr>
              <w:t>防渗</w:t>
            </w:r>
            <w:r>
              <w:rPr>
                <w:rFonts w:hint="eastAsia" w:cs="Times New Roman"/>
                <w:snapToGrid/>
                <w:color w:val="auto"/>
                <w:kern w:val="2"/>
                <w:sz w:val="24"/>
                <w:szCs w:val="24"/>
                <w:highlight w:val="none"/>
                <w:lang w:val="en-US" w:eastAsia="zh-CN" w:bidi="ar-SA"/>
              </w:rPr>
              <w:t>和</w:t>
            </w:r>
            <w:r>
              <w:rPr>
                <w:rFonts w:hint="default" w:ascii="Times New Roman" w:hAnsi="Times New Roman" w:eastAsia="宋体" w:cs="Times New Roman"/>
                <w:snapToGrid/>
                <w:color w:val="auto"/>
                <w:kern w:val="2"/>
                <w:sz w:val="24"/>
                <w:szCs w:val="24"/>
                <w:highlight w:val="none"/>
                <w:lang w:val="en-US" w:eastAsia="zh-CN" w:bidi="ar-SA"/>
              </w:rPr>
              <w:t>护坡。</w:t>
            </w:r>
            <w:r>
              <w:rPr>
                <w:rFonts w:hint="default" w:ascii="Times New Roman" w:hAnsi="Times New Roman" w:eastAsia="宋体" w:cs="Times New Roman"/>
                <w:color w:val="auto"/>
                <w:sz w:val="24"/>
                <w:szCs w:val="24"/>
                <w:highlight w:val="none"/>
                <w:lang w:val="en-US" w:eastAsia="zh-CN"/>
              </w:rPr>
              <w:t>蓄水池池底采用20</w:t>
            </w:r>
            <w:r>
              <w:rPr>
                <w:rFonts w:hint="eastAsia" w:cs="Times New Roman"/>
                <w:color w:val="auto"/>
                <w:sz w:val="24"/>
                <w:szCs w:val="24"/>
                <w:highlight w:val="none"/>
                <w:lang w:val="en-US" w:eastAsia="zh-CN"/>
              </w:rPr>
              <w:t>0m</w:t>
            </w:r>
            <w:r>
              <w:rPr>
                <w:rFonts w:hint="default" w:ascii="Times New Roman" w:hAnsi="Times New Roman" w:eastAsia="宋体" w:cs="Times New Roman"/>
                <w:color w:val="auto"/>
                <w:sz w:val="24"/>
                <w:szCs w:val="24"/>
                <w:highlight w:val="none"/>
                <w:lang w:val="en-US" w:eastAsia="zh-CN"/>
              </w:rPr>
              <w:t>m素土回填，上铺1.5mm厚HDPE土工膜</w:t>
            </w:r>
            <w:r>
              <w:rPr>
                <w:rFonts w:hint="eastAsia" w:cs="Times New Roman"/>
                <w:color w:val="auto"/>
                <w:sz w:val="24"/>
                <w:szCs w:val="24"/>
                <w:highlight w:val="none"/>
                <w:lang w:val="en-US" w:eastAsia="zh-CN"/>
              </w:rPr>
              <w:t>进行</w:t>
            </w:r>
            <w:r>
              <w:rPr>
                <w:rFonts w:hint="default" w:ascii="Times New Roman" w:hAnsi="Times New Roman" w:eastAsia="宋体" w:cs="Times New Roman"/>
                <w:color w:val="auto"/>
                <w:sz w:val="24"/>
                <w:szCs w:val="24"/>
                <w:highlight w:val="none"/>
                <w:lang w:val="en-US" w:eastAsia="zh-CN"/>
              </w:rPr>
              <w:t>防渗</w:t>
            </w:r>
            <w:r>
              <w:rPr>
                <w:rFonts w:hint="eastAsia" w:cs="Times New Roman"/>
                <w:color w:val="auto"/>
                <w:sz w:val="24"/>
                <w:szCs w:val="24"/>
                <w:highlight w:val="none"/>
                <w:lang w:val="en-US" w:eastAsia="zh-CN"/>
              </w:rPr>
              <w:t>处理</w:t>
            </w:r>
            <w:r>
              <w:rPr>
                <w:rFonts w:hint="default" w:ascii="Times New Roman" w:hAnsi="Times New Roman" w:eastAsia="宋体" w:cs="Times New Roman"/>
                <w:color w:val="auto"/>
                <w:sz w:val="24"/>
                <w:szCs w:val="24"/>
                <w:highlight w:val="none"/>
                <w:lang w:val="en-US" w:eastAsia="zh-CN"/>
              </w:rPr>
              <w:t>，土工膜上铺设15</w:t>
            </w:r>
            <w:r>
              <w:rPr>
                <w:rFonts w:hint="eastAsia" w:cs="Times New Roman"/>
                <w:color w:val="auto"/>
                <w:sz w:val="24"/>
                <w:szCs w:val="24"/>
                <w:highlight w:val="none"/>
                <w:lang w:val="en-US" w:eastAsia="zh-CN"/>
              </w:rPr>
              <w:t>0m</w:t>
            </w:r>
            <w:r>
              <w:rPr>
                <w:rFonts w:hint="default" w:ascii="Times New Roman" w:hAnsi="Times New Roman" w:eastAsia="宋体" w:cs="Times New Roman"/>
                <w:color w:val="auto"/>
                <w:sz w:val="24"/>
                <w:szCs w:val="24"/>
                <w:highlight w:val="none"/>
                <w:lang w:val="en-US" w:eastAsia="zh-CN"/>
              </w:rPr>
              <w:t>m厚</w:t>
            </w:r>
            <w:r>
              <w:rPr>
                <w:rFonts w:hint="eastAsia"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lang w:val="en-US" w:eastAsia="zh-CN"/>
              </w:rPr>
              <w:t>砂砾石</w:t>
            </w:r>
            <w:r>
              <w:rPr>
                <w:rFonts w:hint="eastAsia" w:cs="Times New Roman"/>
                <w:color w:val="auto"/>
                <w:sz w:val="24"/>
                <w:szCs w:val="24"/>
                <w:highlight w:val="none"/>
                <w:lang w:val="en-US" w:eastAsia="zh-CN"/>
              </w:rPr>
              <w:t>垫</w:t>
            </w:r>
            <w:r>
              <w:rPr>
                <w:rFonts w:hint="default" w:ascii="Times New Roman" w:hAnsi="Times New Roman" w:eastAsia="宋体" w:cs="Times New Roman"/>
                <w:color w:val="auto"/>
                <w:sz w:val="24"/>
                <w:szCs w:val="24"/>
                <w:highlight w:val="none"/>
                <w:lang w:val="en-US" w:eastAsia="zh-CN"/>
              </w:rPr>
              <w:t>层</w:t>
            </w:r>
            <w:r>
              <w:rPr>
                <w:rFonts w:hint="eastAsia"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参数</w:t>
            </w:r>
            <w:r>
              <w:rPr>
                <w:rFonts w:hint="eastAsia" w:ascii="Times New Roman" w:hAnsi="Times New Roman" w:eastAsia="宋体" w:cs="Times New Roman"/>
                <w:snapToGrid/>
                <w:color w:val="auto"/>
                <w:kern w:val="2"/>
                <w:sz w:val="24"/>
                <w:szCs w:val="24"/>
                <w:highlight w:val="none"/>
                <w:lang w:val="en-US" w:eastAsia="zh-CN" w:bidi="ar-SA"/>
              </w:rPr>
              <w:t>指标见下表1.50mm。</w:t>
            </w:r>
          </w:p>
          <w:p w14:paraId="58E16A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z w:val="21"/>
                <w:szCs w:val="21"/>
                <w:highlight w:val="none"/>
                <w:lang w:eastAsia="zh-CN"/>
              </w:rPr>
              <w:t>表</w:t>
            </w:r>
            <w:r>
              <w:rPr>
                <w:rFonts w:hint="default" w:ascii="Times New Roman" w:hAnsi="Times New Roman" w:eastAsia="宋体" w:cs="Times New Roman"/>
                <w:sz w:val="21"/>
                <w:szCs w:val="21"/>
                <w:highlight w:val="none"/>
                <w:lang w:val="en-US" w:eastAsia="zh-CN"/>
              </w:rPr>
              <w:t>2-</w:t>
            </w: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lang w:val="en-US" w:eastAsia="zh-CN"/>
              </w:rPr>
              <w:t xml:space="preserve"> </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土工膜指标表</w:t>
            </w:r>
          </w:p>
          <w:p w14:paraId="0B4AF7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sz w:val="24"/>
                <w:szCs w:val="24"/>
                <w:highlight w:val="none"/>
              </w:rPr>
            </w:pPr>
            <w:r>
              <w:rPr>
                <w:rFonts w:hint="default" w:ascii="Times New Roman" w:hAnsi="Times New Roman" w:eastAsia="宋体" w:cs="Times New Roman"/>
                <w:snapToGrid/>
                <w:color w:val="auto"/>
                <w:kern w:val="2"/>
                <w:sz w:val="24"/>
                <w:szCs w:val="24"/>
                <w:highlight w:val="none"/>
                <w:lang w:val="en-US" w:eastAsia="zh-CN" w:bidi="ar-SA"/>
              </w:rPr>
              <w:drawing>
                <wp:inline distT="0" distB="0" distL="114300" distR="114300">
                  <wp:extent cx="5084445" cy="4666615"/>
                  <wp:effectExtent l="0" t="0" r="5715" b="12065"/>
                  <wp:docPr id="16" name="图片 16" descr="HDPE土工膜参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DPE土工膜参数"/>
                          <pic:cNvPicPr>
                            <a:picLocks noChangeAspect="1"/>
                          </pic:cNvPicPr>
                        </pic:nvPicPr>
                        <pic:blipFill>
                          <a:blip r:embed="rId8"/>
                          <a:stretch>
                            <a:fillRect/>
                          </a:stretch>
                        </pic:blipFill>
                        <pic:spPr>
                          <a:xfrm>
                            <a:off x="0" y="0"/>
                            <a:ext cx="5084445" cy="4666615"/>
                          </a:xfrm>
                          <a:prstGeom prst="rect">
                            <a:avLst/>
                          </a:prstGeom>
                        </pic:spPr>
                      </pic:pic>
                    </a:graphicData>
                  </a:graphic>
                </wp:inline>
              </w:drawing>
            </w:r>
          </w:p>
          <w:p w14:paraId="7DA1C649">
            <w:pPr>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eastAsia" w:cs="Times New Roman"/>
                <w:snapToGrid/>
                <w:color w:val="auto"/>
                <w:kern w:val="2"/>
                <w:sz w:val="24"/>
                <w:szCs w:val="24"/>
                <w:highlight w:val="none"/>
                <w:lang w:val="en-US" w:eastAsia="zh-CN" w:bidi="ar-SA"/>
              </w:rPr>
              <w:t>6.2.</w:t>
            </w:r>
            <w:r>
              <w:rPr>
                <w:rFonts w:hint="default" w:ascii="Times New Roman" w:hAnsi="Times New Roman" w:eastAsia="宋体" w:cs="Times New Roman"/>
                <w:snapToGrid/>
                <w:color w:val="auto"/>
                <w:kern w:val="2"/>
                <w:sz w:val="24"/>
                <w:szCs w:val="24"/>
                <w:highlight w:val="none"/>
                <w:lang w:val="en-US" w:eastAsia="zh-CN" w:bidi="ar-SA"/>
              </w:rPr>
              <w:t>2坝顶</w:t>
            </w:r>
            <w:r>
              <w:rPr>
                <w:rFonts w:hint="eastAsia"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设计</w:t>
            </w:r>
          </w:p>
          <w:p w14:paraId="1876A129">
            <w:pPr>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坝顶宽为10m，坝顶砂石路8米</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路面结构为砂砾石，路面敷设砂砾石厚度为20cm。</w:t>
            </w:r>
          </w:p>
          <w:p w14:paraId="54C82B90">
            <w:pPr>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snapToGrid/>
                <w:color w:val="auto"/>
                <w:kern w:val="2"/>
                <w:sz w:val="24"/>
                <w:szCs w:val="24"/>
                <w:highlight w:val="none"/>
                <w:lang w:val="en-US" w:eastAsia="zh-CN" w:bidi="ar-SA"/>
              </w:rPr>
              <w:t>网围栏</w:t>
            </w:r>
          </w:p>
          <w:p w14:paraId="2D65708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ascii="东文宋体" w:hAnsi="东文宋体" w:eastAsia="东文宋体" w:cs="东文宋体"/>
                <w:snapToGrid/>
                <w:color w:val="auto"/>
                <w:kern w:val="2"/>
                <w:sz w:val="24"/>
                <w:szCs w:val="24"/>
                <w:highlight w:val="none"/>
                <w:lang w:val="en-US" w:eastAsia="zh-CN" w:bidi="ar-SA"/>
              </w:rPr>
              <w:t>①</w:t>
            </w:r>
            <w:r>
              <w:rPr>
                <w:rFonts w:hint="default" w:ascii="Times New Roman" w:hAnsi="Times New Roman" w:eastAsia="宋体" w:cs="Times New Roman"/>
                <w:snapToGrid/>
                <w:color w:val="auto"/>
                <w:kern w:val="2"/>
                <w:sz w:val="24"/>
                <w:szCs w:val="24"/>
                <w:highlight w:val="none"/>
                <w:lang w:val="en-US" w:eastAsia="zh-CN" w:bidi="ar-SA"/>
              </w:rPr>
              <w:t>材料网围栏选择钢立柱+刺丝网片形式，设计围栏固定桩采用钢立柱桩，尺寸为60×60×210cm。网围栏直接从厂家定制购买，定制网片规格为7×90×60型，刺丝共11层。</w:t>
            </w:r>
          </w:p>
          <w:p w14:paraId="36A1DC86">
            <w:pPr>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eastAsia" w:ascii="东文宋体" w:hAnsi="东文宋体" w:eastAsia="东文宋体" w:cs="东文宋体"/>
                <w:snapToGrid/>
                <w:color w:val="auto"/>
                <w:kern w:val="2"/>
                <w:sz w:val="24"/>
                <w:szCs w:val="24"/>
                <w:highlight w:val="none"/>
                <w:lang w:val="en-US" w:eastAsia="zh-CN" w:bidi="ar-SA"/>
              </w:rPr>
              <w:t>②</w:t>
            </w:r>
            <w:r>
              <w:rPr>
                <w:rFonts w:hint="default" w:ascii="Times New Roman" w:hAnsi="Times New Roman" w:eastAsia="宋体" w:cs="Times New Roman"/>
                <w:snapToGrid/>
                <w:color w:val="auto"/>
                <w:kern w:val="2"/>
                <w:sz w:val="24"/>
                <w:szCs w:val="24"/>
                <w:highlight w:val="none"/>
                <w:lang w:val="en-US" w:eastAsia="zh-CN" w:bidi="ar-SA"/>
              </w:rPr>
              <w:t>网围栏布设</w:t>
            </w:r>
          </w:p>
          <w:p w14:paraId="18E7C81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网围栏由钢立柱和刺铁丝网片组成。每隔7m布设一根立柱（60×60×210mm），</w:t>
            </w:r>
            <w:r>
              <w:rPr>
                <w:rFonts w:hint="eastAsia" w:cs="Times New Roman"/>
                <w:snapToGrid/>
                <w:color w:val="auto"/>
                <w:kern w:val="2"/>
                <w:sz w:val="24"/>
                <w:szCs w:val="24"/>
                <w:highlight w:val="none"/>
                <w:lang w:val="en-US" w:eastAsia="zh-CN" w:bidi="ar-SA"/>
              </w:rPr>
              <w:t>并在</w:t>
            </w:r>
            <w:r>
              <w:rPr>
                <w:rFonts w:hint="default" w:ascii="Times New Roman" w:hAnsi="Times New Roman" w:eastAsia="宋体" w:cs="Times New Roman"/>
                <w:snapToGrid/>
                <w:color w:val="auto"/>
                <w:kern w:val="2"/>
                <w:sz w:val="24"/>
                <w:szCs w:val="24"/>
                <w:highlight w:val="none"/>
                <w:lang w:val="en-US" w:eastAsia="zh-CN" w:bidi="ar-SA"/>
              </w:rPr>
              <w:t>网围栏</w:t>
            </w:r>
            <w:r>
              <w:rPr>
                <w:rFonts w:hint="eastAsia" w:cs="Times New Roman"/>
                <w:snapToGrid/>
                <w:color w:val="auto"/>
                <w:kern w:val="2"/>
                <w:sz w:val="24"/>
                <w:szCs w:val="24"/>
                <w:highlight w:val="none"/>
                <w:lang w:val="en-US" w:eastAsia="zh-CN" w:bidi="ar-SA"/>
              </w:rPr>
              <w:t>内</w:t>
            </w:r>
            <w:r>
              <w:rPr>
                <w:rFonts w:hint="default" w:ascii="Times New Roman" w:hAnsi="Times New Roman" w:eastAsia="宋体" w:cs="Times New Roman"/>
                <w:snapToGrid/>
                <w:color w:val="auto"/>
                <w:kern w:val="2"/>
                <w:sz w:val="24"/>
                <w:szCs w:val="24"/>
                <w:highlight w:val="none"/>
                <w:lang w:val="en-US" w:eastAsia="zh-CN" w:bidi="ar-SA"/>
              </w:rPr>
              <w:t>设置一处进出口。基础开挖尺寸为采用40×40×50cm，基础采用混凝土浇筑，钢立柱基础埋深0.5m，地上1.6m。共设计网围栏长度</w:t>
            </w:r>
            <w:r>
              <w:rPr>
                <w:rFonts w:hint="eastAsia" w:cs="Times New Roman"/>
                <w:snapToGrid/>
                <w:color w:val="auto"/>
                <w:kern w:val="2"/>
                <w:sz w:val="24"/>
                <w:szCs w:val="24"/>
                <w:highlight w:val="none"/>
                <w:lang w:val="en-US" w:eastAsia="zh-CN" w:bidi="ar-SA"/>
              </w:rPr>
              <w:t>为</w:t>
            </w:r>
            <w:r>
              <w:rPr>
                <w:rFonts w:hint="default" w:ascii="Times New Roman" w:hAnsi="Times New Roman" w:eastAsia="宋体" w:cs="Times New Roman"/>
                <w:snapToGrid/>
                <w:color w:val="auto"/>
                <w:kern w:val="2"/>
                <w:sz w:val="24"/>
                <w:szCs w:val="24"/>
                <w:highlight w:val="none"/>
                <w:lang w:val="en-US" w:eastAsia="zh-CN" w:bidi="ar-SA"/>
              </w:rPr>
              <w:t>1560米。</w:t>
            </w:r>
          </w:p>
          <w:p w14:paraId="29CEC949">
            <w:pPr>
              <w:pageBreakBefore w:val="0"/>
              <w:numPr>
                <w:ilvl w:val="0"/>
                <w:numId w:val="0"/>
              </w:numPr>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snapToGrid/>
                <w:color w:val="auto"/>
                <w:kern w:val="2"/>
                <w:sz w:val="24"/>
                <w:szCs w:val="24"/>
                <w:highlight w:val="none"/>
                <w:lang w:val="en-US" w:eastAsia="zh-CN" w:bidi="ar-SA"/>
              </w:rPr>
              <w:t>坝顶绿化</w:t>
            </w:r>
          </w:p>
          <w:p w14:paraId="680F1B3B">
            <w:pPr>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主体工程结束后对坝顶道路一侧进行绿化，绿化面积共计0.23hm</w:t>
            </w:r>
            <w:r>
              <w:rPr>
                <w:rFonts w:hint="default" w:ascii="Times New Roman" w:hAnsi="Times New Roman" w:eastAsia="宋体" w:cs="Times New Roman"/>
                <w:snapToGrid/>
                <w:color w:val="auto"/>
                <w:kern w:val="2"/>
                <w:sz w:val="24"/>
                <w:szCs w:val="24"/>
                <w:highlight w:val="none"/>
                <w:vertAlign w:val="superscript"/>
                <w:lang w:val="en-US" w:eastAsia="zh-CN" w:bidi="ar-SA"/>
              </w:rPr>
              <w:t>2</w:t>
            </w:r>
            <w:r>
              <w:rPr>
                <w:rFonts w:hint="default" w:ascii="Times New Roman" w:hAnsi="Times New Roman" w:eastAsia="宋体" w:cs="Times New Roman"/>
                <w:snapToGrid/>
                <w:color w:val="auto"/>
                <w:kern w:val="2"/>
                <w:sz w:val="24"/>
                <w:szCs w:val="24"/>
                <w:highlight w:val="none"/>
                <w:lang w:val="en-US" w:eastAsia="zh-CN" w:bidi="ar-SA"/>
              </w:rPr>
              <w:t>，绿化树种选择旱柳，单行种植，株距3m，共栽植旱柳370株。</w:t>
            </w:r>
          </w:p>
          <w:p w14:paraId="1C527577">
            <w:pPr>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zh-CN" w:eastAsia="zh-CN" w:bidi="ar-SA"/>
              </w:rPr>
              <w:t>立地条件：土壤为</w:t>
            </w:r>
            <w:r>
              <w:rPr>
                <w:rFonts w:hint="default" w:ascii="Times New Roman" w:hAnsi="Times New Roman" w:eastAsia="宋体" w:cs="Times New Roman"/>
                <w:snapToGrid/>
                <w:color w:val="auto"/>
                <w:kern w:val="2"/>
                <w:sz w:val="24"/>
                <w:szCs w:val="24"/>
                <w:highlight w:val="none"/>
                <w:lang w:val="en-US" w:eastAsia="zh-CN" w:bidi="ar-SA"/>
              </w:rPr>
              <w:t>风沙</w:t>
            </w:r>
            <w:r>
              <w:rPr>
                <w:rFonts w:hint="default" w:ascii="Times New Roman" w:hAnsi="Times New Roman" w:eastAsia="宋体" w:cs="Times New Roman"/>
                <w:snapToGrid/>
                <w:color w:val="auto"/>
                <w:kern w:val="2"/>
                <w:sz w:val="24"/>
                <w:szCs w:val="24"/>
                <w:highlight w:val="none"/>
                <w:lang w:val="zh-CN" w:eastAsia="zh-CN" w:bidi="ar-SA"/>
              </w:rPr>
              <w:t>土。</w:t>
            </w:r>
          </w:p>
          <w:p w14:paraId="353899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lang w:val="zh-CN" w:eastAsia="zh-CN"/>
              </w:rPr>
            </w:pPr>
            <w:r>
              <w:rPr>
                <w:rFonts w:hint="default" w:ascii="Times New Roman" w:hAnsi="Times New Roman" w:eastAsia="宋体" w:cs="Times New Roman"/>
                <w:b w:val="0"/>
                <w:bCs w:val="0"/>
                <w:color w:val="auto"/>
                <w:kern w:val="0"/>
                <w:sz w:val="21"/>
                <w:szCs w:val="21"/>
                <w:highlight w:val="none"/>
                <w:lang w:val="zh-CN" w:eastAsia="zh-CN"/>
              </w:rPr>
              <w:t>表</w:t>
            </w:r>
            <w:r>
              <w:rPr>
                <w:rFonts w:hint="eastAsia" w:ascii="Times New Roman" w:hAnsi="Times New Roman" w:eastAsia="宋体" w:cs="Times New Roman"/>
                <w:b w:val="0"/>
                <w:bCs w:val="0"/>
                <w:color w:val="auto"/>
                <w:kern w:val="0"/>
                <w:sz w:val="21"/>
                <w:szCs w:val="21"/>
                <w:highlight w:val="none"/>
                <w:lang w:val="en-US" w:eastAsia="zh-CN"/>
              </w:rPr>
              <w:t>2-</w:t>
            </w:r>
            <w:r>
              <w:rPr>
                <w:rFonts w:hint="eastAsia" w:cs="Times New Roman"/>
                <w:b w:val="0"/>
                <w:bCs w:val="0"/>
                <w:color w:val="auto"/>
                <w:kern w:val="0"/>
                <w:sz w:val="21"/>
                <w:szCs w:val="21"/>
                <w:highlight w:val="none"/>
                <w:lang w:val="en-US" w:eastAsia="zh-CN"/>
              </w:rPr>
              <w:t>6</w:t>
            </w:r>
            <w:r>
              <w:rPr>
                <w:rFonts w:hint="default" w:ascii="Times New Roman" w:hAnsi="Times New Roman" w:eastAsia="宋体" w:cs="Times New Roman"/>
                <w:b w:val="0"/>
                <w:bCs w:val="0"/>
                <w:color w:val="auto"/>
                <w:kern w:val="0"/>
                <w:sz w:val="21"/>
                <w:szCs w:val="21"/>
                <w:highlight w:val="none"/>
                <w:lang w:val="en-US" w:eastAsia="zh-CN"/>
              </w:rPr>
              <w:t xml:space="preserve"> 坝顶</w:t>
            </w:r>
            <w:r>
              <w:rPr>
                <w:rFonts w:hint="default" w:ascii="Times New Roman" w:hAnsi="Times New Roman" w:eastAsia="宋体" w:cs="Times New Roman"/>
                <w:b w:val="0"/>
                <w:bCs w:val="0"/>
                <w:color w:val="auto"/>
                <w:kern w:val="0"/>
                <w:sz w:val="21"/>
                <w:szCs w:val="21"/>
                <w:highlight w:val="none"/>
                <w:lang w:val="zh-CN" w:eastAsia="zh-CN"/>
              </w:rPr>
              <w:t>绿化技术指标表</w:t>
            </w:r>
          </w:p>
          <w:tbl>
            <w:tblPr>
              <w:tblStyle w:val="19"/>
              <w:tblW w:w="8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873"/>
              <w:gridCol w:w="818"/>
              <w:gridCol w:w="906"/>
              <w:gridCol w:w="676"/>
              <w:gridCol w:w="884"/>
              <w:gridCol w:w="1025"/>
              <w:gridCol w:w="1484"/>
              <w:gridCol w:w="611"/>
            </w:tblGrid>
            <w:tr w14:paraId="7E25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568" w:type="pct"/>
                  <w:vMerge w:val="restart"/>
                  <w:noWrap w:val="0"/>
                  <w:vAlign w:val="center"/>
                </w:tcPr>
                <w:p w14:paraId="746349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位置</w:t>
                  </w:r>
                </w:p>
              </w:tc>
              <w:tc>
                <w:tcPr>
                  <w:tcW w:w="531" w:type="pct"/>
                  <w:vMerge w:val="restart"/>
                  <w:noWrap w:val="0"/>
                  <w:vAlign w:val="center"/>
                </w:tcPr>
                <w:p w14:paraId="026740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面积（hm</w:t>
                  </w:r>
                  <w:r>
                    <w:rPr>
                      <w:rFonts w:hint="default" w:ascii="Times New Roman" w:hAnsi="Times New Roman" w:eastAsia="宋体" w:cs="Times New Roman"/>
                      <w:color w:val="auto"/>
                      <w:kern w:val="0"/>
                      <w:sz w:val="21"/>
                      <w:szCs w:val="21"/>
                      <w:highlight w:val="none"/>
                      <w:vertAlign w:val="superscript"/>
                      <w:lang w:val="zh-CN"/>
                    </w:rPr>
                    <w:t>2</w:t>
                  </w:r>
                  <w:r>
                    <w:rPr>
                      <w:rFonts w:hint="default" w:ascii="Times New Roman" w:hAnsi="Times New Roman" w:eastAsia="宋体" w:cs="Times New Roman"/>
                      <w:color w:val="auto"/>
                      <w:kern w:val="0"/>
                      <w:sz w:val="21"/>
                      <w:szCs w:val="21"/>
                      <w:highlight w:val="none"/>
                      <w:lang w:val="zh-CN"/>
                    </w:rPr>
                    <w:t>）</w:t>
                  </w:r>
                </w:p>
              </w:tc>
              <w:tc>
                <w:tcPr>
                  <w:tcW w:w="498" w:type="pct"/>
                  <w:vMerge w:val="restart"/>
                  <w:noWrap w:val="0"/>
                  <w:vAlign w:val="center"/>
                </w:tcPr>
                <w:p w14:paraId="7873D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树（草）种</w:t>
                  </w:r>
                </w:p>
              </w:tc>
              <w:tc>
                <w:tcPr>
                  <w:tcW w:w="551" w:type="pct"/>
                  <w:vMerge w:val="restart"/>
                  <w:noWrap w:val="0"/>
                  <w:vAlign w:val="center"/>
                </w:tcPr>
                <w:p w14:paraId="6C021B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栽种密度（株距m）</w:t>
                  </w:r>
                </w:p>
              </w:tc>
              <w:tc>
                <w:tcPr>
                  <w:tcW w:w="411" w:type="pct"/>
                  <w:vMerge w:val="restart"/>
                  <w:noWrap w:val="0"/>
                  <w:vAlign w:val="center"/>
                </w:tcPr>
                <w:p w14:paraId="580CB9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栽种方式</w:t>
                  </w:r>
                </w:p>
              </w:tc>
              <w:tc>
                <w:tcPr>
                  <w:tcW w:w="1162" w:type="pct"/>
                  <w:gridSpan w:val="2"/>
                  <w:noWrap w:val="0"/>
                  <w:vAlign w:val="center"/>
                </w:tcPr>
                <w:p w14:paraId="466058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苗木种子规格</w:t>
                  </w:r>
                </w:p>
              </w:tc>
              <w:tc>
                <w:tcPr>
                  <w:tcW w:w="903" w:type="pct"/>
                  <w:vMerge w:val="restart"/>
                  <w:noWrap w:val="0"/>
                  <w:vAlign w:val="center"/>
                </w:tcPr>
                <w:p w14:paraId="13682D3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栽植定额（株／穴</w:t>
                  </w:r>
                  <w:r>
                    <w:rPr>
                      <w:rFonts w:hint="default" w:ascii="Times New Roman" w:hAnsi="Times New Roman" w:eastAsia="宋体" w:cs="Times New Roman"/>
                      <w:color w:val="auto"/>
                      <w:kern w:val="0"/>
                      <w:sz w:val="21"/>
                      <w:szCs w:val="21"/>
                      <w:highlight w:val="none"/>
                    </w:rPr>
                    <w:t>kg/hm</w:t>
                  </w:r>
                  <w:r>
                    <w:rPr>
                      <w:rFonts w:hint="default" w:ascii="Times New Roman" w:hAnsi="Times New Roman" w:eastAsia="宋体" w:cs="Times New Roman"/>
                      <w:color w:val="auto"/>
                      <w:kern w:val="0"/>
                      <w:sz w:val="21"/>
                      <w:szCs w:val="21"/>
                      <w:highlight w:val="none"/>
                      <w:vertAlign w:val="superscript"/>
                    </w:rPr>
                    <w:t>2</w:t>
                  </w:r>
                  <w:r>
                    <w:rPr>
                      <w:rFonts w:hint="default" w:ascii="Times New Roman" w:hAnsi="Times New Roman" w:eastAsia="宋体" w:cs="Times New Roman"/>
                      <w:color w:val="auto"/>
                      <w:kern w:val="0"/>
                      <w:sz w:val="21"/>
                      <w:szCs w:val="21"/>
                      <w:highlight w:val="none"/>
                      <w:lang w:val="zh-CN"/>
                    </w:rPr>
                    <w:t>）</w:t>
                  </w:r>
                </w:p>
              </w:tc>
              <w:tc>
                <w:tcPr>
                  <w:tcW w:w="372" w:type="pct"/>
                  <w:vMerge w:val="restart"/>
                  <w:noWrap w:val="0"/>
                  <w:vAlign w:val="center"/>
                </w:tcPr>
                <w:p w14:paraId="17D391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用苗量</w:t>
                  </w:r>
                </w:p>
              </w:tc>
            </w:tr>
            <w:tr w14:paraId="6D8D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568" w:type="pct"/>
                  <w:vMerge w:val="continue"/>
                  <w:noWrap w:val="0"/>
                  <w:vAlign w:val="center"/>
                </w:tcPr>
                <w:p w14:paraId="59A194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p>
              </w:tc>
              <w:tc>
                <w:tcPr>
                  <w:tcW w:w="531" w:type="pct"/>
                  <w:vMerge w:val="continue"/>
                  <w:noWrap w:val="0"/>
                  <w:vAlign w:val="center"/>
                </w:tcPr>
                <w:p w14:paraId="79641F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p>
              </w:tc>
              <w:tc>
                <w:tcPr>
                  <w:tcW w:w="498" w:type="pct"/>
                  <w:vMerge w:val="continue"/>
                  <w:noWrap w:val="0"/>
                  <w:vAlign w:val="center"/>
                </w:tcPr>
                <w:p w14:paraId="20619E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p>
              </w:tc>
              <w:tc>
                <w:tcPr>
                  <w:tcW w:w="551" w:type="pct"/>
                  <w:vMerge w:val="continue"/>
                  <w:noWrap w:val="0"/>
                  <w:vAlign w:val="center"/>
                </w:tcPr>
                <w:p w14:paraId="3F18ED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p>
              </w:tc>
              <w:tc>
                <w:tcPr>
                  <w:tcW w:w="411" w:type="pct"/>
                  <w:vMerge w:val="continue"/>
                  <w:noWrap w:val="0"/>
                  <w:vAlign w:val="center"/>
                </w:tcPr>
                <w:p w14:paraId="49910D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p>
              </w:tc>
              <w:tc>
                <w:tcPr>
                  <w:tcW w:w="538" w:type="pct"/>
                  <w:noWrap w:val="0"/>
                  <w:vAlign w:val="center"/>
                </w:tcPr>
                <w:p w14:paraId="79C365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规格</w:t>
                  </w:r>
                </w:p>
              </w:tc>
              <w:tc>
                <w:tcPr>
                  <w:tcW w:w="624" w:type="pct"/>
                  <w:noWrap w:val="0"/>
                  <w:vAlign w:val="center"/>
                </w:tcPr>
                <w:p w14:paraId="01581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苗木（种子）类</w:t>
                  </w:r>
                </w:p>
              </w:tc>
              <w:tc>
                <w:tcPr>
                  <w:tcW w:w="903" w:type="pct"/>
                  <w:vMerge w:val="continue"/>
                  <w:noWrap w:val="0"/>
                  <w:vAlign w:val="center"/>
                </w:tcPr>
                <w:p w14:paraId="36F9DB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p>
              </w:tc>
              <w:tc>
                <w:tcPr>
                  <w:tcW w:w="372" w:type="pct"/>
                  <w:vMerge w:val="continue"/>
                  <w:noWrap w:val="0"/>
                  <w:vAlign w:val="center"/>
                </w:tcPr>
                <w:p w14:paraId="1368D0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p>
              </w:tc>
            </w:tr>
            <w:tr w14:paraId="4F90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atLeast"/>
              </w:trPr>
              <w:tc>
                <w:tcPr>
                  <w:tcW w:w="568" w:type="pct"/>
                  <w:noWrap w:val="0"/>
                  <w:vAlign w:val="center"/>
                </w:tcPr>
                <w:p w14:paraId="0B5829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坝顶</w:t>
                  </w:r>
                  <w:r>
                    <w:rPr>
                      <w:rFonts w:hint="default" w:ascii="Times New Roman" w:hAnsi="Times New Roman" w:eastAsia="宋体" w:cs="Times New Roman"/>
                      <w:color w:val="auto"/>
                      <w:kern w:val="0"/>
                      <w:sz w:val="21"/>
                      <w:szCs w:val="21"/>
                      <w:highlight w:val="none"/>
                    </w:rPr>
                    <w:t>道路</w:t>
                  </w:r>
                  <w:r>
                    <w:rPr>
                      <w:rFonts w:hint="default" w:ascii="Times New Roman" w:hAnsi="Times New Roman" w:eastAsia="宋体" w:cs="Times New Roman"/>
                      <w:color w:val="auto"/>
                      <w:kern w:val="0"/>
                      <w:sz w:val="21"/>
                      <w:szCs w:val="21"/>
                      <w:highlight w:val="none"/>
                      <w:lang w:val="en-US" w:eastAsia="zh-CN"/>
                    </w:rPr>
                    <w:t>一</w:t>
                  </w:r>
                  <w:r>
                    <w:rPr>
                      <w:rFonts w:hint="default" w:ascii="Times New Roman" w:hAnsi="Times New Roman" w:eastAsia="宋体" w:cs="Times New Roman"/>
                      <w:color w:val="auto"/>
                      <w:kern w:val="0"/>
                      <w:sz w:val="21"/>
                      <w:szCs w:val="21"/>
                      <w:highlight w:val="none"/>
                    </w:rPr>
                    <w:t>侧</w:t>
                  </w:r>
                </w:p>
              </w:tc>
              <w:tc>
                <w:tcPr>
                  <w:tcW w:w="531" w:type="pct"/>
                  <w:noWrap w:val="0"/>
                  <w:vAlign w:val="center"/>
                </w:tcPr>
                <w:p w14:paraId="285736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0.23</w:t>
                  </w:r>
                </w:p>
              </w:tc>
              <w:tc>
                <w:tcPr>
                  <w:tcW w:w="498" w:type="pct"/>
                  <w:noWrap w:val="0"/>
                  <w:vAlign w:val="center"/>
                </w:tcPr>
                <w:p w14:paraId="3FBB5C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eastAsia="zh-CN"/>
                    </w:rPr>
                  </w:pPr>
                  <w:r>
                    <w:rPr>
                      <w:rFonts w:hint="default" w:ascii="Times New Roman" w:hAnsi="Times New Roman" w:eastAsia="宋体" w:cs="Times New Roman"/>
                      <w:color w:val="auto"/>
                      <w:kern w:val="0"/>
                      <w:sz w:val="21"/>
                      <w:szCs w:val="21"/>
                      <w:highlight w:val="none"/>
                      <w:lang w:val="en-US" w:eastAsia="zh-CN"/>
                    </w:rPr>
                    <w:t>旱柳</w:t>
                  </w:r>
                </w:p>
              </w:tc>
              <w:tc>
                <w:tcPr>
                  <w:tcW w:w="551" w:type="pct"/>
                  <w:noWrap w:val="0"/>
                  <w:vAlign w:val="center"/>
                </w:tcPr>
                <w:p w14:paraId="750B6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w:t>
                  </w:r>
                </w:p>
              </w:tc>
              <w:tc>
                <w:tcPr>
                  <w:tcW w:w="411" w:type="pct"/>
                  <w:noWrap w:val="0"/>
                  <w:vAlign w:val="center"/>
                </w:tcPr>
                <w:p w14:paraId="30CF6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穴植</w:t>
                  </w:r>
                </w:p>
              </w:tc>
              <w:tc>
                <w:tcPr>
                  <w:tcW w:w="538" w:type="pct"/>
                  <w:noWrap w:val="0"/>
                  <w:vAlign w:val="center"/>
                </w:tcPr>
                <w:p w14:paraId="35F9E3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苗高2.5~3.5</w:t>
                  </w:r>
                </w:p>
              </w:tc>
              <w:tc>
                <w:tcPr>
                  <w:tcW w:w="624" w:type="pct"/>
                  <w:noWrap w:val="0"/>
                  <w:vAlign w:val="center"/>
                </w:tcPr>
                <w:p w14:paraId="781CF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扦插苗</w:t>
                  </w:r>
                </w:p>
              </w:tc>
              <w:tc>
                <w:tcPr>
                  <w:tcW w:w="903" w:type="pct"/>
                  <w:noWrap w:val="0"/>
                  <w:vAlign w:val="center"/>
                </w:tcPr>
                <w:p w14:paraId="0048B7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w:t>
                  </w:r>
                </w:p>
              </w:tc>
              <w:tc>
                <w:tcPr>
                  <w:tcW w:w="372" w:type="pct"/>
                  <w:noWrap w:val="0"/>
                  <w:vAlign w:val="center"/>
                </w:tcPr>
                <w:p w14:paraId="753D91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370</w:t>
                  </w:r>
                </w:p>
              </w:tc>
            </w:tr>
            <w:tr w14:paraId="01BC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568" w:type="pct"/>
                  <w:noWrap w:val="0"/>
                  <w:vAlign w:val="center"/>
                </w:tcPr>
                <w:p w14:paraId="75C92E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auto"/>
                      <w:kern w:val="0"/>
                      <w:sz w:val="21"/>
                      <w:szCs w:val="21"/>
                      <w:highlight w:val="none"/>
                      <w:lang w:val="zh-CN"/>
                    </w:rPr>
                    <w:t>合计</w:t>
                  </w:r>
                </w:p>
              </w:tc>
              <w:tc>
                <w:tcPr>
                  <w:tcW w:w="531" w:type="pct"/>
                  <w:noWrap w:val="0"/>
                  <w:vAlign w:val="center"/>
                </w:tcPr>
                <w:p w14:paraId="26917B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rPr>
                    <w:t>0.</w:t>
                  </w:r>
                  <w:r>
                    <w:rPr>
                      <w:rFonts w:hint="default" w:ascii="Times New Roman" w:hAnsi="Times New Roman" w:eastAsia="宋体" w:cs="Times New Roman"/>
                      <w:color w:val="auto"/>
                      <w:kern w:val="0"/>
                      <w:sz w:val="21"/>
                      <w:szCs w:val="21"/>
                      <w:highlight w:val="none"/>
                      <w:lang w:val="en-US" w:eastAsia="zh-CN"/>
                    </w:rPr>
                    <w:t>23</w:t>
                  </w:r>
                </w:p>
              </w:tc>
              <w:tc>
                <w:tcPr>
                  <w:tcW w:w="3899" w:type="pct"/>
                  <w:gridSpan w:val="7"/>
                  <w:noWrap w:val="0"/>
                  <w:vAlign w:val="center"/>
                </w:tcPr>
                <w:p w14:paraId="2346C5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旱柳370</w:t>
                  </w:r>
                  <w:r>
                    <w:rPr>
                      <w:rFonts w:hint="default" w:ascii="Times New Roman" w:hAnsi="Times New Roman" w:eastAsia="宋体" w:cs="Times New Roman"/>
                      <w:color w:val="auto"/>
                      <w:kern w:val="0"/>
                      <w:sz w:val="21"/>
                      <w:szCs w:val="21"/>
                      <w:highlight w:val="none"/>
                    </w:rPr>
                    <w:t>株</w:t>
                  </w:r>
                </w:p>
              </w:tc>
            </w:tr>
          </w:tbl>
          <w:p w14:paraId="58DCA62B">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napToGrid/>
                <w:color w:val="auto"/>
                <w:kern w:val="2"/>
                <w:sz w:val="24"/>
                <w:szCs w:val="24"/>
                <w:highlight w:val="none"/>
                <w:lang w:val="en-US" w:eastAsia="zh-CN" w:bidi="ar-SA"/>
              </w:rPr>
              <w:t>沙柳沙障防护</w:t>
            </w:r>
          </w:p>
          <w:p w14:paraId="6BEC53A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蓄水池外边坡防护采用1m×1m沙柳枝条扦插成网格防护，迎风侧先设主带（即与主风向垂直的沙障），后设副带（即与主风向平行的沙障），主带从迎风坡开始向上进行，背风坡宜先设副带，再自上而下设置主带。沙柳在早春土壤解冻、沙柳芽包未放开前，或秋季落叶后，选择2年生以上的枝条（直径在0.6cm以上），截成60cm长的插条，大头朝下，随剪随栽。沙柳条插入地下40cm，两侧培土，地上部分露20cm，扶正踏实，沙柳条的株距为2cm，形成沙柳沙障</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每公顷网格沙障需沙柳50000kg。沙障内撒播草籽。</w:t>
            </w:r>
          </w:p>
          <w:p w14:paraId="569F8031">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蓄水池外周边50米设置沙障防护，沙障采用网格式沙障，沙柳枝条</w:t>
            </w:r>
            <w:r>
              <w:rPr>
                <w:rFonts w:hint="eastAsia" w:cs="Times New Roman"/>
                <w:snapToGrid/>
                <w:color w:val="auto"/>
                <w:kern w:val="2"/>
                <w:sz w:val="24"/>
                <w:szCs w:val="24"/>
                <w:highlight w:val="none"/>
                <w:lang w:val="en-US" w:eastAsia="zh-CN" w:bidi="ar-SA"/>
              </w:rPr>
              <w:t>呈</w:t>
            </w:r>
            <w:r>
              <w:rPr>
                <w:rFonts w:hint="default" w:ascii="Times New Roman" w:hAnsi="Times New Roman" w:eastAsia="宋体" w:cs="Times New Roman"/>
                <w:snapToGrid/>
                <w:color w:val="auto"/>
                <w:kern w:val="2"/>
                <w:sz w:val="24"/>
                <w:szCs w:val="24"/>
                <w:highlight w:val="none"/>
                <w:lang w:val="en-US" w:eastAsia="zh-CN" w:bidi="ar-SA"/>
              </w:rPr>
              <w:t>菱形铺设，规格为2m×2m，交叉处采用草绳及扦插沙柳固定。</w:t>
            </w:r>
          </w:p>
          <w:p w14:paraId="6EC391E6">
            <w:pPr>
              <w:numPr>
                <w:ilvl w:val="0"/>
                <w:numId w:val="0"/>
              </w:num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eastAsia" w:cs="Times New Roman"/>
                <w:snapToGrid/>
                <w:color w:val="auto"/>
                <w:kern w:val="2"/>
                <w:sz w:val="24"/>
                <w:szCs w:val="24"/>
                <w:highlight w:val="none"/>
                <w:lang w:val="en-US" w:eastAsia="zh-CN" w:bidi="ar-SA"/>
              </w:rPr>
              <w:t>6.2.3</w:t>
            </w:r>
            <w:r>
              <w:rPr>
                <w:rFonts w:hint="default" w:ascii="Times New Roman" w:hAnsi="Times New Roman" w:eastAsia="宋体" w:cs="Times New Roman"/>
                <w:snapToGrid/>
                <w:color w:val="auto"/>
                <w:kern w:val="2"/>
                <w:sz w:val="24"/>
                <w:szCs w:val="24"/>
                <w:highlight w:val="none"/>
                <w:lang w:val="en-US" w:eastAsia="zh-CN" w:bidi="ar-SA"/>
              </w:rPr>
              <w:t>进水口</w:t>
            </w:r>
            <w:r>
              <w:rPr>
                <w:rFonts w:hint="eastAsia"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设计</w:t>
            </w:r>
          </w:p>
          <w:p w14:paraId="2D751C8F">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进水口消力结构采用2m*1m*0.4m铅丝石笼</w:t>
            </w:r>
            <w:r>
              <w:rPr>
                <w:rFonts w:hint="eastAsia" w:cs="Times New Roman"/>
                <w:snapToGrid/>
                <w:color w:val="auto"/>
                <w:kern w:val="2"/>
                <w:sz w:val="24"/>
                <w:szCs w:val="24"/>
                <w:highlight w:val="none"/>
                <w:lang w:val="en-US" w:eastAsia="zh-CN" w:bidi="ar-SA"/>
              </w:rPr>
              <w:t>结构，</w:t>
            </w:r>
            <w:r>
              <w:rPr>
                <w:rFonts w:hint="eastAsia" w:ascii="Times New Roman" w:hAnsi="Times New Roman" w:eastAsia="宋体" w:cs="Times New Roman"/>
                <w:snapToGrid/>
                <w:color w:val="auto"/>
                <w:kern w:val="2"/>
                <w:sz w:val="24"/>
                <w:szCs w:val="24"/>
                <w:highlight w:val="none"/>
                <w:lang w:val="en-US" w:eastAsia="zh-CN" w:bidi="ar-SA"/>
              </w:rPr>
              <w:t>消力池长18m，宽4m。</w:t>
            </w:r>
          </w:p>
          <w:p w14:paraId="49BDB74D">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（1）笼体边框铅丝外径为Ф3.5MM，网线铅丝外径为Ф2.8MM，水平拉力线、捆结线外径为Ф2.2MM。</w:t>
            </w:r>
          </w:p>
          <w:p w14:paraId="326F870B">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 xml:space="preserve">（2）镀锌量≥240g/㎡。 </w:t>
            </w:r>
          </w:p>
          <w:p w14:paraId="46BA5A8D">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（3）抗拉强度</w:t>
            </w:r>
            <w:r>
              <w:rPr>
                <w:rFonts w:hint="eastAsia" w:cs="Times New Roman"/>
                <w:snapToGrid/>
                <w:color w:val="auto"/>
                <w:kern w:val="2"/>
                <w:sz w:val="24"/>
                <w:szCs w:val="24"/>
                <w:highlight w:val="none"/>
                <w:lang w:val="en-US" w:eastAsia="zh-CN" w:bidi="ar-SA"/>
              </w:rPr>
              <w:t>应</w:t>
            </w:r>
            <w:r>
              <w:rPr>
                <w:rFonts w:hint="default" w:ascii="Times New Roman" w:hAnsi="Times New Roman" w:eastAsia="宋体" w:cs="Times New Roman"/>
                <w:snapToGrid/>
                <w:color w:val="auto"/>
                <w:kern w:val="2"/>
                <w:sz w:val="24"/>
                <w:szCs w:val="24"/>
                <w:highlight w:val="none"/>
                <w:lang w:val="en-US" w:eastAsia="zh-CN" w:bidi="ar-SA"/>
              </w:rPr>
              <w:t xml:space="preserve">不小于420MPa。 </w:t>
            </w:r>
          </w:p>
          <w:p w14:paraId="66E6074B">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w:t>
            </w:r>
            <w:r>
              <w:rPr>
                <w:rFonts w:hint="eastAsia" w:cs="Times New Roman"/>
                <w:snapToGrid/>
                <w:color w:val="auto"/>
                <w:kern w:val="2"/>
                <w:sz w:val="24"/>
                <w:szCs w:val="24"/>
                <w:highlight w:val="none"/>
                <w:lang w:val="en-US" w:eastAsia="zh-CN" w:bidi="ar-SA"/>
              </w:rPr>
              <w:t>4</w:t>
            </w:r>
            <w:r>
              <w:rPr>
                <w:rFonts w:hint="default" w:ascii="Times New Roman" w:hAnsi="Times New Roman" w:eastAsia="宋体" w:cs="Times New Roman"/>
                <w:snapToGrid/>
                <w:color w:val="auto"/>
                <w:kern w:val="2"/>
                <w:sz w:val="24"/>
                <w:szCs w:val="24"/>
                <w:highlight w:val="none"/>
                <w:lang w:val="en-US" w:eastAsia="zh-CN" w:bidi="ar-SA"/>
              </w:rPr>
              <w:t>）铅丝笼网目尺寸90×90MM 2、材料计划量 </w:t>
            </w:r>
          </w:p>
          <w:p w14:paraId="39D8B8C6">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w:t>
            </w:r>
            <w:r>
              <w:rPr>
                <w:rFonts w:hint="eastAsia" w:cs="Times New Roman"/>
                <w:snapToGrid/>
                <w:color w:val="auto"/>
                <w:kern w:val="2"/>
                <w:sz w:val="24"/>
                <w:szCs w:val="24"/>
                <w:highlight w:val="none"/>
                <w:lang w:val="en-US" w:eastAsia="zh-CN" w:bidi="ar-SA"/>
              </w:rPr>
              <w:t>5</w:t>
            </w:r>
            <w:r>
              <w:rPr>
                <w:rFonts w:hint="default" w:ascii="Times New Roman" w:hAnsi="Times New Roman" w:eastAsia="宋体" w:cs="Times New Roman"/>
                <w:snapToGrid/>
                <w:color w:val="auto"/>
                <w:kern w:val="2"/>
                <w:sz w:val="24"/>
                <w:szCs w:val="24"/>
                <w:highlight w:val="none"/>
                <w:lang w:val="en-US" w:eastAsia="zh-CN" w:bidi="ar-SA"/>
              </w:rPr>
              <w:t>）规格要求单块粒径</w:t>
            </w:r>
            <w:r>
              <w:rPr>
                <w:rFonts w:hint="eastAsia" w:cs="Times New Roman"/>
                <w:snapToGrid/>
                <w:color w:val="auto"/>
                <w:kern w:val="2"/>
                <w:sz w:val="24"/>
                <w:szCs w:val="24"/>
                <w:highlight w:val="none"/>
                <w:lang w:val="en-US" w:eastAsia="zh-CN" w:bidi="ar-SA"/>
              </w:rPr>
              <w:t>范围</w:t>
            </w:r>
            <w:r>
              <w:rPr>
                <w:rFonts w:hint="default" w:ascii="Times New Roman" w:hAnsi="Times New Roman" w:eastAsia="宋体" w:cs="Times New Roman"/>
                <w:snapToGrid/>
                <w:color w:val="auto"/>
                <w:kern w:val="2"/>
                <w:sz w:val="24"/>
                <w:szCs w:val="24"/>
                <w:highlight w:val="none"/>
                <w:lang w:val="en-US" w:eastAsia="zh-CN" w:bidi="ar-SA"/>
              </w:rPr>
              <w:t>为100MM－200MM。 </w:t>
            </w:r>
          </w:p>
          <w:p w14:paraId="3B7A93F3">
            <w:pPr>
              <w:spacing w:line="360" w:lineRule="auto"/>
              <w:ind w:firstLine="480" w:firstLineChars="200"/>
              <w:jc w:val="both"/>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w:t>
            </w:r>
            <w:r>
              <w:rPr>
                <w:rFonts w:hint="eastAsia" w:cs="Times New Roman"/>
                <w:snapToGrid/>
                <w:color w:val="auto"/>
                <w:kern w:val="2"/>
                <w:sz w:val="24"/>
                <w:szCs w:val="24"/>
                <w:highlight w:val="none"/>
                <w:lang w:val="en-US" w:eastAsia="zh-CN" w:bidi="ar-SA"/>
              </w:rPr>
              <w:t>6</w:t>
            </w:r>
            <w:r>
              <w:rPr>
                <w:rFonts w:hint="default" w:ascii="Times New Roman" w:hAnsi="Times New Roman" w:eastAsia="宋体" w:cs="Times New Roman"/>
                <w:snapToGrid/>
                <w:color w:val="auto"/>
                <w:kern w:val="2"/>
                <w:sz w:val="24"/>
                <w:szCs w:val="24"/>
                <w:highlight w:val="none"/>
                <w:lang w:val="en-US" w:eastAsia="zh-CN" w:bidi="ar-SA"/>
              </w:rPr>
              <w:t>）毛石应坚实新鲜，无风化剥落层或裂纹，石材表面无污垢、水锈等杂质，严禁使用风化石、垃圾石。</w:t>
            </w:r>
          </w:p>
          <w:p w14:paraId="2D1BF55E">
            <w:pPr>
              <w:pStyle w:val="28"/>
              <w:keepNext w:val="0"/>
              <w:keepLines w:val="0"/>
              <w:pageBreakBefore w:val="0"/>
              <w:widowControl w:val="0"/>
              <w:kinsoku/>
              <w:wordWrap/>
              <w:overflowPunct/>
              <w:topLinePunct w:val="0"/>
              <w:autoSpaceDE/>
              <w:autoSpaceDN/>
              <w:bidi w:val="0"/>
              <w:adjustRightInd/>
              <w:snapToGrid w:val="0"/>
              <w:jc w:val="both"/>
              <w:textAlignment w:val="auto"/>
              <w:rPr>
                <w:rFonts w:hint="default" w:cs="Times New Roman"/>
                <w:color w:val="000000" w:themeColor="text1"/>
                <w:sz w:val="24"/>
                <w:szCs w:val="24"/>
                <w:highlight w:val="none"/>
                <w:lang w:val="en-US" w:eastAsia="zh-CN"/>
                <w14:textFill>
                  <w14:solidFill>
                    <w14:schemeClr w14:val="tx1"/>
                  </w14:solidFill>
                </w14:textFill>
              </w:rPr>
            </w:pPr>
          </w:p>
        </w:tc>
      </w:tr>
      <w:tr w14:paraId="32589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710" w:type="dxa"/>
            <w:noWrap w:val="0"/>
            <w:vAlign w:val="center"/>
          </w:tcPr>
          <w:p w14:paraId="2F879CC2">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总平面及现场布置</w:t>
            </w:r>
          </w:p>
        </w:tc>
        <w:tc>
          <w:tcPr>
            <w:tcW w:w="8380" w:type="dxa"/>
            <w:noWrap w:val="0"/>
            <w:vAlign w:val="center"/>
          </w:tcPr>
          <w:p w14:paraId="3C12385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一、总平面布置</w:t>
            </w:r>
          </w:p>
          <w:p w14:paraId="4D89269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项目区位于黄河以南，</w:t>
            </w:r>
            <w:r>
              <w:rPr>
                <w:rFonts w:hint="eastAsia" w:cs="Times New Roman"/>
                <w:sz w:val="24"/>
                <w:szCs w:val="24"/>
                <w:highlight w:val="none"/>
                <w:lang w:val="en-US" w:eastAsia="zh-CN"/>
              </w:rPr>
              <w:t>库布齐</w:t>
            </w:r>
            <w:r>
              <w:rPr>
                <w:rFonts w:hint="default" w:ascii="Times New Roman" w:hAnsi="Times New Roman" w:eastAsia="宋体" w:cs="Times New Roman"/>
                <w:sz w:val="24"/>
                <w:szCs w:val="24"/>
                <w:highlight w:val="none"/>
                <w:lang w:val="en-US" w:eastAsia="zh-CN"/>
              </w:rPr>
              <w:t>沙漠西北部，</w:t>
            </w:r>
            <w:r>
              <w:rPr>
                <w:rFonts w:hint="default" w:ascii="Times New Roman" w:hAnsi="Times New Roman" w:eastAsia="宋体" w:cs="Times New Roman"/>
                <w:color w:val="000000"/>
                <w:sz w:val="24"/>
                <w:szCs w:val="24"/>
                <w:highlight w:val="none"/>
              </w:rPr>
              <w:t>具体位于</w:t>
            </w:r>
            <w:r>
              <w:rPr>
                <w:rFonts w:hint="default" w:ascii="Times New Roman" w:hAnsi="Times New Roman" w:eastAsia="宋体" w:cs="Times New Roman"/>
                <w:color w:val="000000"/>
                <w:sz w:val="24"/>
                <w:szCs w:val="24"/>
                <w:highlight w:val="none"/>
                <w:lang w:eastAsia="zh-CN"/>
              </w:rPr>
              <w:t>朔方新能源大基地</w:t>
            </w:r>
            <w:r>
              <w:rPr>
                <w:rFonts w:hint="default" w:ascii="Times New Roman" w:hAnsi="Times New Roman" w:eastAsia="宋体" w:cs="Times New Roman"/>
                <w:color w:val="000000"/>
                <w:sz w:val="24"/>
                <w:szCs w:val="24"/>
                <w:highlight w:val="none"/>
              </w:rPr>
              <w:t>内</w:t>
            </w:r>
            <w:r>
              <w:rPr>
                <w:rFonts w:hint="eastAsia" w:cs="Times New Roman"/>
                <w:color w:val="000000"/>
                <w:sz w:val="24"/>
                <w:szCs w:val="24"/>
                <w:highlight w:val="none"/>
                <w:lang w:eastAsia="zh-CN"/>
              </w:rPr>
              <w:t>。</w:t>
            </w:r>
            <w:r>
              <w:rPr>
                <w:rFonts w:hint="default" w:ascii="Times New Roman" w:hAnsi="Times New Roman" w:eastAsia="宋体" w:cs="Times New Roman"/>
                <w:color w:val="auto"/>
                <w:sz w:val="24"/>
                <w:szCs w:val="24"/>
                <w:highlight w:val="none"/>
                <w:lang w:eastAsia="zh-CN"/>
              </w:rPr>
              <w:t>本工程新建</w:t>
            </w:r>
            <w:r>
              <w:rPr>
                <w:rFonts w:hint="default" w:ascii="Times New Roman" w:hAnsi="Times New Roman" w:eastAsia="宋体" w:cs="Times New Roman"/>
                <w:sz w:val="24"/>
                <w:szCs w:val="24"/>
                <w:highlight w:val="none"/>
                <w:lang w:val="en-US" w:eastAsia="zh-CN"/>
              </w:rPr>
              <w:t>DN800输水管线，全长5.6公里</w:t>
            </w:r>
            <w:r>
              <w:rPr>
                <w:rFonts w:hint="eastAsia" w:cs="Times New Roman"/>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本工程</w:t>
            </w:r>
            <w:r>
              <w:rPr>
                <w:rFonts w:hint="default" w:ascii="Times New Roman" w:hAnsi="Times New Roman" w:eastAsia="宋体" w:cs="Times New Roman"/>
                <w:snapToGrid w:val="0"/>
                <w:color w:val="auto"/>
                <w:sz w:val="24"/>
                <w:szCs w:val="24"/>
                <w:highlight w:val="none"/>
                <w:lang w:val="en-US" w:eastAsia="zh-CN" w:bidi="ar-SA"/>
              </w:rPr>
              <w:t>新建输水管线</w:t>
            </w:r>
            <w:r>
              <w:rPr>
                <w:rFonts w:hint="default" w:ascii="Times New Roman" w:hAnsi="Times New Roman" w:eastAsia="宋体" w:cs="Times New Roman"/>
                <w:color w:val="auto"/>
                <w:sz w:val="24"/>
                <w:szCs w:val="24"/>
                <w:highlight w:val="none"/>
                <w:lang w:eastAsia="zh-CN"/>
              </w:rPr>
              <w:t>与</w:t>
            </w:r>
            <w:r>
              <w:rPr>
                <w:rFonts w:hint="default" w:ascii="Times New Roman" w:hAnsi="Times New Roman" w:eastAsia="宋体" w:cs="Times New Roman"/>
                <w:snapToGrid w:val="0"/>
                <w:color w:val="auto"/>
                <w:sz w:val="24"/>
                <w:szCs w:val="24"/>
                <w:highlight w:val="none"/>
                <w:lang w:val="en-US" w:eastAsia="zh-CN" w:bidi="ar-SA"/>
              </w:rPr>
              <w:t>《</w:t>
            </w:r>
            <w:r>
              <w:rPr>
                <w:rFonts w:hint="eastAsia" w:cs="Times New Roman"/>
                <w:snapToGrid w:val="0"/>
                <w:color w:val="auto"/>
                <w:sz w:val="24"/>
                <w:szCs w:val="24"/>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4"/>
                <w:szCs w:val="24"/>
                <w:highlight w:val="none"/>
                <w:lang w:val="en-US" w:eastAsia="zh-CN" w:bidi="ar-SA"/>
              </w:rPr>
              <w:t>》已建输水管道相接，引排干水至本项目蓄水池</w:t>
            </w:r>
            <w:r>
              <w:rPr>
                <w:rFonts w:hint="default" w:ascii="Times New Roman" w:hAnsi="Times New Roman" w:eastAsia="宋体" w:cs="Times New Roman"/>
                <w:bCs/>
                <w:color w:val="auto"/>
                <w:kern w:val="2"/>
                <w:sz w:val="24"/>
                <w:szCs w:val="24"/>
                <w:highlight w:val="none"/>
                <w:lang w:val="en-US" w:eastAsia="zh-CN" w:bidi="ar-SA"/>
              </w:rPr>
              <w:t>。</w:t>
            </w:r>
          </w:p>
          <w:p w14:paraId="57B131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工程总平面布置图见附图</w:t>
            </w: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w:t>
            </w:r>
          </w:p>
          <w:p w14:paraId="28B05B7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二、现场布置</w:t>
            </w:r>
          </w:p>
          <w:p w14:paraId="0780F6A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 xml:space="preserve">施工交通布置 </w:t>
            </w:r>
          </w:p>
          <w:p w14:paraId="7E700E4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highlight w:val="none"/>
                <w:lang w:val="en-US" w:eastAsia="zh-CN" w:bidi="ar"/>
              </w:rPr>
            </w:pPr>
            <w:r>
              <w:rPr>
                <w:rFonts w:hint="default" w:ascii="宋体" w:hAnsi="宋体" w:eastAsia="宋体" w:cs="宋体"/>
                <w:color w:val="000000"/>
                <w:kern w:val="0"/>
                <w:sz w:val="24"/>
                <w:szCs w:val="24"/>
                <w:highlight w:val="none"/>
                <w:lang w:val="en-US" w:eastAsia="zh-CN" w:bidi="ar"/>
              </w:rPr>
              <w:t>施工道路：施工道路主要依靠现有交通道路</w:t>
            </w:r>
            <w:r>
              <w:rPr>
                <w:rFonts w:hint="eastAsia" w:ascii="宋体" w:hAnsi="宋体" w:cs="宋体"/>
                <w:color w:val="000000"/>
                <w:kern w:val="0"/>
                <w:sz w:val="24"/>
                <w:szCs w:val="24"/>
                <w:highlight w:val="none"/>
                <w:lang w:val="en-US" w:eastAsia="zh-CN" w:bidi="ar"/>
              </w:rPr>
              <w:t>，</w:t>
            </w:r>
            <w:r>
              <w:rPr>
                <w:rFonts w:hint="default" w:ascii="宋体" w:hAnsi="宋体" w:eastAsia="宋体" w:cs="宋体"/>
                <w:color w:val="000000"/>
                <w:kern w:val="0"/>
                <w:sz w:val="24"/>
                <w:szCs w:val="24"/>
                <w:highlight w:val="none"/>
                <w:lang w:val="en-US" w:eastAsia="zh-CN" w:bidi="ar"/>
              </w:rPr>
              <w:t>项目区对外交通可通过乡村道路与公路相通；</w:t>
            </w:r>
            <w:r>
              <w:rPr>
                <w:rFonts w:hint="eastAsia"/>
                <w:kern w:val="0"/>
                <w:sz w:val="24"/>
                <w:highlight w:val="none"/>
              </w:rPr>
              <w:t>蓄水池施工道路利用坝顶砂石路</w:t>
            </w:r>
            <w:r>
              <w:rPr>
                <w:rFonts w:hint="eastAsia"/>
                <w:kern w:val="0"/>
                <w:sz w:val="24"/>
                <w:highlight w:val="none"/>
                <w:lang w:eastAsia="zh-CN"/>
              </w:rPr>
              <w:t>，不新建施工便道</w:t>
            </w:r>
            <w:r>
              <w:rPr>
                <w:rFonts w:hint="default" w:ascii="宋体" w:hAnsi="宋体" w:eastAsia="宋体" w:cs="宋体"/>
                <w:color w:val="000000"/>
                <w:kern w:val="0"/>
                <w:sz w:val="24"/>
                <w:szCs w:val="24"/>
                <w:highlight w:val="none"/>
                <w:lang w:val="en-US" w:eastAsia="zh-CN" w:bidi="ar"/>
              </w:rPr>
              <w:t>。</w:t>
            </w:r>
          </w:p>
          <w:p w14:paraId="4F23E394">
            <w:pPr>
              <w:pStyle w:val="8"/>
              <w:pageBreakBefore w:val="0"/>
              <w:widowControl w:val="0"/>
              <w:kinsoku/>
              <w:wordWrap/>
              <w:overflowPunct/>
              <w:topLinePunct w:val="0"/>
              <w:autoSpaceDE/>
              <w:autoSpaceDN/>
              <w:bidi w:val="0"/>
              <w:adjustRightInd/>
              <w:spacing w:before="0" w:after="0" w:line="360" w:lineRule="auto"/>
              <w:ind w:firstLine="480" w:firstLineChars="200"/>
              <w:jc w:val="both"/>
              <w:textAlignment w:val="auto"/>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2</w:t>
            </w:r>
            <w:r>
              <w:rPr>
                <w:rFonts w:hint="eastAsia" w:ascii="Times New Roman" w:cs="Times New Roman"/>
                <w:b w:val="0"/>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施工供水、供电</w:t>
            </w:r>
          </w:p>
          <w:p w14:paraId="491E2785">
            <w:pPr>
              <w:pStyle w:val="28"/>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cs="Times New Roman"/>
                <w:b w:val="0"/>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施工供水</w:t>
            </w:r>
          </w:p>
          <w:p w14:paraId="157867DE">
            <w:pPr>
              <w:pStyle w:val="1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施工用水包括生产用水和生活用水，生产用水和生活用水可从附近村庄有井可拉水。</w:t>
            </w:r>
          </w:p>
          <w:p w14:paraId="07712608">
            <w:pPr>
              <w:pStyle w:val="28"/>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cs="Times New Roman"/>
                <w:b w:val="0"/>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r>
              <w:rPr>
                <w:rFonts w:hint="eastAsia" w:cs="Times New Roman"/>
                <w:b w:val="0"/>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施工供电</w:t>
            </w:r>
          </w:p>
          <w:p w14:paraId="0C9643E6">
            <w:pPr>
              <w:pStyle w:val="28"/>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b w:val="0"/>
                <w:bCs/>
                <w:color w:val="000000" w:themeColor="text1"/>
                <w:sz w:val="24"/>
                <w:szCs w:val="24"/>
                <w:highlight w:val="none"/>
                <w:lang w:eastAsia="zh-CN"/>
                <w14:textFill>
                  <w14:solidFill>
                    <w14:schemeClr w14:val="tx1"/>
                  </w14:solidFill>
                </w14:textFill>
              </w:rPr>
              <w:t>附近</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村庄有10kv输电线路供电，施工</w:t>
            </w:r>
            <w:r>
              <w:rPr>
                <w:rFonts w:hint="eastAsia" w:cs="Times New Roman"/>
                <w:b w:val="0"/>
                <w:bCs/>
                <w:color w:val="000000" w:themeColor="text1"/>
                <w:sz w:val="24"/>
                <w:szCs w:val="24"/>
                <w:highlight w:val="none"/>
                <w:lang w:eastAsia="zh-CN"/>
                <w14:textFill>
                  <w14:solidFill>
                    <w14:schemeClr w14:val="tx1"/>
                  </w14:solidFill>
                </w14:textFill>
              </w:rPr>
              <w:t>用电</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从村庄引接即可满足用电要求。</w:t>
            </w:r>
          </w:p>
          <w:p w14:paraId="2597FB47">
            <w:pPr>
              <w:pStyle w:val="28"/>
              <w:pageBreakBefore w:val="0"/>
              <w:widowControl w:val="0"/>
              <w:kinsoku/>
              <w:wordWrap/>
              <w:overflowPunct/>
              <w:topLinePunct w:val="0"/>
              <w:autoSpaceDE/>
              <w:autoSpaceDN/>
              <w:bidi w:val="0"/>
              <w:adjustRightInd/>
              <w:spacing w:line="360" w:lineRule="auto"/>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.临时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工程布置</w:t>
            </w:r>
          </w:p>
          <w:p w14:paraId="580A73D9">
            <w:pPr>
              <w:pStyle w:val="28"/>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w:t>
            </w:r>
            <w:r>
              <w:rPr>
                <w:rFonts w:hint="eastAsia" w:cs="Times New Roman"/>
                <w:color w:val="000000" w:themeColor="text1"/>
                <w:sz w:val="24"/>
                <w:szCs w:val="24"/>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4"/>
                <w:szCs w:val="24"/>
                <w:highlight w:val="none"/>
                <w14:textFill>
                  <w14:solidFill>
                    <w14:schemeClr w14:val="tx1"/>
                  </w14:solidFill>
                </w14:textFill>
              </w:rPr>
              <w:t>生活区</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本工程</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设置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w:t>
            </w:r>
            <w:r>
              <w:rPr>
                <w:rFonts w:hint="eastAsia" w:cs="Times New Roman"/>
                <w:color w:val="000000" w:themeColor="text1"/>
                <w:sz w:val="24"/>
                <w:szCs w:val="24"/>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生活区，布置在</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蓄水池工程占地范围内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空地</w:t>
            </w:r>
            <w:r>
              <w:rPr>
                <w:rFonts w:hint="default" w:ascii="Times New Roman" w:hAnsi="Times New Roman" w:eastAsia="宋体" w:cs="Times New Roman"/>
                <w:color w:val="000000" w:themeColor="text1"/>
                <w:sz w:val="24"/>
                <w:szCs w:val="24"/>
                <w:highlight w:val="none"/>
                <w14:textFill>
                  <w14:solidFill>
                    <w14:schemeClr w14:val="tx1"/>
                  </w14:solidFill>
                </w14:textFill>
              </w:rPr>
              <w:t>内</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施工</w:t>
            </w:r>
            <w:r>
              <w:rPr>
                <w:rFonts w:hint="eastAsia" w:cs="Times New Roman"/>
                <w:color w:val="000000" w:themeColor="text1"/>
                <w:sz w:val="24"/>
                <w:szCs w:val="24"/>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4"/>
                <w:szCs w:val="24"/>
                <w:highlight w:val="none"/>
                <w14:textFill>
                  <w14:solidFill>
                    <w14:schemeClr w14:val="tx1"/>
                  </w14:solidFill>
                </w14:textFill>
              </w:rPr>
              <w:t>生活区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总面积为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。施工生活用房以搭建板房为主。施工生活生产区位于</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蓄水池工程</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占地范围内，不新增临时占地。</w:t>
            </w:r>
          </w:p>
          <w:p w14:paraId="3D738410">
            <w:pPr>
              <w:pStyle w:val="28"/>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弃土场</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不设置弃土场。多余土方</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送到朔方大基地用于场地平整</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697339C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snapToGrid/>
                <w:color w:val="auto"/>
                <w:kern w:val="2"/>
                <w:sz w:val="24"/>
                <w:szCs w:val="24"/>
                <w:highlight w:val="none"/>
                <w:lang w:val="en-US" w:eastAsia="zh-CN"/>
              </w:rPr>
            </w:pPr>
            <w:r>
              <w:rPr>
                <w:rFonts w:hint="eastAsia" w:cs="Times New Roman"/>
                <w:snapToGrid/>
                <w:color w:val="auto"/>
                <w:kern w:val="2"/>
                <w:sz w:val="24"/>
                <w:szCs w:val="24"/>
                <w:highlight w:val="none"/>
                <w:lang w:eastAsia="zh-CN"/>
              </w:rPr>
              <w:t>临时仓库：临时仓库包括露天堆场和室内仓库。设置</w:t>
            </w:r>
            <w:r>
              <w:rPr>
                <w:rFonts w:hint="eastAsia" w:cs="Times New Roman"/>
                <w:snapToGrid/>
                <w:color w:val="auto"/>
                <w:kern w:val="2"/>
                <w:sz w:val="24"/>
                <w:szCs w:val="24"/>
                <w:highlight w:val="none"/>
                <w:lang w:val="en-US" w:eastAsia="zh-CN"/>
              </w:rPr>
              <w:t>1处临时</w:t>
            </w:r>
            <w:r>
              <w:rPr>
                <w:rFonts w:hint="eastAsia" w:cs="Times New Roman"/>
                <w:snapToGrid/>
                <w:color w:val="auto"/>
                <w:kern w:val="2"/>
                <w:sz w:val="24"/>
                <w:szCs w:val="24"/>
                <w:highlight w:val="none"/>
                <w:lang w:eastAsia="zh-CN"/>
              </w:rPr>
              <w:t>露天堆场</w:t>
            </w:r>
            <w:r>
              <w:rPr>
                <w:rFonts w:hint="eastAsia" w:cs="Times New Roman"/>
                <w:snapToGrid/>
                <w:color w:val="auto"/>
                <w:kern w:val="2"/>
                <w:sz w:val="24"/>
                <w:szCs w:val="24"/>
                <w:highlight w:val="none"/>
                <w:lang w:val="en-US" w:eastAsia="zh-CN"/>
              </w:rPr>
              <w:t>，</w:t>
            </w:r>
            <w:r>
              <w:rPr>
                <w:rFonts w:hint="default" w:ascii="Times New Roman" w:hAnsi="Times New Roman" w:cs="Times New Roman"/>
                <w:snapToGrid/>
                <w:color w:val="auto"/>
                <w:kern w:val="2"/>
                <w:sz w:val="24"/>
                <w:szCs w:val="24"/>
                <w:highlight w:val="none"/>
              </w:rPr>
              <w:t>主要存放砂石骨料和临时堆存土料，占地面积为100m</w:t>
            </w:r>
            <w:r>
              <w:rPr>
                <w:rFonts w:hint="default" w:ascii="Times New Roman" w:hAnsi="Times New Roman" w:cs="Times New Roman"/>
                <w:snapToGrid/>
                <w:color w:val="auto"/>
                <w:kern w:val="2"/>
                <w:sz w:val="24"/>
                <w:szCs w:val="24"/>
                <w:highlight w:val="none"/>
                <w:vertAlign w:val="superscript"/>
              </w:rPr>
              <w:t>2</w:t>
            </w:r>
            <w:r>
              <w:rPr>
                <w:rFonts w:hint="default" w:ascii="Times New Roman" w:hAnsi="Times New Roman" w:cs="Times New Roman"/>
                <w:snapToGrid/>
                <w:color w:val="auto"/>
                <w:kern w:val="2"/>
                <w:sz w:val="24"/>
                <w:szCs w:val="24"/>
                <w:highlight w:val="none"/>
              </w:rPr>
              <w:t>。本工程所用</w:t>
            </w:r>
            <w:r>
              <w:rPr>
                <w:rFonts w:hint="eastAsia" w:cs="Times New Roman"/>
                <w:snapToGrid/>
                <w:color w:val="auto"/>
                <w:kern w:val="2"/>
                <w:sz w:val="24"/>
                <w:szCs w:val="24"/>
                <w:highlight w:val="none"/>
                <w:lang w:eastAsia="zh-CN"/>
              </w:rPr>
              <w:t>天然</w:t>
            </w:r>
            <w:r>
              <w:rPr>
                <w:rFonts w:hint="default" w:ascii="Times New Roman" w:hAnsi="Times New Roman" w:cs="Times New Roman"/>
                <w:snapToGrid/>
                <w:color w:val="auto"/>
                <w:kern w:val="2"/>
                <w:sz w:val="24"/>
                <w:szCs w:val="24"/>
                <w:highlight w:val="none"/>
              </w:rPr>
              <w:t>建筑材料，主要为土料、砂砾垫层料、碎石料和块石料，从巴彦淖尔市乌拉</w:t>
            </w:r>
            <w:r>
              <w:rPr>
                <w:rFonts w:hint="default" w:ascii="Times New Roman" w:hAnsi="Times New Roman" w:cs="Times New Roman"/>
                <w:snapToGrid/>
                <w:color w:val="auto"/>
                <w:kern w:val="2"/>
                <w:sz w:val="24"/>
                <w:szCs w:val="24"/>
                <w:highlight w:val="none"/>
                <w:lang w:val="en-US" w:eastAsia="zh-CN"/>
              </w:rPr>
              <w:t>前</w:t>
            </w:r>
            <w:r>
              <w:rPr>
                <w:rFonts w:hint="default" w:ascii="Times New Roman" w:hAnsi="Times New Roman" w:cs="Times New Roman"/>
                <w:snapToGrid/>
                <w:color w:val="auto"/>
                <w:kern w:val="2"/>
                <w:sz w:val="24"/>
                <w:szCs w:val="24"/>
                <w:highlight w:val="none"/>
              </w:rPr>
              <w:t>旗购买，运距约180km</w:t>
            </w:r>
            <w:r>
              <w:rPr>
                <w:rFonts w:hint="eastAsia" w:cs="Times New Roman"/>
                <w:snapToGrid/>
                <w:color w:val="auto"/>
                <w:kern w:val="2"/>
                <w:sz w:val="24"/>
                <w:szCs w:val="24"/>
                <w:highlight w:val="none"/>
                <w:lang w:eastAsia="zh-CN"/>
              </w:rPr>
              <w:t>，经S315和S316省道及乡村道路运输到工地</w:t>
            </w:r>
            <w:r>
              <w:rPr>
                <w:rFonts w:hint="default" w:ascii="Times New Roman" w:hAnsi="Times New Roman" w:cs="Times New Roman"/>
                <w:snapToGrid/>
                <w:color w:val="auto"/>
                <w:kern w:val="2"/>
                <w:sz w:val="24"/>
                <w:szCs w:val="24"/>
                <w:highlight w:val="none"/>
                <w:lang w:eastAsia="zh-CN"/>
              </w:rPr>
              <w:t>。</w:t>
            </w:r>
            <w:r>
              <w:rPr>
                <w:rFonts w:hint="eastAsia" w:cs="Times New Roman"/>
                <w:snapToGrid/>
                <w:color w:val="auto"/>
                <w:kern w:val="2"/>
                <w:sz w:val="24"/>
                <w:szCs w:val="24"/>
                <w:highlight w:val="none"/>
                <w:lang w:eastAsia="zh-CN"/>
              </w:rPr>
              <w:t>临时室内仓库主要存放小型施工机械等。本工程设置临时室内仓库建筑面积为100m</w:t>
            </w:r>
            <w:r>
              <w:rPr>
                <w:rFonts w:hint="eastAsia" w:cs="Times New Roman"/>
                <w:snapToGrid/>
                <w:color w:val="auto"/>
                <w:kern w:val="2"/>
                <w:sz w:val="24"/>
                <w:szCs w:val="24"/>
                <w:highlight w:val="none"/>
                <w:vertAlign w:val="superscript"/>
                <w:lang w:eastAsia="zh-CN"/>
              </w:rPr>
              <w:t>2</w:t>
            </w:r>
            <w:r>
              <w:rPr>
                <w:rFonts w:hint="eastAsia" w:cs="Times New Roman"/>
                <w:snapToGrid/>
                <w:color w:val="auto"/>
                <w:kern w:val="2"/>
                <w:sz w:val="24"/>
                <w:szCs w:val="24"/>
                <w:highlight w:val="none"/>
                <w:lang w:eastAsia="zh-CN"/>
              </w:rPr>
              <w:t>，占地面积为100m</w:t>
            </w:r>
            <w:r>
              <w:rPr>
                <w:rFonts w:hint="eastAsia" w:cs="Times New Roman"/>
                <w:snapToGrid/>
                <w:color w:val="auto"/>
                <w:kern w:val="2"/>
                <w:sz w:val="24"/>
                <w:szCs w:val="24"/>
                <w:highlight w:val="none"/>
                <w:vertAlign w:val="superscript"/>
                <w:lang w:eastAsia="zh-CN"/>
              </w:rPr>
              <w:t>2</w:t>
            </w:r>
            <w:r>
              <w:rPr>
                <w:rFonts w:hint="eastAsia" w:cs="Times New Roman"/>
                <w:snapToGrid/>
                <w:color w:val="auto"/>
                <w:kern w:val="2"/>
                <w:sz w:val="24"/>
                <w:szCs w:val="24"/>
                <w:highlight w:val="none"/>
                <w:lang w:eastAsia="zh-CN"/>
              </w:rPr>
              <w:t>。临时仓库</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位于</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蓄水池工程</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占地范围内，不新增临时占地。</w:t>
            </w:r>
          </w:p>
        </w:tc>
      </w:tr>
      <w:tr w14:paraId="682CF2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57" w:hRule="atLeast"/>
        </w:trPr>
        <w:tc>
          <w:tcPr>
            <w:tcW w:w="710" w:type="dxa"/>
            <w:noWrap w:val="0"/>
            <w:vAlign w:val="center"/>
          </w:tcPr>
          <w:p w14:paraId="105CDB59">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施工方案</w:t>
            </w:r>
          </w:p>
        </w:tc>
        <w:tc>
          <w:tcPr>
            <w:tcW w:w="8380" w:type="dxa"/>
            <w:noWrap w:val="0"/>
            <w:vAlign w:val="center"/>
          </w:tcPr>
          <w:p w14:paraId="439C7FC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highlight w:val="none"/>
              </w:rPr>
            </w:pPr>
            <w:r>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一、</w:t>
            </w:r>
            <w:r>
              <w:rPr>
                <w:rFonts w:hint="eastAsia" w:ascii="宋体" w:hAnsi="宋体" w:eastAsia="宋体" w:cs="宋体"/>
                <w:b/>
                <w:bCs/>
                <w:color w:val="000000"/>
                <w:kern w:val="0"/>
                <w:sz w:val="24"/>
                <w:szCs w:val="24"/>
                <w:highlight w:val="none"/>
                <w:lang w:val="en-US" w:eastAsia="zh-CN" w:bidi="ar"/>
              </w:rPr>
              <w:t xml:space="preserve">施工时序 </w:t>
            </w:r>
          </w:p>
          <w:p w14:paraId="6549644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ascii="宋体" w:hAnsi="宋体" w:eastAsia="宋体" w:cs="宋体"/>
                <w:color w:val="000000"/>
                <w:kern w:val="0"/>
                <w:sz w:val="24"/>
                <w:szCs w:val="24"/>
                <w:highlight w:val="none"/>
                <w:lang w:val="en-US" w:eastAsia="zh-CN" w:bidi="ar"/>
              </w:rPr>
              <w:t>工</w:t>
            </w:r>
            <w:r>
              <w:rPr>
                <w:rFonts w:hint="default" w:ascii="Times New Roman" w:hAnsi="Times New Roman" w:eastAsia="宋体" w:cs="Times New Roman"/>
                <w:color w:val="000000"/>
                <w:kern w:val="0"/>
                <w:sz w:val="24"/>
                <w:szCs w:val="24"/>
                <w:highlight w:val="none"/>
                <w:lang w:val="en-US" w:eastAsia="zh-CN" w:bidi="ar"/>
              </w:rPr>
              <w:t>程施工大体分为三个阶段：工程准备期、主体工程施工期、工程完建期。</w:t>
            </w:r>
          </w:p>
          <w:p w14:paraId="00A50F4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
              </w:rPr>
              <w:t>工程准备期具体内容为：</w:t>
            </w:r>
            <w:r>
              <w:rPr>
                <w:rFonts w:hint="default" w:ascii="Times New Roman" w:hAnsi="Times New Roman" w:eastAsia="宋体" w:cs="Times New Roman"/>
                <w:snapToGrid/>
                <w:color w:val="auto"/>
                <w:kern w:val="2"/>
                <w:sz w:val="24"/>
                <w:szCs w:val="24"/>
                <w:highlight w:val="none"/>
                <w:lang w:val="en-US" w:eastAsia="zh-CN" w:bidi="ar-SA"/>
              </w:rPr>
              <w:t>施工准备</w:t>
            </w:r>
            <w:r>
              <w:rPr>
                <w:rFonts w:hint="eastAsia" w:cs="Times New Roman"/>
                <w:snapToGrid/>
                <w:color w:val="auto"/>
                <w:kern w:val="2"/>
                <w:sz w:val="24"/>
                <w:szCs w:val="24"/>
                <w:highlight w:val="none"/>
                <w:lang w:val="en-US" w:eastAsia="zh-CN" w:bidi="ar-SA"/>
              </w:rPr>
              <w:t>期</w:t>
            </w:r>
            <w:r>
              <w:rPr>
                <w:rFonts w:hint="default" w:ascii="Times New Roman" w:hAnsi="Times New Roman" w:eastAsia="宋体" w:cs="Times New Roman"/>
                <w:snapToGrid/>
                <w:color w:val="auto"/>
                <w:kern w:val="2"/>
                <w:sz w:val="24"/>
                <w:szCs w:val="24"/>
                <w:highlight w:val="none"/>
                <w:lang w:val="en-US" w:eastAsia="zh-CN" w:bidi="ar-SA"/>
              </w:rPr>
              <w:t>为项目施工作准备</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主要是指“三通一平”施工</w:t>
            </w:r>
            <w:r>
              <w:rPr>
                <w:rFonts w:hint="eastAsia" w:cs="Times New Roman"/>
                <w:snapToGrid/>
                <w:color w:val="auto"/>
                <w:kern w:val="2"/>
                <w:sz w:val="24"/>
                <w:szCs w:val="24"/>
                <w:highlight w:val="none"/>
                <w:lang w:val="en-US" w:eastAsia="zh-CN" w:bidi="ar-SA"/>
              </w:rPr>
              <w:t>和</w:t>
            </w:r>
            <w:r>
              <w:rPr>
                <w:rFonts w:hint="default" w:ascii="Times New Roman" w:hAnsi="Times New Roman" w:eastAsia="宋体" w:cs="Times New Roman"/>
                <w:snapToGrid/>
                <w:color w:val="auto"/>
                <w:kern w:val="2"/>
                <w:sz w:val="24"/>
                <w:szCs w:val="24"/>
                <w:highlight w:val="none"/>
                <w:lang w:val="en-US" w:eastAsia="zh-CN" w:bidi="ar-SA"/>
              </w:rPr>
              <w:t>临时建筑工程的建设。</w:t>
            </w:r>
          </w:p>
          <w:p w14:paraId="3913DFE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主体工程施工期具体内容为：</w:t>
            </w:r>
            <w:r>
              <w:rPr>
                <w:rFonts w:hint="eastAsia" w:cs="Times New Roman"/>
                <w:color w:val="000000"/>
                <w:kern w:val="0"/>
                <w:sz w:val="24"/>
                <w:szCs w:val="24"/>
                <w:highlight w:val="none"/>
                <w:lang w:val="en-US" w:eastAsia="zh-CN" w:bidi="ar"/>
              </w:rPr>
              <w:t>管线和蓄水池主体工程</w:t>
            </w:r>
            <w:r>
              <w:rPr>
                <w:rFonts w:hint="default" w:ascii="Times New Roman" w:hAnsi="Times New Roman" w:eastAsia="宋体" w:cs="Times New Roman"/>
                <w:color w:val="000000"/>
                <w:kern w:val="0"/>
                <w:sz w:val="24"/>
                <w:szCs w:val="24"/>
                <w:highlight w:val="none"/>
                <w:lang w:val="en-US" w:eastAsia="zh-CN" w:bidi="ar"/>
              </w:rPr>
              <w:t>。</w:t>
            </w:r>
          </w:p>
          <w:p w14:paraId="67C24240">
            <w:pPr>
              <w:pStyle w:val="3"/>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工程完建期具体内容为完成临时设施的拆除</w:t>
            </w:r>
            <w:r>
              <w:rPr>
                <w:rFonts w:hint="eastAsia"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场地清理、竣工验收。</w:t>
            </w:r>
          </w:p>
          <w:p w14:paraId="271D07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eastAsia"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二、</w:t>
            </w: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施工方案</w:t>
            </w:r>
          </w:p>
          <w:p w14:paraId="3F92BD6C">
            <w:pPr>
              <w:pStyle w:val="8"/>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Times New Roman" w:hAnsi="Times New Roman" w:eastAsia="宋体" w:cs="Times New Roman"/>
                <w:b w:val="0"/>
                <w:color w:val="000000"/>
                <w:kern w:val="0"/>
                <w:sz w:val="24"/>
                <w:szCs w:val="24"/>
                <w:highlight w:val="none"/>
                <w:lang w:val="en-US" w:eastAsia="zh-CN" w:bidi="ar"/>
              </w:rPr>
            </w:pPr>
            <w:bookmarkStart w:id="2" w:name="_Toc386986688"/>
            <w:r>
              <w:rPr>
                <w:rFonts w:hint="eastAsia" w:ascii="Times New Roman" w:hAnsi="Times New Roman" w:eastAsia="宋体" w:cs="Times New Roman"/>
                <w:b w:val="0"/>
                <w:color w:val="000000"/>
                <w:kern w:val="0"/>
                <w:sz w:val="24"/>
                <w:szCs w:val="24"/>
                <w:highlight w:val="none"/>
                <w:lang w:val="en-US" w:eastAsia="zh-CN" w:bidi="ar"/>
              </w:rPr>
              <w:t>2.1场地平整</w:t>
            </w:r>
          </w:p>
          <w:p w14:paraId="6F92963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color w:val="000000"/>
                <w:kern w:val="0"/>
                <w:sz w:val="24"/>
                <w:szCs w:val="24"/>
                <w:highlight w:val="none"/>
                <w:lang w:val="en-US" w:eastAsia="zh-CN" w:bidi="ar"/>
              </w:rPr>
            </w:pPr>
            <w:r>
              <w:rPr>
                <w:rFonts w:hint="eastAsia" w:ascii="Times New Roman" w:hAnsi="Times New Roman" w:eastAsia="宋体" w:cs="Times New Roman"/>
                <w:b w:val="0"/>
                <w:color w:val="000000"/>
                <w:kern w:val="0"/>
                <w:sz w:val="24"/>
                <w:szCs w:val="24"/>
                <w:highlight w:val="none"/>
                <w:lang w:val="en-US" w:eastAsia="zh-CN" w:bidi="ar"/>
              </w:rPr>
              <w:t>蓄水池工程</w:t>
            </w:r>
            <w:r>
              <w:rPr>
                <w:rFonts w:hint="eastAsia" w:cs="Times New Roman"/>
                <w:b w:val="0"/>
                <w:color w:val="000000"/>
                <w:kern w:val="0"/>
                <w:sz w:val="24"/>
                <w:szCs w:val="24"/>
                <w:highlight w:val="none"/>
                <w:lang w:val="en-US" w:eastAsia="zh-CN" w:bidi="ar"/>
              </w:rPr>
              <w:t>占地类型为</w:t>
            </w:r>
            <w:r>
              <w:rPr>
                <w:rFonts w:hint="eastAsia"/>
                <w:sz w:val="24"/>
                <w:highlight w:val="none"/>
              </w:rPr>
              <w:t>沙地，无表土可剥离</w:t>
            </w:r>
            <w:r>
              <w:rPr>
                <w:rFonts w:hint="eastAsia"/>
                <w:sz w:val="24"/>
                <w:szCs w:val="24"/>
                <w:highlight w:val="none"/>
              </w:rPr>
              <w:t>。</w:t>
            </w:r>
            <w:r>
              <w:rPr>
                <w:rFonts w:hint="eastAsia" w:ascii="Times New Roman" w:hAnsi="Times New Roman" w:eastAsia="宋体" w:cs="Times New Roman"/>
                <w:b w:val="0"/>
                <w:color w:val="000000"/>
                <w:kern w:val="0"/>
                <w:sz w:val="24"/>
                <w:szCs w:val="24"/>
                <w:highlight w:val="none"/>
                <w:lang w:val="en-US" w:eastAsia="zh-CN" w:bidi="ar"/>
              </w:rPr>
              <w:t>管道</w:t>
            </w:r>
            <w:r>
              <w:rPr>
                <w:rFonts w:hint="eastAsia" w:cs="Times New Roman"/>
                <w:b w:val="0"/>
                <w:color w:val="000000"/>
                <w:kern w:val="0"/>
                <w:sz w:val="24"/>
                <w:szCs w:val="24"/>
                <w:highlight w:val="none"/>
                <w:lang w:val="en-US" w:eastAsia="zh-CN" w:bidi="ar"/>
              </w:rPr>
              <w:t>占地类型为沙地和其他草地，管道</w:t>
            </w:r>
            <w:r>
              <w:rPr>
                <w:rFonts w:hint="eastAsia" w:ascii="Times New Roman" w:hAnsi="Times New Roman" w:eastAsia="宋体" w:cs="Times New Roman"/>
                <w:b w:val="0"/>
                <w:color w:val="000000"/>
                <w:kern w:val="0"/>
                <w:sz w:val="24"/>
                <w:szCs w:val="24"/>
                <w:highlight w:val="none"/>
                <w:lang w:val="en-US" w:eastAsia="zh-CN" w:bidi="ar"/>
              </w:rPr>
              <w:t>施工前进行表土剥离，表土剥离深度为0.3m，剥离表土堆放于管道两侧施工区用于回填，表土堆存采取密目网苫盖防护，</w:t>
            </w:r>
            <w:r>
              <w:rPr>
                <w:rFonts w:hint="eastAsia" w:eastAsia="宋体" w:cs="Times New Roman"/>
                <w:b w:val="0"/>
                <w:color w:val="000000"/>
                <w:kern w:val="0"/>
                <w:sz w:val="24"/>
                <w:szCs w:val="24"/>
                <w:highlight w:val="none"/>
                <w:lang w:val="en-US" w:eastAsia="zh-CN" w:bidi="ar"/>
              </w:rPr>
              <w:t>施工完成后表土回覆</w:t>
            </w:r>
            <w:r>
              <w:rPr>
                <w:rFonts w:hint="default" w:ascii="Times New Roman" w:hAnsi="Times New Roman" w:eastAsia="宋体" w:cs="Times New Roman"/>
                <w:b w:val="0"/>
                <w:color w:val="000000"/>
                <w:kern w:val="0"/>
                <w:sz w:val="24"/>
                <w:szCs w:val="24"/>
                <w:highlight w:val="none"/>
                <w:lang w:val="en-US" w:eastAsia="zh-CN" w:bidi="ar"/>
              </w:rPr>
              <w:t>。</w:t>
            </w:r>
            <w:r>
              <w:rPr>
                <w:rFonts w:hint="default" w:ascii="Times New Roman" w:hAnsi="Times New Roman" w:eastAsia="宋体" w:cs="Times New Roman"/>
                <w:b w:val="0"/>
                <w:color w:val="000000"/>
                <w:kern w:val="0"/>
                <w:sz w:val="24"/>
                <w:szCs w:val="24"/>
                <w:highlight w:val="none"/>
                <w:lang w:val="zh-CN" w:eastAsia="zh-CN" w:bidi="ar"/>
              </w:rPr>
              <w:t>施工方式以机械为主，人工配合机械对零星场地或边角区进行平整。</w:t>
            </w:r>
          </w:p>
          <w:bookmarkEnd w:id="2"/>
          <w:p w14:paraId="77AE251B">
            <w:pPr>
              <w:pStyle w:val="8"/>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Times New Roman" w:hAnsi="Times New Roman" w:eastAsia="宋体" w:cs="Times New Roman"/>
                <w:b w:val="0"/>
                <w:color w:val="000000"/>
                <w:kern w:val="0"/>
                <w:sz w:val="24"/>
                <w:szCs w:val="24"/>
                <w:highlight w:val="none"/>
                <w:lang w:val="en-US" w:eastAsia="zh-CN" w:bidi="ar"/>
              </w:rPr>
            </w:pPr>
            <w:r>
              <w:rPr>
                <w:rFonts w:hint="eastAsia" w:ascii="Times New Roman" w:hAnsi="Times New Roman" w:eastAsia="宋体" w:cs="Times New Roman"/>
                <w:b w:val="0"/>
                <w:color w:val="000000"/>
                <w:kern w:val="0"/>
                <w:sz w:val="24"/>
                <w:szCs w:val="24"/>
                <w:highlight w:val="none"/>
                <w:lang w:val="en-US" w:eastAsia="zh-CN" w:bidi="ar"/>
              </w:rPr>
              <w:t>2.2</w:t>
            </w:r>
            <w:r>
              <w:rPr>
                <w:rFonts w:hint="default" w:ascii="Times New Roman" w:hAnsi="Times New Roman" w:eastAsia="宋体" w:cs="Times New Roman"/>
                <w:b w:val="0"/>
                <w:color w:val="000000"/>
                <w:kern w:val="0"/>
                <w:sz w:val="24"/>
                <w:szCs w:val="24"/>
                <w:highlight w:val="none"/>
                <w:lang w:val="en-US" w:eastAsia="zh-CN" w:bidi="ar"/>
              </w:rPr>
              <w:t>管道工程施工</w:t>
            </w:r>
          </w:p>
          <w:p w14:paraId="03097EFA">
            <w:pPr>
              <w:pStyle w:val="8"/>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Times New Roman" w:hAnsi="Times New Roman" w:eastAsia="宋体" w:cs="Times New Roman"/>
                <w:b w:val="0"/>
                <w:color w:val="000000"/>
                <w:kern w:val="0"/>
                <w:sz w:val="24"/>
                <w:szCs w:val="24"/>
                <w:highlight w:val="none"/>
                <w:lang w:val="en-US" w:eastAsia="zh-CN" w:bidi="ar"/>
              </w:rPr>
            </w:pPr>
            <w:r>
              <w:rPr>
                <w:rFonts w:hint="eastAsia" w:ascii="Times New Roman" w:hAnsi="Times New Roman" w:eastAsia="宋体" w:cs="Times New Roman"/>
                <w:b w:val="0"/>
                <w:color w:val="000000"/>
                <w:kern w:val="0"/>
                <w:sz w:val="24"/>
                <w:szCs w:val="24"/>
                <w:highlight w:val="none"/>
                <w:lang w:val="en-US" w:eastAsia="zh-CN" w:bidi="ar"/>
              </w:rPr>
              <w:t>2.2.1</w:t>
            </w:r>
            <w:r>
              <w:rPr>
                <w:rFonts w:hint="default" w:ascii="Times New Roman" w:hAnsi="Times New Roman" w:eastAsia="宋体" w:cs="Times New Roman"/>
                <w:b w:val="0"/>
                <w:color w:val="000000"/>
                <w:kern w:val="0"/>
                <w:sz w:val="24"/>
                <w:szCs w:val="24"/>
                <w:highlight w:val="none"/>
                <w:lang w:val="en-US" w:eastAsia="zh-CN" w:bidi="ar"/>
              </w:rPr>
              <w:t>管沟土方开挖</w:t>
            </w:r>
          </w:p>
          <w:p w14:paraId="3AF051D7">
            <w:pPr>
              <w:pStyle w:val="8"/>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Times New Roman" w:hAnsi="Times New Roman" w:eastAsia="宋体" w:cs="Times New Roman"/>
                <w:b w:val="0"/>
                <w:color w:val="000000"/>
                <w:kern w:val="0"/>
                <w:sz w:val="24"/>
                <w:szCs w:val="24"/>
                <w:highlight w:val="none"/>
                <w:lang w:val="en-US" w:eastAsia="zh-CN" w:bidi="ar"/>
              </w:rPr>
            </w:pPr>
            <w:r>
              <w:rPr>
                <w:rFonts w:hint="default" w:ascii="Times New Roman" w:hAnsi="Times New Roman" w:eastAsia="宋体" w:cs="Times New Roman"/>
                <w:b w:val="0"/>
                <w:color w:val="000000"/>
                <w:kern w:val="0"/>
                <w:sz w:val="24"/>
                <w:szCs w:val="24"/>
                <w:highlight w:val="none"/>
                <w:lang w:val="en-US" w:eastAsia="zh-CN" w:bidi="ar"/>
              </w:rPr>
              <w:t>本工程管道埋深为（管中心线）</w:t>
            </w:r>
            <w:r>
              <w:rPr>
                <w:rFonts w:hint="eastAsia" w:ascii="Times New Roman" w:hAnsi="Times New Roman" w:eastAsia="宋体" w:cs="Times New Roman"/>
                <w:b w:val="0"/>
                <w:color w:val="000000"/>
                <w:kern w:val="0"/>
                <w:sz w:val="24"/>
                <w:szCs w:val="24"/>
                <w:highlight w:val="none"/>
                <w:lang w:val="en-US" w:eastAsia="zh-CN" w:bidi="ar"/>
              </w:rPr>
              <w:t>2.1</w:t>
            </w:r>
            <w:r>
              <w:rPr>
                <w:rFonts w:hint="default" w:ascii="Times New Roman" w:hAnsi="Times New Roman" w:eastAsia="宋体" w:cs="Times New Roman"/>
                <w:b w:val="0"/>
                <w:color w:val="000000"/>
                <w:kern w:val="0"/>
                <w:sz w:val="24"/>
                <w:szCs w:val="24"/>
                <w:highlight w:val="none"/>
                <w:lang w:val="en-US" w:eastAsia="zh-CN" w:bidi="ar"/>
              </w:rPr>
              <w:t>m，管道开挖深度平均</w:t>
            </w:r>
            <w:r>
              <w:rPr>
                <w:rFonts w:hint="eastAsia" w:ascii="Times New Roman" w:cs="Times New Roman"/>
                <w:b w:val="0"/>
                <w:color w:val="000000"/>
                <w:kern w:val="0"/>
                <w:sz w:val="24"/>
                <w:szCs w:val="24"/>
                <w:highlight w:val="none"/>
                <w:lang w:val="en-US" w:eastAsia="zh-CN" w:bidi="ar"/>
              </w:rPr>
              <w:t>为</w:t>
            </w:r>
            <w:r>
              <w:rPr>
                <w:rFonts w:hint="default" w:ascii="Times New Roman" w:hAnsi="Times New Roman" w:eastAsia="宋体" w:cs="Times New Roman"/>
                <w:b w:val="0"/>
                <w:color w:val="000000"/>
                <w:kern w:val="0"/>
                <w:sz w:val="24"/>
                <w:szCs w:val="24"/>
                <w:highlight w:val="none"/>
                <w:lang w:val="en-US" w:eastAsia="zh-CN" w:bidi="ar"/>
              </w:rPr>
              <w:t>2.5m。</w:t>
            </w:r>
          </w:p>
          <w:p w14:paraId="43757F65">
            <w:pPr>
              <w:keepNext/>
              <w:keepLines/>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b w:val="0"/>
                <w:color w:val="000000"/>
                <w:kern w:val="0"/>
                <w:sz w:val="24"/>
                <w:szCs w:val="24"/>
                <w:highlight w:val="none"/>
                <w:lang w:val="en-US" w:eastAsia="zh-CN" w:bidi="ar"/>
              </w:rPr>
            </w:pPr>
            <w:r>
              <w:rPr>
                <w:rFonts w:hint="default" w:ascii="Times New Roman" w:hAnsi="Times New Roman" w:eastAsia="宋体" w:cs="Times New Roman"/>
                <w:b w:val="0"/>
                <w:color w:val="000000"/>
                <w:kern w:val="0"/>
                <w:sz w:val="24"/>
                <w:szCs w:val="24"/>
                <w:highlight w:val="none"/>
                <w:lang w:val="en-US" w:eastAsia="zh-CN" w:bidi="ar"/>
              </w:rPr>
              <w:t>管线工程开挖机械为2.0m</w:t>
            </w:r>
            <w:r>
              <w:rPr>
                <w:rFonts w:hint="default" w:ascii="Times New Roman" w:hAnsi="Times New Roman" w:eastAsia="宋体" w:cs="Times New Roman"/>
                <w:b w:val="0"/>
                <w:color w:val="000000"/>
                <w:kern w:val="0"/>
                <w:sz w:val="24"/>
                <w:szCs w:val="24"/>
                <w:highlight w:val="none"/>
                <w:vertAlign w:val="superscript"/>
                <w:lang w:val="en-US" w:eastAsia="zh-CN" w:bidi="ar"/>
              </w:rPr>
              <w:t>3</w:t>
            </w:r>
            <w:r>
              <w:rPr>
                <w:rFonts w:hint="default" w:ascii="Times New Roman" w:hAnsi="Times New Roman" w:eastAsia="宋体" w:cs="Times New Roman"/>
                <w:b w:val="0"/>
                <w:color w:val="000000"/>
                <w:kern w:val="0"/>
                <w:sz w:val="24"/>
                <w:szCs w:val="24"/>
                <w:highlight w:val="none"/>
                <w:lang w:val="en-US" w:eastAsia="zh-CN" w:bidi="ar"/>
              </w:rPr>
              <w:t>挖掘机和103kW推土机</w:t>
            </w:r>
            <w:r>
              <w:rPr>
                <w:rFonts w:hint="default" w:ascii="Times New Roman" w:hAnsi="Times New Roman" w:eastAsia="宋体" w:cs="Times New Roman"/>
                <w:b w:val="0"/>
                <w:bCs/>
                <w:snapToGrid/>
                <w:color w:val="auto"/>
                <w:kern w:val="2"/>
                <w:sz w:val="24"/>
                <w:szCs w:val="24"/>
                <w:highlight w:val="none"/>
                <w:lang w:val="en-US" w:eastAsia="zh-CN" w:bidi="ar-SA"/>
              </w:rPr>
              <w:t>。</w:t>
            </w:r>
            <w:r>
              <w:rPr>
                <w:rFonts w:hint="default" w:ascii="Times New Roman" w:hAnsi="Times New Roman" w:eastAsia="宋体" w:cs="Times New Roman"/>
                <w:b w:val="0"/>
                <w:color w:val="000000"/>
                <w:kern w:val="0"/>
                <w:sz w:val="24"/>
                <w:szCs w:val="24"/>
                <w:highlight w:val="none"/>
                <w:lang w:val="en-US" w:eastAsia="zh-CN" w:bidi="ar"/>
              </w:rPr>
              <w:t>具体开挖顺序为：管沟土方直接由2.0挖掘机进行开挖，底部土方人工修整。为了加快施工进度，管线开挖均由两台2.0m</w:t>
            </w:r>
            <w:r>
              <w:rPr>
                <w:rFonts w:hint="default" w:ascii="Times New Roman" w:hAnsi="Times New Roman" w:eastAsia="宋体" w:cs="Times New Roman"/>
                <w:b w:val="0"/>
                <w:color w:val="000000"/>
                <w:kern w:val="0"/>
                <w:sz w:val="24"/>
                <w:szCs w:val="24"/>
                <w:highlight w:val="none"/>
                <w:vertAlign w:val="superscript"/>
                <w:lang w:val="en-US" w:eastAsia="zh-CN" w:bidi="ar"/>
              </w:rPr>
              <w:t>3</w:t>
            </w:r>
            <w:r>
              <w:rPr>
                <w:rFonts w:hint="default" w:ascii="Times New Roman" w:hAnsi="Times New Roman" w:eastAsia="宋体" w:cs="Times New Roman"/>
                <w:b w:val="0"/>
                <w:color w:val="000000"/>
                <w:kern w:val="0"/>
                <w:sz w:val="24"/>
                <w:szCs w:val="24"/>
                <w:highlight w:val="none"/>
                <w:lang w:val="en-US" w:eastAsia="zh-CN" w:bidi="ar"/>
              </w:rPr>
              <w:t>挖掘机以1.0km为一个单元分两头进行开挖，然后进行管道的安装施工。管线施工作业带宽度</w:t>
            </w:r>
            <w:r>
              <w:rPr>
                <w:rFonts w:hint="eastAsia" w:cs="Times New Roman"/>
                <w:b w:val="0"/>
                <w:color w:val="000000"/>
                <w:kern w:val="0"/>
                <w:sz w:val="24"/>
                <w:szCs w:val="24"/>
                <w:highlight w:val="none"/>
                <w:lang w:val="en-US" w:eastAsia="zh-CN" w:bidi="ar"/>
              </w:rPr>
              <w:t>为10m。</w:t>
            </w:r>
          </w:p>
          <w:p w14:paraId="4FD6B37D">
            <w:pPr>
              <w:keepNext/>
              <w:keepLines/>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val="0"/>
                <w:color w:val="000000"/>
                <w:kern w:val="0"/>
                <w:sz w:val="24"/>
                <w:szCs w:val="24"/>
                <w:highlight w:val="none"/>
                <w:lang w:val="en-US" w:eastAsia="zh-CN" w:bidi="ar"/>
              </w:rPr>
              <w:t>2.2.2</w:t>
            </w:r>
            <w:r>
              <w:rPr>
                <w:rFonts w:hint="default" w:ascii="Times New Roman" w:hAnsi="Times New Roman" w:eastAsia="宋体" w:cs="Times New Roman"/>
                <w:color w:val="auto"/>
                <w:sz w:val="24"/>
                <w:szCs w:val="24"/>
                <w:highlight w:val="none"/>
              </w:rPr>
              <w:t>管道安装工程</w:t>
            </w:r>
          </w:p>
          <w:p w14:paraId="54D6F4F0">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该供水工程输水管道采用DN800涂塑钢管，购买成品料。管道运到工地以后，沿着临时堆管带布管，其承口方向应与铺管前进方向一致。用拉链等机械拉入接口焊接；接口后将管道除接口处外用回填土压住后，再装下一根管。</w:t>
            </w:r>
          </w:p>
          <w:p w14:paraId="2E171B73">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val="0"/>
                <w:color w:val="000000"/>
                <w:kern w:val="0"/>
                <w:sz w:val="24"/>
                <w:szCs w:val="24"/>
                <w:highlight w:val="none"/>
                <w:lang w:val="en-US" w:eastAsia="zh-CN" w:bidi="ar"/>
              </w:rPr>
              <w:t>2.2.3</w:t>
            </w:r>
            <w:r>
              <w:rPr>
                <w:rFonts w:hint="default" w:ascii="Times New Roman" w:hAnsi="Times New Roman" w:eastAsia="宋体" w:cs="Times New Roman"/>
                <w:color w:val="auto"/>
                <w:sz w:val="24"/>
                <w:szCs w:val="24"/>
                <w:highlight w:val="none"/>
              </w:rPr>
              <w:t>管沟土方回填</w:t>
            </w:r>
          </w:p>
          <w:p w14:paraId="6C4FB03A">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（1）土基管沟回填</w:t>
            </w:r>
          </w:p>
          <w:p w14:paraId="5B47EAAA">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沟槽底部开挖平整度应达到施工规范要求，管道胸墙土（管顶上0.5m以下）均应按照要求用蛙夯进行夯实</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胸墙土以上回填采用103kw推土机将管沟一侧的临时堆土推回管道上方即可，不再碾压。</w:t>
            </w:r>
          </w:p>
          <w:p w14:paraId="458304DD">
            <w:pPr>
              <w:spacing w:line="360" w:lineRule="auto"/>
              <w:ind w:firstLine="480" w:firstLineChars="200"/>
              <w:jc w:val="left"/>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在作</w:t>
            </w:r>
            <w:r>
              <w:rPr>
                <w:rFonts w:hint="eastAsia" w:cs="Times New Roman"/>
                <w:snapToGrid/>
                <w:color w:val="auto"/>
                <w:kern w:val="2"/>
                <w:sz w:val="24"/>
                <w:szCs w:val="24"/>
                <w:highlight w:val="none"/>
                <w:lang w:val="en-US" w:eastAsia="zh-CN" w:bidi="ar-SA"/>
              </w:rPr>
              <w:t>水</w:t>
            </w:r>
            <w:r>
              <w:rPr>
                <w:rFonts w:hint="eastAsia" w:ascii="Times New Roman" w:hAnsi="Times New Roman" w:eastAsia="宋体" w:cs="Times New Roman"/>
                <w:snapToGrid/>
                <w:color w:val="auto"/>
                <w:kern w:val="2"/>
                <w:sz w:val="24"/>
                <w:szCs w:val="24"/>
                <w:highlight w:val="none"/>
                <w:lang w:val="en-US" w:eastAsia="zh-CN" w:bidi="ar-SA"/>
              </w:rPr>
              <w:t>压</w:t>
            </w:r>
            <w:r>
              <w:rPr>
                <w:rFonts w:hint="default" w:ascii="Times New Roman" w:hAnsi="Times New Roman" w:eastAsia="宋体" w:cs="Times New Roman"/>
                <w:snapToGrid/>
                <w:color w:val="auto"/>
                <w:kern w:val="2"/>
                <w:sz w:val="24"/>
                <w:szCs w:val="24"/>
                <w:highlight w:val="none"/>
                <w:lang w:val="en-US" w:eastAsia="zh-CN" w:bidi="ar-SA"/>
              </w:rPr>
              <w:t>试验前，除接口以外，管道两侧及管顶以上均应进行回填</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水压试验合格以后，及时回填其余部分土方。</w:t>
            </w:r>
          </w:p>
          <w:p w14:paraId="3FEB059F">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rPr>
            </w:pPr>
            <w:r>
              <w:rPr>
                <w:rFonts w:hint="eastAsia" w:eastAsia="宋体" w:cs="Times New Roman"/>
                <w:b w:val="0"/>
                <w:color w:val="000000"/>
                <w:kern w:val="0"/>
                <w:sz w:val="24"/>
                <w:szCs w:val="24"/>
                <w:highlight w:val="none"/>
                <w:lang w:val="en-US" w:eastAsia="zh-CN" w:bidi="ar"/>
              </w:rPr>
              <w:t>（2）</w:t>
            </w:r>
            <w:r>
              <w:rPr>
                <w:rFonts w:hint="default" w:ascii="Times New Roman" w:hAnsi="Times New Roman" w:eastAsia="宋体" w:cs="Times New Roman"/>
                <w:color w:val="auto"/>
                <w:sz w:val="24"/>
                <w:szCs w:val="24"/>
                <w:highlight w:val="none"/>
                <w:lang w:val="en-US" w:eastAsia="zh-CN"/>
              </w:rPr>
              <w:t>管道试压</w:t>
            </w:r>
          </w:p>
          <w:p w14:paraId="505222C4">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eastAsia" w:ascii="东文宋体" w:hAnsi="东文宋体" w:eastAsia="东文宋体" w:cs="东文宋体"/>
                <w:snapToGrid/>
                <w:color w:val="auto"/>
                <w:kern w:val="2"/>
                <w:sz w:val="24"/>
                <w:szCs w:val="24"/>
                <w:highlight w:val="none"/>
                <w:lang w:val="en-US" w:eastAsia="zh-CN" w:bidi="ar-SA"/>
              </w:rPr>
              <w:t>①</w:t>
            </w:r>
            <w:r>
              <w:rPr>
                <w:rFonts w:hint="default" w:ascii="Times New Roman" w:hAnsi="Times New Roman" w:eastAsia="宋体" w:cs="Times New Roman"/>
                <w:snapToGrid/>
                <w:color w:val="auto"/>
                <w:kern w:val="2"/>
                <w:sz w:val="24"/>
                <w:szCs w:val="24"/>
                <w:highlight w:val="none"/>
                <w:lang w:val="en-US" w:eastAsia="zh-CN" w:bidi="ar-SA"/>
              </w:rPr>
              <w:t>试验前，应灌水、排气和浸泡。排气阀应设在管道起伏各顶点处。边充水边排气，直至管内无气泡为止，关闭排气阀。一般管道浸泡时间为48h。</w:t>
            </w:r>
          </w:p>
          <w:p w14:paraId="7628C504">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eastAsia" w:ascii="东文宋体" w:hAnsi="东文宋体" w:eastAsia="东文宋体" w:cs="东文宋体"/>
                <w:snapToGrid/>
                <w:color w:val="auto"/>
                <w:kern w:val="2"/>
                <w:sz w:val="24"/>
                <w:szCs w:val="24"/>
                <w:highlight w:val="none"/>
                <w:lang w:val="en-US" w:eastAsia="zh-CN" w:bidi="ar-SA"/>
              </w:rPr>
              <w:t>②</w:t>
            </w:r>
            <w:r>
              <w:rPr>
                <w:rFonts w:hint="default" w:ascii="Times New Roman" w:hAnsi="Times New Roman" w:eastAsia="宋体" w:cs="Times New Roman"/>
                <w:snapToGrid/>
                <w:color w:val="auto"/>
                <w:kern w:val="2"/>
                <w:sz w:val="24"/>
                <w:szCs w:val="24"/>
                <w:highlight w:val="none"/>
                <w:lang w:val="en-US" w:eastAsia="zh-CN" w:bidi="ar-SA"/>
              </w:rPr>
              <w:t>管道浸泡合格以后，可进行水压试验。管道升压时应排净管内气体。升压过程中，若压力表针晃动，升压较慢时，应进一步排气，再升压。升压应分级进行。每级以0.2MPa为宜，每升一级应检查后背、弯头、管口、支墩等处有无异常现象，若正常再继续升压。</w:t>
            </w:r>
          </w:p>
          <w:p w14:paraId="35AC895D">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eastAsia" w:ascii="东文宋体" w:hAnsi="东文宋体" w:eastAsia="东文宋体" w:cs="东文宋体"/>
                <w:snapToGrid/>
                <w:color w:val="auto"/>
                <w:kern w:val="2"/>
                <w:sz w:val="24"/>
                <w:szCs w:val="24"/>
                <w:highlight w:val="none"/>
                <w:lang w:val="en-US" w:eastAsia="zh-CN" w:bidi="ar-SA"/>
              </w:rPr>
              <w:t>③</w:t>
            </w:r>
            <w:r>
              <w:rPr>
                <w:rFonts w:hint="default" w:ascii="Times New Roman" w:hAnsi="Times New Roman" w:eastAsia="宋体" w:cs="Times New Roman"/>
                <w:snapToGrid/>
                <w:color w:val="auto"/>
                <w:kern w:val="2"/>
                <w:sz w:val="24"/>
                <w:szCs w:val="24"/>
                <w:highlight w:val="none"/>
                <w:lang w:val="en-US" w:eastAsia="zh-CN" w:bidi="ar-SA"/>
              </w:rPr>
              <w:t>试验压力为工作压力1.5倍，但不得小于0.6MPa。稳1h压力降不小于0.05MPa</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然后降至工作压力进行检查，压力保持不变，不渗不漏为合格。</w:t>
            </w:r>
          </w:p>
          <w:p w14:paraId="6CD79407">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eastAsia" w:ascii="华文中宋" w:hAnsi="华文中宋" w:eastAsia="华文中宋" w:cs="华文中宋"/>
                <w:snapToGrid/>
                <w:color w:val="auto"/>
                <w:kern w:val="2"/>
                <w:sz w:val="24"/>
                <w:szCs w:val="24"/>
                <w:highlight w:val="none"/>
                <w:lang w:val="en-US" w:eastAsia="zh-CN" w:bidi="ar-SA"/>
              </w:rPr>
              <w:t>④</w:t>
            </w:r>
            <w:r>
              <w:rPr>
                <w:rFonts w:hint="default" w:ascii="Times New Roman" w:hAnsi="Times New Roman" w:eastAsia="宋体" w:cs="Times New Roman"/>
                <w:snapToGrid/>
                <w:color w:val="auto"/>
                <w:kern w:val="2"/>
                <w:sz w:val="24"/>
                <w:szCs w:val="24"/>
                <w:highlight w:val="none"/>
                <w:lang w:val="en-US" w:eastAsia="zh-CN" w:bidi="ar-SA"/>
              </w:rPr>
              <w:t>管网必须进行水压试验，试验压力为工作压力的1.5倍，但不得小于0.6MPa。</w:t>
            </w:r>
          </w:p>
          <w:p w14:paraId="3A962091">
            <w:pPr>
              <w:spacing w:line="360" w:lineRule="auto"/>
              <w:ind w:firstLine="480" w:firstLineChars="200"/>
              <w:jc w:val="left"/>
              <w:rPr>
                <w:rFonts w:hint="default" w:ascii="Times New Roman" w:hAnsi="Times New Roman" w:eastAsia="宋体" w:cs="Times New Roman"/>
                <w:snapToGrid/>
                <w:color w:val="auto"/>
                <w:kern w:val="2"/>
                <w:sz w:val="24"/>
                <w:szCs w:val="24"/>
                <w:highlight w:val="none"/>
                <w:lang w:val="en-US" w:eastAsia="zh-CN" w:bidi="ar-SA"/>
              </w:rPr>
            </w:pPr>
            <w:r>
              <w:rPr>
                <w:rFonts w:hint="eastAsia" w:ascii="华文中宋" w:hAnsi="华文中宋" w:eastAsia="华文中宋" w:cs="华文中宋"/>
                <w:snapToGrid/>
                <w:color w:val="auto"/>
                <w:kern w:val="2"/>
                <w:sz w:val="24"/>
                <w:szCs w:val="24"/>
                <w:highlight w:val="none"/>
                <w:lang w:val="en-US" w:eastAsia="zh-CN" w:bidi="ar-SA"/>
              </w:rPr>
              <w:t>⑤</w:t>
            </w:r>
            <w:r>
              <w:rPr>
                <w:rFonts w:hint="default" w:ascii="Times New Roman" w:hAnsi="Times New Roman" w:eastAsia="宋体" w:cs="Times New Roman"/>
                <w:snapToGrid/>
                <w:color w:val="auto"/>
                <w:kern w:val="2"/>
                <w:sz w:val="24"/>
                <w:szCs w:val="24"/>
                <w:highlight w:val="none"/>
                <w:lang w:val="en-US" w:eastAsia="zh-CN" w:bidi="ar-SA"/>
              </w:rPr>
              <w:t>检查方法：管材为涂塑钢管，在试验压力下稳压1h压力降不大于0.05MPa</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然后降至工作压力进行检查，压力应保持不变，各接口等处应不渗、不漏。</w:t>
            </w:r>
          </w:p>
          <w:p w14:paraId="6E8BA3CE">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rPr>
            </w:pPr>
            <w:bookmarkStart w:id="3" w:name="_Toc7903"/>
            <w:r>
              <w:rPr>
                <w:rFonts w:hint="eastAsia" w:ascii="Times New Roman" w:hAnsi="Times New Roman" w:eastAsia="宋体" w:cs="Times New Roman"/>
                <w:snapToGrid/>
                <w:color w:val="auto"/>
                <w:kern w:val="2"/>
                <w:sz w:val="24"/>
                <w:szCs w:val="24"/>
                <w:highlight w:val="none"/>
                <w:lang w:val="en-US" w:eastAsia="zh-CN" w:bidi="ar-SA"/>
              </w:rPr>
              <w:t>（</w:t>
            </w:r>
            <w:r>
              <w:rPr>
                <w:rFonts w:hint="eastAsia" w:cs="Times New Roman"/>
                <w:snapToGrid/>
                <w:color w:val="auto"/>
                <w:kern w:val="2"/>
                <w:sz w:val="24"/>
                <w:szCs w:val="24"/>
                <w:highlight w:val="none"/>
                <w:lang w:val="en-US" w:eastAsia="zh-CN" w:bidi="ar-SA"/>
              </w:rPr>
              <w:t>3</w:t>
            </w:r>
            <w:r>
              <w:rPr>
                <w:rFonts w:hint="eastAsia" w:ascii="Times New Roman" w:hAnsi="Times New Roman" w:eastAsia="宋体" w:cs="Times New Roman"/>
                <w:snapToGrid/>
                <w:color w:val="auto"/>
                <w:kern w:val="2"/>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rPr>
              <w:t>混凝土工程</w:t>
            </w:r>
            <w:bookmarkEnd w:id="3"/>
          </w:p>
          <w:p w14:paraId="30FA3F1F">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bookmarkStart w:id="4" w:name="BookMark152"/>
            <w:bookmarkEnd w:id="4"/>
            <w:bookmarkStart w:id="5" w:name="BookMark158"/>
            <w:bookmarkEnd w:id="5"/>
            <w:r>
              <w:rPr>
                <w:rFonts w:hint="default" w:ascii="Times New Roman" w:hAnsi="Times New Roman" w:eastAsia="宋体" w:cs="Times New Roman"/>
                <w:snapToGrid/>
                <w:color w:val="auto"/>
                <w:kern w:val="2"/>
                <w:sz w:val="24"/>
                <w:szCs w:val="24"/>
                <w:highlight w:val="none"/>
                <w:lang w:val="en-US" w:eastAsia="zh-CN" w:bidi="ar-SA"/>
              </w:rPr>
              <w:t>阀门井</w:t>
            </w:r>
            <w:r>
              <w:rPr>
                <w:rFonts w:hint="eastAsia" w:cs="Times New Roman"/>
                <w:snapToGrid/>
                <w:color w:val="auto"/>
                <w:kern w:val="2"/>
                <w:sz w:val="24"/>
                <w:szCs w:val="24"/>
                <w:highlight w:val="none"/>
                <w:lang w:val="en-US" w:eastAsia="zh-CN" w:bidi="ar-SA"/>
              </w:rPr>
              <w:t>、排气井</w:t>
            </w:r>
            <w:r>
              <w:rPr>
                <w:rFonts w:hint="default" w:ascii="Times New Roman" w:hAnsi="Times New Roman" w:eastAsia="宋体" w:cs="Times New Roman"/>
                <w:snapToGrid/>
                <w:color w:val="auto"/>
                <w:kern w:val="2"/>
                <w:sz w:val="24"/>
                <w:szCs w:val="24"/>
                <w:highlight w:val="none"/>
                <w:lang w:val="en-US" w:eastAsia="zh-CN" w:bidi="ar-SA"/>
              </w:rPr>
              <w:t>底板及壁板混凝土均应分层浇筑，每层浇筑厚度</w:t>
            </w:r>
            <w:r>
              <w:rPr>
                <w:rFonts w:hint="eastAsia" w:cs="Times New Roman"/>
                <w:snapToGrid/>
                <w:color w:val="auto"/>
                <w:kern w:val="2"/>
                <w:sz w:val="24"/>
                <w:szCs w:val="24"/>
                <w:highlight w:val="none"/>
                <w:lang w:val="en-US" w:eastAsia="zh-CN" w:bidi="ar-SA"/>
              </w:rPr>
              <w:t>应</w:t>
            </w:r>
            <w:r>
              <w:rPr>
                <w:rFonts w:hint="default" w:ascii="Times New Roman" w:hAnsi="Times New Roman" w:eastAsia="宋体" w:cs="Times New Roman"/>
                <w:snapToGrid/>
                <w:color w:val="auto"/>
                <w:kern w:val="2"/>
                <w:sz w:val="24"/>
                <w:szCs w:val="24"/>
                <w:highlight w:val="none"/>
                <w:lang w:val="en-US" w:eastAsia="zh-CN" w:bidi="ar-SA"/>
              </w:rPr>
              <w:t>控制在30cm以内，并注意混凝土分段搭接时间</w:t>
            </w:r>
            <w:r>
              <w:rPr>
                <w:rFonts w:hint="eastAsia" w:cs="Times New Roman"/>
                <w:snapToGrid/>
                <w:color w:val="auto"/>
                <w:kern w:val="2"/>
                <w:sz w:val="24"/>
                <w:szCs w:val="24"/>
                <w:highlight w:val="none"/>
                <w:lang w:val="en-US" w:eastAsia="zh-CN" w:bidi="ar-SA"/>
              </w:rPr>
              <w:t>。在</w:t>
            </w:r>
            <w:r>
              <w:rPr>
                <w:rFonts w:hint="default" w:ascii="Times New Roman" w:hAnsi="Times New Roman" w:eastAsia="宋体" w:cs="Times New Roman"/>
                <w:snapToGrid/>
                <w:color w:val="auto"/>
                <w:kern w:val="2"/>
                <w:sz w:val="24"/>
                <w:szCs w:val="24"/>
                <w:highlight w:val="none"/>
                <w:lang w:val="en-US" w:eastAsia="zh-CN" w:bidi="ar-SA"/>
              </w:rPr>
              <w:t>混凝土搭接处振动棒应插入下层，并加强振动，保证搭接严密，混凝土浇筑顺序，振动时间、位置应有专人监督，以防漏振、过振。混凝土浇灌时，采用多台振动棒流水作业。浇灌前应对作业班组进行施工技术交底，认真交待浇灌顺序，浇灌方法，振动棒插入点位置，振动时间等，防止漏振及振动时间不足，整个浇灌过程应有专人监督。</w:t>
            </w:r>
          </w:p>
          <w:p w14:paraId="43948D9C">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底板混凝土浇筑完毕后，初凝后要立即用草袋覆盖，并设专人负责湿润环境养护14天以上。</w:t>
            </w:r>
          </w:p>
          <w:p w14:paraId="19BE569F">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壁板混凝土浇灌时，当混凝土自由倾卸高度超过2m时，应用斜溜槽下料，防止混凝土发生离析。混凝土浇灌时应随机取样制作试件，用以测试混凝土强度等级的试块，每一工作台班制作二组；用以测试混凝土抗渗等级的试块，按每次</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一个连续浇灌单元</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浇灌制作二组。一组同条件养护，一组</w:t>
            </w:r>
            <w:r>
              <w:rPr>
                <w:rFonts w:hint="eastAsia" w:cs="Times New Roman"/>
                <w:snapToGrid/>
                <w:color w:val="auto"/>
                <w:kern w:val="2"/>
                <w:sz w:val="24"/>
                <w:szCs w:val="24"/>
                <w:highlight w:val="none"/>
                <w:lang w:val="en-US" w:eastAsia="zh-CN" w:bidi="ar-SA"/>
              </w:rPr>
              <w:t>同</w:t>
            </w:r>
            <w:r>
              <w:rPr>
                <w:rFonts w:hint="default" w:ascii="Times New Roman" w:hAnsi="Times New Roman" w:eastAsia="宋体" w:cs="Times New Roman"/>
                <w:snapToGrid/>
                <w:color w:val="auto"/>
                <w:kern w:val="2"/>
                <w:sz w:val="24"/>
                <w:szCs w:val="24"/>
                <w:highlight w:val="none"/>
                <w:lang w:val="en-US" w:eastAsia="zh-CN" w:bidi="ar-SA"/>
              </w:rPr>
              <w:t>标准养护</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进入混凝土体内，贯穿底板、壁板的钢筋、铁件</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如止水对拉螺栓、钢套管等</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均应设置止水钢片。</w:t>
            </w:r>
          </w:p>
          <w:p w14:paraId="042C9FC3">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rPr>
            </w:pPr>
            <w:bookmarkStart w:id="6" w:name="_Toc23869"/>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砌体工程</w:t>
            </w:r>
            <w:bookmarkEnd w:id="6"/>
          </w:p>
          <w:p w14:paraId="3623CE88">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eastAsia" w:cs="Times New Roman"/>
                <w:snapToGrid/>
                <w:color w:val="auto"/>
                <w:kern w:val="2"/>
                <w:sz w:val="24"/>
                <w:szCs w:val="24"/>
                <w:highlight w:val="none"/>
                <w:lang w:val="en-US" w:eastAsia="zh-CN" w:bidi="ar-SA"/>
              </w:rPr>
              <w:t>排泥井等砌体工程施工时</w:t>
            </w:r>
            <w:r>
              <w:rPr>
                <w:rFonts w:hint="default" w:ascii="Times New Roman" w:hAnsi="Times New Roman" w:eastAsia="宋体" w:cs="Times New Roman"/>
                <w:snapToGrid/>
                <w:color w:val="auto"/>
                <w:kern w:val="2"/>
                <w:sz w:val="24"/>
                <w:szCs w:val="24"/>
                <w:highlight w:val="none"/>
                <w:lang w:val="en-US" w:eastAsia="zh-CN" w:bidi="ar-SA"/>
              </w:rPr>
              <w:t>工程砖选用75#机制红砖，砂浆为75#混合砂浆且满足设计要求强度、稠度。砂浆随拌随用，水泥砂浆和水泥混合砂浆应分别拌成后3h和4h内使用完毕。采用的水泥、砂、水应符合规定。</w:t>
            </w:r>
          </w:p>
          <w:p w14:paraId="51367CF8">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砖应提前1～2d浇水湿润，砖砌体尺寸和位置的允许偏差应符合规范要求。砖砌体的水平砂浆应饱满</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竖向砂浆宜采用挤浆或加浆方法，使其砂浆饱满</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严禁用水冲浆灌，砖缝宽度一般为1cm。</w:t>
            </w:r>
          </w:p>
          <w:p w14:paraId="43F73593">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2.3蓄水池工程</w:t>
            </w:r>
          </w:p>
          <w:p w14:paraId="044AD989">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2.3.</w:t>
            </w:r>
            <w:r>
              <w:rPr>
                <w:rFonts w:hint="default" w:ascii="Times New Roman" w:hAnsi="Times New Roman" w:eastAsia="宋体" w:cs="Times New Roman"/>
                <w:snapToGrid/>
                <w:color w:val="auto"/>
                <w:kern w:val="2"/>
                <w:sz w:val="24"/>
                <w:szCs w:val="24"/>
                <w:highlight w:val="none"/>
                <w:lang w:val="en-US" w:eastAsia="zh-CN" w:bidi="ar-SA"/>
              </w:rPr>
              <w:t>1蓄水池土方开挖施工</w:t>
            </w:r>
          </w:p>
          <w:p w14:paraId="37A46A98">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土方开挖主要为蓄水池土方开挖，施工时采用1m</w:t>
            </w:r>
            <w:r>
              <w:rPr>
                <w:rFonts w:hint="default" w:ascii="Times New Roman" w:hAnsi="Times New Roman" w:eastAsia="宋体" w:cs="Times New Roman"/>
                <w:snapToGrid/>
                <w:color w:val="auto"/>
                <w:kern w:val="2"/>
                <w:sz w:val="24"/>
                <w:szCs w:val="24"/>
                <w:highlight w:val="none"/>
                <w:vertAlign w:val="superscript"/>
                <w:lang w:val="en-US" w:eastAsia="zh-CN" w:bidi="ar-SA"/>
              </w:rPr>
              <w:t>3</w:t>
            </w:r>
            <w:r>
              <w:rPr>
                <w:rFonts w:hint="default" w:ascii="Times New Roman" w:hAnsi="Times New Roman" w:eastAsia="宋体" w:cs="Times New Roman"/>
                <w:snapToGrid/>
                <w:color w:val="auto"/>
                <w:kern w:val="2"/>
                <w:sz w:val="24"/>
                <w:szCs w:val="24"/>
                <w:highlight w:val="none"/>
                <w:lang w:val="en-US" w:eastAsia="zh-CN" w:bidi="ar-SA"/>
              </w:rPr>
              <w:t>反铲挖掘机开挖，并配以103kw推土机和15t载重汽车运输至附近临时堆放备用。</w:t>
            </w:r>
          </w:p>
          <w:p w14:paraId="795DD1E8">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2.3.</w:t>
            </w:r>
            <w:r>
              <w:rPr>
                <w:rFonts w:hint="default" w:ascii="Times New Roman" w:hAnsi="Times New Roman" w:eastAsia="宋体" w:cs="Times New Roman"/>
                <w:snapToGrid/>
                <w:color w:val="auto"/>
                <w:kern w:val="2"/>
                <w:sz w:val="24"/>
                <w:szCs w:val="24"/>
                <w:highlight w:val="none"/>
                <w:lang w:val="en-US" w:eastAsia="zh-CN" w:bidi="ar-SA"/>
              </w:rPr>
              <w:t>2坝体填筑</w:t>
            </w:r>
          </w:p>
          <w:p w14:paraId="40EF3A8A">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（1）施工技术要求</w:t>
            </w:r>
          </w:p>
          <w:p w14:paraId="615AA366">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土料质量应符合《堤防工程施工规范》（SL 260—98）及设计的要求，不得含杂草、树根等有机物及石块，不得含腐植土。土料含水量要求控制在生产性试验确定的范围</w:t>
            </w:r>
            <w:r>
              <w:rPr>
                <w:rFonts w:hint="eastAsia" w:cs="Times New Roman"/>
                <w:snapToGrid/>
                <w:color w:val="auto"/>
                <w:kern w:val="2"/>
                <w:sz w:val="24"/>
                <w:szCs w:val="24"/>
                <w:highlight w:val="none"/>
                <w:lang w:val="en-US" w:eastAsia="zh-CN" w:bidi="ar-SA"/>
              </w:rPr>
              <w:t>内</w:t>
            </w:r>
            <w:r>
              <w:rPr>
                <w:rFonts w:hint="default" w:ascii="Times New Roman" w:hAnsi="Times New Roman" w:eastAsia="宋体" w:cs="Times New Roman"/>
                <w:snapToGrid/>
                <w:color w:val="auto"/>
                <w:kern w:val="2"/>
                <w:sz w:val="24"/>
                <w:szCs w:val="24"/>
                <w:highlight w:val="none"/>
                <w:lang w:val="en-US" w:eastAsia="zh-CN" w:bidi="ar-SA"/>
              </w:rPr>
              <w:t>，经过碾压后，压实土料</w:t>
            </w:r>
            <w:r>
              <w:rPr>
                <w:rFonts w:hint="eastAsia"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干密度要求达到设计要求。</w:t>
            </w:r>
          </w:p>
          <w:p w14:paraId="33EA2D0D">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（2）生产性试验</w:t>
            </w:r>
          </w:p>
          <w:p w14:paraId="13A141DC">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大规模施工前，先进行生产性试验。碾压试验内容包括：铺料方式、铺料厚度、碾压机械类型及重量、碾压遍数、最优含水量等</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以保证经碾压后，土料密实度达到设计要求</w:t>
            </w:r>
            <w:r>
              <w:rPr>
                <w:rFonts w:hint="eastAsia"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并将试验成果整理成正式报告。</w:t>
            </w:r>
          </w:p>
          <w:p w14:paraId="0BAECDA0">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（3）土方铺摊</w:t>
            </w:r>
          </w:p>
          <w:p w14:paraId="4C0EC64B">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eastAsia" w:cs="Times New Roman"/>
                <w:snapToGrid/>
                <w:color w:val="auto"/>
                <w:kern w:val="2"/>
                <w:sz w:val="24"/>
                <w:szCs w:val="24"/>
                <w:highlight w:val="none"/>
                <w:lang w:val="en-US" w:eastAsia="zh-CN" w:bidi="ar-SA"/>
              </w:rPr>
              <w:t>根据</w:t>
            </w:r>
            <w:r>
              <w:rPr>
                <w:rFonts w:hint="default" w:ascii="Times New Roman" w:hAnsi="Times New Roman" w:eastAsia="宋体" w:cs="Times New Roman"/>
                <w:snapToGrid/>
                <w:color w:val="auto"/>
                <w:kern w:val="2"/>
                <w:sz w:val="24"/>
                <w:szCs w:val="24"/>
                <w:highlight w:val="none"/>
                <w:lang w:val="en-US" w:eastAsia="zh-CN" w:bidi="ar-SA"/>
              </w:rPr>
              <w:t>设计的边线自下而上分层填筑，汽车运土采用进占法卸土</w:t>
            </w:r>
            <w:r>
              <w:rPr>
                <w:rFonts w:hint="eastAsia" w:cs="Times New Roman"/>
                <w:snapToGrid/>
                <w:color w:val="auto"/>
                <w:kern w:val="2"/>
                <w:sz w:val="24"/>
                <w:szCs w:val="24"/>
                <w:highlight w:val="none"/>
                <w:lang w:val="en-US" w:eastAsia="zh-CN" w:bidi="ar-SA"/>
              </w:rPr>
              <w:t>。为了</w:t>
            </w:r>
            <w:r>
              <w:rPr>
                <w:rFonts w:hint="default" w:ascii="Times New Roman" w:hAnsi="Times New Roman" w:eastAsia="宋体" w:cs="Times New Roman"/>
                <w:snapToGrid/>
                <w:color w:val="auto"/>
                <w:kern w:val="2"/>
                <w:sz w:val="24"/>
                <w:szCs w:val="24"/>
                <w:highlight w:val="none"/>
                <w:lang w:val="en-US" w:eastAsia="zh-CN" w:bidi="ar-SA"/>
              </w:rPr>
              <w:t>避免重车重复碾压填土面，必要时还应在层之间结合面填土前刨毛，</w:t>
            </w:r>
            <w:r>
              <w:rPr>
                <w:rFonts w:hint="eastAsia" w:cs="Times New Roman"/>
                <w:snapToGrid/>
                <w:color w:val="auto"/>
                <w:kern w:val="2"/>
                <w:sz w:val="24"/>
                <w:szCs w:val="24"/>
                <w:highlight w:val="none"/>
                <w:lang w:val="en-US" w:eastAsia="zh-CN" w:bidi="ar-SA"/>
              </w:rPr>
              <w:t>并</w:t>
            </w:r>
            <w:r>
              <w:rPr>
                <w:rFonts w:hint="default" w:ascii="Times New Roman" w:hAnsi="Times New Roman" w:eastAsia="宋体" w:cs="Times New Roman"/>
                <w:snapToGrid/>
                <w:color w:val="auto"/>
                <w:kern w:val="2"/>
                <w:sz w:val="24"/>
                <w:szCs w:val="24"/>
                <w:highlight w:val="none"/>
                <w:lang w:val="en-US" w:eastAsia="zh-CN" w:bidi="ar-SA"/>
              </w:rPr>
              <w:t>浇水润湿。分层水平上升，分段作业段的长度为200 m，相邻施工段的作业面须均衡上升，避免出现陡坎高差。若段与段之间不可避免出现高差时，以1:3～1:5的斜坡面相接，每层铺筑厚度为30 cm。作业面必须做到统一铺土，统一碾压，当天铺筑，当天碾压，确保填筑质量。全部填筑完成以后，须作整坡压实，经过一段时间的固结后，按设计要求进行修整，做到线型流畅，坡面平顺。</w:t>
            </w:r>
          </w:p>
          <w:p w14:paraId="3850152E">
            <w:pPr>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（4）土方碾压施工</w:t>
            </w:r>
          </w:p>
          <w:p w14:paraId="30D3E5C2">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napToGrid/>
                <w:color w:val="auto"/>
                <w:kern w:val="2"/>
                <w:sz w:val="24"/>
                <w:szCs w:val="24"/>
                <w:highlight w:val="none"/>
                <w:lang w:val="en-US" w:eastAsia="zh-CN" w:bidi="ar-SA"/>
              </w:rPr>
              <w:t>土方碾压拟采用13～14 t振动碾压，碾压时严格按照操作规程作业，碾压宽度为1/2～1/3的履带宽度，行进方向平行于堤轴线，防止出现漏压、欠压。碾压遍数一般不少于4～6遍，操作时根据各取土场的碾压试验结果确定。机械碾压不到的部位，应用人工方式铺以夯具夯实。坝体填筑应严格按照规范要求施工，蓄水池挡水坝填筑采用2.0 m³挖掘机配15 t自卸汽车由库区回填区运料至坝体填筑面，88 kW推土机配合人工整平，振动平碾压实。</w:t>
            </w:r>
          </w:p>
          <w:p w14:paraId="69DC947A">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2.3.</w:t>
            </w:r>
            <w:r>
              <w:rPr>
                <w:rFonts w:hint="default" w:ascii="Times New Roman" w:hAnsi="Times New Roman" w:eastAsia="宋体" w:cs="Times New Roman"/>
                <w:snapToGrid/>
                <w:color w:val="auto"/>
                <w:kern w:val="2"/>
                <w:sz w:val="24"/>
                <w:szCs w:val="24"/>
                <w:highlight w:val="none"/>
                <w:lang w:val="en-US" w:eastAsia="zh-CN" w:bidi="ar-SA"/>
              </w:rPr>
              <w:t>3HDPE土工膜的铺设</w:t>
            </w:r>
            <w:r>
              <w:rPr>
                <w:rFonts w:hint="eastAsia" w:ascii="Times New Roman" w:hAnsi="Times New Roman" w:eastAsia="宋体" w:cs="Times New Roman"/>
                <w:snapToGrid/>
                <w:color w:val="auto"/>
                <w:kern w:val="2"/>
                <w:sz w:val="24"/>
                <w:szCs w:val="24"/>
                <w:highlight w:val="none"/>
                <w:lang w:val="en-US" w:eastAsia="zh-CN" w:bidi="ar-SA"/>
              </w:rPr>
              <w:t>与</w:t>
            </w:r>
            <w:r>
              <w:rPr>
                <w:rFonts w:hint="default" w:ascii="Times New Roman" w:hAnsi="Times New Roman" w:eastAsia="宋体" w:cs="Times New Roman"/>
                <w:snapToGrid/>
                <w:color w:val="auto"/>
                <w:kern w:val="2"/>
                <w:sz w:val="24"/>
                <w:szCs w:val="24"/>
                <w:highlight w:val="none"/>
                <w:lang w:val="en-US" w:eastAsia="zh-CN" w:bidi="ar-SA"/>
              </w:rPr>
              <w:t>焊接</w:t>
            </w:r>
          </w:p>
          <w:p w14:paraId="67C2358E">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highlight w:val="none"/>
              </w:rPr>
            </w:pPr>
            <w:r>
              <w:rPr>
                <w:rFonts w:hint="default" w:ascii="Times New Roman" w:hAnsi="Times New Roman" w:eastAsia="宋体" w:cs="Times New Roman"/>
                <w:snapToGrid/>
                <w:color w:val="auto"/>
                <w:kern w:val="2"/>
                <w:sz w:val="24"/>
                <w:szCs w:val="24"/>
                <w:highlight w:val="none"/>
                <w:lang w:val="en-US" w:eastAsia="zh-CN" w:bidi="ar-SA"/>
              </w:rPr>
              <w:t>HDPE膜裁切之前，应该准确丈量其相关尺寸，然后按实际裁切</w:t>
            </w:r>
            <w:r>
              <w:rPr>
                <w:rFonts w:hint="eastAsia" w:ascii="Times New Roman" w:hAnsi="Times New Roman"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铺设HDPE土工膜时应力求焊缝最少，膜与膜之间接缝的搭接宽度一般不小于10cm，通常在拐角及畸形地段，应</w:t>
            </w:r>
            <w:r>
              <w:rPr>
                <w:rFonts w:hint="eastAsia" w:ascii="Times New Roman" w:hAnsi="Times New Roman" w:cs="Times New Roman"/>
                <w:snapToGrid/>
                <w:color w:val="auto"/>
                <w:kern w:val="2"/>
                <w:sz w:val="24"/>
                <w:szCs w:val="24"/>
                <w:highlight w:val="none"/>
                <w:lang w:val="en-US" w:eastAsia="zh-CN" w:bidi="ar-SA"/>
              </w:rPr>
              <w:t>使</w:t>
            </w:r>
            <w:r>
              <w:rPr>
                <w:rFonts w:hint="default" w:ascii="Times New Roman" w:hAnsi="Times New Roman" w:eastAsia="宋体" w:cs="Times New Roman"/>
                <w:snapToGrid/>
                <w:color w:val="auto"/>
                <w:kern w:val="2"/>
                <w:sz w:val="24"/>
                <w:szCs w:val="24"/>
                <w:highlight w:val="none"/>
                <w:lang w:val="en-US" w:eastAsia="zh-CN" w:bidi="ar-SA"/>
              </w:rPr>
              <w:t>接缝长度尽量减短。除特殊要求外，在坡度大于1：6的斜坡上距顶坡或应力集中区域1.5米范围内，尽量不设焊缝。HDPE土工膜在铺设中，应避免产生人为褶皱</w:t>
            </w:r>
            <w:r>
              <w:rPr>
                <w:rFonts w:hint="eastAsia" w:ascii="Times New Roman" w:hAnsi="Times New Roman"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温度较低时，应尽量拉紧，铺平。</w:t>
            </w:r>
            <w:r>
              <w:rPr>
                <w:rFonts w:hint="eastAsia"/>
                <w:highlight w:val="none"/>
                <w:lang w:eastAsia="zh-CN"/>
              </w:rPr>
              <w:t>池底</w:t>
            </w:r>
            <w:r>
              <w:rPr>
                <w:rFonts w:hint="default"/>
                <w:highlight w:val="none"/>
                <w:lang w:val="en-US" w:eastAsia="zh-CN"/>
              </w:rPr>
              <w:t>土工膜上铺设150mm厚砂砾石垫层</w:t>
            </w:r>
            <w:r>
              <w:rPr>
                <w:rFonts w:hint="eastAsia"/>
                <w:highlight w:val="none"/>
                <w:lang w:val="en-US" w:eastAsia="zh-CN"/>
              </w:rPr>
              <w:t>，边坡</w:t>
            </w:r>
            <w:r>
              <w:rPr>
                <w:rFonts w:hint="default"/>
                <w:highlight w:val="none"/>
                <w:lang w:val="en-US" w:eastAsia="zh-CN"/>
              </w:rPr>
              <w:t>土工膜</w:t>
            </w:r>
            <w:r>
              <w:rPr>
                <w:rFonts w:hint="eastAsia"/>
                <w:highlight w:val="none"/>
                <w:lang w:val="en-US" w:eastAsia="zh-CN"/>
              </w:rPr>
              <w:t>采用沙土覆盖方式固定。</w:t>
            </w:r>
          </w:p>
          <w:p w14:paraId="5B362AE1">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highlight w:val="none"/>
                <w:lang w:val="en-US" w:eastAsia="zh-CN"/>
              </w:rPr>
            </w:pPr>
            <w:r>
              <w:rPr>
                <w:rFonts w:hint="default"/>
                <w:highlight w:val="none"/>
                <w:lang w:val="en-US" w:eastAsia="zh-CN"/>
              </w:rPr>
              <w:t>池顶及池壁需将开挖松动层夯实，边坡采用1.5mm厚HDPE土工膜防渗及护坡。蓄水池池底采用200mm素土回填，上铺1.5mm厚HDPE土工膜</w:t>
            </w:r>
            <w:r>
              <w:rPr>
                <w:rFonts w:hint="eastAsia"/>
                <w:highlight w:val="none"/>
                <w:lang w:val="en-US" w:eastAsia="zh-CN"/>
              </w:rPr>
              <w:t>进行</w:t>
            </w:r>
            <w:r>
              <w:rPr>
                <w:rFonts w:hint="default"/>
                <w:highlight w:val="none"/>
                <w:lang w:val="en-US" w:eastAsia="zh-CN"/>
              </w:rPr>
              <w:t>防渗</w:t>
            </w:r>
            <w:r>
              <w:rPr>
                <w:rFonts w:hint="eastAsia"/>
                <w:highlight w:val="none"/>
                <w:lang w:val="en-US" w:eastAsia="zh-CN"/>
              </w:rPr>
              <w:t>处理</w:t>
            </w:r>
            <w:r>
              <w:rPr>
                <w:rFonts w:hint="default"/>
                <w:highlight w:val="none"/>
                <w:lang w:val="en-US" w:eastAsia="zh-CN"/>
              </w:rPr>
              <w:t>，土工膜上铺设150mm厚</w:t>
            </w:r>
            <w:r>
              <w:rPr>
                <w:rFonts w:hint="eastAsia"/>
                <w:highlight w:val="none"/>
                <w:lang w:val="en-US" w:eastAsia="zh-CN"/>
              </w:rPr>
              <w:t>的</w:t>
            </w:r>
            <w:r>
              <w:rPr>
                <w:rFonts w:hint="default"/>
                <w:highlight w:val="none"/>
                <w:lang w:val="en-US" w:eastAsia="zh-CN"/>
              </w:rPr>
              <w:t>砂砾石垫层。进水口消力结构采用2m×1m×0.4m铅丝石笼消力，消力池长18m，宽4m，消力池池体结构为HDPE土工膜（1.5mm）+砂砾料垫层100mm+格宾石笼护底400mm。</w:t>
            </w:r>
          </w:p>
          <w:p w14:paraId="560DB949">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2.3.</w:t>
            </w:r>
            <w:r>
              <w:rPr>
                <w:rFonts w:hint="eastAsia" w:ascii="Times New Roman" w:hAnsi="Times New Roman" w:eastAsia="宋体" w:cs="Times New Roman"/>
                <w:snapToGrid/>
                <w:color w:val="auto"/>
                <w:kern w:val="2"/>
                <w:sz w:val="24"/>
                <w:szCs w:val="24"/>
                <w:highlight w:val="none"/>
                <w:lang w:val="en-US" w:eastAsia="zh-CN" w:bidi="ar-SA"/>
              </w:rPr>
              <w:t>4</w:t>
            </w:r>
            <w:r>
              <w:rPr>
                <w:rFonts w:hint="default" w:ascii="Times New Roman" w:hAnsi="Times New Roman" w:eastAsia="宋体" w:cs="Times New Roman"/>
                <w:snapToGrid/>
                <w:color w:val="auto"/>
                <w:kern w:val="2"/>
                <w:sz w:val="24"/>
                <w:szCs w:val="24"/>
                <w:highlight w:val="none"/>
                <w:lang w:val="en-US" w:eastAsia="zh-CN" w:bidi="ar-SA"/>
              </w:rPr>
              <w:t>坝顶路面</w:t>
            </w:r>
          </w:p>
          <w:p w14:paraId="0E07F5A9">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路面设计有砂砾</w:t>
            </w:r>
            <w:r>
              <w:rPr>
                <w:rFonts w:hint="eastAsia" w:ascii="Times New Roman" w:hAnsi="Times New Roman"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垫层，采用天然砂砾。铺设时碾压应遵循先轻后重的原则，洒水碾压后必须满足密实度要求。路面完工后，要进行全面测量，以备竣工验收。</w:t>
            </w:r>
          </w:p>
          <w:p w14:paraId="008721BA">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2.3.</w:t>
            </w:r>
            <w:r>
              <w:rPr>
                <w:rFonts w:hint="eastAsia" w:ascii="Times New Roman" w:hAnsi="Times New Roman" w:eastAsia="宋体" w:cs="Times New Roman"/>
                <w:snapToGrid/>
                <w:color w:val="auto"/>
                <w:kern w:val="2"/>
                <w:sz w:val="24"/>
                <w:szCs w:val="24"/>
                <w:highlight w:val="none"/>
                <w:lang w:val="en-US" w:eastAsia="zh-CN" w:bidi="ar-SA"/>
              </w:rPr>
              <w:t>5</w:t>
            </w:r>
            <w:r>
              <w:rPr>
                <w:rFonts w:hint="default" w:ascii="Times New Roman" w:hAnsi="Times New Roman" w:eastAsia="宋体" w:cs="Times New Roman"/>
                <w:snapToGrid/>
                <w:color w:val="auto"/>
                <w:kern w:val="2"/>
                <w:sz w:val="24"/>
                <w:szCs w:val="24"/>
                <w:highlight w:val="none"/>
                <w:lang w:val="en-US" w:eastAsia="zh-CN" w:bidi="ar-SA"/>
              </w:rPr>
              <w:t>防护林施工</w:t>
            </w:r>
          </w:p>
          <w:p w14:paraId="7D967881">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防护林施工主要把握三点：一是树种的选择及其苗木规格。选用树种苗木</w:t>
            </w:r>
            <w:r>
              <w:rPr>
                <w:rFonts w:hint="eastAsia" w:ascii="Times New Roman" w:hAnsi="Times New Roman"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要求：本项目选用旱柳（胸径4cm~5cm）。二是栽植时间及方法。栽植时间选择在春季4、5月份，采用冬贮苗或春挖苗，成活率达不到验收标准的补植在秋冬季进行，栽植坑规格70cm×70cm×80cm，栽植方法严格按照“三埋二踩一提苗”。三是抚育管理措施。造林后要及时浇水，一年浇水5～6次。</w:t>
            </w:r>
          </w:p>
          <w:p w14:paraId="2600C3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napToGrid/>
                <w:color w:val="auto"/>
                <w:kern w:val="2"/>
                <w:sz w:val="24"/>
                <w:szCs w:val="24"/>
                <w:highlight w:val="none"/>
                <w:lang w:val="en-US" w:eastAsia="zh-CN" w:bidi="ar-SA"/>
              </w:rPr>
              <w:t>主要施工及管护过程为整地、栽植和抚育。防护林采用人工植苗造林，栽培时间选在秋冬，树坑为70cm×70cm×80cm，挖掘的土一般置于树穴周围，对挖掘到的石块、杂物及不适合种植的土壤进行清理。选择健壮的苗木，栽植前将苗木渗泡48h～72h后，将树苗放入树穴，竖直看齐后，垫少量土固定树苗，随后填土至树穴一半，用锄头将树苗四周的松土插实，然后再继续用土填满树</w:t>
            </w:r>
            <w:r>
              <w:rPr>
                <w:rFonts w:hint="default" w:ascii="Times New Roman" w:hAnsi="Times New Roman" w:eastAsia="宋体" w:cs="Times New Roman"/>
                <w:sz w:val="24"/>
                <w:szCs w:val="24"/>
                <w:highlight w:val="none"/>
                <w:lang w:val="en-US" w:eastAsia="zh-CN"/>
              </w:rPr>
              <w:t>穴并插实。造林后要及时浇水，隔10d后再浇水一次，保证苗木的成活率。</w:t>
            </w:r>
          </w:p>
          <w:p w14:paraId="5D741C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z w:val="24"/>
                <w:szCs w:val="24"/>
                <w:highlight w:val="none"/>
                <w:lang w:val="en-US" w:eastAsia="zh-CN"/>
              </w:rPr>
              <w:t>防护林幼林抚育的任务主要是通过植树行间和行内的锄草松土，促使幼林</w:t>
            </w:r>
            <w:r>
              <w:rPr>
                <w:rFonts w:hint="default" w:ascii="Times New Roman" w:hAnsi="Times New Roman" w:eastAsia="宋体" w:cs="Times New Roman"/>
                <w:snapToGrid/>
                <w:color w:val="auto"/>
                <w:kern w:val="2"/>
                <w:sz w:val="24"/>
                <w:szCs w:val="24"/>
                <w:highlight w:val="none"/>
                <w:lang w:val="en-US" w:eastAsia="zh-CN" w:bidi="ar-SA"/>
              </w:rPr>
              <w:t>正常生长。松土除草要做到除早、除小、除了，对幼树而言，第一年应当保证</w:t>
            </w:r>
            <w:r>
              <w:rPr>
                <w:rFonts w:hint="eastAsia" w:cs="Times New Roman"/>
                <w:snapToGrid/>
                <w:color w:val="auto"/>
                <w:kern w:val="2"/>
                <w:sz w:val="24"/>
                <w:szCs w:val="24"/>
                <w:highlight w:val="none"/>
                <w:lang w:val="en-US" w:eastAsia="zh-CN" w:bidi="ar-SA"/>
              </w:rPr>
              <w:t>除草</w:t>
            </w:r>
            <w:r>
              <w:rPr>
                <w:rFonts w:hint="default" w:ascii="Times New Roman" w:hAnsi="Times New Roman" w:eastAsia="宋体" w:cs="Times New Roman"/>
                <w:snapToGrid/>
                <w:color w:val="auto"/>
                <w:kern w:val="2"/>
                <w:sz w:val="24"/>
                <w:szCs w:val="24"/>
                <w:highlight w:val="none"/>
                <w:lang w:val="en-US" w:eastAsia="zh-CN" w:bidi="ar-SA"/>
              </w:rPr>
              <w:t>3次，第二年2次，第三年可视情况进行1～2次。本项目区处于半干旱地区，抚育年限应延长到5年～7年。利用规划的灌水设施适时灌水。林带缺苗断条时要及时补植，补植处要细致整地，并选用大苗精心栽植，必要时浇水，保证成活，促其生长。对新建防护林带成活率低于90%的，应于造林后的1～2年内用大苗补充。</w:t>
            </w:r>
          </w:p>
          <w:p w14:paraId="49C01CCE">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2.3.</w:t>
            </w:r>
            <w:r>
              <w:rPr>
                <w:rFonts w:hint="eastAsia" w:ascii="Times New Roman" w:hAnsi="Times New Roman" w:eastAsia="宋体" w:cs="Times New Roman"/>
                <w:snapToGrid w:val="0"/>
                <w:color w:val="auto"/>
                <w:sz w:val="24"/>
                <w:szCs w:val="24"/>
                <w:highlight w:val="none"/>
                <w:lang w:val="en-US" w:eastAsia="zh-CN" w:bidi="ar-SA"/>
              </w:rPr>
              <w:t>6</w:t>
            </w:r>
            <w:r>
              <w:rPr>
                <w:rFonts w:hint="default" w:ascii="Times New Roman" w:hAnsi="Times New Roman" w:eastAsia="宋体" w:cs="Times New Roman"/>
                <w:snapToGrid w:val="0"/>
                <w:color w:val="auto"/>
                <w:sz w:val="24"/>
                <w:szCs w:val="24"/>
                <w:highlight w:val="none"/>
                <w:lang w:val="en-US" w:eastAsia="zh-CN" w:bidi="ar-SA"/>
              </w:rPr>
              <w:t>沙柳网格护坡</w:t>
            </w:r>
          </w:p>
          <w:p w14:paraId="29A8AC8B">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snapToGrid/>
                <w:color w:val="auto"/>
                <w:kern w:val="2"/>
                <w:sz w:val="24"/>
                <w:szCs w:val="24"/>
                <w:highlight w:val="none"/>
                <w:lang w:val="en-US" w:eastAsia="zh-CN" w:bidi="ar-SA"/>
              </w:rPr>
              <w:t>边坡防护采用1m×1m沙柳枝条扦插成网格防护。施工时，</w:t>
            </w:r>
            <w:r>
              <w:rPr>
                <w:rFonts w:hint="eastAsia" w:ascii="Times New Roman" w:hAnsi="Times New Roman" w:cs="Times New Roman"/>
                <w:snapToGrid/>
                <w:color w:val="auto"/>
                <w:kern w:val="2"/>
                <w:sz w:val="24"/>
                <w:szCs w:val="24"/>
                <w:highlight w:val="none"/>
                <w:lang w:val="en-US" w:eastAsia="zh-CN" w:bidi="ar-SA"/>
              </w:rPr>
              <w:t>应先</w:t>
            </w:r>
            <w:r>
              <w:rPr>
                <w:rFonts w:hint="default" w:ascii="Times New Roman" w:hAnsi="Times New Roman" w:eastAsia="宋体" w:cs="Times New Roman"/>
                <w:snapToGrid/>
                <w:color w:val="auto"/>
                <w:kern w:val="2"/>
                <w:sz w:val="24"/>
                <w:szCs w:val="24"/>
                <w:highlight w:val="none"/>
                <w:lang w:val="en-US" w:eastAsia="zh-CN" w:bidi="ar-SA"/>
              </w:rPr>
              <w:t>对边坡进行覆土，然后进行开挖沟槽。开挖沟槽时，迎风侧先设主带（即与主风向垂直的沙障），后设副带（即与主风向平行的沙障），主带从迎风坡开始向上进行，背风坡宜先设副带，再自上而下设置主带。主副带开好沟槽后，将沙柳埋入沟槽中。沙柳在早春土壤解冻、沙柳芽包未放开前，或秋季落叶后，选择2年生以上的枝条（直径在0.6cm以上），截成60cm长的插条，大头朝下，随剪随栽。沙柳条插入地下40cm，两侧培土</w:t>
            </w:r>
            <w:r>
              <w:rPr>
                <w:rFonts w:hint="eastAsia" w:ascii="Times New Roman" w:hAnsi="Times New Roman"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地上部分露20cm，扶正踏实</w:t>
            </w:r>
            <w:r>
              <w:rPr>
                <w:rFonts w:hint="eastAsia" w:ascii="Times New Roman" w:hAnsi="Times New Roman"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沙柳条的株距为2cm，形成沙柳沙障</w:t>
            </w:r>
            <w:r>
              <w:rPr>
                <w:rFonts w:hint="eastAsia" w:ascii="Times New Roman" w:hAnsi="Times New Roman"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每公顷网格沙障需沙柳50000kg。</w:t>
            </w:r>
          </w:p>
          <w:p w14:paraId="1152E848">
            <w:pPr>
              <w:pStyle w:val="7"/>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7" w:name="_Toc98973285"/>
            <w:bookmarkStart w:id="8" w:name="_Toc386963632"/>
            <w:bookmarkStart w:id="9" w:name="_Toc222454891"/>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三、</w:t>
            </w:r>
            <w:r>
              <w:rPr>
                <w:rFonts w:hint="default" w:ascii="Times New Roman" w:hAnsi="Times New Roman" w:eastAsia="宋体" w:cs="Times New Roman"/>
                <w:color w:val="000000" w:themeColor="text1"/>
                <w:sz w:val="24"/>
                <w:szCs w:val="24"/>
                <w:highlight w:val="none"/>
                <w14:textFill>
                  <w14:solidFill>
                    <w14:schemeClr w14:val="tx1"/>
                  </w14:solidFill>
                </w14:textFill>
              </w:rPr>
              <w:t>施工进度</w:t>
            </w:r>
            <w:bookmarkEnd w:id="7"/>
            <w:bookmarkEnd w:id="8"/>
            <w:bookmarkEnd w:id="9"/>
          </w:p>
          <w:p w14:paraId="1E3F3CFE">
            <w:pPr>
              <w:pStyle w:val="28"/>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根据工程实际情况及施工进度安排，</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施工期为4个月</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4A727B75">
            <w:pPr>
              <w:keepNext w:val="0"/>
              <w:keepLines w:val="0"/>
              <w:pageBreakBefore w:val="0"/>
              <w:widowControl/>
              <w:suppressLineNumbers w:val="0"/>
              <w:kinsoku/>
              <w:wordWrap/>
              <w:overflowPunct/>
              <w:topLinePunct w:val="0"/>
              <w:autoSpaceDE/>
              <w:autoSpaceDN/>
              <w:bidi w:val="0"/>
              <w:spacing w:line="360" w:lineRule="auto"/>
              <w:jc w:val="left"/>
              <w:textAlignment w:val="auto"/>
              <w:rPr>
                <w:highlight w:val="none"/>
              </w:rPr>
            </w:pPr>
            <w:r>
              <w:rPr>
                <w:rFonts w:hint="eastAsia" w:ascii="宋体" w:hAnsi="宋体" w:cs="宋体"/>
                <w:b/>
                <w:bCs/>
                <w:color w:val="000000"/>
                <w:kern w:val="0"/>
                <w:sz w:val="24"/>
                <w:szCs w:val="24"/>
                <w:highlight w:val="none"/>
                <w:lang w:val="en-US" w:eastAsia="zh-CN" w:bidi="ar"/>
              </w:rPr>
              <w:t>四</w:t>
            </w:r>
            <w:r>
              <w:rPr>
                <w:rFonts w:hint="eastAsia" w:ascii="宋体" w:hAnsi="宋体" w:eastAsia="宋体" w:cs="宋体"/>
                <w:b/>
                <w:bCs/>
                <w:color w:val="000000"/>
                <w:kern w:val="0"/>
                <w:sz w:val="24"/>
                <w:szCs w:val="24"/>
                <w:highlight w:val="none"/>
                <w:lang w:val="en-US" w:eastAsia="zh-CN" w:bidi="ar"/>
              </w:rPr>
              <w:t xml:space="preserve">、工艺流程简述 </w:t>
            </w:r>
          </w:p>
          <w:p w14:paraId="479BAB1C">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w:t>
            </w:r>
            <w:r>
              <w:rPr>
                <w:rFonts w:hint="eastAsia" w:cs="Times New Roman"/>
                <w:b/>
                <w:bCs/>
                <w:color w:val="000000"/>
                <w:kern w:val="0"/>
                <w:sz w:val="24"/>
                <w:szCs w:val="24"/>
                <w:highlight w:val="none"/>
                <w:lang w:val="en-US" w:eastAsia="zh-CN" w:bidi="ar"/>
              </w:rPr>
              <w:t>.</w:t>
            </w:r>
            <w:r>
              <w:rPr>
                <w:rFonts w:hint="eastAsia" w:ascii="宋体" w:hAnsi="宋体" w:eastAsia="宋体" w:cs="宋体"/>
                <w:b/>
                <w:bCs/>
                <w:color w:val="000000"/>
                <w:kern w:val="0"/>
                <w:sz w:val="24"/>
                <w:szCs w:val="24"/>
                <w:highlight w:val="none"/>
                <w:lang w:val="en-US" w:eastAsia="zh-CN" w:bidi="ar"/>
              </w:rPr>
              <w:t>施工期工艺流程及产污节点</w:t>
            </w:r>
          </w:p>
          <w:p w14:paraId="03442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szCs w:val="24"/>
                <w:highlight w:val="none"/>
              </w:rPr>
              <w:t>本项目施工过程主要包括：施工场地平整、</w:t>
            </w:r>
            <w:r>
              <w:rPr>
                <w:rFonts w:hint="eastAsia"/>
                <w:color w:val="auto"/>
                <w:sz w:val="24"/>
                <w:szCs w:val="24"/>
                <w:highlight w:val="none"/>
                <w:lang w:eastAsia="zh-CN"/>
              </w:rPr>
              <w:t>管道工程的建设和蓄水池工程的建设</w:t>
            </w:r>
            <w:r>
              <w:rPr>
                <w:rFonts w:hint="default"/>
                <w:sz w:val="24"/>
                <w:szCs w:val="24"/>
                <w:highlight w:val="none"/>
                <w:lang w:val="en-US" w:eastAsia="zh-CN"/>
              </w:rPr>
              <w:t>。</w:t>
            </w:r>
            <w:r>
              <w:rPr>
                <w:rFonts w:hint="eastAsia"/>
                <w:color w:val="auto"/>
                <w:sz w:val="24"/>
                <w:szCs w:val="24"/>
                <w:highlight w:val="none"/>
              </w:rPr>
              <w:t>在施工过程中会产生扬尘、噪声、固体废弃物和废水等污染物。</w:t>
            </w:r>
            <w:r>
              <w:rPr>
                <w:rFonts w:hint="eastAsia"/>
                <w:color w:val="auto"/>
                <w:sz w:val="24"/>
                <w:highlight w:val="none"/>
              </w:rPr>
              <w:t>工艺流程及产排污节点如下：</w:t>
            </w:r>
          </w:p>
          <w:p w14:paraId="42EF1A7F">
            <w:pPr>
              <w:pStyle w:val="2"/>
              <w:rPr>
                <w:rFonts w:hint="eastAsia"/>
                <w:color w:val="auto"/>
                <w:sz w:val="24"/>
                <w:highlight w:val="none"/>
              </w:rPr>
            </w:pPr>
          </w:p>
          <w:p w14:paraId="6035027F">
            <w:pPr>
              <w:pStyle w:val="2"/>
              <w:ind w:left="0" w:leftChars="0" w:firstLine="0" w:firstLineChars="0"/>
              <w:rPr>
                <w:rFonts w:hint="eastAsia"/>
                <w:color w:val="auto"/>
                <w:sz w:val="24"/>
                <w:highlight w:val="none"/>
              </w:rPr>
            </w:pPr>
          </w:p>
          <w:p w14:paraId="458C1182">
            <w:pPr>
              <w:pStyle w:val="2"/>
              <w:rPr>
                <w:rFonts w:hint="eastAsia"/>
                <w:color w:val="auto"/>
                <w:sz w:val="24"/>
                <w:highlight w:val="none"/>
              </w:rPr>
            </w:pPr>
            <w:r>
              <w:rPr>
                <w:sz w:val="24"/>
                <w:highlight w:val="none"/>
              </w:rPr>
              <mc:AlternateContent>
                <mc:Choice Requires="wpg">
                  <w:drawing>
                    <wp:anchor distT="0" distB="0" distL="114300" distR="114300" simplePos="0" relativeHeight="251665408" behindDoc="0" locked="0" layoutInCell="1" allowOverlap="1">
                      <wp:simplePos x="0" y="0"/>
                      <wp:positionH relativeFrom="column">
                        <wp:posOffset>271145</wp:posOffset>
                      </wp:positionH>
                      <wp:positionV relativeFrom="paragraph">
                        <wp:posOffset>241300</wp:posOffset>
                      </wp:positionV>
                      <wp:extent cx="4185285" cy="704215"/>
                      <wp:effectExtent l="4445" t="0" r="16510" b="9525"/>
                      <wp:wrapNone/>
                      <wp:docPr id="15" name="组合 15"/>
                      <wp:cNvGraphicFramePr/>
                      <a:graphic xmlns:a="http://schemas.openxmlformats.org/drawingml/2006/main">
                        <a:graphicData uri="http://schemas.microsoft.com/office/word/2010/wordprocessingGroup">
                          <wpg:wgp>
                            <wpg:cNvGrpSpPr/>
                            <wpg:grpSpPr>
                              <a:xfrm>
                                <a:off x="0" y="0"/>
                                <a:ext cx="4185285" cy="704215"/>
                                <a:chOff x="5448" y="304518"/>
                                <a:chExt cx="6591" cy="1109"/>
                              </a:xfrm>
                            </wpg:grpSpPr>
                            <wps:wsp>
                              <wps:cNvPr id="41" name="文本框 41"/>
                              <wps:cNvSpPr txBox="1"/>
                              <wps:spPr>
                                <a:xfrm>
                                  <a:off x="5448" y="305164"/>
                                  <a:ext cx="1212" cy="4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75A8B2">
                                    <w:pPr>
                                      <w:rPr>
                                        <w:rFonts w:hint="eastAsia" w:eastAsia="宋体"/>
                                        <w:lang w:eastAsia="zh-CN"/>
                                      </w:rPr>
                                    </w:pPr>
                                    <w:r>
                                      <w:rPr>
                                        <w:rFonts w:hint="eastAsia"/>
                                        <w:lang w:eastAsia="zh-CN"/>
                                      </w:rPr>
                                      <w:t>场地平整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文本框 42"/>
                              <wps:cNvSpPr txBox="1"/>
                              <wps:spPr>
                                <a:xfrm>
                                  <a:off x="8977" y="305182"/>
                                  <a:ext cx="1392" cy="4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A460824">
                                    <w:pPr>
                                      <w:rPr>
                                        <w:rFonts w:hint="eastAsia" w:eastAsia="宋体"/>
                                        <w:lang w:eastAsia="zh-CN"/>
                                      </w:rPr>
                                    </w:pPr>
                                    <w:r>
                                      <w:rPr>
                                        <w:rFonts w:hint="eastAsia"/>
                                        <w:lang w:eastAsia="zh-CN"/>
                                      </w:rPr>
                                      <w:t>蓄水池工程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直接箭头连接符 43"/>
                              <wps:cNvCnPr>
                                <a:stCxn id="41" idx="3"/>
                                <a:endCxn id="44" idx="1"/>
                              </wps:cNvCnPr>
                              <wps:spPr>
                                <a:xfrm>
                                  <a:off x="6660" y="305392"/>
                                  <a:ext cx="467" cy="3"/>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4" name="文本框 44"/>
                              <wps:cNvSpPr txBox="1"/>
                              <wps:spPr>
                                <a:xfrm>
                                  <a:off x="7127" y="305178"/>
                                  <a:ext cx="1248" cy="43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5D63A8">
                                    <w:pPr>
                                      <w:rPr>
                                        <w:rFonts w:hint="eastAsia" w:eastAsia="宋体"/>
                                        <w:lang w:eastAsia="zh-CN"/>
                                      </w:rPr>
                                    </w:pPr>
                                    <w:r>
                                      <w:rPr>
                                        <w:rFonts w:hint="eastAsia" w:eastAsia="宋体"/>
                                        <w:lang w:eastAsia="zh-CN"/>
                                      </w:rPr>
                                      <w:t>管道工程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直接箭头连接符 45"/>
                              <wps:cNvCnPr>
                                <a:stCxn id="44" idx="3"/>
                                <a:endCxn id="42" idx="1"/>
                              </wps:cNvCnPr>
                              <wps:spPr>
                                <a:xfrm>
                                  <a:off x="8375" y="305395"/>
                                  <a:ext cx="602" cy="1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8" name="直接箭头连接符 48"/>
                              <wps:cNvCnPr>
                                <a:stCxn id="42" idx="3"/>
                                <a:endCxn id="13" idx="1"/>
                              </wps:cNvCnPr>
                              <wps:spPr>
                                <a:xfrm flipV="1">
                                  <a:off x="10369" y="305396"/>
                                  <a:ext cx="462" cy="9"/>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 name="直接箭头连接符 4"/>
                              <wps:cNvCnPr>
                                <a:stCxn id="41" idx="0"/>
                                <a:endCxn id="26" idx="2"/>
                              </wps:cNvCnPr>
                              <wps:spPr>
                                <a:xfrm flipV="1">
                                  <a:off x="6054" y="304931"/>
                                  <a:ext cx="196" cy="233"/>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5" name="直接箭头连接符 5"/>
                              <wps:cNvCnPr>
                                <a:stCxn id="44" idx="0"/>
                                <a:endCxn id="28" idx="2"/>
                              </wps:cNvCnPr>
                              <wps:spPr>
                                <a:xfrm flipV="1">
                                  <a:off x="7751" y="304943"/>
                                  <a:ext cx="318" cy="235"/>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6" name="直接箭头连接符 6"/>
                              <wps:cNvCnPr>
                                <a:stCxn id="42" idx="0"/>
                                <a:endCxn id="31" idx="2"/>
                              </wps:cNvCnPr>
                              <wps:spPr>
                                <a:xfrm flipV="1">
                                  <a:off x="9673" y="304943"/>
                                  <a:ext cx="184" cy="239"/>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27" name="文本框 26"/>
                              <wps:cNvSpPr txBox="1"/>
                              <wps:spPr>
                                <a:xfrm>
                                  <a:off x="5987" y="304518"/>
                                  <a:ext cx="838"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35012">
                                    <w:pPr>
                                      <w:rPr>
                                        <w:rFonts w:hint="default" w:eastAsia="宋体"/>
                                        <w:lang w:val="en-US" w:eastAsia="zh-CN"/>
                                      </w:rPr>
                                    </w:pPr>
                                    <w:r>
                                      <w:rPr>
                                        <w:rFonts w:hint="eastAsia"/>
                                        <w:lang w:val="en-US" w:eastAsia="zh-CN"/>
                                      </w:rPr>
                                      <w:t>GNS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文本框 27"/>
                              <wps:cNvSpPr txBox="1"/>
                              <wps:spPr>
                                <a:xfrm>
                                  <a:off x="7607" y="304530"/>
                                  <a:ext cx="923"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0984C9">
                                    <w:pPr>
                                      <w:rPr>
                                        <w:rFonts w:hint="default" w:eastAsia="宋体"/>
                                        <w:lang w:val="en-US" w:eastAsia="zh-CN"/>
                                      </w:rPr>
                                    </w:pPr>
                                    <w:r>
                                      <w:rPr>
                                        <w:rFonts w:hint="eastAsia"/>
                                        <w:lang w:val="en-US" w:eastAsia="zh-CN"/>
                                      </w:rPr>
                                      <w:t>GNWS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文本框 28"/>
                              <wps:cNvSpPr txBox="1"/>
                              <wps:spPr>
                                <a:xfrm>
                                  <a:off x="9479" y="304530"/>
                                  <a:ext cx="755"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9F5F3">
                                    <w:pPr>
                                      <w:rPr>
                                        <w:rFonts w:hint="default" w:eastAsia="宋体"/>
                                        <w:lang w:val="en-US" w:eastAsia="zh-CN"/>
                                      </w:rPr>
                                    </w:pPr>
                                    <w:r>
                                      <w:rPr>
                                        <w:rFonts w:hint="eastAsia"/>
                                        <w:lang w:val="en-US" w:eastAsia="zh-CN"/>
                                      </w:rPr>
                                      <w:t>GNS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文本框 13"/>
                              <wps:cNvSpPr txBox="1"/>
                              <wps:spPr>
                                <a:xfrm>
                                  <a:off x="10831" y="305193"/>
                                  <a:ext cx="1208" cy="40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172C66">
                                    <w:pPr>
                                      <w:rPr>
                                        <w:rFonts w:hint="eastAsia" w:eastAsia="宋体"/>
                                        <w:lang w:eastAsia="zh-CN"/>
                                      </w:rPr>
                                    </w:pPr>
                                    <w:r>
                                      <w:rPr>
                                        <w:rFonts w:hint="eastAsia"/>
                                        <w:lang w:eastAsia="zh-CN"/>
                                      </w:rPr>
                                      <w:t>竣工验收</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1.35pt;margin-top:19pt;height:55.45pt;width:329.55pt;z-index:251665408;mso-width-relative:page;mso-height-relative:page;" coordorigin="5448,304518" coordsize="6591,1109" o:gfxdata="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">
                      <o:lock v:ext="edit" aspectratio="f"/>
                      <v:shape id="_x0000_s1026" o:spid="_x0000_s1026" o:spt="202" type="#_x0000_t202" style="position:absolute;left:5448;top:305164;height:455;width:1212;" fillcolor="#FFFFFF [3201]" filled="t" stroked="t" coordsize="21600,21600" o:gfxdata="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Cwig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1875A8B2">
                              <w:pPr>
                                <w:rPr>
                                  <w:rFonts w:hint="eastAsia" w:eastAsia="宋体"/>
                                  <w:lang w:eastAsia="zh-CN"/>
                                </w:rPr>
                              </w:pPr>
                              <w:r>
                                <w:rPr>
                                  <w:rFonts w:hint="eastAsia"/>
                                  <w:lang w:eastAsia="zh-CN"/>
                                </w:rPr>
                                <w:t>场地平整</w:t>
                              </w:r>
                            </w:p>
                          </w:txbxContent>
                        </v:textbox>
                      </v:shape>
                      <v:shape id="_x0000_s1026" o:spid="_x0000_s1026" o:spt="202" type="#_x0000_t202" style="position:absolute;left:8977;top:305182;height:445;width:1392;" fillcolor="#FFFFFF [3201]" filled="t" stroked="t" coordsize="21600,21600" o:gfxdata="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2ZbX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0A460824">
                              <w:pPr>
                                <w:rPr>
                                  <w:rFonts w:hint="eastAsia" w:eastAsia="宋体"/>
                                  <w:lang w:eastAsia="zh-CN"/>
                                </w:rPr>
                              </w:pPr>
                              <w:r>
                                <w:rPr>
                                  <w:rFonts w:hint="eastAsia"/>
                                  <w:lang w:eastAsia="zh-CN"/>
                                </w:rPr>
                                <w:t>蓄水池工程</w:t>
                              </w:r>
                            </w:p>
                          </w:txbxContent>
                        </v:textbox>
                      </v:shape>
                      <v:shape id="_x0000_s1026" o:spid="_x0000_s1026" o:spt="32" type="#_x0000_t32" style="position:absolute;left:6660;top:305392;height:3;width:467;" filled="f" stroked="t" coordsize="21600,21600" o:gfxdata="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oF/q/&#10;AAAA2w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shape id="_x0000_s1026" o:spid="_x0000_s1026" o:spt="202" type="#_x0000_t202" style="position:absolute;left:7127;top:305178;height:433;width:1248;" fillcolor="#FFFFFF [3201]" filled="t" stroked="t" coordsize="21600,21600" o:gfxdata="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QfKs4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F5D63A8">
                              <w:pPr>
                                <w:rPr>
                                  <w:rFonts w:hint="eastAsia" w:eastAsia="宋体"/>
                                  <w:lang w:eastAsia="zh-CN"/>
                                </w:rPr>
                              </w:pPr>
                              <w:r>
                                <w:rPr>
                                  <w:rFonts w:hint="eastAsia" w:eastAsia="宋体"/>
                                  <w:lang w:eastAsia="zh-CN"/>
                                </w:rPr>
                                <w:t>管道工程</w:t>
                              </w:r>
                            </w:p>
                          </w:txbxContent>
                        </v:textbox>
                      </v:shape>
                      <v:shape id="_x0000_s1026" o:spid="_x0000_s1026" o:spt="32" type="#_x0000_t32" style="position:absolute;left:8375;top:305395;height:10;width:602;" filled="f" stroked="t" coordsize="21600,21600" o:gfxdata="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NKhW/&#10;AAAA2w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shape id="_x0000_s1026" o:spid="_x0000_s1026" o:spt="32" type="#_x0000_t32" style="position:absolute;left:10369;top:305396;flip:y;height:9;width:462;" filled="f" stroked="t" coordsize="21600,21600" o:gfxdata="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FB1LsAAADb&#10;AAAADwAAAAAAAAABACAAAAAiAAAAZHJzL2Rvd25yZXYueG1sUEsBAhQAFAAAAAgAh07iQDMvBZ47&#10;AAAAOQAAABAAAAAAAAAAAQAgAAAACgEAAGRycy9zaGFwZXhtbC54bWxQSwUGAAAAAAYABgBbAQAA&#10;tAMAAAAA&#10;">
                        <v:fill on="f" focussize="0,0"/>
                        <v:stroke color="#000000 [3213]" miterlimit="8" joinstyle="miter" endarrow="open"/>
                        <v:imagedata o:title=""/>
                        <o:lock v:ext="edit" aspectratio="f"/>
                      </v:shape>
                      <v:shape id="_x0000_s1026" o:spid="_x0000_s1026" o:spt="32" type="#_x0000_t32" style="position:absolute;left:6054;top:304931;flip:y;height:233;width:196;" filled="f" stroked="t" coordsize="21600,21600" o:gfxdata="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w5QXrgAAADaAAAA&#10;DwAAAAAAAAABACAAAAAiAAAAZHJzL2Rvd25yZXYueG1sUEsBAhQAFAAAAAgAh07iQDMvBZ47AAAA&#10;OQAAABAAAAAAAAAAAQAgAAAABwEAAGRycy9zaGFwZXhtbC54bWxQSwUGAAAAAAYABgBbAQAAsQMA&#10;AAAA&#10;">
                        <v:fill on="f" focussize="0,0"/>
                        <v:stroke weight="0.5pt" color="#000000 [3213]" miterlimit="8" joinstyle="miter" dashstyle="3 1" endarrow="open"/>
                        <v:imagedata o:title=""/>
                        <o:lock v:ext="edit" aspectratio="f"/>
                      </v:shape>
                      <v:shape id="_x0000_s1026" o:spid="_x0000_s1026" o:spt="32" type="#_x0000_t32" style="position:absolute;left:7751;top:304943;flip:y;height:235;width:318;" filled="f" stroked="t" coordsize="21600,21600" o:gfxdata="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RC9cW5AAAA2gAA&#10;AA8AAAAAAAAAAQAgAAAAIgAAAGRycy9kb3ducmV2LnhtbFBLAQIUABQAAAAIAIdO4kAzLwWeOwAA&#10;ADkAAAAQAAAAAAAAAAEAIAAAAAgBAABkcnMvc2hhcGV4bWwueG1sUEsFBgAAAAAGAAYAWwEAALID&#10;AAAAAA==&#10;">
                        <v:fill on="f" focussize="0,0"/>
                        <v:stroke weight="0.5pt" color="#000000 [3213]" miterlimit="8" joinstyle="miter" dashstyle="3 1" endarrow="open"/>
                        <v:imagedata o:title=""/>
                        <o:lock v:ext="edit" aspectratio="f"/>
                      </v:shape>
                      <v:shape id="_x0000_s1026" o:spid="_x0000_s1026" o:spt="32" type="#_x0000_t32" style="position:absolute;left:9673;top:304943;flip:y;height:239;width:184;" filled="f" stroked="t" coordsize="21600,21600" o:gfxdata="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kGuyugAAANoA&#10;AAAPAAAAAAAAAAEAIAAAACIAAABkcnMvZG93bnJldi54bWxQSwECFAAUAAAACACHTuJAMy8FnjsA&#10;AAA5AAAAEAAAAAAAAAABACAAAAAJAQAAZHJzL3NoYXBleG1sLnhtbFBLBQYAAAAABgAGAFsBAACz&#10;AwAAAAA=&#10;">
                        <v:fill on="f" focussize="0,0"/>
                        <v:stroke weight="0.5pt" color="#000000 [3213]" miterlimit="8" joinstyle="miter" dashstyle="3 1" endarrow="open"/>
                        <v:imagedata o:title=""/>
                        <o:lock v:ext="edit" aspectratio="f"/>
                      </v:shape>
                      <v:shape id="文本框 26" o:spid="_x0000_s1026" o:spt="202" type="#_x0000_t202" style="position:absolute;left:5987;top:304518;height:413;width:838;" filled="f" stroked="f" coordsize="21600,21600" o:gfxdata="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EbS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1835012">
                              <w:pPr>
                                <w:rPr>
                                  <w:rFonts w:hint="default" w:eastAsia="宋体"/>
                                  <w:lang w:val="en-US" w:eastAsia="zh-CN"/>
                                </w:rPr>
                              </w:pPr>
                              <w:r>
                                <w:rPr>
                                  <w:rFonts w:hint="eastAsia"/>
                                  <w:lang w:val="en-US" w:eastAsia="zh-CN"/>
                                </w:rPr>
                                <w:t>GNS</w:t>
                              </w:r>
                            </w:p>
                          </w:txbxContent>
                        </v:textbox>
                      </v:shape>
                      <v:shape id="文本框 27" o:spid="_x0000_s1026" o:spt="202" type="#_x0000_t202" style="position:absolute;left:7607;top:304530;height:413;width:923;" filled="f" stroked="f" coordsize="21600,21600" o:gfxdata="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Po87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14:paraId="4C0984C9">
                              <w:pPr>
                                <w:rPr>
                                  <w:rFonts w:hint="default" w:eastAsia="宋体"/>
                                  <w:lang w:val="en-US" w:eastAsia="zh-CN"/>
                                </w:rPr>
                              </w:pPr>
                              <w:r>
                                <w:rPr>
                                  <w:rFonts w:hint="eastAsia"/>
                                  <w:lang w:val="en-US" w:eastAsia="zh-CN"/>
                                </w:rPr>
                                <w:t>GNWS</w:t>
                              </w:r>
                            </w:p>
                          </w:txbxContent>
                        </v:textbox>
                      </v:shape>
                      <v:shape id="文本框 28" o:spid="_x0000_s1026" o:spt="202" type="#_x0000_t202" style="position:absolute;left:9479;top:304530;height:413;width:755;" filled="f" stroked="f" coordsize="21600,21600" o:gfxdata="UEsDBAoAAAAAAIdO4kAAAAAAAAAAAAAAAAAEAAAAZHJzL1BLAwQUAAAACACHTuJA792we74AAADb&#10;AAAADwAAAGRycy9kb3ducmV2LnhtbEWPS4vCQBCE74L/YWjBm06iKJ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92we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869F5F3">
                              <w:pPr>
                                <w:rPr>
                                  <w:rFonts w:hint="default" w:eastAsia="宋体"/>
                                  <w:lang w:val="en-US" w:eastAsia="zh-CN"/>
                                </w:rPr>
                              </w:pPr>
                              <w:r>
                                <w:rPr>
                                  <w:rFonts w:hint="eastAsia"/>
                                  <w:lang w:val="en-US" w:eastAsia="zh-CN"/>
                                </w:rPr>
                                <w:t>GNS</w:t>
                              </w:r>
                            </w:p>
                          </w:txbxContent>
                        </v:textbox>
                      </v:shape>
                      <v:shape id="_x0000_s1026" o:spid="_x0000_s1026" o:spt="202" type="#_x0000_t202" style="position:absolute;left:10831;top:305193;height:406;width:1208;" fillcolor="#FFFFFF [3201]" filled="t" stroked="t" coordsize="21600,21600" o:gfxdata="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MJhxR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78172C66">
                              <w:pPr>
                                <w:rPr>
                                  <w:rFonts w:hint="eastAsia" w:eastAsia="宋体"/>
                                  <w:lang w:eastAsia="zh-CN"/>
                                </w:rPr>
                              </w:pPr>
                              <w:r>
                                <w:rPr>
                                  <w:rFonts w:hint="eastAsia"/>
                                  <w:lang w:eastAsia="zh-CN"/>
                                </w:rPr>
                                <w:t>竣工验收</w:t>
                              </w:r>
                            </w:p>
                          </w:txbxContent>
                        </v:textbox>
                      </v:shape>
                    </v:group>
                  </w:pict>
                </mc:Fallback>
              </mc:AlternateContent>
            </w:r>
          </w:p>
          <w:p w14:paraId="4E7AFB96">
            <w:pPr>
              <w:pStyle w:val="2"/>
              <w:rPr>
                <w:rFonts w:hint="default"/>
                <w:color w:val="auto"/>
                <w:sz w:val="24"/>
                <w:highlight w:val="none"/>
                <w:lang w:val="en-US" w:eastAsia="zh-CN"/>
              </w:rPr>
            </w:pPr>
          </w:p>
          <w:p w14:paraId="04459821">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eastAsia" w:ascii="宋体" w:hAnsi="宋体" w:eastAsia="宋体" w:cs="宋体"/>
                <w:b/>
                <w:bCs/>
                <w:color w:val="000000"/>
                <w:kern w:val="0"/>
                <w:sz w:val="24"/>
                <w:szCs w:val="24"/>
                <w:highlight w:val="none"/>
                <w:lang w:val="en-US" w:eastAsia="zh-CN" w:bidi="ar"/>
              </w:rPr>
            </w:pPr>
          </w:p>
          <w:p w14:paraId="21C87EC8">
            <w:pPr>
              <w:pStyle w:val="4"/>
              <w:ind w:left="0" w:leftChars="0" w:firstLine="0" w:firstLineChars="0"/>
              <w:rPr>
                <w:rFonts w:hint="eastAsia" w:ascii="宋体" w:hAnsi="宋体" w:eastAsia="宋体" w:cs="宋体"/>
                <w:b/>
                <w:bCs/>
                <w:color w:val="000000"/>
                <w:kern w:val="0"/>
                <w:sz w:val="24"/>
                <w:szCs w:val="24"/>
                <w:highlight w:val="none"/>
                <w:lang w:val="en-US" w:eastAsia="zh-CN" w:bidi="ar"/>
              </w:rPr>
            </w:pPr>
            <w:r>
              <w:rPr>
                <w:sz w:val="24"/>
                <w:highlight w:val="none"/>
              </w:rPr>
              <mc:AlternateContent>
                <mc:Choice Requires="wps">
                  <w:drawing>
                    <wp:anchor distT="0" distB="0" distL="114300" distR="114300" simplePos="0" relativeHeight="251664384" behindDoc="0" locked="0" layoutInCell="1" allowOverlap="1">
                      <wp:simplePos x="0" y="0"/>
                      <wp:positionH relativeFrom="column">
                        <wp:posOffset>412115</wp:posOffset>
                      </wp:positionH>
                      <wp:positionV relativeFrom="paragraph">
                        <wp:posOffset>181610</wp:posOffset>
                      </wp:positionV>
                      <wp:extent cx="2886075" cy="29337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2886075" cy="293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3259A">
                                  <w:pPr>
                                    <w:rPr>
                                      <w:rFonts w:hint="default" w:eastAsia="宋体"/>
                                      <w:lang w:val="en-US" w:eastAsia="zh-CN"/>
                                    </w:rPr>
                                  </w:pPr>
                                  <w:r>
                                    <w:rPr>
                                      <w:rFonts w:hint="eastAsia"/>
                                      <w:lang w:val="en-US" w:eastAsia="zh-CN"/>
                                    </w:rPr>
                                    <w:t>G—废气  W—废水  N—噪声  S—固体废物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5pt;margin-top:14.3pt;height:23.1pt;width:227.25pt;z-index:251664384;mso-width-relative:page;mso-height-relative:page;" filled="f" stroked="f" coordsize="21600,21600" o:gfxdata="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GmoBDaAAAACAEAAA8AAAAAAAAAAQAgAAAAIgAA&#10;AGRycy9kb3ducmV2LnhtbFBLAQIUABQAAAAIAIdO4kD0g9udPwIAAGgEAAAOAAAAAAAAAAEAIAAA&#10;ACkBAABkcnMvZTJvRG9jLnhtbFBLBQYAAAAABgAGAFkBAADaBQAAAAA=&#10;">
                      <v:fill on="f" focussize="0,0"/>
                      <v:stroke on="f" weight="0.5pt"/>
                      <v:imagedata o:title=""/>
                      <o:lock v:ext="edit" aspectratio="f"/>
                      <v:textbox>
                        <w:txbxContent>
                          <w:p w14:paraId="72A3259A">
                            <w:pPr>
                              <w:rPr>
                                <w:rFonts w:hint="default" w:eastAsia="宋体"/>
                                <w:lang w:val="en-US" w:eastAsia="zh-CN"/>
                              </w:rPr>
                            </w:pPr>
                            <w:r>
                              <w:rPr>
                                <w:rFonts w:hint="eastAsia"/>
                                <w:lang w:val="en-US" w:eastAsia="zh-CN"/>
                              </w:rPr>
                              <w:t>G—废气  W—废水  N—噪声  S—固体废物</w:t>
                            </w:r>
                          </w:p>
                        </w:txbxContent>
                      </v:textbox>
                    </v:shape>
                  </w:pict>
                </mc:Fallback>
              </mc:AlternateContent>
            </w:r>
          </w:p>
          <w:p w14:paraId="35DEA54E">
            <w:pPr>
              <w:rPr>
                <w:rFonts w:hint="eastAsia" w:ascii="宋体" w:hAnsi="宋体" w:eastAsia="宋体" w:cs="宋体"/>
                <w:b/>
                <w:bCs/>
                <w:color w:val="000000"/>
                <w:kern w:val="0"/>
                <w:sz w:val="24"/>
                <w:szCs w:val="24"/>
                <w:highlight w:val="none"/>
                <w:lang w:val="en-US" w:eastAsia="zh-CN" w:bidi="ar"/>
              </w:rPr>
            </w:pPr>
          </w:p>
          <w:p w14:paraId="724D72B1">
            <w:pPr>
              <w:pStyle w:val="4"/>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图3-1 施工工艺流程及产污环节图</w:t>
            </w:r>
          </w:p>
          <w:p w14:paraId="1DFAE041">
            <w:pPr>
              <w:rPr>
                <w:rFonts w:hint="default"/>
                <w:highlight w:val="none"/>
                <w:lang w:val="en-US" w:eastAsia="zh-CN"/>
              </w:rPr>
            </w:pPr>
            <w:r>
              <w:rPr>
                <w:sz w:val="24"/>
                <w:highlight w:val="none"/>
              </w:rPr>
              <mc:AlternateContent>
                <mc:Choice Requires="wpg">
                  <w:drawing>
                    <wp:anchor distT="0" distB="0" distL="114300" distR="114300" simplePos="0" relativeHeight="251674624" behindDoc="0" locked="0" layoutInCell="1" allowOverlap="1">
                      <wp:simplePos x="0" y="0"/>
                      <wp:positionH relativeFrom="column">
                        <wp:posOffset>238760</wp:posOffset>
                      </wp:positionH>
                      <wp:positionV relativeFrom="paragraph">
                        <wp:posOffset>-12100560</wp:posOffset>
                      </wp:positionV>
                      <wp:extent cx="4229735" cy="12655550"/>
                      <wp:effectExtent l="4445" t="0" r="17780" b="8890"/>
                      <wp:wrapNone/>
                      <wp:docPr id="46" name="组合 46"/>
                      <wp:cNvGraphicFramePr/>
                      <a:graphic xmlns:a="http://schemas.openxmlformats.org/drawingml/2006/main">
                        <a:graphicData uri="http://schemas.microsoft.com/office/word/2010/wordprocessingGroup">
                          <wpg:wgp>
                            <wpg:cNvGrpSpPr/>
                            <wpg:grpSpPr>
                              <a:xfrm>
                                <a:off x="0" y="0"/>
                                <a:ext cx="4229490" cy="12655599"/>
                                <a:chOff x="5723" y="288266"/>
                                <a:chExt cx="4377" cy="17542"/>
                              </a:xfrm>
                            </wpg:grpSpPr>
                            <wps:wsp>
                              <wps:cNvPr id="47" name="文本框 41"/>
                              <wps:cNvSpPr txBox="1"/>
                              <wps:spPr>
                                <a:xfrm>
                                  <a:off x="5723" y="304981"/>
                                  <a:ext cx="1592" cy="82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19249C">
                                    <w:pPr>
                                      <w:rPr>
                                        <w:rFonts w:hint="eastAsia"/>
                                        <w:sz w:val="21"/>
                                        <w:szCs w:val="21"/>
                                        <w:lang w:eastAsia="zh-CN"/>
                                      </w:rPr>
                                    </w:pPr>
                                    <w:r>
                                      <w:rPr>
                                        <w:rFonts w:hint="default" w:ascii="Times New Roman" w:hAnsi="Times New Roman" w:eastAsia="宋体" w:cs="Times New Roman"/>
                                        <w:snapToGrid w:val="0"/>
                                        <w:color w:val="auto"/>
                                        <w:sz w:val="21"/>
                                        <w:szCs w:val="21"/>
                                        <w:highlight w:val="none"/>
                                        <w:lang w:val="en-US" w:eastAsia="zh-CN" w:bidi="ar-SA"/>
                                      </w:rPr>
                                      <w:t>《</w:t>
                                    </w:r>
                                    <w:r>
                                      <w:rPr>
                                        <w:rFonts w:hint="eastAsia" w:cs="Times New Roman"/>
                                        <w:snapToGrid w:val="0"/>
                                        <w:color w:val="auto"/>
                                        <w:sz w:val="21"/>
                                        <w:szCs w:val="21"/>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1"/>
                                        <w:szCs w:val="21"/>
                                        <w:highlight w:val="none"/>
                                        <w:lang w:val="en-US" w:eastAsia="zh-CN" w:bidi="ar-SA"/>
                                      </w:rPr>
                                      <w:t>》</w:t>
                                    </w:r>
                                    <w:r>
                                      <w:rPr>
                                        <w:rFonts w:hint="default" w:ascii="Times New Roman" w:hAnsi="Times New Roman" w:eastAsia="宋体" w:cs="Times New Roman"/>
                                        <w:snapToGrid w:val="0"/>
                                        <w:color w:val="000000"/>
                                        <w:sz w:val="21"/>
                                        <w:szCs w:val="21"/>
                                        <w:highlight w:val="none"/>
                                        <w:lang w:val="en-US" w:eastAsia="zh-CN" w:bidi="ar-SA"/>
                                      </w:rPr>
                                      <w:t>已建管道</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文本框 42"/>
                              <wps:cNvSpPr txBox="1"/>
                              <wps:spPr>
                                <a:xfrm>
                                  <a:off x="9317" y="305214"/>
                                  <a:ext cx="783" cy="36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7C8A25">
                                    <w:pPr>
                                      <w:rPr>
                                        <w:rFonts w:hint="eastAsia" w:eastAsia="宋体"/>
                                        <w:lang w:eastAsia="zh-CN"/>
                                      </w:rPr>
                                    </w:pPr>
                                    <w:r>
                                      <w:rPr>
                                        <w:rFonts w:hint="eastAsia" w:eastAsia="宋体"/>
                                        <w:lang w:eastAsia="zh-CN"/>
                                      </w:rPr>
                                      <w:t>蓄水池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直接箭头连接符 43"/>
                              <wps:cNvCnPr>
                                <a:stCxn id="47" idx="3"/>
                                <a:endCxn id="52" idx="1"/>
                              </wps:cNvCnPr>
                              <wps:spPr>
                                <a:xfrm flipV="1">
                                  <a:off x="7315" y="305393"/>
                                  <a:ext cx="642" cy="1"/>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2" name="文本框 44"/>
                              <wps:cNvSpPr txBox="1"/>
                              <wps:spPr>
                                <a:xfrm>
                                  <a:off x="7957" y="305177"/>
                                  <a:ext cx="783" cy="43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14A02DB">
                                    <w:pPr>
                                      <w:rPr>
                                        <w:rFonts w:hint="eastAsia" w:eastAsia="宋体"/>
                                        <w:lang w:eastAsia="zh-CN"/>
                                      </w:rPr>
                                    </w:pPr>
                                    <w:r>
                                      <w:rPr>
                                        <w:rFonts w:hint="eastAsia"/>
                                        <w:lang w:eastAsia="zh-CN"/>
                                      </w:rPr>
                                      <w:t>输水管线</w:t>
                                    </w:r>
                                  </w:p>
                                  <w:p w14:paraId="4F316127">
                                    <w:pPr>
                                      <w:rPr>
                                        <w:rFonts w:hint="eastAsia"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3" name="直接箭头连接符 45"/>
                              <wps:cNvCnPr>
                                <a:stCxn id="52" idx="3"/>
                                <a:endCxn id="49" idx="1"/>
                              </wps:cNvCnPr>
                              <wps:spPr>
                                <a:xfrm>
                                  <a:off x="8741" y="305393"/>
                                  <a:ext cx="576" cy="2"/>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7" name="直接箭头连接符 6"/>
                              <wps:cNvCnPr>
                                <a:stCxn id="42" idx="0"/>
                                <a:endCxn id="31" idx="2"/>
                              </wps:cNvCnPr>
                              <wps:spPr>
                                <a:xfrm flipV="1">
                                  <a:off x="8533" y="288266"/>
                                  <a:ext cx="121" cy="210"/>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60" name="文本框 28"/>
                              <wps:cNvSpPr txBox="1"/>
                              <wps:spPr>
                                <a:xfrm>
                                  <a:off x="9621" y="304603"/>
                                  <a:ext cx="361" cy="3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25802">
                                    <w:pPr>
                                      <w:rPr>
                                        <w:rFonts w:hint="default" w:eastAsia="宋体"/>
                                        <w:lang w:val="en-US" w:eastAsia="zh-CN"/>
                                      </w:rPr>
                                    </w:pPr>
                                    <w:r>
                                      <w:rPr>
                                        <w:rFonts w:hint="eastAsia"/>
                                        <w:lang w:val="en-US" w:eastAsia="zh-CN"/>
                                      </w:rPr>
                                      <w:t>S</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8.8pt;margin-top:-952.8pt;height:996.5pt;width:333.05pt;z-index:251674624;mso-width-relative:page;mso-height-relative:page;" coordorigin="5723,288266" coordsize="4377,17542" o:gfxdata="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">
                      <o:lock v:ext="edit" aspectratio="f"/>
                      <v:shape id="文本框 41" o:spid="_x0000_s1026" o:spt="202" type="#_x0000_t202" style="position:absolute;left:5723;top:304981;height:827;width:1592;" fillcolor="#FFFFFF [3201]" filled="t" stroked="t" coordsize="21600,21600" o:gfxdata="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rjVP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3719249C">
                              <w:pPr>
                                <w:rPr>
                                  <w:rFonts w:hint="eastAsia"/>
                                  <w:sz w:val="21"/>
                                  <w:szCs w:val="21"/>
                                  <w:lang w:eastAsia="zh-CN"/>
                                </w:rPr>
                              </w:pPr>
                              <w:r>
                                <w:rPr>
                                  <w:rFonts w:hint="default" w:ascii="Times New Roman" w:hAnsi="Times New Roman" w:eastAsia="宋体" w:cs="Times New Roman"/>
                                  <w:snapToGrid w:val="0"/>
                                  <w:color w:val="auto"/>
                                  <w:sz w:val="21"/>
                                  <w:szCs w:val="21"/>
                                  <w:highlight w:val="none"/>
                                  <w:lang w:val="en-US" w:eastAsia="zh-CN" w:bidi="ar-SA"/>
                                </w:rPr>
                                <w:t>《</w:t>
                              </w:r>
                              <w:r>
                                <w:rPr>
                                  <w:rFonts w:hint="eastAsia" w:cs="Times New Roman"/>
                                  <w:snapToGrid w:val="0"/>
                                  <w:color w:val="auto"/>
                                  <w:sz w:val="21"/>
                                  <w:szCs w:val="21"/>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1"/>
                                  <w:szCs w:val="21"/>
                                  <w:highlight w:val="none"/>
                                  <w:lang w:val="en-US" w:eastAsia="zh-CN" w:bidi="ar-SA"/>
                                </w:rPr>
                                <w:t>》</w:t>
                              </w:r>
                              <w:r>
                                <w:rPr>
                                  <w:rFonts w:hint="default" w:ascii="Times New Roman" w:hAnsi="Times New Roman" w:eastAsia="宋体" w:cs="Times New Roman"/>
                                  <w:snapToGrid w:val="0"/>
                                  <w:color w:val="000000"/>
                                  <w:sz w:val="21"/>
                                  <w:szCs w:val="21"/>
                                  <w:highlight w:val="none"/>
                                  <w:lang w:val="en-US" w:eastAsia="zh-CN" w:bidi="ar-SA"/>
                                </w:rPr>
                                <w:t>已建管道</w:t>
                              </w:r>
                            </w:p>
                          </w:txbxContent>
                        </v:textbox>
                      </v:shape>
                      <v:shape id="文本框 42" o:spid="_x0000_s1026" o:spt="202" type="#_x0000_t202" style="position:absolute;left:9317;top:305214;height:362;width:783;" fillcolor="#FFFFFF [3201]" filled="t" stroked="t" coordsize="21600,21600" o:gfxdata="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QSm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587C8A25">
                              <w:pPr>
                                <w:rPr>
                                  <w:rFonts w:hint="eastAsia" w:eastAsia="宋体"/>
                                  <w:lang w:eastAsia="zh-CN"/>
                                </w:rPr>
                              </w:pPr>
                              <w:r>
                                <w:rPr>
                                  <w:rFonts w:hint="eastAsia" w:eastAsia="宋体"/>
                                  <w:lang w:eastAsia="zh-CN"/>
                                </w:rPr>
                                <w:t>蓄水池</w:t>
                              </w:r>
                            </w:p>
                          </w:txbxContent>
                        </v:textbox>
                      </v:shape>
                      <v:shape id="直接箭头连接符 43" o:spid="_x0000_s1026" o:spt="32" type="#_x0000_t32" style="position:absolute;left:7315;top:305393;flip:y;height:1;width:642;" filled="f" stroked="t" coordsize="21600,21600" o:gfxdata="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S7bD7sAAADb&#10;AAAADwAAAAAAAAABACAAAAAiAAAAZHJzL2Rvd25yZXYueG1sUEsBAhQAFAAAAAgAh07iQDMvBZ47&#10;AAAAOQAAABAAAAAAAAAAAQAgAAAACgEAAGRycy9zaGFwZXhtbC54bWxQSwUGAAAAAAYABgBbAQAA&#10;tAMAAAAA&#10;">
                        <v:fill on="f" focussize="0,0"/>
                        <v:stroke color="#000000 [3213]" miterlimit="8" joinstyle="miter" endarrow="open"/>
                        <v:imagedata o:title=""/>
                        <o:lock v:ext="edit" aspectratio="f"/>
                      </v:shape>
                      <v:shape id="文本框 44" o:spid="_x0000_s1026" o:spt="202" type="#_x0000_t202" style="position:absolute;left:7957;top:305177;height:433;width:783;" fillcolor="#FFFFFF [3201]" filled="t" stroked="t" coordsize="21600,21600" o:gfxdata="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1AAAK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314A02DB">
                              <w:pPr>
                                <w:rPr>
                                  <w:rFonts w:hint="eastAsia" w:eastAsia="宋体"/>
                                  <w:lang w:eastAsia="zh-CN"/>
                                </w:rPr>
                              </w:pPr>
                              <w:r>
                                <w:rPr>
                                  <w:rFonts w:hint="eastAsia"/>
                                  <w:lang w:eastAsia="zh-CN"/>
                                </w:rPr>
                                <w:t>输水管线</w:t>
                              </w:r>
                            </w:p>
                            <w:p w14:paraId="4F316127">
                              <w:pPr>
                                <w:rPr>
                                  <w:rFonts w:hint="eastAsia" w:eastAsia="宋体"/>
                                  <w:lang w:eastAsia="zh-CN"/>
                                </w:rPr>
                              </w:pPr>
                            </w:p>
                          </w:txbxContent>
                        </v:textbox>
                      </v:shape>
                      <v:shape id="直接箭头连接符 45" o:spid="_x0000_s1026" o:spt="32" type="#_x0000_t32" style="position:absolute;left:8741;top:305393;height:2;width:576;" filled="f" stroked="t" coordsize="21600,21600" o:gfxdata="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xgSe/&#10;AAAA2w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shape id="直接箭头连接符 6" o:spid="_x0000_s1026" o:spt="32" type="#_x0000_t32" style="position:absolute;left:8533;top:288266;flip:y;height:210;width:121;" filled="f" stroked="t" coordsize="21600,21600" o:gfxdata="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IBUbsAAADb&#10;AAAADwAAAAAAAAABACAAAAAiAAAAZHJzL2Rvd25yZXYueG1sUEsBAhQAFAAAAAgAh07iQDMvBZ47&#10;AAAAOQAAABAAAAAAAAAAAQAgAAAACgEAAGRycy9zaGFwZXhtbC54bWxQSwUGAAAAAAYABgBbAQAA&#10;tAMAAAAA&#10;">
                        <v:fill on="f" focussize="0,0"/>
                        <v:stroke weight="0.5pt" color="#000000 [3213]" miterlimit="8" joinstyle="miter" dashstyle="3 1" endarrow="open"/>
                        <v:imagedata o:title=""/>
                        <o:lock v:ext="edit" aspectratio="f"/>
                      </v:shape>
                      <v:shape id="文本框 28" o:spid="_x0000_s1026" o:spt="202" type="#_x0000_t202" style="position:absolute;left:9621;top:304603;height:340;width:361;" filled="f" stroked="f" coordsize="21600,21600" o:gfxdata="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yI6/b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6D025802">
                              <w:pPr>
                                <w:rPr>
                                  <w:rFonts w:hint="default" w:eastAsia="宋体"/>
                                  <w:lang w:val="en-US" w:eastAsia="zh-CN"/>
                                </w:rPr>
                              </w:pPr>
                              <w:r>
                                <w:rPr>
                                  <w:rFonts w:hint="eastAsia"/>
                                  <w:lang w:val="en-US" w:eastAsia="zh-CN"/>
                                </w:rPr>
                                <w:t>S</w:t>
                              </w:r>
                            </w:p>
                          </w:txbxContent>
                        </v:textbox>
                      </v:shape>
                    </v:group>
                  </w:pict>
                </mc:Fallback>
              </mc:AlternateContent>
            </w:r>
          </w:p>
          <w:p w14:paraId="0D3FD466">
            <w:pPr>
              <w:rPr>
                <w:rFonts w:hint="default"/>
                <w:highlight w:val="none"/>
                <w:lang w:val="en-US" w:eastAsia="zh-CN"/>
              </w:rPr>
            </w:pPr>
            <w:r>
              <w:rPr>
                <w:sz w:val="21"/>
                <w:highlight w:val="none"/>
              </w:rPr>
              <mc:AlternateContent>
                <mc:Choice Requires="wps">
                  <w:drawing>
                    <wp:anchor distT="0" distB="0" distL="114300" distR="114300" simplePos="0" relativeHeight="251677696" behindDoc="0" locked="0" layoutInCell="1" allowOverlap="1">
                      <wp:simplePos x="0" y="0"/>
                      <wp:positionH relativeFrom="column">
                        <wp:posOffset>4090035</wp:posOffset>
                      </wp:positionH>
                      <wp:positionV relativeFrom="paragraph">
                        <wp:posOffset>-222885</wp:posOffset>
                      </wp:positionV>
                      <wp:extent cx="90170" cy="195580"/>
                      <wp:effectExtent l="4445" t="0" r="12065" b="2540"/>
                      <wp:wrapNone/>
                      <wp:docPr id="75" name="直接箭头连接符 75"/>
                      <wp:cNvGraphicFramePr/>
                      <a:graphic xmlns:a="http://schemas.openxmlformats.org/drawingml/2006/main">
                        <a:graphicData uri="http://schemas.microsoft.com/office/word/2010/wordprocessingShape">
                          <wps:wsp>
                            <wps:cNvCnPr>
                              <a:stCxn id="49" idx="0"/>
                              <a:endCxn id="60" idx="2"/>
                            </wps:cNvCnPr>
                            <wps:spPr>
                              <a:xfrm flipV="1">
                                <a:off x="5683885" y="1680210"/>
                                <a:ext cx="90170" cy="19558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22.05pt;margin-top:-17.55pt;height:15.4pt;width:7.1pt;z-index:251677696;mso-width-relative:page;mso-height-relative:page;" filled="f" stroked="t" coordsize="21600,21600" o:gfxdata="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2+2o+2gAAAAoBAAAPAAAAAAAAAAEAIAAAACIAAABkcnMvZG93bnJl&#10;di54bWxQSwECFAAUAAAACACHTuJAcV177jQCAAA7BAAADgAAAAAAAAABACAAAAApAQAAZHJzL2Uy&#10;b0RvYy54bWxQSwUGAAAAAAYABgBZAQAAzwUAAAAA&#10;">
                      <v:fill on="f" focussize="0,0"/>
                      <v:stroke color="#000000 [3213]" miterlimit="8" joinstyle="miter" endarrow="open"/>
                      <v:imagedata o:title=""/>
                      <o:lock v:ext="edit" aspectratio="f"/>
                    </v:shape>
                  </w:pict>
                </mc:Fallback>
              </mc:AlternateContent>
            </w:r>
          </w:p>
          <w:p w14:paraId="15F47234">
            <w:pPr>
              <w:rPr>
                <w:rFonts w:hint="default"/>
                <w:highlight w:val="none"/>
                <w:lang w:val="en-US" w:eastAsia="zh-CN"/>
              </w:rPr>
            </w:pPr>
          </w:p>
          <w:p w14:paraId="30284F48">
            <w:pPr>
              <w:rPr>
                <w:rFonts w:hint="default"/>
                <w:highlight w:val="none"/>
                <w:lang w:val="en-US" w:eastAsia="zh-CN"/>
              </w:rPr>
            </w:pPr>
          </w:p>
          <w:p w14:paraId="14C5A4BE">
            <w:pPr>
              <w:jc w:val="center"/>
              <w:rPr>
                <w:rFonts w:hint="default"/>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
              </w:rPr>
              <w:t>图3-</w:t>
            </w:r>
            <w:r>
              <w:rPr>
                <w:rFonts w:hint="eastAsia" w:ascii="Times New Roman" w:hAnsi="Times New Roman" w:eastAsia="宋体" w:cs="Times New Roman"/>
                <w:b w:val="0"/>
                <w:bCs w:val="0"/>
                <w:color w:val="auto"/>
                <w:kern w:val="0"/>
                <w:sz w:val="21"/>
                <w:szCs w:val="21"/>
                <w:highlight w:val="none"/>
                <w:lang w:val="en-US" w:eastAsia="zh-CN" w:bidi="ar"/>
              </w:rPr>
              <w:t>2</w:t>
            </w:r>
            <w:r>
              <w:rPr>
                <w:rFonts w:hint="default" w:ascii="Times New Roman" w:hAnsi="Times New Roman" w:eastAsia="宋体" w:cs="Times New Roman"/>
                <w:b w:val="0"/>
                <w:bCs w:val="0"/>
                <w:color w:val="auto"/>
                <w:kern w:val="0"/>
                <w:sz w:val="21"/>
                <w:szCs w:val="21"/>
                <w:highlight w:val="none"/>
                <w:lang w:val="en-US" w:eastAsia="zh-CN" w:bidi="ar"/>
              </w:rPr>
              <w:t xml:space="preserve"> </w:t>
            </w:r>
            <w:r>
              <w:rPr>
                <w:rFonts w:hint="eastAsia" w:ascii="Times New Roman" w:hAnsi="Times New Roman" w:eastAsia="宋体" w:cs="Times New Roman"/>
                <w:b w:val="0"/>
                <w:bCs w:val="0"/>
                <w:color w:val="auto"/>
                <w:kern w:val="0"/>
                <w:sz w:val="21"/>
                <w:szCs w:val="21"/>
                <w:highlight w:val="none"/>
                <w:lang w:val="en-US" w:eastAsia="zh-CN" w:bidi="ar"/>
              </w:rPr>
              <w:t>运营期</w:t>
            </w:r>
            <w:r>
              <w:rPr>
                <w:rFonts w:hint="default" w:ascii="Times New Roman" w:hAnsi="Times New Roman" w:eastAsia="宋体" w:cs="Times New Roman"/>
                <w:b w:val="0"/>
                <w:bCs w:val="0"/>
                <w:color w:val="auto"/>
                <w:kern w:val="0"/>
                <w:sz w:val="21"/>
                <w:szCs w:val="21"/>
                <w:highlight w:val="none"/>
                <w:lang w:val="en-US" w:eastAsia="zh-CN" w:bidi="ar"/>
              </w:rPr>
              <w:t>工艺流程及产污环节图</w:t>
            </w:r>
          </w:p>
          <w:p w14:paraId="0550EC93">
            <w:pPr>
              <w:pStyle w:val="27"/>
              <w:keepNext w:val="0"/>
              <w:keepLines w:val="0"/>
              <w:pageBreakBefore w:val="0"/>
              <w:widowControl w:val="0"/>
              <w:kinsoku/>
              <w:wordWrap/>
              <w:overflowPunct/>
              <w:topLinePunct w:val="0"/>
              <w:autoSpaceDE w:val="0"/>
              <w:autoSpaceDN w:val="0"/>
              <w:bidi w:val="0"/>
              <w:adjustRightInd w:val="0"/>
              <w:snapToGrid/>
              <w:spacing w:line="360" w:lineRule="auto"/>
              <w:ind w:right="0" w:firstLine="480" w:firstLineChars="200"/>
              <w:jc w:val="both"/>
              <w:textAlignment w:val="auto"/>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eastAsia="宋体" w:cs="Times New Roman"/>
                <w:snapToGrid w:val="0"/>
                <w:color w:val="auto"/>
                <w:sz w:val="24"/>
                <w:szCs w:val="24"/>
                <w:highlight w:val="none"/>
                <w:lang w:val="en-US" w:eastAsia="zh-CN" w:bidi="ar-SA"/>
              </w:rPr>
              <w:t>《</w:t>
            </w:r>
            <w:r>
              <w:rPr>
                <w:rFonts w:hint="eastAsia" w:ascii="Times New Roman" w:cs="Times New Roman"/>
                <w:snapToGrid w:val="0"/>
                <w:color w:val="auto"/>
                <w:sz w:val="24"/>
                <w:szCs w:val="24"/>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eastAsia="zh-CN"/>
              </w:rPr>
              <w:t>水源地为杭锦旗黄河南岸灌区总排干桩号1</w:t>
            </w:r>
            <w:r>
              <w:rPr>
                <w:rFonts w:hint="eastAsia" w:ascii="Times New Roman" w:cs="Times New Roman"/>
                <w:color w:val="auto"/>
                <w:sz w:val="24"/>
                <w:szCs w:val="24"/>
                <w:highlight w:val="none"/>
                <w:lang w:val="en-US" w:eastAsia="zh-CN"/>
              </w:rPr>
              <w:t>48</w:t>
            </w:r>
            <w:r>
              <w:rPr>
                <w:rFonts w:hint="default" w:ascii="Times New Roman" w:hAnsi="Times New Roman" w:eastAsia="宋体" w:cs="Times New Roman"/>
                <w:color w:val="auto"/>
                <w:sz w:val="24"/>
                <w:szCs w:val="24"/>
                <w:highlight w:val="none"/>
                <w:lang w:eastAsia="zh-CN"/>
              </w:rPr>
              <w:t>+900km位置。</w:t>
            </w:r>
            <w:r>
              <w:rPr>
                <w:rFonts w:hint="default" w:ascii="Times New Roman" w:hAnsi="Times New Roman" w:eastAsia="宋体" w:cs="Times New Roman"/>
                <w:snapToGrid w:val="0"/>
                <w:color w:val="auto"/>
                <w:sz w:val="24"/>
                <w:szCs w:val="24"/>
                <w:highlight w:val="none"/>
                <w:lang w:val="en-US" w:eastAsia="zh-CN" w:bidi="ar-SA"/>
              </w:rPr>
              <w:t>本工程新建输水管道直接与《</w:t>
            </w:r>
            <w:r>
              <w:rPr>
                <w:rFonts w:hint="eastAsia" w:ascii="Times New Roman" w:cs="Times New Roman"/>
                <w:snapToGrid w:val="0"/>
                <w:color w:val="auto"/>
                <w:sz w:val="24"/>
                <w:szCs w:val="24"/>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4"/>
                <w:szCs w:val="24"/>
                <w:highlight w:val="none"/>
                <w:lang w:val="en-US" w:eastAsia="zh-CN" w:bidi="ar-SA"/>
              </w:rPr>
              <w:t>》供水工程的</w:t>
            </w:r>
            <w:r>
              <w:rPr>
                <w:rFonts w:hint="default" w:ascii="Times New Roman" w:hAnsi="Times New Roman" w:eastAsia="宋体" w:cs="Times New Roman"/>
                <w:snapToGrid w:val="0"/>
                <w:color w:val="000000"/>
                <w:sz w:val="24"/>
                <w:szCs w:val="24"/>
                <w:highlight w:val="none"/>
                <w:lang w:val="en-US" w:eastAsia="zh-CN" w:bidi="ar-SA"/>
              </w:rPr>
              <w:t>已建管道</w:t>
            </w:r>
            <w:r>
              <w:rPr>
                <w:rFonts w:hint="default" w:ascii="Times New Roman" w:hAnsi="Times New Roman" w:eastAsia="宋体" w:cs="Times New Roman"/>
                <w:snapToGrid w:val="0"/>
                <w:color w:val="auto"/>
                <w:sz w:val="24"/>
                <w:szCs w:val="24"/>
                <w:highlight w:val="none"/>
                <w:lang w:val="en-US" w:eastAsia="zh-CN" w:bidi="ar-SA"/>
              </w:rPr>
              <w:t>末端连接，</w:t>
            </w:r>
            <w:r>
              <w:rPr>
                <w:rFonts w:hint="default" w:ascii="Times New Roman" w:hAnsi="Times New Roman" w:eastAsia="宋体" w:cs="Times New Roman"/>
                <w:color w:val="auto"/>
                <w:sz w:val="24"/>
                <w:szCs w:val="24"/>
                <w:highlight w:val="none"/>
                <w:lang w:val="en-US" w:eastAsia="zh-CN"/>
              </w:rPr>
              <w:t>将排干水引入</w:t>
            </w:r>
            <w:r>
              <w:rPr>
                <w:rFonts w:hint="default" w:ascii="Times New Roman" w:hAnsi="Times New Roman" w:eastAsia="宋体" w:cs="Times New Roman"/>
                <w:snapToGrid w:val="0"/>
                <w:color w:val="auto"/>
                <w:sz w:val="24"/>
                <w:szCs w:val="24"/>
                <w:highlight w:val="none"/>
                <w:lang w:val="en-US" w:eastAsia="zh-CN" w:bidi="ar-SA"/>
              </w:rPr>
              <w:t>本工程</w:t>
            </w:r>
            <w:r>
              <w:rPr>
                <w:rFonts w:hint="default" w:ascii="Times New Roman" w:hAnsi="Times New Roman" w:eastAsia="宋体" w:cs="Times New Roman"/>
                <w:color w:val="auto"/>
                <w:sz w:val="24"/>
                <w:szCs w:val="24"/>
                <w:highlight w:val="none"/>
                <w:lang w:val="en-US" w:eastAsia="zh-CN"/>
              </w:rPr>
              <w:t>新建蓄水池</w:t>
            </w:r>
            <w:r>
              <w:rPr>
                <w:rFonts w:hint="default" w:ascii="Times New Roman" w:hAnsi="Times New Roman" w:eastAsia="宋体" w:cs="Times New Roman"/>
                <w:snapToGrid w:val="0"/>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rPr>
              <w:t>为朔方新能源大基地提供新能源太阳能板清洗用水及朔方新能源大基地</w:t>
            </w:r>
            <w:r>
              <w:rPr>
                <w:rFonts w:hint="eastAsia" w:cs="Times New Roman"/>
                <w:color w:val="auto"/>
                <w:sz w:val="24"/>
                <w:szCs w:val="24"/>
                <w:highlight w:val="none"/>
                <w:lang w:val="en-US" w:eastAsia="zh-CN"/>
              </w:rPr>
              <w:t>生态</w:t>
            </w:r>
            <w:r>
              <w:rPr>
                <w:rFonts w:hint="default" w:ascii="Times New Roman" w:hAnsi="Times New Roman" w:eastAsia="宋体" w:cs="Times New Roman"/>
                <w:color w:val="auto"/>
                <w:sz w:val="24"/>
                <w:szCs w:val="24"/>
                <w:highlight w:val="none"/>
                <w:lang w:val="en-US" w:eastAsia="zh-CN"/>
              </w:rPr>
              <w:t>用水。</w:t>
            </w:r>
            <w:r>
              <w:rPr>
                <w:rFonts w:hint="eastAsia" w:ascii="Times New Roman" w:cs="Times New Roman"/>
                <w:color w:val="auto"/>
                <w:sz w:val="24"/>
                <w:szCs w:val="24"/>
                <w:highlight w:val="none"/>
                <w:lang w:val="en-US" w:eastAsia="zh-CN"/>
              </w:rPr>
              <w:t>本项目</w:t>
            </w:r>
            <w:r>
              <w:rPr>
                <w:rFonts w:hint="eastAsia"/>
                <w:highlight w:val="none"/>
                <w:lang w:val="en-US" w:eastAsia="zh-CN"/>
              </w:rPr>
              <w:t>根据实际用水需求调节管道供水流量，保证供水工程供水压力稳定。</w:t>
            </w:r>
          </w:p>
          <w:p w14:paraId="0E98805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eastAsia="宋体" w:cs="Times New Roman"/>
                <w:b/>
                <w:bCs/>
                <w:color w:val="auto"/>
                <w:kern w:val="0"/>
                <w:sz w:val="24"/>
                <w:szCs w:val="24"/>
                <w:highlight w:val="none"/>
                <w:lang w:val="en-US" w:eastAsia="zh-CN" w:bidi="ar"/>
              </w:rPr>
              <w:t>2</w:t>
            </w:r>
            <w:r>
              <w:rPr>
                <w:rFonts w:hint="eastAsia" w:cs="Times New Roman"/>
                <w:b/>
                <w:bCs/>
                <w:color w:val="auto"/>
                <w:kern w:val="0"/>
                <w:sz w:val="24"/>
                <w:szCs w:val="24"/>
                <w:highlight w:val="none"/>
                <w:lang w:val="en-US" w:eastAsia="zh-CN" w:bidi="ar"/>
              </w:rPr>
              <w:t>.</w:t>
            </w:r>
            <w:r>
              <w:rPr>
                <w:rFonts w:hint="default" w:ascii="Times New Roman" w:hAnsi="Times New Roman" w:eastAsia="宋体" w:cs="Times New Roman"/>
                <w:b/>
                <w:bCs/>
                <w:color w:val="auto"/>
                <w:kern w:val="0"/>
                <w:sz w:val="24"/>
                <w:szCs w:val="24"/>
                <w:highlight w:val="none"/>
                <w:lang w:val="en-US" w:eastAsia="zh-CN" w:bidi="ar"/>
              </w:rPr>
              <w:t xml:space="preserve">主要污染工序 </w:t>
            </w:r>
          </w:p>
          <w:p w14:paraId="1544958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eastAsia" w:cs="Times New Roman"/>
                <w:b w:val="0"/>
                <w:bCs w:val="0"/>
                <w:color w:val="auto"/>
                <w:kern w:val="0"/>
                <w:sz w:val="24"/>
                <w:szCs w:val="24"/>
                <w:highlight w:val="none"/>
                <w:lang w:val="en-US" w:eastAsia="zh-CN" w:bidi="ar"/>
              </w:rPr>
              <w:t>①施工期</w:t>
            </w:r>
          </w:p>
          <w:p w14:paraId="31F8B7F4">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废气：施工扬尘、</w:t>
            </w:r>
            <w:r>
              <w:rPr>
                <w:rFonts w:hint="eastAsia"/>
                <w:sz w:val="24"/>
                <w:highlight w:val="none"/>
              </w:rPr>
              <w:t>施工机械</w:t>
            </w:r>
            <w:r>
              <w:rPr>
                <w:rFonts w:hint="eastAsia"/>
                <w:sz w:val="24"/>
                <w:highlight w:val="none"/>
                <w:lang w:val="en-US" w:eastAsia="zh-CN"/>
              </w:rPr>
              <w:t>与运输车辆</w:t>
            </w:r>
            <w:r>
              <w:rPr>
                <w:rFonts w:hint="eastAsia"/>
                <w:sz w:val="24"/>
                <w:highlight w:val="none"/>
              </w:rPr>
              <w:t>的</w:t>
            </w:r>
            <w:r>
              <w:rPr>
                <w:rFonts w:hint="default" w:ascii="Times New Roman" w:hAnsi="Times New Roman" w:eastAsia="宋体" w:cs="Times New Roman"/>
                <w:b w:val="0"/>
                <w:bCs w:val="0"/>
                <w:color w:val="auto"/>
                <w:kern w:val="0"/>
                <w:sz w:val="24"/>
                <w:szCs w:val="24"/>
                <w:highlight w:val="none"/>
                <w:lang w:val="en-US" w:eastAsia="zh-CN" w:bidi="ar"/>
              </w:rPr>
              <w:t xml:space="preserve">废气。 </w:t>
            </w:r>
          </w:p>
          <w:p w14:paraId="1EDD9EF4">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 xml:space="preserve">废水：主要为施工人员生活污水、施工废水。 </w:t>
            </w:r>
          </w:p>
          <w:p w14:paraId="4A866CA8">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 xml:space="preserve">噪声：主要为施工过程中作业机械运行时产生的噪声。 </w:t>
            </w:r>
          </w:p>
          <w:p w14:paraId="549ADCA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固废：主要为</w:t>
            </w:r>
            <w:r>
              <w:rPr>
                <w:rFonts w:hint="eastAsia" w:cs="Times New Roman"/>
                <w:b w:val="0"/>
                <w:bCs w:val="0"/>
                <w:color w:val="auto"/>
                <w:kern w:val="0"/>
                <w:sz w:val="24"/>
                <w:szCs w:val="24"/>
                <w:highlight w:val="none"/>
                <w:lang w:val="en-US" w:eastAsia="zh-CN" w:bidi="ar"/>
              </w:rPr>
              <w:t>施工人员</w:t>
            </w:r>
            <w:r>
              <w:rPr>
                <w:rFonts w:hint="default" w:ascii="Times New Roman" w:hAnsi="Times New Roman" w:eastAsia="宋体" w:cs="Times New Roman"/>
                <w:b w:val="0"/>
                <w:bCs w:val="0"/>
                <w:color w:val="auto"/>
                <w:kern w:val="0"/>
                <w:sz w:val="24"/>
                <w:szCs w:val="24"/>
                <w:highlight w:val="none"/>
                <w:lang w:val="en-US" w:eastAsia="zh-CN" w:bidi="ar"/>
              </w:rPr>
              <w:t>生活垃圾。</w:t>
            </w:r>
          </w:p>
          <w:p w14:paraId="21FA5D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kern w:val="0"/>
                <w:sz w:val="24"/>
                <w:highlight w:val="none"/>
                <w:lang w:val="en-US" w:eastAsia="zh-CN"/>
              </w:rPr>
            </w:pPr>
            <w:r>
              <w:rPr>
                <w:rFonts w:hint="eastAsia"/>
                <w:kern w:val="0"/>
                <w:sz w:val="24"/>
                <w:highlight w:val="none"/>
                <w:lang w:val="en-US" w:eastAsia="zh-CN"/>
              </w:rPr>
              <w:t>②运营期</w:t>
            </w:r>
          </w:p>
          <w:p w14:paraId="7DE672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eastAsia="zh-CN"/>
              </w:rPr>
            </w:pPr>
            <w:r>
              <w:rPr>
                <w:kern w:val="0"/>
                <w:sz w:val="24"/>
                <w:highlight w:val="none"/>
              </w:rPr>
              <w:t>运营期</w:t>
            </w:r>
            <w:r>
              <w:rPr>
                <w:rFonts w:hint="eastAsia"/>
                <w:kern w:val="0"/>
                <w:sz w:val="24"/>
                <w:highlight w:val="none"/>
                <w:lang w:eastAsia="zh-CN"/>
              </w:rPr>
              <w:t>不产生废气、废水、噪声；主要是蓄水池产生沉淀泥沙等固废。</w:t>
            </w:r>
          </w:p>
        </w:tc>
      </w:tr>
      <w:tr w14:paraId="3249FF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6" w:hRule="atLeast"/>
        </w:trPr>
        <w:tc>
          <w:tcPr>
            <w:tcW w:w="710" w:type="dxa"/>
            <w:noWrap w:val="0"/>
            <w:vAlign w:val="center"/>
          </w:tcPr>
          <w:p w14:paraId="6E67FAD0">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其他</w:t>
            </w:r>
          </w:p>
        </w:tc>
        <w:tc>
          <w:tcPr>
            <w:tcW w:w="8380" w:type="dxa"/>
            <w:noWrap w:val="0"/>
            <w:vAlign w:val="center"/>
          </w:tcPr>
          <w:p w14:paraId="27B50C61">
            <w:pPr>
              <w:adjustRightInd w:val="0"/>
              <w:snapToGrid w:val="0"/>
              <w:jc w:val="left"/>
              <w:rPr>
                <w:rFonts w:hint="eastAsia" w:ascii="宋体" w:hAnsi="宋体" w:cs="宋体"/>
                <w:color w:val="000000" w:themeColor="text1"/>
                <w:kern w:val="0"/>
                <w:sz w:val="24"/>
                <w:szCs w:val="24"/>
                <w:highlight w:val="none"/>
                <w:lang w:eastAsia="zh-CN"/>
                <w14:textFill>
                  <w14:solidFill>
                    <w14:schemeClr w14:val="tx1"/>
                  </w14:solidFill>
                </w14:textFill>
              </w:rPr>
            </w:pPr>
            <w:r>
              <w:rPr>
                <w:rFonts w:hint="eastAsia"/>
                <w:sz w:val="24"/>
                <w:szCs w:val="24"/>
                <w:highlight w:val="none"/>
                <w:lang w:eastAsia="zh-CN"/>
              </w:rPr>
              <w:t>一、</w:t>
            </w:r>
            <w:r>
              <w:rPr>
                <w:rFonts w:hint="eastAsia" w:ascii="宋体" w:hAnsi="宋体" w:cs="宋体"/>
                <w:color w:val="000000" w:themeColor="text1"/>
                <w:kern w:val="0"/>
                <w:sz w:val="24"/>
                <w:szCs w:val="24"/>
                <w:highlight w:val="none"/>
                <w:lang w:eastAsia="zh-CN"/>
                <w14:textFill>
                  <w14:solidFill>
                    <w14:schemeClr w14:val="tx1"/>
                  </w14:solidFill>
                </w14:textFill>
              </w:rPr>
              <w:t>清淤方案</w:t>
            </w:r>
          </w:p>
          <w:p w14:paraId="59A2F058">
            <w:pPr>
              <w:pStyle w:val="2"/>
              <w:rPr>
                <w:rFonts w:hint="eastAsia"/>
                <w:highlight w:val="none"/>
              </w:rPr>
            </w:pPr>
            <w:r>
              <w:rPr>
                <w:rFonts w:hint="eastAsia"/>
                <w:highlight w:val="none"/>
                <w:lang w:val="en-US" w:eastAsia="zh-CN"/>
              </w:rPr>
              <w:t>1.</w:t>
            </w:r>
            <w:r>
              <w:rPr>
                <w:rFonts w:hint="eastAsia"/>
                <w:highlight w:val="none"/>
              </w:rPr>
              <w:t>施工前准备工作</w:t>
            </w:r>
          </w:p>
          <w:p w14:paraId="28042966">
            <w:pPr>
              <w:pStyle w:val="2"/>
              <w:rPr>
                <w:rFonts w:hint="eastAsia"/>
                <w:highlight w:val="none"/>
              </w:rPr>
            </w:pPr>
            <w:r>
              <w:rPr>
                <w:rFonts w:hint="eastAsia"/>
                <w:highlight w:val="none"/>
                <w:lang w:val="en-US" w:eastAsia="zh-CN"/>
              </w:rPr>
              <w:t>1</w:t>
            </w:r>
            <w:r>
              <w:rPr>
                <w:rFonts w:hint="eastAsia"/>
                <w:highlight w:val="none"/>
              </w:rPr>
              <w:t>.1</w:t>
            </w:r>
            <w:r>
              <w:rPr>
                <w:rFonts w:hint="eastAsia"/>
                <w:highlight w:val="none"/>
                <w:lang w:eastAsia="zh-CN"/>
              </w:rPr>
              <w:t>蓄水池</w:t>
            </w:r>
            <w:r>
              <w:rPr>
                <w:rFonts w:hint="eastAsia"/>
                <w:highlight w:val="none"/>
              </w:rPr>
              <w:t>清淤前的检查</w:t>
            </w:r>
          </w:p>
          <w:p w14:paraId="013CB427">
            <w:pPr>
              <w:pStyle w:val="2"/>
              <w:rPr>
                <w:rFonts w:hint="eastAsia"/>
                <w:highlight w:val="none"/>
              </w:rPr>
            </w:pPr>
            <w:r>
              <w:rPr>
                <w:rFonts w:hint="eastAsia"/>
                <w:highlight w:val="none"/>
              </w:rPr>
              <w:t>在施工前，需要对</w:t>
            </w:r>
            <w:r>
              <w:rPr>
                <w:rFonts w:hint="eastAsia"/>
                <w:highlight w:val="none"/>
                <w:lang w:eastAsia="zh-CN"/>
              </w:rPr>
              <w:t>蓄水池</w:t>
            </w:r>
            <w:r>
              <w:rPr>
                <w:rFonts w:hint="eastAsia"/>
                <w:highlight w:val="none"/>
              </w:rPr>
              <w:t>进行仔细的检查</w:t>
            </w:r>
            <w:r>
              <w:rPr>
                <w:rFonts w:hint="eastAsia"/>
                <w:highlight w:val="none"/>
                <w:lang w:eastAsia="zh-CN"/>
              </w:rPr>
              <w:t>；</w:t>
            </w:r>
            <w:r>
              <w:rPr>
                <w:rFonts w:hint="eastAsia"/>
                <w:highlight w:val="none"/>
              </w:rPr>
              <w:t>了解</w:t>
            </w:r>
            <w:r>
              <w:rPr>
                <w:rFonts w:hint="eastAsia"/>
                <w:highlight w:val="none"/>
                <w:lang w:eastAsia="zh-CN"/>
              </w:rPr>
              <w:t>泥沙沉淀</w:t>
            </w:r>
            <w:r>
              <w:rPr>
                <w:rFonts w:hint="eastAsia"/>
                <w:highlight w:val="none"/>
              </w:rPr>
              <w:t>情况</w:t>
            </w:r>
            <w:r>
              <w:rPr>
                <w:rFonts w:hint="eastAsia"/>
                <w:highlight w:val="none"/>
                <w:lang w:eastAsia="zh-CN"/>
              </w:rPr>
              <w:t>，</w:t>
            </w:r>
            <w:r>
              <w:rPr>
                <w:rFonts w:hint="eastAsia"/>
                <w:highlight w:val="none"/>
              </w:rPr>
              <w:t>以便制定合理的施工方案。</w:t>
            </w:r>
          </w:p>
          <w:p w14:paraId="0E343E8C">
            <w:pPr>
              <w:pStyle w:val="2"/>
              <w:rPr>
                <w:rFonts w:hint="eastAsia"/>
                <w:highlight w:val="none"/>
              </w:rPr>
            </w:pPr>
            <w:r>
              <w:rPr>
                <w:rFonts w:hint="eastAsia"/>
                <w:highlight w:val="none"/>
                <w:lang w:val="en-US" w:eastAsia="zh-CN"/>
              </w:rPr>
              <w:t>1.2</w:t>
            </w:r>
            <w:r>
              <w:rPr>
                <w:rFonts w:hint="eastAsia"/>
                <w:highlight w:val="none"/>
              </w:rPr>
              <w:t>准备工作</w:t>
            </w:r>
          </w:p>
          <w:p w14:paraId="6A404024">
            <w:pPr>
              <w:pStyle w:val="2"/>
              <w:rPr>
                <w:rFonts w:hint="eastAsia" w:eastAsia="宋体"/>
                <w:highlight w:val="none"/>
                <w:lang w:eastAsia="zh-CN"/>
              </w:rPr>
            </w:pPr>
            <w:r>
              <w:rPr>
                <w:rFonts w:hint="eastAsia"/>
                <w:highlight w:val="none"/>
              </w:rPr>
              <w:t>在进入施工现场后，施工人员首先需在</w:t>
            </w:r>
            <w:r>
              <w:rPr>
                <w:rFonts w:hint="eastAsia"/>
                <w:highlight w:val="none"/>
                <w:lang w:eastAsia="zh-CN"/>
              </w:rPr>
              <w:t>蓄</w:t>
            </w:r>
            <w:r>
              <w:rPr>
                <w:rFonts w:hint="eastAsia"/>
                <w:highlight w:val="none"/>
              </w:rPr>
              <w:t>水池周围搭建起保护栏杆和警示标识以确保施工过程中的安全。同时，对施工现场进行必要的清理和整理，为后续的施工工作创造良好的施工环境。</w:t>
            </w:r>
            <w:r>
              <w:rPr>
                <w:rFonts w:hint="eastAsia"/>
                <w:highlight w:val="none"/>
                <w:lang w:eastAsia="zh-CN"/>
              </w:rPr>
              <w:t>施工前关闭进水口，池内蓄水全部用于</w:t>
            </w:r>
            <w:r>
              <w:rPr>
                <w:rFonts w:hint="default" w:ascii="Times New Roman" w:hAnsi="Times New Roman" w:eastAsia="宋体" w:cs="Times New Roman"/>
                <w:color w:val="auto"/>
                <w:sz w:val="24"/>
                <w:szCs w:val="24"/>
                <w:highlight w:val="none"/>
                <w:lang w:val="en-US" w:eastAsia="zh-CN"/>
              </w:rPr>
              <w:t>朔方新能源大基地提供新能源太阳能板清洗用水及</w:t>
            </w:r>
            <w:r>
              <w:rPr>
                <w:rFonts w:hint="eastAsia" w:ascii="Times New Roman" w:cs="Times New Roman"/>
                <w:color w:val="auto"/>
                <w:sz w:val="24"/>
                <w:szCs w:val="24"/>
                <w:highlight w:val="none"/>
                <w:lang w:val="en-US" w:eastAsia="zh-CN"/>
              </w:rPr>
              <w:t>生态用水</w:t>
            </w:r>
            <w:r>
              <w:rPr>
                <w:rFonts w:hint="eastAsia" w:cs="Times New Roman"/>
                <w:color w:val="auto"/>
                <w:sz w:val="24"/>
                <w:szCs w:val="24"/>
                <w:highlight w:val="none"/>
                <w:lang w:val="en-US" w:eastAsia="zh-CN"/>
              </w:rPr>
              <w:t>。</w:t>
            </w:r>
          </w:p>
          <w:p w14:paraId="6F85241D">
            <w:pPr>
              <w:pStyle w:val="2"/>
              <w:rPr>
                <w:rFonts w:hint="eastAsia"/>
                <w:highlight w:val="none"/>
              </w:rPr>
            </w:pPr>
            <w:r>
              <w:rPr>
                <w:rFonts w:hint="eastAsia"/>
                <w:highlight w:val="none"/>
                <w:lang w:val="en-US" w:eastAsia="zh-CN"/>
              </w:rPr>
              <w:t>2.</w:t>
            </w:r>
            <w:r>
              <w:rPr>
                <w:rFonts w:hint="eastAsia"/>
                <w:highlight w:val="none"/>
              </w:rPr>
              <w:t>清理</w:t>
            </w:r>
            <w:r>
              <w:rPr>
                <w:rFonts w:hint="eastAsia"/>
                <w:sz w:val="24"/>
                <w:highlight w:val="none"/>
                <w:lang w:eastAsia="zh-CN"/>
              </w:rPr>
              <w:t>蓄水池沉淀泥沙</w:t>
            </w:r>
          </w:p>
          <w:p w14:paraId="7D584015">
            <w:pPr>
              <w:pStyle w:val="2"/>
              <w:rPr>
                <w:rFonts w:hint="eastAsia"/>
                <w:highlight w:val="none"/>
              </w:rPr>
            </w:pPr>
            <w:r>
              <w:rPr>
                <w:rFonts w:hint="eastAsia"/>
                <w:highlight w:val="none"/>
              </w:rPr>
              <w:t>2.</w:t>
            </w:r>
            <w:r>
              <w:rPr>
                <w:rFonts w:hint="eastAsia"/>
                <w:highlight w:val="none"/>
                <w:lang w:val="en-US" w:eastAsia="zh-CN"/>
              </w:rPr>
              <w:t>1</w:t>
            </w:r>
            <w:r>
              <w:rPr>
                <w:rFonts w:hint="eastAsia"/>
                <w:highlight w:val="none"/>
              </w:rPr>
              <w:t>清理</w:t>
            </w:r>
            <w:r>
              <w:rPr>
                <w:rFonts w:hint="eastAsia"/>
                <w:sz w:val="24"/>
                <w:highlight w:val="none"/>
                <w:lang w:eastAsia="zh-CN"/>
              </w:rPr>
              <w:t>蓄水池沉淀泥沙</w:t>
            </w:r>
            <w:r>
              <w:rPr>
                <w:rFonts w:hint="eastAsia"/>
                <w:highlight w:val="none"/>
              </w:rPr>
              <w:t>方法</w:t>
            </w:r>
          </w:p>
          <w:p w14:paraId="74D68767">
            <w:pPr>
              <w:pStyle w:val="2"/>
              <w:rPr>
                <w:rFonts w:hint="eastAsia"/>
                <w:highlight w:val="none"/>
              </w:rPr>
            </w:pPr>
            <w:r>
              <w:rPr>
                <w:rFonts w:hint="eastAsia"/>
                <w:sz w:val="24"/>
                <w:highlight w:val="none"/>
                <w:lang w:eastAsia="zh-CN"/>
              </w:rPr>
              <w:t>本项目蓄水池沉淀泥沙</w:t>
            </w:r>
            <w:r>
              <w:rPr>
                <w:rFonts w:hint="eastAsia"/>
                <w:sz w:val="24"/>
                <w:highlight w:val="none"/>
              </w:rPr>
              <w:t>采用人工清掏的方式将</w:t>
            </w:r>
            <w:r>
              <w:rPr>
                <w:rFonts w:hint="eastAsia"/>
                <w:sz w:val="24"/>
                <w:highlight w:val="none"/>
                <w:lang w:eastAsia="zh-CN"/>
              </w:rPr>
              <w:t>沉淀泥沙</w:t>
            </w:r>
            <w:r>
              <w:rPr>
                <w:rFonts w:hint="eastAsia"/>
                <w:sz w:val="24"/>
                <w:highlight w:val="none"/>
              </w:rPr>
              <w:t>收集至封闭的运输车内</w:t>
            </w:r>
            <w:r>
              <w:rPr>
                <w:rFonts w:hint="eastAsia"/>
                <w:sz w:val="24"/>
                <w:highlight w:val="none"/>
                <w:lang w:eastAsia="zh-CN"/>
              </w:rPr>
              <w:t>。清理蓄水池沉淀泥沙时池底土工膜上铺设有150mm厚砂砾石垫层。</w:t>
            </w:r>
            <w:r>
              <w:rPr>
                <w:rFonts w:hint="eastAsia"/>
                <w:sz w:val="24"/>
                <w:highlight w:val="none"/>
              </w:rPr>
              <w:t>用人工清掏的方式</w:t>
            </w:r>
            <w:r>
              <w:rPr>
                <w:rFonts w:hint="eastAsia"/>
                <w:sz w:val="24"/>
                <w:highlight w:val="none"/>
                <w:lang w:eastAsia="zh-CN"/>
              </w:rPr>
              <w:t>，</w:t>
            </w:r>
            <w:r>
              <w:rPr>
                <w:rFonts w:hint="eastAsia"/>
                <w:highlight w:val="none"/>
              </w:rPr>
              <w:t>不得使用机械挖掘</w:t>
            </w:r>
            <w:r>
              <w:rPr>
                <w:rFonts w:hint="eastAsia"/>
                <w:highlight w:val="none"/>
                <w:lang w:eastAsia="zh-CN"/>
              </w:rPr>
              <w:t>，以防破坏土工膜</w:t>
            </w:r>
            <w:r>
              <w:rPr>
                <w:rFonts w:hint="eastAsia"/>
                <w:highlight w:val="none"/>
              </w:rPr>
              <w:t>。</w:t>
            </w:r>
          </w:p>
          <w:p w14:paraId="3573CAAA">
            <w:pPr>
              <w:pStyle w:val="2"/>
              <w:rPr>
                <w:rFonts w:hint="eastAsia"/>
                <w:highlight w:val="none"/>
              </w:rPr>
            </w:pPr>
            <w:r>
              <w:rPr>
                <w:rFonts w:hint="eastAsia"/>
                <w:highlight w:val="none"/>
                <w:lang w:val="en-US" w:eastAsia="zh-CN"/>
              </w:rPr>
              <w:t>2.2</w:t>
            </w:r>
            <w:r>
              <w:rPr>
                <w:rFonts w:hint="eastAsia"/>
                <w:highlight w:val="none"/>
              </w:rPr>
              <w:t>清淤现场清理</w:t>
            </w:r>
            <w:r>
              <w:rPr>
                <w:rFonts w:hint="eastAsia"/>
                <w:highlight w:val="none"/>
                <w:lang w:eastAsia="zh-CN"/>
              </w:rPr>
              <w:t>：</w:t>
            </w:r>
            <w:r>
              <w:rPr>
                <w:rFonts w:hint="eastAsia"/>
                <w:highlight w:val="none"/>
              </w:rPr>
              <w:t>施工结束后，对清淤现场进行清理，以恢复原状</w:t>
            </w:r>
          </w:p>
          <w:p w14:paraId="369118A6">
            <w:pPr>
              <w:pStyle w:val="2"/>
              <w:rPr>
                <w:rFonts w:hint="eastAsia"/>
                <w:highlight w:val="none"/>
              </w:rPr>
            </w:pPr>
            <w:r>
              <w:rPr>
                <w:rFonts w:hint="eastAsia"/>
                <w:highlight w:val="none"/>
              </w:rPr>
              <w:t>2.</w:t>
            </w:r>
            <w:r>
              <w:rPr>
                <w:rFonts w:hint="eastAsia"/>
                <w:highlight w:val="none"/>
                <w:lang w:val="en-US" w:eastAsia="zh-CN"/>
              </w:rPr>
              <w:t>3</w:t>
            </w:r>
            <w:r>
              <w:rPr>
                <w:rFonts w:hint="eastAsia"/>
                <w:highlight w:val="none"/>
              </w:rPr>
              <w:t>整改方案</w:t>
            </w:r>
          </w:p>
          <w:p w14:paraId="358B02FD">
            <w:pPr>
              <w:pStyle w:val="2"/>
              <w:rPr>
                <w:rFonts w:hint="eastAsia" w:eastAsia="宋体"/>
                <w:highlight w:val="none"/>
                <w:lang w:eastAsia="zh-CN"/>
              </w:rPr>
            </w:pPr>
            <w:r>
              <w:rPr>
                <w:rFonts w:hint="eastAsia"/>
                <w:highlight w:val="none"/>
              </w:rPr>
              <w:t>在清理淤泥的同时，需要对蓄水池的缺陷进行整改，以保证蓄水池的正常使用。具体整改方案如下</w:t>
            </w:r>
            <w:r>
              <w:rPr>
                <w:rFonts w:hint="eastAsia"/>
                <w:highlight w:val="none"/>
                <w:lang w:eastAsia="zh-CN"/>
              </w:rPr>
              <w:t>：</w:t>
            </w:r>
          </w:p>
          <w:p w14:paraId="75953A0C">
            <w:pPr>
              <w:pStyle w:val="2"/>
              <w:rPr>
                <w:rFonts w:hint="eastAsia"/>
                <w:highlight w:val="none"/>
              </w:rPr>
            </w:pPr>
            <w:r>
              <w:rPr>
                <w:rFonts w:hint="eastAsia"/>
                <w:highlight w:val="none"/>
                <w:lang w:eastAsia="zh-CN"/>
              </w:rPr>
              <w:t>检查</w:t>
            </w:r>
            <w:r>
              <w:rPr>
                <w:rFonts w:hint="eastAsia"/>
                <w:highlight w:val="none"/>
              </w:rPr>
              <w:t>蓄水池</w:t>
            </w:r>
            <w:r>
              <w:rPr>
                <w:rFonts w:hint="eastAsia"/>
                <w:highlight w:val="none"/>
                <w:lang w:eastAsia="zh-CN"/>
              </w:rPr>
              <w:t>是否有</w:t>
            </w:r>
            <w:r>
              <w:rPr>
                <w:rFonts w:hint="eastAsia"/>
                <w:highlight w:val="none"/>
              </w:rPr>
              <w:t>渗漏、损坏等缺陷，</w:t>
            </w:r>
            <w:r>
              <w:rPr>
                <w:rFonts w:hint="eastAsia"/>
                <w:highlight w:val="none"/>
                <w:lang w:eastAsia="zh-CN"/>
              </w:rPr>
              <w:t>土工膜是否有损坏，及时</w:t>
            </w:r>
            <w:r>
              <w:rPr>
                <w:rFonts w:hint="eastAsia"/>
                <w:highlight w:val="none"/>
              </w:rPr>
              <w:t>进行修复。</w:t>
            </w:r>
          </w:p>
          <w:p w14:paraId="57A80026">
            <w:pPr>
              <w:pStyle w:val="2"/>
              <w:rPr>
                <w:rFonts w:hint="eastAsia"/>
                <w:highlight w:val="none"/>
              </w:rPr>
            </w:pPr>
            <w:r>
              <w:rPr>
                <w:rFonts w:hint="eastAsia"/>
                <w:highlight w:val="none"/>
              </w:rPr>
              <w:t>对于蓄水池排放管道、进水管道等设施，在清理</w:t>
            </w:r>
            <w:r>
              <w:rPr>
                <w:rFonts w:hint="eastAsia"/>
                <w:highlight w:val="none"/>
                <w:lang w:eastAsia="zh-CN"/>
              </w:rPr>
              <w:t>泥沙</w:t>
            </w:r>
            <w:r>
              <w:rPr>
                <w:rFonts w:hint="eastAsia"/>
                <w:highlight w:val="none"/>
              </w:rPr>
              <w:t>的同时，也需要对设施进行检查、清理和维修。</w:t>
            </w:r>
          </w:p>
          <w:p w14:paraId="0030E47E">
            <w:pPr>
              <w:pStyle w:val="2"/>
              <w:rPr>
                <w:rFonts w:hint="eastAsia"/>
                <w:highlight w:val="none"/>
              </w:rPr>
            </w:pPr>
            <w:r>
              <w:rPr>
                <w:rFonts w:hint="eastAsia"/>
                <w:highlight w:val="none"/>
              </w:rPr>
              <w:t>对于蓄水池周边环境，如护岸、植被等，需要进行修整和保养。</w:t>
            </w:r>
          </w:p>
          <w:p w14:paraId="5B00762E">
            <w:pPr>
              <w:pStyle w:val="2"/>
              <w:rPr>
                <w:rFonts w:hint="eastAsia"/>
                <w:highlight w:val="none"/>
              </w:rPr>
            </w:pPr>
            <w:r>
              <w:rPr>
                <w:rFonts w:hint="eastAsia"/>
                <w:highlight w:val="none"/>
                <w:lang w:val="en-US" w:eastAsia="zh-CN"/>
              </w:rPr>
              <w:t>3.</w:t>
            </w:r>
            <w:r>
              <w:rPr>
                <w:rFonts w:hint="eastAsia"/>
                <w:highlight w:val="none"/>
                <w:lang w:eastAsia="zh-CN"/>
              </w:rPr>
              <w:t>蓄水池沉淀泥沙处理</w:t>
            </w:r>
          </w:p>
          <w:p w14:paraId="36CBC2A8">
            <w:pPr>
              <w:pStyle w:val="2"/>
              <w:rPr>
                <w:rFonts w:hint="eastAsia" w:eastAsia="宋体"/>
                <w:highlight w:val="none"/>
                <w:lang w:eastAsia="zh-CN"/>
              </w:rPr>
            </w:pPr>
            <w:r>
              <w:rPr>
                <w:rFonts w:hint="eastAsia"/>
                <w:highlight w:val="none"/>
                <w:lang w:eastAsia="zh-CN"/>
              </w:rPr>
              <w:t>蓄水池池底沉淀的泥沙清理</w:t>
            </w:r>
            <w:r>
              <w:rPr>
                <w:rFonts w:hint="eastAsia"/>
                <w:highlight w:val="none"/>
              </w:rPr>
              <w:t>后，</w:t>
            </w:r>
            <w:r>
              <w:rPr>
                <w:rFonts w:hint="eastAsia"/>
                <w:highlight w:val="none"/>
                <w:lang w:eastAsia="zh-CN"/>
              </w:rPr>
              <w:t>送至</w:t>
            </w:r>
            <w:r>
              <w:rPr>
                <w:rFonts w:hint="eastAsia"/>
                <w:sz w:val="24"/>
                <w:highlight w:val="none"/>
                <w:lang w:eastAsia="zh-CN"/>
              </w:rPr>
              <w:t>当地</w:t>
            </w:r>
            <w:r>
              <w:rPr>
                <w:rFonts w:hint="eastAsia"/>
                <w:sz w:val="24"/>
                <w:highlight w:val="none"/>
              </w:rPr>
              <w:t>生活垃圾填埋场作为填埋覆土使用。</w:t>
            </w:r>
          </w:p>
          <w:p w14:paraId="1DD031BB">
            <w:pPr>
              <w:pStyle w:val="2"/>
              <w:rPr>
                <w:rFonts w:hint="eastAsia"/>
                <w:highlight w:val="none"/>
              </w:rPr>
            </w:pPr>
          </w:p>
        </w:tc>
      </w:tr>
    </w:tbl>
    <w:p w14:paraId="2B9C155B">
      <w:pPr>
        <w:pStyle w:val="17"/>
        <w:jc w:val="center"/>
        <w:outlineLvl w:val="0"/>
        <w:rPr>
          <w:rFonts w:ascii="黑体" w:hAnsi="黑体" w:eastAsia="黑体"/>
          <w:snapToGrid w:val="0"/>
          <w:sz w:val="30"/>
          <w:szCs w:val="30"/>
          <w:highlight w:val="none"/>
        </w:rPr>
      </w:pPr>
    </w:p>
    <w:p w14:paraId="3EFBE8B7">
      <w:pPr>
        <w:pStyle w:val="17"/>
        <w:jc w:val="center"/>
        <w:outlineLvl w:val="0"/>
        <w:rPr>
          <w:rFonts w:ascii="黑体" w:hAnsi="黑体" w:eastAsia="黑体"/>
          <w:snapToGrid w:val="0"/>
          <w:sz w:val="30"/>
          <w:szCs w:val="30"/>
          <w:highlight w:val="none"/>
        </w:rPr>
      </w:pPr>
      <w:r>
        <w:rPr>
          <w:rFonts w:eastAsia="仿宋_GB2312"/>
          <w:b/>
          <w:bCs/>
          <w:highlight w:val="none"/>
        </w:rPr>
        <w:br w:type="page"/>
      </w:r>
      <w:r>
        <w:rPr>
          <w:rFonts w:hint="eastAsia" w:ascii="黑体" w:hAnsi="黑体" w:eastAsia="黑体"/>
          <w:snapToGrid w:val="0"/>
          <w:sz w:val="30"/>
          <w:szCs w:val="30"/>
          <w:highlight w:val="none"/>
        </w:rPr>
        <w:t>三、生态环境现状、保护目标及评价标准</w:t>
      </w:r>
    </w:p>
    <w:tbl>
      <w:tblPr>
        <w:tblStyle w:val="19"/>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4"/>
        <w:gridCol w:w="8253"/>
      </w:tblGrid>
      <w:tr w14:paraId="44EDC9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04" w:type="dxa"/>
            <w:noWrap w:val="0"/>
            <w:vAlign w:val="center"/>
          </w:tcPr>
          <w:p w14:paraId="419449F7">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生态环境现状</w:t>
            </w:r>
          </w:p>
        </w:tc>
        <w:tc>
          <w:tcPr>
            <w:tcW w:w="8253" w:type="dxa"/>
            <w:noWrap w:val="0"/>
            <w:vAlign w:val="center"/>
          </w:tcPr>
          <w:p w14:paraId="3F1B3F95">
            <w:pPr>
              <w:pStyle w:val="2"/>
              <w:rPr>
                <w:rFonts w:hint="eastAsia" w:eastAsia="宋体"/>
                <w:highlight w:val="none"/>
                <w:lang w:eastAsia="zh-CN"/>
              </w:rPr>
            </w:pPr>
            <w:r>
              <w:rPr>
                <w:rFonts w:hint="eastAsia" w:eastAsia="宋体"/>
                <w:highlight w:val="none"/>
                <w:lang w:eastAsia="zh-CN"/>
              </w:rPr>
              <w:t>一、生态环境现状</w:t>
            </w:r>
          </w:p>
          <w:p w14:paraId="159835C9">
            <w:pPr>
              <w:pStyle w:val="2"/>
              <w:rPr>
                <w:rFonts w:hint="eastAsia" w:eastAsia="宋体"/>
                <w:highlight w:val="none"/>
                <w:lang w:val="en-US" w:eastAsia="zh-CN"/>
              </w:rPr>
            </w:pPr>
            <w:r>
              <w:rPr>
                <w:rFonts w:hint="eastAsia" w:eastAsia="宋体"/>
                <w:highlight w:val="none"/>
                <w:lang w:val="en-US" w:eastAsia="zh-CN"/>
              </w:rPr>
              <w:t>本项目位于鄂尔多斯市杭锦旗独贵塔拉镇乌定补拉格村。根据《内蒙古自治区主体功能区规划》，本项目位于国家级重点开发区域—呼包鄂地区。根据《内蒙古自治区生态功能区划》，本项目所在区域生态功能区划属于鄂尔多斯高原典型草原沙漠化控制生态功能区。</w:t>
            </w:r>
          </w:p>
          <w:p w14:paraId="6A15F39B">
            <w:pPr>
              <w:pStyle w:val="2"/>
              <w:rPr>
                <w:rFonts w:hint="eastAsia"/>
                <w:color w:val="000000" w:themeColor="text1"/>
                <w:sz w:val="24"/>
                <w:szCs w:val="24"/>
                <w:highlight w:val="none"/>
                <w:lang w:val="en-US" w:eastAsia="zh-CN"/>
                <w14:textFill>
                  <w14:solidFill>
                    <w14:schemeClr w14:val="tx1"/>
                  </w14:solidFill>
                </w14:textFill>
              </w:rPr>
            </w:pPr>
            <w:r>
              <w:rPr>
                <w:rFonts w:hint="default" w:eastAsia="宋体"/>
                <w:highlight w:val="none"/>
                <w:lang w:val="en-US" w:eastAsia="zh-CN"/>
              </w:rPr>
              <w:t>本次生态环境</w:t>
            </w:r>
            <w:r>
              <w:rPr>
                <w:rFonts w:hint="eastAsia" w:eastAsia="宋体"/>
                <w:highlight w:val="none"/>
                <w:lang w:val="en-US" w:eastAsia="zh-CN"/>
              </w:rPr>
              <w:t>现状</w:t>
            </w:r>
            <w:r>
              <w:rPr>
                <w:rFonts w:hint="default" w:eastAsia="宋体"/>
                <w:highlight w:val="none"/>
                <w:lang w:val="en-US" w:eastAsia="zh-CN"/>
              </w:rPr>
              <w:t>调查</w:t>
            </w:r>
            <w:r>
              <w:rPr>
                <w:rFonts w:hint="eastAsia" w:eastAsia="宋体"/>
                <w:highlight w:val="none"/>
                <w:lang w:val="en-US" w:eastAsia="zh-CN"/>
              </w:rPr>
              <w:t>采用现场调查与</w:t>
            </w:r>
            <w:r>
              <w:rPr>
                <w:rFonts w:hint="default" w:eastAsia="宋体"/>
                <w:highlight w:val="none"/>
                <w:lang w:val="en-US" w:eastAsia="zh-CN"/>
              </w:rPr>
              <w:t>遥感解译</w:t>
            </w:r>
            <w:r>
              <w:rPr>
                <w:rFonts w:hint="eastAsia" w:eastAsia="宋体"/>
                <w:highlight w:val="none"/>
                <w:lang w:val="en-US" w:eastAsia="zh-CN"/>
              </w:rPr>
              <w:t>结合</w:t>
            </w:r>
            <w:r>
              <w:rPr>
                <w:rFonts w:hint="default" w:eastAsia="宋体"/>
                <w:highlight w:val="none"/>
                <w:lang w:val="en-US" w:eastAsia="zh-CN"/>
              </w:rPr>
              <w:t>的方式，</w:t>
            </w:r>
            <w:r>
              <w:rPr>
                <w:rFonts w:hint="eastAsia" w:eastAsia="宋体"/>
                <w:highlight w:val="none"/>
                <w:lang w:val="en-US" w:eastAsia="zh-CN"/>
              </w:rPr>
              <w:t>遥感影像数据源为2023年6月11日land</w:t>
            </w:r>
            <w:r>
              <w:rPr>
                <w:rFonts w:hint="eastAsia" w:cs="Times New Roman"/>
                <w:color w:val="000000" w:themeColor="text1"/>
                <w:kern w:val="0"/>
                <w:sz w:val="24"/>
                <w:szCs w:val="24"/>
                <w:highlight w:val="none"/>
                <w:lang w:val="en-US" w:eastAsia="zh-CN" w:bidi="ar-SA"/>
                <w14:textFill>
                  <w14:solidFill>
                    <w14:schemeClr w14:val="tx1"/>
                  </w14:solidFill>
                </w14:textFill>
              </w:rPr>
              <w:t>sat</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9卫星数据5-4-3波段合成，融合分辨率15米。</w:t>
            </w:r>
            <w:r>
              <w:rPr>
                <w:rFonts w:hint="eastAsia"/>
                <w:color w:val="000000" w:themeColor="text1"/>
                <w:sz w:val="24"/>
                <w:szCs w:val="24"/>
                <w:highlight w:val="none"/>
                <w:lang w:val="en-US" w:eastAsia="zh-CN"/>
                <w14:textFill>
                  <w14:solidFill>
                    <w14:schemeClr w14:val="tx1"/>
                  </w14:solidFill>
                </w14:textFill>
              </w:rPr>
              <w:t>遥感影像图见图3-1。</w:t>
            </w:r>
          </w:p>
          <w:p w14:paraId="1E604AD3">
            <w:pPr>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drawing>
                <wp:inline distT="0" distB="0" distL="114300" distR="114300">
                  <wp:extent cx="5097145" cy="4634865"/>
                  <wp:effectExtent l="0" t="0" r="8255" b="13335"/>
                  <wp:docPr id="3" name="图片 3" descr="遥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遥感2"/>
                          <pic:cNvPicPr>
                            <a:picLocks noChangeAspect="1"/>
                          </pic:cNvPicPr>
                        </pic:nvPicPr>
                        <pic:blipFill>
                          <a:blip r:embed="rId9"/>
                          <a:stretch>
                            <a:fillRect/>
                          </a:stretch>
                        </pic:blipFill>
                        <pic:spPr>
                          <a:xfrm>
                            <a:off x="0" y="0"/>
                            <a:ext cx="5097145" cy="4634865"/>
                          </a:xfrm>
                          <a:prstGeom prst="rect">
                            <a:avLst/>
                          </a:prstGeom>
                        </pic:spPr>
                      </pic:pic>
                    </a:graphicData>
                  </a:graphic>
                </wp:inline>
              </w:drawing>
            </w:r>
          </w:p>
          <w:p w14:paraId="454FBD5F">
            <w:pPr>
              <w:pStyle w:val="18"/>
              <w:keepNext w:val="0"/>
              <w:keepLines w:val="0"/>
              <w:pageBreakBefore w:val="0"/>
              <w:widowControl/>
              <w:kinsoku/>
              <w:wordWrap/>
              <w:overflowPunct/>
              <w:topLinePunct w:val="0"/>
              <w:autoSpaceDE/>
              <w:autoSpaceDN/>
              <w:bidi w:val="0"/>
              <w:adjustRightInd/>
              <w:snapToGrid w:val="0"/>
              <w:spacing w:before="0" w:after="0" w:line="260" w:lineRule="auto"/>
              <w:ind w:right="0" w:firstLine="0" w:firstLineChars="0"/>
              <w:jc w:val="center"/>
              <w:textAlignment w:val="auto"/>
              <w:rPr>
                <w:rFonts w:hint="eastAsia"/>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图3-1 本项目遥感影像图</w:t>
            </w:r>
          </w:p>
          <w:p w14:paraId="6DBEAF9A">
            <w:pPr>
              <w:numPr>
                <w:ilvl w:val="0"/>
                <w:numId w:val="4"/>
              </w:numPr>
              <w:adjustRightInd w:val="0"/>
              <w:snapToGrid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土地利用现状</w:t>
            </w:r>
          </w:p>
          <w:p w14:paraId="49A9ECD6">
            <w:pPr>
              <w:pStyle w:val="12"/>
              <w:spacing w:before="0" w:after="0" w:line="360" w:lineRule="auto"/>
              <w:ind w:right="0" w:firstLine="480" w:firstLineChars="200"/>
              <w:rPr>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lang w:val="en-US" w:eastAsia="zh-CN"/>
                <w14:textFill>
                  <w14:solidFill>
                    <w14:schemeClr w14:val="tx1"/>
                  </w14:solidFill>
                </w14:textFill>
              </w:rPr>
              <w:t>参照国土部门GB/T21010土地利用分类</w:t>
            </w:r>
            <w:r>
              <w:rPr>
                <w:rFonts w:hint="eastAsia"/>
                <w:color w:val="000000" w:themeColor="text1"/>
                <w:sz w:val="24"/>
                <w:szCs w:val="24"/>
                <w:highlight w:val="none"/>
                <w:lang w:val="en-US" w:eastAsia="zh-CN"/>
                <w14:textFill>
                  <w14:solidFill>
                    <w14:schemeClr w14:val="tx1"/>
                  </w14:solidFill>
                </w14:textFill>
              </w:rPr>
              <w:t>，</w:t>
            </w:r>
            <w:r>
              <w:rPr>
                <w:rFonts w:hint="default"/>
                <w:color w:val="000000" w:themeColor="text1"/>
                <w:sz w:val="24"/>
                <w:szCs w:val="24"/>
                <w:highlight w:val="none"/>
                <w:lang w:val="en-US" w:eastAsia="zh-CN"/>
                <w14:textFill>
                  <w14:solidFill>
                    <w14:schemeClr w14:val="tx1"/>
                  </w14:solidFill>
                </w14:textFill>
              </w:rPr>
              <w:t>通过遥感解译对本项目区内的土地利用类型现状分析，</w:t>
            </w:r>
            <w:r>
              <w:rPr>
                <w:color w:val="000000" w:themeColor="text1"/>
                <w:sz w:val="24"/>
                <w:szCs w:val="24"/>
                <w:highlight w:val="none"/>
                <w:lang w:val="en-US" w:eastAsia="zh-CN"/>
                <w14:textFill>
                  <w14:solidFill>
                    <w14:schemeClr w14:val="tx1"/>
                  </w14:solidFill>
                </w14:textFill>
              </w:rPr>
              <w:t>土地利用现状结果统计见表3-</w:t>
            </w:r>
            <w:r>
              <w:rPr>
                <w:rFonts w:hint="eastAsia"/>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lang w:val="en-US" w:eastAsia="zh-CN"/>
                <w14:textFill>
                  <w14:solidFill>
                    <w14:schemeClr w14:val="tx1"/>
                  </w14:solidFill>
                </w14:textFill>
              </w:rPr>
              <w:t>，项目区及评价区土地利用情况见图3-</w:t>
            </w: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lang w:val="en-US" w:eastAsia="zh-CN"/>
                <w14:textFill>
                  <w14:solidFill>
                    <w14:schemeClr w14:val="tx1"/>
                  </w14:solidFill>
                </w14:textFill>
              </w:rPr>
              <w:t>。</w:t>
            </w:r>
          </w:p>
          <w:p w14:paraId="6EF7FE80">
            <w:pPr>
              <w:pStyle w:val="12"/>
              <w:spacing w:before="0" w:after="0" w:line="240" w:lineRule="auto"/>
              <w:ind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表3-1评价区土地利用现状结果统计</w:t>
            </w:r>
          </w:p>
          <w:tbl>
            <w:tblPr>
              <w:tblStyle w:val="19"/>
              <w:tblW w:w="7609" w:type="dxa"/>
              <w:tblInd w:w="-2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5"/>
              <w:gridCol w:w="1792"/>
              <w:gridCol w:w="1596"/>
              <w:gridCol w:w="1332"/>
              <w:gridCol w:w="1572"/>
              <w:gridCol w:w="1307"/>
              <w:gridCol w:w="5"/>
            </w:tblGrid>
            <w:tr w14:paraId="4B819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gridAfter w:val="1"/>
                <w:wAfter w:w="5" w:type="dxa"/>
                <w:trHeight w:val="288" w:hRule="atLeast"/>
              </w:trPr>
              <w:tc>
                <w:tcPr>
                  <w:tcW w:w="1797" w:type="dxa"/>
                  <w:gridSpan w:val="2"/>
                  <w:tcBorders>
                    <w:tl2br w:val="nil"/>
                    <w:tr2bl w:val="nil"/>
                  </w:tcBorders>
                  <w:shd w:val="clear" w:color="auto" w:fill="auto"/>
                  <w:noWrap/>
                  <w:vAlign w:val="center"/>
                </w:tcPr>
                <w:p w14:paraId="4790F9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一级类型</w:t>
                  </w:r>
                </w:p>
              </w:tc>
              <w:tc>
                <w:tcPr>
                  <w:tcW w:w="1596" w:type="dxa"/>
                  <w:tcBorders>
                    <w:tl2br w:val="nil"/>
                    <w:tr2bl w:val="nil"/>
                  </w:tcBorders>
                  <w:shd w:val="clear" w:color="auto" w:fill="auto"/>
                  <w:noWrap/>
                  <w:vAlign w:val="center"/>
                </w:tcPr>
                <w:p w14:paraId="4E9566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二级类型</w:t>
                  </w:r>
                </w:p>
              </w:tc>
              <w:tc>
                <w:tcPr>
                  <w:tcW w:w="1332" w:type="dxa"/>
                  <w:tcBorders>
                    <w:tl2br w:val="nil"/>
                    <w:tr2bl w:val="nil"/>
                  </w:tcBorders>
                  <w:shd w:val="clear" w:color="auto" w:fill="auto"/>
                  <w:noWrap/>
                  <w:vAlign w:val="center"/>
                </w:tcPr>
                <w:p w14:paraId="4BF42A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斑块数（个）</w:t>
                  </w:r>
                </w:p>
              </w:tc>
              <w:tc>
                <w:tcPr>
                  <w:tcW w:w="1572" w:type="dxa"/>
                  <w:tcBorders>
                    <w:tl2br w:val="nil"/>
                    <w:tr2bl w:val="nil"/>
                  </w:tcBorders>
                  <w:shd w:val="clear" w:color="auto" w:fill="auto"/>
                  <w:noWrap/>
                  <w:vAlign w:val="center"/>
                </w:tcPr>
                <w:p w14:paraId="483AF4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面积（</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307" w:type="dxa"/>
                  <w:tcBorders>
                    <w:tl2br w:val="nil"/>
                    <w:tr2bl w:val="nil"/>
                  </w:tcBorders>
                  <w:shd w:val="clear" w:color="auto" w:fill="auto"/>
                  <w:noWrap/>
                  <w:vAlign w:val="center"/>
                </w:tcPr>
                <w:p w14:paraId="5444DCB7">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占评价区面积的%</w:t>
                  </w:r>
                </w:p>
              </w:tc>
            </w:tr>
            <w:tr w14:paraId="73371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 w:type="dxa"/>
                <w:trHeight w:val="288" w:hRule="atLeast"/>
              </w:trPr>
              <w:tc>
                <w:tcPr>
                  <w:tcW w:w="1797" w:type="dxa"/>
                  <w:gridSpan w:val="2"/>
                  <w:tcBorders>
                    <w:tl2br w:val="nil"/>
                    <w:tr2bl w:val="nil"/>
                  </w:tcBorders>
                  <w:shd w:val="clear" w:color="auto" w:fill="auto"/>
                  <w:noWrap/>
                  <w:vAlign w:val="center"/>
                </w:tcPr>
                <w:p w14:paraId="5F6726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草地</w:t>
                  </w:r>
                </w:p>
              </w:tc>
              <w:tc>
                <w:tcPr>
                  <w:tcW w:w="1596" w:type="dxa"/>
                  <w:tcBorders>
                    <w:tl2br w:val="nil"/>
                    <w:tr2bl w:val="nil"/>
                  </w:tcBorders>
                  <w:shd w:val="clear" w:color="auto" w:fill="auto"/>
                  <w:noWrap/>
                  <w:vAlign w:val="center"/>
                </w:tcPr>
                <w:p w14:paraId="4F6586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其他草地</w:t>
                  </w:r>
                </w:p>
              </w:tc>
              <w:tc>
                <w:tcPr>
                  <w:tcW w:w="1332" w:type="dxa"/>
                  <w:tcBorders>
                    <w:tl2br w:val="nil"/>
                    <w:tr2bl w:val="nil"/>
                  </w:tcBorders>
                  <w:shd w:val="clear" w:color="auto" w:fill="auto"/>
                  <w:noWrap/>
                  <w:vAlign w:val="center"/>
                </w:tcPr>
                <w:p w14:paraId="3BAB6C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138</w:t>
                  </w:r>
                </w:p>
              </w:tc>
              <w:tc>
                <w:tcPr>
                  <w:tcW w:w="1572" w:type="dxa"/>
                  <w:tcBorders>
                    <w:tl2br w:val="nil"/>
                    <w:tr2bl w:val="nil"/>
                  </w:tcBorders>
                  <w:shd w:val="clear" w:color="auto" w:fill="auto"/>
                  <w:noWrap/>
                  <w:vAlign w:val="center"/>
                </w:tcPr>
                <w:p w14:paraId="0737E6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702572.56</w:t>
                  </w:r>
                </w:p>
              </w:tc>
              <w:tc>
                <w:tcPr>
                  <w:tcW w:w="1307" w:type="dxa"/>
                  <w:tcBorders>
                    <w:tl2br w:val="nil"/>
                    <w:tr2bl w:val="nil"/>
                  </w:tcBorders>
                  <w:shd w:val="clear" w:color="auto" w:fill="auto"/>
                  <w:noWrap/>
                  <w:vAlign w:val="center"/>
                </w:tcPr>
                <w:p w14:paraId="10A652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4.52</w:t>
                  </w:r>
                </w:p>
              </w:tc>
            </w:tr>
            <w:tr w14:paraId="46E8B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 w:type="dxa"/>
                <w:trHeight w:val="285" w:hRule="atLeast"/>
              </w:trPr>
              <w:tc>
                <w:tcPr>
                  <w:tcW w:w="1797" w:type="dxa"/>
                  <w:gridSpan w:val="2"/>
                  <w:tcBorders>
                    <w:tl2br w:val="nil"/>
                    <w:tr2bl w:val="nil"/>
                  </w:tcBorders>
                  <w:shd w:val="clear" w:color="auto" w:fill="auto"/>
                  <w:noWrap/>
                  <w:vAlign w:val="center"/>
                </w:tcPr>
                <w:p w14:paraId="181DD6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工矿仓储用地</w:t>
                  </w:r>
                </w:p>
              </w:tc>
              <w:tc>
                <w:tcPr>
                  <w:tcW w:w="1596" w:type="dxa"/>
                  <w:tcBorders>
                    <w:tl2br w:val="nil"/>
                    <w:tr2bl w:val="nil"/>
                  </w:tcBorders>
                  <w:shd w:val="clear" w:color="auto" w:fill="auto"/>
                  <w:noWrap/>
                  <w:vAlign w:val="center"/>
                </w:tcPr>
                <w:p w14:paraId="50B59D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工业设施用地</w:t>
                  </w:r>
                </w:p>
              </w:tc>
              <w:tc>
                <w:tcPr>
                  <w:tcW w:w="1332" w:type="dxa"/>
                  <w:tcBorders>
                    <w:tl2br w:val="nil"/>
                    <w:tr2bl w:val="nil"/>
                  </w:tcBorders>
                  <w:shd w:val="clear" w:color="auto" w:fill="auto"/>
                  <w:noWrap/>
                  <w:vAlign w:val="center"/>
                </w:tcPr>
                <w:p w14:paraId="3CCAAF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572" w:type="dxa"/>
                  <w:tcBorders>
                    <w:tl2br w:val="nil"/>
                    <w:tr2bl w:val="nil"/>
                  </w:tcBorders>
                  <w:shd w:val="clear" w:color="auto" w:fill="auto"/>
                  <w:noWrap/>
                  <w:vAlign w:val="center"/>
                </w:tcPr>
                <w:p w14:paraId="2E0F8B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1226.70</w:t>
                  </w:r>
                </w:p>
              </w:tc>
              <w:tc>
                <w:tcPr>
                  <w:tcW w:w="1307" w:type="dxa"/>
                  <w:tcBorders>
                    <w:tl2br w:val="nil"/>
                    <w:tr2bl w:val="nil"/>
                  </w:tcBorders>
                  <w:shd w:val="clear" w:color="auto" w:fill="auto"/>
                  <w:noWrap/>
                  <w:vAlign w:val="center"/>
                </w:tcPr>
                <w:p w14:paraId="180E19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0.01</w:t>
                  </w:r>
                </w:p>
              </w:tc>
            </w:tr>
            <w:tr w14:paraId="17576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 w:type="dxa"/>
                <w:trHeight w:val="288" w:hRule="atLeast"/>
              </w:trPr>
              <w:tc>
                <w:tcPr>
                  <w:tcW w:w="1797" w:type="dxa"/>
                  <w:gridSpan w:val="2"/>
                  <w:vMerge w:val="restart"/>
                  <w:tcBorders>
                    <w:tl2br w:val="nil"/>
                    <w:tr2bl w:val="nil"/>
                  </w:tcBorders>
                  <w:shd w:val="clear" w:color="auto" w:fill="auto"/>
                  <w:noWrap/>
                  <w:vAlign w:val="center"/>
                </w:tcPr>
                <w:p w14:paraId="41F3A5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其他土地</w:t>
                  </w:r>
                </w:p>
              </w:tc>
              <w:tc>
                <w:tcPr>
                  <w:tcW w:w="1596" w:type="dxa"/>
                  <w:tcBorders>
                    <w:tl2br w:val="nil"/>
                    <w:tr2bl w:val="nil"/>
                  </w:tcBorders>
                  <w:shd w:val="clear" w:color="auto" w:fill="auto"/>
                  <w:noWrap/>
                  <w:vAlign w:val="center"/>
                </w:tcPr>
                <w:p w14:paraId="07F37C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沙地</w:t>
                  </w:r>
                </w:p>
              </w:tc>
              <w:tc>
                <w:tcPr>
                  <w:tcW w:w="1332" w:type="dxa"/>
                  <w:tcBorders>
                    <w:tl2br w:val="nil"/>
                    <w:tr2bl w:val="nil"/>
                  </w:tcBorders>
                  <w:shd w:val="clear" w:color="auto" w:fill="auto"/>
                  <w:noWrap/>
                  <w:vAlign w:val="center"/>
                </w:tcPr>
                <w:p w14:paraId="62B46B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572" w:type="dxa"/>
                  <w:tcBorders>
                    <w:tl2br w:val="nil"/>
                    <w:tr2bl w:val="nil"/>
                  </w:tcBorders>
                  <w:shd w:val="clear" w:color="auto" w:fill="auto"/>
                  <w:noWrap/>
                  <w:vAlign w:val="center"/>
                </w:tcPr>
                <w:p w14:paraId="5EABCA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14632363.06</w:t>
                  </w:r>
                </w:p>
              </w:tc>
              <w:tc>
                <w:tcPr>
                  <w:tcW w:w="1307" w:type="dxa"/>
                  <w:tcBorders>
                    <w:tl2br w:val="nil"/>
                    <w:tr2bl w:val="nil"/>
                  </w:tcBorders>
                  <w:shd w:val="clear" w:color="auto" w:fill="auto"/>
                  <w:noWrap/>
                  <w:vAlign w:val="center"/>
                </w:tcPr>
                <w:p w14:paraId="67E26F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94.21</w:t>
                  </w:r>
                </w:p>
              </w:tc>
            </w:tr>
            <w:tr w14:paraId="61AC6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 w:type="dxa"/>
                <w:trHeight w:val="288" w:hRule="atLeast"/>
              </w:trPr>
              <w:tc>
                <w:tcPr>
                  <w:tcW w:w="1797" w:type="dxa"/>
                  <w:gridSpan w:val="2"/>
                  <w:vMerge w:val="continue"/>
                  <w:tcBorders>
                    <w:tl2br w:val="nil"/>
                    <w:tr2bl w:val="nil"/>
                  </w:tcBorders>
                  <w:shd w:val="clear" w:color="auto" w:fill="auto"/>
                  <w:noWrap/>
                  <w:vAlign w:val="center"/>
                </w:tcPr>
                <w:p w14:paraId="60C69FC1">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1596" w:type="dxa"/>
                  <w:tcBorders>
                    <w:tl2br w:val="nil"/>
                    <w:tr2bl w:val="nil"/>
                  </w:tcBorders>
                  <w:shd w:val="clear" w:color="auto" w:fill="auto"/>
                  <w:noWrap/>
                  <w:vAlign w:val="center"/>
                </w:tcPr>
                <w:p w14:paraId="054B03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裸地</w:t>
                  </w:r>
                </w:p>
              </w:tc>
              <w:tc>
                <w:tcPr>
                  <w:tcW w:w="1332" w:type="dxa"/>
                  <w:tcBorders>
                    <w:tl2br w:val="nil"/>
                    <w:tr2bl w:val="nil"/>
                  </w:tcBorders>
                  <w:shd w:val="clear" w:color="auto" w:fill="auto"/>
                  <w:noWrap/>
                  <w:vAlign w:val="center"/>
                </w:tcPr>
                <w:p w14:paraId="44A689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572" w:type="dxa"/>
                  <w:tcBorders>
                    <w:tl2br w:val="nil"/>
                    <w:tr2bl w:val="nil"/>
                  </w:tcBorders>
                  <w:shd w:val="clear" w:color="auto" w:fill="auto"/>
                  <w:noWrap/>
                  <w:vAlign w:val="center"/>
                </w:tcPr>
                <w:p w14:paraId="016897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195898.69</w:t>
                  </w:r>
                </w:p>
              </w:tc>
              <w:tc>
                <w:tcPr>
                  <w:tcW w:w="1307" w:type="dxa"/>
                  <w:tcBorders>
                    <w:tl2br w:val="nil"/>
                    <w:tr2bl w:val="nil"/>
                  </w:tcBorders>
                  <w:shd w:val="clear" w:color="auto" w:fill="auto"/>
                  <w:noWrap/>
                  <w:vAlign w:val="center"/>
                </w:tcPr>
                <w:p w14:paraId="1A241C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1.26</w:t>
                  </w:r>
                </w:p>
              </w:tc>
            </w:tr>
            <w:tr w14:paraId="07D1C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5" w:type="dxa"/>
                <w:trHeight w:val="288" w:hRule="atLeast"/>
              </w:trPr>
              <w:tc>
                <w:tcPr>
                  <w:tcW w:w="3388" w:type="dxa"/>
                  <w:gridSpan w:val="2"/>
                  <w:tcBorders>
                    <w:tl2br w:val="nil"/>
                    <w:tr2bl w:val="nil"/>
                  </w:tcBorders>
                  <w:shd w:val="clear" w:color="auto" w:fill="auto"/>
                  <w:noWrap/>
                  <w:vAlign w:val="center"/>
                </w:tcPr>
                <w:p w14:paraId="0AF814C7">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lang w:val="en-US" w:eastAsia="zh-CN"/>
                    </w:rPr>
                  </w:pPr>
                  <w:r>
                    <w:rPr>
                      <w:rFonts w:hint="default" w:ascii="Times New Roman" w:hAnsi="Times New Roman" w:eastAsia="宋体" w:cs="Times New Roman"/>
                      <w:i w:val="0"/>
                      <w:iCs w:val="0"/>
                      <w:color w:val="000000"/>
                      <w:sz w:val="21"/>
                      <w:szCs w:val="21"/>
                      <w:highlight w:val="none"/>
                      <w:u w:val="none"/>
                      <w:lang w:val="en-US" w:eastAsia="zh-CN"/>
                    </w:rPr>
                    <w:t>合计</w:t>
                  </w:r>
                </w:p>
              </w:tc>
              <w:tc>
                <w:tcPr>
                  <w:tcW w:w="1332" w:type="dxa"/>
                  <w:tcBorders>
                    <w:tl2br w:val="nil"/>
                    <w:tr2bl w:val="nil"/>
                  </w:tcBorders>
                  <w:shd w:val="clear" w:color="auto" w:fill="auto"/>
                  <w:noWrap/>
                  <w:vAlign w:val="center"/>
                </w:tcPr>
                <w:p w14:paraId="7FE027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142</w:t>
                  </w:r>
                </w:p>
              </w:tc>
              <w:tc>
                <w:tcPr>
                  <w:tcW w:w="1572" w:type="dxa"/>
                  <w:tcBorders>
                    <w:tl2br w:val="nil"/>
                    <w:tr2bl w:val="nil"/>
                  </w:tcBorders>
                  <w:shd w:val="clear" w:color="auto" w:fill="auto"/>
                  <w:noWrap/>
                  <w:vAlign w:val="center"/>
                </w:tcPr>
                <w:p w14:paraId="59ADD5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15532061.01</w:t>
                  </w:r>
                </w:p>
              </w:tc>
              <w:tc>
                <w:tcPr>
                  <w:tcW w:w="1312" w:type="dxa"/>
                  <w:gridSpan w:val="2"/>
                  <w:tcBorders>
                    <w:tl2br w:val="nil"/>
                    <w:tr2bl w:val="nil"/>
                  </w:tcBorders>
                  <w:shd w:val="clear" w:color="auto" w:fill="auto"/>
                  <w:noWrap/>
                  <w:vAlign w:val="center"/>
                </w:tcPr>
                <w:p w14:paraId="0BD46C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bl>
          <w:p w14:paraId="312BC85A">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表3-</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2项目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区土地利用现状结果统计</w:t>
            </w:r>
          </w:p>
          <w:tbl>
            <w:tblPr>
              <w:tblStyle w:val="19"/>
              <w:tblW w:w="7581" w:type="dxa"/>
              <w:tblInd w:w="-2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5"/>
              <w:gridCol w:w="1780"/>
              <w:gridCol w:w="1608"/>
              <w:gridCol w:w="1344"/>
              <w:gridCol w:w="1596"/>
              <w:gridCol w:w="1248"/>
            </w:tblGrid>
            <w:tr w14:paraId="5E6C7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288" w:hRule="atLeast"/>
              </w:trPr>
              <w:tc>
                <w:tcPr>
                  <w:tcW w:w="1785" w:type="dxa"/>
                  <w:gridSpan w:val="2"/>
                  <w:tcBorders>
                    <w:tl2br w:val="nil"/>
                    <w:tr2bl w:val="nil"/>
                  </w:tcBorders>
                  <w:shd w:val="clear" w:color="auto" w:fill="auto"/>
                  <w:noWrap/>
                  <w:vAlign w:val="center"/>
                </w:tcPr>
                <w:p w14:paraId="733494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一级类型</w:t>
                  </w:r>
                </w:p>
              </w:tc>
              <w:tc>
                <w:tcPr>
                  <w:tcW w:w="1608" w:type="dxa"/>
                  <w:tcBorders>
                    <w:tl2br w:val="nil"/>
                    <w:tr2bl w:val="nil"/>
                  </w:tcBorders>
                  <w:shd w:val="clear" w:color="auto" w:fill="auto"/>
                  <w:noWrap/>
                  <w:vAlign w:val="center"/>
                </w:tcPr>
                <w:p w14:paraId="12F703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二级类型</w:t>
                  </w:r>
                </w:p>
              </w:tc>
              <w:tc>
                <w:tcPr>
                  <w:tcW w:w="1344" w:type="dxa"/>
                  <w:tcBorders>
                    <w:tl2br w:val="nil"/>
                    <w:tr2bl w:val="nil"/>
                  </w:tcBorders>
                  <w:shd w:val="clear" w:color="auto" w:fill="auto"/>
                  <w:noWrap/>
                  <w:vAlign w:val="center"/>
                </w:tcPr>
                <w:p w14:paraId="500CD5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斑块数（个）</w:t>
                  </w:r>
                </w:p>
              </w:tc>
              <w:tc>
                <w:tcPr>
                  <w:tcW w:w="1596" w:type="dxa"/>
                  <w:tcBorders>
                    <w:tl2br w:val="nil"/>
                    <w:tr2bl w:val="nil"/>
                  </w:tcBorders>
                  <w:shd w:val="clear" w:color="auto" w:fill="auto"/>
                  <w:noWrap/>
                  <w:vAlign w:val="center"/>
                </w:tcPr>
                <w:p w14:paraId="58AC73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面积（</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248" w:type="dxa"/>
                  <w:tcBorders>
                    <w:tl2br w:val="nil"/>
                    <w:tr2bl w:val="nil"/>
                  </w:tcBorders>
                  <w:shd w:val="clear" w:color="auto" w:fill="auto"/>
                  <w:noWrap/>
                  <w:vAlign w:val="center"/>
                </w:tcPr>
                <w:p w14:paraId="31828E80">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占项目区面积的%</w:t>
                  </w:r>
                </w:p>
              </w:tc>
            </w:tr>
            <w:tr w14:paraId="08693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trPr>
              <w:tc>
                <w:tcPr>
                  <w:tcW w:w="1785" w:type="dxa"/>
                  <w:gridSpan w:val="2"/>
                  <w:tcBorders>
                    <w:tl2br w:val="nil"/>
                    <w:tr2bl w:val="nil"/>
                  </w:tcBorders>
                  <w:shd w:val="clear" w:color="auto" w:fill="auto"/>
                  <w:noWrap/>
                  <w:vAlign w:val="center"/>
                </w:tcPr>
                <w:p w14:paraId="159D62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草地</w:t>
                  </w:r>
                </w:p>
              </w:tc>
              <w:tc>
                <w:tcPr>
                  <w:tcW w:w="1608" w:type="dxa"/>
                  <w:tcBorders>
                    <w:tl2br w:val="nil"/>
                    <w:tr2bl w:val="nil"/>
                  </w:tcBorders>
                  <w:shd w:val="clear" w:color="auto" w:fill="auto"/>
                  <w:noWrap/>
                  <w:vAlign w:val="center"/>
                </w:tcPr>
                <w:p w14:paraId="0ABC01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其他草地</w:t>
                  </w:r>
                </w:p>
              </w:tc>
              <w:tc>
                <w:tcPr>
                  <w:tcW w:w="1344" w:type="dxa"/>
                  <w:tcBorders>
                    <w:tl2br w:val="nil"/>
                    <w:tr2bl w:val="nil"/>
                  </w:tcBorders>
                  <w:shd w:val="clear" w:color="auto" w:fill="auto"/>
                  <w:noWrap/>
                  <w:vAlign w:val="center"/>
                </w:tcPr>
                <w:p w14:paraId="7E4C6F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596" w:type="dxa"/>
                  <w:tcBorders>
                    <w:tl2br w:val="nil"/>
                    <w:tr2bl w:val="nil"/>
                  </w:tcBorders>
                  <w:shd w:val="clear" w:color="auto" w:fill="auto"/>
                  <w:noWrap/>
                  <w:vAlign w:val="center"/>
                </w:tcPr>
                <w:p w14:paraId="65B352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3834.94 </w:t>
                  </w:r>
                </w:p>
              </w:tc>
              <w:tc>
                <w:tcPr>
                  <w:tcW w:w="1248" w:type="dxa"/>
                  <w:tcBorders>
                    <w:tl2br w:val="nil"/>
                    <w:tr2bl w:val="nil"/>
                  </w:tcBorders>
                  <w:shd w:val="clear" w:color="auto" w:fill="auto"/>
                  <w:noWrap/>
                  <w:vAlign w:val="center"/>
                </w:tcPr>
                <w:p w14:paraId="08523B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2.33</w:t>
                  </w:r>
                </w:p>
              </w:tc>
            </w:tr>
            <w:tr w14:paraId="03C14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trPr>
              <w:tc>
                <w:tcPr>
                  <w:tcW w:w="1785" w:type="dxa"/>
                  <w:gridSpan w:val="2"/>
                  <w:tcBorders>
                    <w:tl2br w:val="nil"/>
                    <w:tr2bl w:val="nil"/>
                  </w:tcBorders>
                  <w:shd w:val="clear" w:color="auto" w:fill="auto"/>
                  <w:noWrap/>
                  <w:vAlign w:val="center"/>
                </w:tcPr>
                <w:p w14:paraId="66D7D1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其他土地</w:t>
                  </w:r>
                </w:p>
              </w:tc>
              <w:tc>
                <w:tcPr>
                  <w:tcW w:w="1608" w:type="dxa"/>
                  <w:tcBorders>
                    <w:tl2br w:val="nil"/>
                    <w:tr2bl w:val="nil"/>
                  </w:tcBorders>
                  <w:shd w:val="clear" w:color="auto" w:fill="auto"/>
                  <w:noWrap/>
                  <w:vAlign w:val="center"/>
                </w:tcPr>
                <w:p w14:paraId="6ED1AA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沙地</w:t>
                  </w:r>
                </w:p>
              </w:tc>
              <w:tc>
                <w:tcPr>
                  <w:tcW w:w="1344" w:type="dxa"/>
                  <w:tcBorders>
                    <w:tl2br w:val="nil"/>
                    <w:tr2bl w:val="nil"/>
                  </w:tcBorders>
                  <w:shd w:val="clear" w:color="auto" w:fill="auto"/>
                  <w:noWrap/>
                  <w:vAlign w:val="center"/>
                </w:tcPr>
                <w:p w14:paraId="1C5624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596" w:type="dxa"/>
                  <w:tcBorders>
                    <w:tl2br w:val="nil"/>
                    <w:tr2bl w:val="nil"/>
                  </w:tcBorders>
                  <w:shd w:val="clear" w:color="auto" w:fill="auto"/>
                  <w:noWrap/>
                  <w:vAlign w:val="center"/>
                </w:tcPr>
                <w:p w14:paraId="66EF7A31">
                  <w:pPr>
                    <w:keepNext w:val="0"/>
                    <w:keepLines w:val="0"/>
                    <w:widowControl/>
                    <w:suppressLineNumbers w:val="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eastAsia"/>
                      <w:highlight w:val="none"/>
                    </w:rPr>
                    <w:t>160591.27</w:t>
                  </w:r>
                </w:p>
              </w:tc>
              <w:tc>
                <w:tcPr>
                  <w:tcW w:w="1248" w:type="dxa"/>
                  <w:tcBorders>
                    <w:tl2br w:val="nil"/>
                    <w:tr2bl w:val="nil"/>
                  </w:tcBorders>
                  <w:shd w:val="clear" w:color="auto" w:fill="auto"/>
                  <w:noWrap/>
                  <w:vAlign w:val="center"/>
                </w:tcPr>
                <w:p w14:paraId="28709A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97.67</w:t>
                  </w:r>
                </w:p>
              </w:tc>
            </w:tr>
            <w:tr w14:paraId="556DE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5" w:type="dxa"/>
                <w:trHeight w:val="288" w:hRule="atLeast"/>
              </w:trPr>
              <w:tc>
                <w:tcPr>
                  <w:tcW w:w="3388" w:type="dxa"/>
                  <w:gridSpan w:val="2"/>
                  <w:tcBorders>
                    <w:tl2br w:val="nil"/>
                    <w:tr2bl w:val="nil"/>
                  </w:tcBorders>
                  <w:shd w:val="clear" w:color="auto" w:fill="auto"/>
                  <w:noWrap/>
                  <w:vAlign w:val="center"/>
                </w:tcPr>
                <w:p w14:paraId="7E5DF08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sz w:val="21"/>
                      <w:szCs w:val="21"/>
                      <w:highlight w:val="none"/>
                      <w:u w:val="none"/>
                      <w:lang w:val="en-US" w:eastAsia="zh-CN"/>
                    </w:rPr>
                    <w:t>合计</w:t>
                  </w:r>
                </w:p>
              </w:tc>
              <w:tc>
                <w:tcPr>
                  <w:tcW w:w="1344" w:type="dxa"/>
                  <w:tcBorders>
                    <w:tl2br w:val="nil"/>
                    <w:tr2bl w:val="nil"/>
                  </w:tcBorders>
                  <w:shd w:val="clear" w:color="auto" w:fill="auto"/>
                  <w:noWrap/>
                  <w:vAlign w:val="center"/>
                </w:tcPr>
                <w:p w14:paraId="24CA74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596" w:type="dxa"/>
                  <w:tcBorders>
                    <w:tl2br w:val="nil"/>
                    <w:tr2bl w:val="nil"/>
                  </w:tcBorders>
                  <w:shd w:val="clear" w:color="auto" w:fill="auto"/>
                  <w:noWrap/>
                  <w:vAlign w:val="center"/>
                </w:tcPr>
                <w:p w14:paraId="669D85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16</w:t>
                  </w:r>
                  <w:r>
                    <w:rPr>
                      <w:rFonts w:hint="eastAsia" w:cs="Times New Roman"/>
                      <w:i w:val="0"/>
                      <w:iCs w:val="0"/>
                      <w:color w:val="000000"/>
                      <w:kern w:val="0"/>
                      <w:sz w:val="21"/>
                      <w:szCs w:val="21"/>
                      <w:highlight w:val="none"/>
                      <w:u w:val="none"/>
                      <w:lang w:val="en-US" w:eastAsia="zh-CN" w:bidi="ar"/>
                    </w:rPr>
                    <w:t>4426.21</w:t>
                  </w:r>
                </w:p>
              </w:tc>
              <w:tc>
                <w:tcPr>
                  <w:tcW w:w="1248" w:type="dxa"/>
                  <w:tcBorders>
                    <w:tl2br w:val="nil"/>
                    <w:tr2bl w:val="nil"/>
                  </w:tcBorders>
                  <w:shd w:val="clear" w:color="auto" w:fill="auto"/>
                  <w:noWrap/>
                  <w:vAlign w:val="center"/>
                </w:tcPr>
                <w:p w14:paraId="51B8B7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bl>
          <w:p w14:paraId="50968C88">
            <w:pPr>
              <w:pStyle w:val="12"/>
              <w:keepNext w:val="0"/>
              <w:keepLines w:val="0"/>
              <w:pageBreakBefore w:val="0"/>
              <w:kinsoku/>
              <w:wordWrap/>
              <w:overflowPunct/>
              <w:topLinePunct w:val="0"/>
              <w:autoSpaceDE/>
              <w:autoSpaceDN/>
              <w:bidi w:val="0"/>
              <w:snapToGrid w:val="0"/>
              <w:spacing w:before="0" w:after="0" w:line="360" w:lineRule="auto"/>
              <w:ind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由土地利用现状统计结果可知，</w:t>
            </w:r>
            <w:r>
              <w:rPr>
                <w:color w:val="000000" w:themeColor="text1"/>
                <w:sz w:val="24"/>
                <w:szCs w:val="24"/>
                <w:highlight w:val="none"/>
                <w:lang w:val="en-US" w:eastAsia="zh-CN"/>
                <w14:textFill>
                  <w14:solidFill>
                    <w14:schemeClr w14:val="tx1"/>
                  </w14:solidFill>
                </w14:textFill>
              </w:rPr>
              <w:t>项目区</w:t>
            </w:r>
            <w:r>
              <w:rPr>
                <w:rFonts w:hint="eastAsia"/>
                <w:color w:val="000000" w:themeColor="text1"/>
                <w:sz w:val="24"/>
                <w:szCs w:val="24"/>
                <w:highlight w:val="none"/>
                <w:lang w:val="en-US" w:eastAsia="zh-CN"/>
                <w14:textFill>
                  <w14:solidFill>
                    <w14:schemeClr w14:val="tx1"/>
                  </w14:solidFill>
                </w14:textFill>
              </w:rPr>
              <w:t>土地利用类型主要为其他草地、沙地</w:t>
            </w:r>
            <w:r>
              <w:rPr>
                <w:rFonts w:hint="eastAsia"/>
                <w:color w:val="000000" w:themeColor="text1"/>
                <w:sz w:val="24"/>
                <w:szCs w:val="24"/>
                <w:highlight w:val="none"/>
                <w:lang w:eastAsia="zh-CN"/>
                <w14:textFill>
                  <w14:solidFill>
                    <w14:schemeClr w14:val="tx1"/>
                  </w14:solidFill>
                </w14:textFill>
              </w:rPr>
              <w:t>。</w:t>
            </w:r>
          </w:p>
          <w:p w14:paraId="269825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评价区土地利用类型以沙地为主，面积为14632363.06</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，占评价区面积的94.21%</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其次为其他草地，面积为</w:t>
            </w:r>
            <w:r>
              <w:rPr>
                <w:rFonts w:hint="default"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702572.56</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，占评价区面积的</w:t>
            </w:r>
            <w:r>
              <w:rPr>
                <w:rFonts w:hint="default"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4.52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评价区工业设施用地面积为1226.70</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，占评价区面积的0.01%，裸地面积为195898.69</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，占评价区</w:t>
            </w:r>
            <w:r>
              <w:rPr>
                <w:rFonts w:hint="eastAsia" w:cs="Times New Roman"/>
                <w:color w:val="000000" w:themeColor="text1"/>
                <w:sz w:val="24"/>
                <w:szCs w:val="24"/>
                <w:highlight w:val="none"/>
                <w:lang w:val="en-US" w:eastAsia="zh-CN"/>
                <w14:textFill>
                  <w14:solidFill>
                    <w14:schemeClr w14:val="tx1"/>
                  </w14:solidFill>
                </w14:textFill>
              </w:rPr>
              <w:t>总</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面积的1.26%。</w:t>
            </w:r>
          </w:p>
          <w:p w14:paraId="530D3D2A">
            <w:pPr>
              <w:pStyle w:val="18"/>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drawing>
                <wp:inline distT="0" distB="0" distL="114300" distR="114300">
                  <wp:extent cx="5097145" cy="4017645"/>
                  <wp:effectExtent l="0" t="0" r="8255" b="5715"/>
                  <wp:docPr id="14" name="图片 14" descr="土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土地2"/>
                          <pic:cNvPicPr>
                            <a:picLocks noChangeAspect="1"/>
                          </pic:cNvPicPr>
                        </pic:nvPicPr>
                        <pic:blipFill>
                          <a:blip r:embed="rId10"/>
                          <a:stretch>
                            <a:fillRect/>
                          </a:stretch>
                        </pic:blipFill>
                        <pic:spPr>
                          <a:xfrm>
                            <a:off x="0" y="0"/>
                            <a:ext cx="5097145" cy="4017645"/>
                          </a:xfrm>
                          <a:prstGeom prst="rect">
                            <a:avLst/>
                          </a:prstGeom>
                        </pic:spPr>
                      </pic:pic>
                    </a:graphicData>
                  </a:graphic>
                </wp:inline>
              </w:drawing>
            </w:r>
          </w:p>
          <w:p w14:paraId="4BCF708D">
            <w:pPr>
              <w:pStyle w:val="18"/>
              <w:jc w:val="center"/>
              <w:rPr>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val="en-US" w:eastAsia="zh-CN"/>
                <w14:textFill>
                  <w14:solidFill>
                    <w14:schemeClr w14:val="tx1"/>
                  </w14:solidFill>
                </w14:textFill>
              </w:rPr>
              <w:t>图3-</w:t>
            </w:r>
            <w:r>
              <w:rPr>
                <w:rFonts w:hint="eastAsia"/>
                <w:color w:val="000000" w:themeColor="text1"/>
                <w:sz w:val="21"/>
                <w:szCs w:val="21"/>
                <w:highlight w:val="none"/>
                <w:lang w:val="en-US" w:eastAsia="zh-CN"/>
                <w14:textFill>
                  <w14:solidFill>
                    <w14:schemeClr w14:val="tx1"/>
                  </w14:solidFill>
                </w14:textFill>
              </w:rPr>
              <w:t>2</w:t>
            </w:r>
            <w:r>
              <w:rPr>
                <w:color w:val="000000" w:themeColor="text1"/>
                <w:sz w:val="21"/>
                <w:szCs w:val="21"/>
                <w:highlight w:val="none"/>
                <w:lang w:val="en-US" w:eastAsia="zh-CN"/>
                <w14:textFill>
                  <w14:solidFill>
                    <w14:schemeClr w14:val="tx1"/>
                  </w14:solidFill>
                </w14:textFill>
              </w:rPr>
              <w:t>项目区及评价区土地利用情况</w:t>
            </w:r>
          </w:p>
          <w:p w14:paraId="348FDED1">
            <w:pPr>
              <w:numPr>
                <w:ilvl w:val="0"/>
                <w:numId w:val="0"/>
              </w:numPr>
              <w:adjustRightInd w:val="0"/>
              <w:snapToGrid w:val="0"/>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2</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植被分布</w:t>
            </w:r>
          </w:p>
          <w:p w14:paraId="1DA302EE">
            <w:pPr>
              <w:pStyle w:val="12"/>
              <w:spacing w:before="0" w:after="0" w:line="360" w:lineRule="auto"/>
              <w:ind w:right="0" w:firstLine="480" w:firstLineChars="200"/>
              <w:rPr>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结合实际调查和</w:t>
            </w:r>
            <w:r>
              <w:rPr>
                <w:color w:val="000000" w:themeColor="text1"/>
                <w:sz w:val="24"/>
                <w:szCs w:val="24"/>
                <w:highlight w:val="none"/>
                <w:lang w:val="en-US" w:eastAsia="zh-CN"/>
                <w14:textFill>
                  <w14:solidFill>
                    <w14:schemeClr w14:val="tx1"/>
                  </w14:solidFill>
                </w14:textFill>
              </w:rPr>
              <w:t>遥感解译结果</w:t>
            </w:r>
            <w:r>
              <w:rPr>
                <w:rFonts w:hint="eastAsia"/>
                <w:color w:val="000000" w:themeColor="text1"/>
                <w:sz w:val="24"/>
                <w:szCs w:val="24"/>
                <w:highlight w:val="none"/>
                <w:lang w:val="en-US" w:eastAsia="zh-CN"/>
                <w14:textFill>
                  <w14:solidFill>
                    <w14:schemeClr w14:val="tx1"/>
                  </w14:solidFill>
                </w14:textFill>
              </w:rPr>
              <w:t>，</w:t>
            </w:r>
            <w:r>
              <w:rPr>
                <w:color w:val="000000" w:themeColor="text1"/>
                <w:sz w:val="24"/>
                <w:szCs w:val="24"/>
                <w:highlight w:val="none"/>
                <w:lang w:val="en-US" w:eastAsia="zh-CN"/>
                <w14:textFill>
                  <w14:solidFill>
                    <w14:schemeClr w14:val="tx1"/>
                  </w14:solidFill>
                </w14:textFill>
              </w:rPr>
              <w:t>对项目区及评价区内植被类型特征进行统计。</w:t>
            </w:r>
            <w:r>
              <w:rPr>
                <w:rFonts w:hint="eastAsia"/>
                <w:color w:val="000000" w:themeColor="text1"/>
                <w:sz w:val="24"/>
                <w:szCs w:val="24"/>
                <w:highlight w:val="none"/>
                <w:lang w:val="en-US" w:eastAsia="zh-CN"/>
                <w14:textFill>
                  <w14:solidFill>
                    <w14:schemeClr w14:val="tx1"/>
                  </w14:solidFill>
                </w14:textFill>
              </w:rPr>
              <w:t>评价范围植被平均覆盖度约6%，评价区植被覆盖度类型见图3-4。</w:t>
            </w:r>
            <w:r>
              <w:rPr>
                <w:rFonts w:hint="default"/>
                <w:color w:val="000000" w:themeColor="text1"/>
                <w:sz w:val="24"/>
                <w:szCs w:val="24"/>
                <w:highlight w:val="none"/>
                <w:lang w:val="en-US" w:eastAsia="zh-CN"/>
                <w14:textFill>
                  <w14:solidFill>
                    <w14:schemeClr w14:val="tx1"/>
                  </w14:solidFill>
                </w14:textFill>
              </w:rPr>
              <w:t>本地区无珍稀保护植物资源，</w:t>
            </w:r>
            <w:r>
              <w:rPr>
                <w:color w:val="000000" w:themeColor="text1"/>
                <w:sz w:val="24"/>
                <w:szCs w:val="24"/>
                <w:highlight w:val="none"/>
                <w:lang w:val="en-US" w:eastAsia="zh-CN"/>
                <w14:textFill>
                  <w14:solidFill>
                    <w14:schemeClr w14:val="tx1"/>
                  </w14:solidFill>
                </w14:textFill>
              </w:rPr>
              <w:t>植被类型现状结果统计见表3-</w:t>
            </w:r>
            <w:r>
              <w:rPr>
                <w:rFonts w:hint="eastAsia"/>
                <w:color w:val="000000" w:themeColor="text1"/>
                <w:sz w:val="24"/>
                <w:szCs w:val="24"/>
                <w:highlight w:val="none"/>
                <w:lang w:val="en-US" w:eastAsia="zh-CN"/>
                <w14:textFill>
                  <w14:solidFill>
                    <w14:schemeClr w14:val="tx1"/>
                  </w14:solidFill>
                </w14:textFill>
              </w:rPr>
              <w:t>3和表3-4</w:t>
            </w:r>
            <w:r>
              <w:rPr>
                <w:color w:val="000000" w:themeColor="text1"/>
                <w:sz w:val="24"/>
                <w:szCs w:val="24"/>
                <w:highlight w:val="none"/>
                <w:lang w:val="en-US" w:eastAsia="zh-CN"/>
                <w14:textFill>
                  <w14:solidFill>
                    <w14:schemeClr w14:val="tx1"/>
                  </w14:solidFill>
                </w14:textFill>
              </w:rPr>
              <w:t>，项目区及评价区植被类型见图3-</w:t>
            </w: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lang w:val="en-US" w:eastAsia="zh-CN"/>
                <w14:textFill>
                  <w14:solidFill>
                    <w14:schemeClr w14:val="tx1"/>
                  </w14:solidFill>
                </w14:textFill>
              </w:rPr>
              <w:t>。</w:t>
            </w:r>
          </w:p>
          <w:p w14:paraId="7752E61B">
            <w:pPr>
              <w:pStyle w:val="12"/>
              <w:spacing w:before="0" w:after="0" w:line="0" w:lineRule="atLeast"/>
              <w:ind w:right="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color w:val="000000" w:themeColor="text1"/>
                <w:sz w:val="21"/>
                <w:szCs w:val="21"/>
                <w:highlight w:val="none"/>
                <w:lang w:val="en-US" w:eastAsia="zh-CN"/>
                <w14:textFill>
                  <w14:solidFill>
                    <w14:schemeClr w14:val="tx1"/>
                  </w14:solidFill>
                </w14:textFill>
              </w:rPr>
              <w:t>表3-</w:t>
            </w:r>
            <w:r>
              <w:rPr>
                <w:rFonts w:hint="eastAsia"/>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评价区植被类型现状结果统计</w:t>
            </w:r>
          </w:p>
          <w:tbl>
            <w:tblPr>
              <w:tblStyle w:val="19"/>
              <w:tblW w:w="743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5"/>
              <w:gridCol w:w="1631"/>
              <w:gridCol w:w="1668"/>
              <w:gridCol w:w="1284"/>
              <w:gridCol w:w="1620"/>
              <w:gridCol w:w="1218"/>
              <w:gridCol w:w="5"/>
            </w:tblGrid>
            <w:tr w14:paraId="272F9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gridAfter w:val="1"/>
                <w:wAfter w:w="5" w:type="dxa"/>
                <w:trHeight w:val="288" w:hRule="atLeast"/>
                <w:jc w:val="center"/>
              </w:trPr>
              <w:tc>
                <w:tcPr>
                  <w:tcW w:w="1636" w:type="dxa"/>
                  <w:gridSpan w:val="2"/>
                  <w:tcBorders>
                    <w:tl2br w:val="nil"/>
                    <w:tr2bl w:val="nil"/>
                  </w:tcBorders>
                  <w:shd w:val="clear" w:color="auto" w:fill="auto"/>
                  <w:noWrap/>
                  <w:vAlign w:val="center"/>
                </w:tcPr>
                <w:p w14:paraId="0895F9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一级类型</w:t>
                  </w:r>
                </w:p>
              </w:tc>
              <w:tc>
                <w:tcPr>
                  <w:tcW w:w="1668" w:type="dxa"/>
                  <w:tcBorders>
                    <w:tl2br w:val="nil"/>
                    <w:tr2bl w:val="nil"/>
                  </w:tcBorders>
                  <w:shd w:val="clear" w:color="auto" w:fill="auto"/>
                  <w:noWrap/>
                  <w:vAlign w:val="center"/>
                </w:tcPr>
                <w:p w14:paraId="73699D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二级类型</w:t>
                  </w:r>
                </w:p>
              </w:tc>
              <w:tc>
                <w:tcPr>
                  <w:tcW w:w="1284" w:type="dxa"/>
                  <w:tcBorders>
                    <w:tl2br w:val="nil"/>
                    <w:tr2bl w:val="nil"/>
                  </w:tcBorders>
                  <w:shd w:val="clear" w:color="auto" w:fill="auto"/>
                  <w:noWrap/>
                  <w:vAlign w:val="center"/>
                </w:tcPr>
                <w:p w14:paraId="1CFA13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斑块数（个）</w:t>
                  </w:r>
                </w:p>
              </w:tc>
              <w:tc>
                <w:tcPr>
                  <w:tcW w:w="1620" w:type="dxa"/>
                  <w:tcBorders>
                    <w:tl2br w:val="nil"/>
                    <w:tr2bl w:val="nil"/>
                  </w:tcBorders>
                  <w:shd w:val="clear" w:color="auto" w:fill="auto"/>
                  <w:noWrap/>
                  <w:vAlign w:val="center"/>
                </w:tcPr>
                <w:p w14:paraId="5B55A6C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面积（</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218" w:type="dxa"/>
                  <w:tcBorders>
                    <w:tl2br w:val="nil"/>
                    <w:tr2bl w:val="nil"/>
                  </w:tcBorders>
                  <w:shd w:val="clear" w:color="auto" w:fill="auto"/>
                  <w:noWrap/>
                  <w:vAlign w:val="center"/>
                </w:tcPr>
                <w:p w14:paraId="45AE08D5">
                  <w:pPr>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占评价区面积的%</w:t>
                  </w:r>
                </w:p>
              </w:tc>
            </w:tr>
            <w:tr w14:paraId="3572F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 w:type="dxa"/>
                <w:trHeight w:val="288" w:hRule="atLeast"/>
                <w:jc w:val="center"/>
              </w:trPr>
              <w:tc>
                <w:tcPr>
                  <w:tcW w:w="1636" w:type="dxa"/>
                  <w:gridSpan w:val="2"/>
                  <w:tcBorders>
                    <w:tl2br w:val="nil"/>
                    <w:tr2bl w:val="nil"/>
                  </w:tcBorders>
                  <w:shd w:val="clear" w:color="auto" w:fill="auto"/>
                  <w:noWrap/>
                  <w:vAlign w:val="center"/>
                </w:tcPr>
                <w:p w14:paraId="39F07A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典型荒漠植被</w:t>
                  </w:r>
                </w:p>
              </w:tc>
              <w:tc>
                <w:tcPr>
                  <w:tcW w:w="1668" w:type="dxa"/>
                  <w:tcBorders>
                    <w:tl2br w:val="nil"/>
                    <w:tr2bl w:val="nil"/>
                  </w:tcBorders>
                  <w:shd w:val="clear" w:color="auto" w:fill="auto"/>
                  <w:noWrap/>
                  <w:vAlign w:val="center"/>
                </w:tcPr>
                <w:p w14:paraId="62DA4FC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沙蒿、沙竹</w:t>
                  </w:r>
                </w:p>
              </w:tc>
              <w:tc>
                <w:tcPr>
                  <w:tcW w:w="1284" w:type="dxa"/>
                  <w:tcBorders>
                    <w:tl2br w:val="nil"/>
                    <w:tr2bl w:val="nil"/>
                  </w:tcBorders>
                  <w:shd w:val="clear" w:color="auto" w:fill="auto"/>
                  <w:noWrap/>
                  <w:vAlign w:val="center"/>
                </w:tcPr>
                <w:p w14:paraId="63E9CD7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138</w:t>
                  </w:r>
                </w:p>
              </w:tc>
              <w:tc>
                <w:tcPr>
                  <w:tcW w:w="1620" w:type="dxa"/>
                  <w:tcBorders>
                    <w:tl2br w:val="nil"/>
                    <w:tr2bl w:val="nil"/>
                  </w:tcBorders>
                  <w:shd w:val="clear" w:color="auto" w:fill="auto"/>
                  <w:noWrap/>
                  <w:vAlign w:val="center"/>
                </w:tcPr>
                <w:p w14:paraId="1C4B783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702572.56</w:t>
                  </w:r>
                </w:p>
              </w:tc>
              <w:tc>
                <w:tcPr>
                  <w:tcW w:w="1218" w:type="dxa"/>
                  <w:tcBorders>
                    <w:tl2br w:val="nil"/>
                    <w:tr2bl w:val="nil"/>
                  </w:tcBorders>
                  <w:shd w:val="clear" w:color="auto" w:fill="auto"/>
                  <w:noWrap/>
                  <w:vAlign w:val="center"/>
                </w:tcPr>
                <w:p w14:paraId="52ADEEE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4.52</w:t>
                  </w:r>
                </w:p>
              </w:tc>
            </w:tr>
            <w:tr w14:paraId="76899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 w:type="dxa"/>
                <w:trHeight w:val="288" w:hRule="atLeast"/>
                <w:jc w:val="center"/>
              </w:trPr>
              <w:tc>
                <w:tcPr>
                  <w:tcW w:w="1636" w:type="dxa"/>
                  <w:gridSpan w:val="2"/>
                  <w:vMerge w:val="restart"/>
                  <w:tcBorders>
                    <w:tl2br w:val="nil"/>
                    <w:tr2bl w:val="nil"/>
                  </w:tcBorders>
                  <w:shd w:val="clear" w:color="auto" w:fill="auto"/>
                  <w:noWrap/>
                  <w:vAlign w:val="center"/>
                </w:tcPr>
                <w:p w14:paraId="02576F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其他</w:t>
                  </w:r>
                </w:p>
              </w:tc>
              <w:tc>
                <w:tcPr>
                  <w:tcW w:w="1668" w:type="dxa"/>
                  <w:tcBorders>
                    <w:tl2br w:val="nil"/>
                    <w:tr2bl w:val="nil"/>
                  </w:tcBorders>
                  <w:shd w:val="clear" w:color="auto" w:fill="auto"/>
                  <w:noWrap/>
                  <w:vAlign w:val="center"/>
                </w:tcPr>
                <w:p w14:paraId="017BA78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工业设施用地</w:t>
                  </w:r>
                </w:p>
              </w:tc>
              <w:tc>
                <w:tcPr>
                  <w:tcW w:w="1284" w:type="dxa"/>
                  <w:tcBorders>
                    <w:tl2br w:val="nil"/>
                    <w:tr2bl w:val="nil"/>
                  </w:tcBorders>
                  <w:shd w:val="clear" w:color="auto" w:fill="auto"/>
                  <w:noWrap/>
                  <w:vAlign w:val="center"/>
                </w:tcPr>
                <w:p w14:paraId="243573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20" w:type="dxa"/>
                  <w:tcBorders>
                    <w:tl2br w:val="nil"/>
                    <w:tr2bl w:val="nil"/>
                  </w:tcBorders>
                  <w:shd w:val="clear" w:color="auto" w:fill="auto"/>
                  <w:noWrap/>
                  <w:vAlign w:val="center"/>
                </w:tcPr>
                <w:p w14:paraId="732D9CB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1226.70</w:t>
                  </w:r>
                </w:p>
              </w:tc>
              <w:tc>
                <w:tcPr>
                  <w:tcW w:w="1218" w:type="dxa"/>
                  <w:tcBorders>
                    <w:tl2br w:val="nil"/>
                    <w:tr2bl w:val="nil"/>
                  </w:tcBorders>
                  <w:shd w:val="clear" w:color="auto" w:fill="auto"/>
                  <w:noWrap/>
                  <w:vAlign w:val="center"/>
                </w:tcPr>
                <w:p w14:paraId="207D496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0.01</w:t>
                  </w:r>
                </w:p>
              </w:tc>
            </w:tr>
            <w:tr w14:paraId="6457D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 w:type="dxa"/>
                <w:trHeight w:val="288" w:hRule="atLeast"/>
                <w:jc w:val="center"/>
              </w:trPr>
              <w:tc>
                <w:tcPr>
                  <w:tcW w:w="1636" w:type="dxa"/>
                  <w:gridSpan w:val="2"/>
                  <w:vMerge w:val="continue"/>
                  <w:tcBorders>
                    <w:tl2br w:val="nil"/>
                    <w:tr2bl w:val="nil"/>
                  </w:tcBorders>
                  <w:shd w:val="clear" w:color="auto" w:fill="auto"/>
                  <w:noWrap/>
                  <w:vAlign w:val="center"/>
                </w:tcPr>
                <w:p w14:paraId="43E3B891">
                  <w:pPr>
                    <w:jc w:val="center"/>
                    <w:rPr>
                      <w:rFonts w:hint="default" w:ascii="Times New Roman" w:hAnsi="Times New Roman" w:eastAsia="宋体" w:cs="Times New Roman"/>
                      <w:i w:val="0"/>
                      <w:iCs w:val="0"/>
                      <w:color w:val="000000"/>
                      <w:sz w:val="21"/>
                      <w:szCs w:val="21"/>
                      <w:highlight w:val="none"/>
                      <w:u w:val="none"/>
                    </w:rPr>
                  </w:pPr>
                </w:p>
              </w:tc>
              <w:tc>
                <w:tcPr>
                  <w:tcW w:w="1668" w:type="dxa"/>
                  <w:tcBorders>
                    <w:tl2br w:val="nil"/>
                    <w:tr2bl w:val="nil"/>
                  </w:tcBorders>
                  <w:shd w:val="clear" w:color="auto" w:fill="auto"/>
                  <w:noWrap/>
                  <w:vAlign w:val="center"/>
                </w:tcPr>
                <w:p w14:paraId="36B1859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裸沙</w:t>
                  </w:r>
                </w:p>
              </w:tc>
              <w:tc>
                <w:tcPr>
                  <w:tcW w:w="1284" w:type="dxa"/>
                  <w:tcBorders>
                    <w:tl2br w:val="nil"/>
                    <w:tr2bl w:val="nil"/>
                  </w:tcBorders>
                  <w:shd w:val="clear" w:color="auto" w:fill="auto"/>
                  <w:noWrap/>
                  <w:vAlign w:val="center"/>
                </w:tcPr>
                <w:p w14:paraId="4A649B3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620" w:type="dxa"/>
                  <w:tcBorders>
                    <w:tl2br w:val="nil"/>
                    <w:tr2bl w:val="nil"/>
                  </w:tcBorders>
                  <w:shd w:val="clear" w:color="auto" w:fill="auto"/>
                  <w:noWrap/>
                  <w:vAlign w:val="center"/>
                </w:tcPr>
                <w:p w14:paraId="7B65C3A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14632363.06</w:t>
                  </w:r>
                </w:p>
              </w:tc>
              <w:tc>
                <w:tcPr>
                  <w:tcW w:w="1218" w:type="dxa"/>
                  <w:tcBorders>
                    <w:tl2br w:val="nil"/>
                    <w:tr2bl w:val="nil"/>
                  </w:tcBorders>
                  <w:shd w:val="clear" w:color="auto" w:fill="auto"/>
                  <w:noWrap/>
                  <w:vAlign w:val="center"/>
                </w:tcPr>
                <w:p w14:paraId="4FBA9D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94.21</w:t>
                  </w:r>
                </w:p>
              </w:tc>
            </w:tr>
            <w:tr w14:paraId="207A4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 w:type="dxa"/>
                <w:trHeight w:val="288" w:hRule="atLeast"/>
                <w:jc w:val="center"/>
              </w:trPr>
              <w:tc>
                <w:tcPr>
                  <w:tcW w:w="1636" w:type="dxa"/>
                  <w:gridSpan w:val="2"/>
                  <w:vMerge w:val="continue"/>
                  <w:tcBorders>
                    <w:tl2br w:val="nil"/>
                    <w:tr2bl w:val="nil"/>
                  </w:tcBorders>
                  <w:shd w:val="clear" w:color="auto" w:fill="auto"/>
                  <w:noWrap/>
                  <w:vAlign w:val="center"/>
                </w:tcPr>
                <w:p w14:paraId="3078769E">
                  <w:pPr>
                    <w:jc w:val="center"/>
                    <w:rPr>
                      <w:rFonts w:hint="default" w:ascii="Times New Roman" w:hAnsi="Times New Roman" w:eastAsia="宋体" w:cs="Times New Roman"/>
                      <w:i w:val="0"/>
                      <w:iCs w:val="0"/>
                      <w:color w:val="000000"/>
                      <w:sz w:val="21"/>
                      <w:szCs w:val="21"/>
                      <w:highlight w:val="none"/>
                      <w:u w:val="none"/>
                    </w:rPr>
                  </w:pPr>
                </w:p>
              </w:tc>
              <w:tc>
                <w:tcPr>
                  <w:tcW w:w="1668" w:type="dxa"/>
                  <w:tcBorders>
                    <w:tl2br w:val="nil"/>
                    <w:tr2bl w:val="nil"/>
                  </w:tcBorders>
                  <w:shd w:val="clear" w:color="auto" w:fill="auto"/>
                  <w:noWrap/>
                  <w:vAlign w:val="center"/>
                </w:tcPr>
                <w:p w14:paraId="63516FC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裸土</w:t>
                  </w:r>
                </w:p>
              </w:tc>
              <w:tc>
                <w:tcPr>
                  <w:tcW w:w="1284" w:type="dxa"/>
                  <w:tcBorders>
                    <w:tl2br w:val="nil"/>
                    <w:tr2bl w:val="nil"/>
                  </w:tcBorders>
                  <w:shd w:val="clear" w:color="auto" w:fill="auto"/>
                  <w:noWrap/>
                  <w:vAlign w:val="center"/>
                </w:tcPr>
                <w:p w14:paraId="2DAA2C7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20" w:type="dxa"/>
                  <w:tcBorders>
                    <w:tl2br w:val="nil"/>
                    <w:tr2bl w:val="nil"/>
                  </w:tcBorders>
                  <w:shd w:val="clear" w:color="auto" w:fill="auto"/>
                  <w:noWrap/>
                  <w:vAlign w:val="center"/>
                </w:tcPr>
                <w:p w14:paraId="17531D2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195898.69</w:t>
                  </w:r>
                </w:p>
              </w:tc>
              <w:tc>
                <w:tcPr>
                  <w:tcW w:w="1218" w:type="dxa"/>
                  <w:tcBorders>
                    <w:tl2br w:val="nil"/>
                    <w:tr2bl w:val="nil"/>
                  </w:tcBorders>
                  <w:shd w:val="clear" w:color="auto" w:fill="auto"/>
                  <w:noWrap/>
                  <w:vAlign w:val="center"/>
                </w:tcPr>
                <w:p w14:paraId="6DDB60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1.26</w:t>
                  </w:r>
                </w:p>
              </w:tc>
            </w:tr>
            <w:tr w14:paraId="0229C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5" w:type="dxa"/>
                <w:trHeight w:val="288" w:hRule="atLeast"/>
                <w:jc w:val="center"/>
              </w:trPr>
              <w:tc>
                <w:tcPr>
                  <w:tcW w:w="3299" w:type="dxa"/>
                  <w:gridSpan w:val="2"/>
                  <w:tcBorders>
                    <w:tl2br w:val="nil"/>
                    <w:tr2bl w:val="nil"/>
                  </w:tcBorders>
                  <w:shd w:val="clear" w:color="auto" w:fill="auto"/>
                  <w:noWrap/>
                  <w:vAlign w:val="center"/>
                </w:tcPr>
                <w:p w14:paraId="49791099">
                  <w:pPr>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合计</w:t>
                  </w:r>
                </w:p>
              </w:tc>
              <w:tc>
                <w:tcPr>
                  <w:tcW w:w="1284" w:type="dxa"/>
                  <w:tcBorders>
                    <w:tl2br w:val="nil"/>
                    <w:tr2bl w:val="nil"/>
                  </w:tcBorders>
                  <w:shd w:val="clear" w:color="auto" w:fill="auto"/>
                  <w:noWrap/>
                  <w:vAlign w:val="center"/>
                </w:tcPr>
                <w:p w14:paraId="181533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142</w:t>
                  </w:r>
                </w:p>
              </w:tc>
              <w:tc>
                <w:tcPr>
                  <w:tcW w:w="1620" w:type="dxa"/>
                  <w:tcBorders>
                    <w:tl2br w:val="nil"/>
                    <w:tr2bl w:val="nil"/>
                  </w:tcBorders>
                  <w:shd w:val="clear" w:color="auto" w:fill="auto"/>
                  <w:noWrap/>
                  <w:vAlign w:val="center"/>
                </w:tcPr>
                <w:p w14:paraId="2F650D7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15532061.01</w:t>
                  </w:r>
                </w:p>
              </w:tc>
              <w:tc>
                <w:tcPr>
                  <w:tcW w:w="1223" w:type="dxa"/>
                  <w:gridSpan w:val="2"/>
                  <w:tcBorders>
                    <w:tl2br w:val="nil"/>
                    <w:tr2bl w:val="nil"/>
                  </w:tcBorders>
                  <w:shd w:val="clear" w:color="auto" w:fill="auto"/>
                  <w:noWrap/>
                  <w:vAlign w:val="center"/>
                </w:tcPr>
                <w:p w14:paraId="3B84DA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bl>
          <w:p w14:paraId="226A2823">
            <w:pPr>
              <w:pStyle w:val="12"/>
              <w:spacing w:before="0" w:after="0" w:line="0" w:lineRule="atLeast"/>
              <w:ind w:right="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color w:val="000000" w:themeColor="text1"/>
                <w:sz w:val="21"/>
                <w:szCs w:val="21"/>
                <w:highlight w:val="none"/>
                <w:lang w:val="en-US" w:eastAsia="zh-CN"/>
                <w14:textFill>
                  <w14:solidFill>
                    <w14:schemeClr w14:val="tx1"/>
                  </w14:solidFill>
                </w14:textFill>
              </w:rPr>
              <w:t>表3-</w:t>
            </w:r>
            <w:r>
              <w:rPr>
                <w:rFonts w:hint="eastAsia"/>
                <w:color w:val="000000" w:themeColor="text1"/>
                <w:sz w:val="21"/>
                <w:szCs w:val="21"/>
                <w:highlight w:val="none"/>
                <w:lang w:val="en-US" w:eastAsia="zh-CN"/>
                <w14:textFill>
                  <w14:solidFill>
                    <w14:schemeClr w14:val="tx1"/>
                  </w14:solidFill>
                </w14:textFill>
              </w:rPr>
              <w:t>4</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项目</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区植被类型现状结果统计</w:t>
            </w:r>
          </w:p>
          <w:tbl>
            <w:tblPr>
              <w:tblStyle w:val="19"/>
              <w:tblW w:w="7440" w:type="dxa"/>
              <w:tblInd w:w="1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1639"/>
              <w:gridCol w:w="1668"/>
              <w:gridCol w:w="1284"/>
              <w:gridCol w:w="1608"/>
              <w:gridCol w:w="1236"/>
            </w:tblGrid>
            <w:tr w14:paraId="3FE2E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644" w:type="dxa"/>
                  <w:gridSpan w:val="2"/>
                  <w:tcBorders>
                    <w:top w:val="single" w:color="000000" w:sz="6" w:space="0"/>
                    <w:left w:val="single" w:color="000000" w:sz="4" w:space="0"/>
                    <w:bottom w:val="single" w:color="000000" w:sz="6" w:space="0"/>
                    <w:right w:val="single" w:color="000000" w:sz="6" w:space="0"/>
                  </w:tcBorders>
                  <w:shd w:val="clear" w:color="auto" w:fill="auto"/>
                  <w:noWrap/>
                  <w:vAlign w:val="center"/>
                </w:tcPr>
                <w:p w14:paraId="2D0212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一级类型</w:t>
                  </w:r>
                </w:p>
              </w:tc>
              <w:tc>
                <w:tcPr>
                  <w:tcW w:w="1668"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6E1477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二级类型</w:t>
                  </w:r>
                </w:p>
              </w:tc>
              <w:tc>
                <w:tcPr>
                  <w:tcW w:w="1284"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20DFE7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斑块数（个）</w:t>
                  </w:r>
                </w:p>
              </w:tc>
              <w:tc>
                <w:tcPr>
                  <w:tcW w:w="1608"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3A0C4E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面积（平</w:t>
                  </w:r>
                  <w:r>
                    <w:rPr>
                      <w:rFonts w:hint="eastAsia" w:cs="Times New Roman"/>
                      <w:i w:val="0"/>
                      <w:iCs w:val="0"/>
                      <w:color w:val="000000"/>
                      <w:kern w:val="0"/>
                      <w:sz w:val="21"/>
                      <w:szCs w:val="21"/>
                      <w:highlight w:val="none"/>
                      <w:u w:val="none"/>
                      <w:lang w:val="en-US" w:eastAsia="zh-CN" w:bidi="ar"/>
                    </w:rPr>
                    <w:t>方</w:t>
                  </w:r>
                  <w:r>
                    <w:rPr>
                      <w:rFonts w:hint="default" w:ascii="Times New Roman" w:hAnsi="Times New Roman" w:eastAsia="宋体" w:cs="Times New Roman"/>
                      <w:i w:val="0"/>
                      <w:iCs w:val="0"/>
                      <w:color w:val="000000"/>
                      <w:kern w:val="0"/>
                      <w:sz w:val="21"/>
                      <w:szCs w:val="21"/>
                      <w:highlight w:val="none"/>
                      <w:u w:val="none"/>
                      <w:lang w:val="en-US" w:eastAsia="zh-CN" w:bidi="ar"/>
                    </w:rPr>
                    <w:t>米）</w:t>
                  </w:r>
                </w:p>
              </w:tc>
              <w:tc>
                <w:tcPr>
                  <w:tcW w:w="1236"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16D1CD89">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占</w:t>
                  </w: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项目区</w:t>
                  </w: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面积的%</w:t>
                  </w:r>
                </w:p>
              </w:tc>
            </w:tr>
            <w:tr w14:paraId="5F81B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644" w:type="dxa"/>
                  <w:gridSpan w:val="2"/>
                  <w:tcBorders>
                    <w:top w:val="single" w:color="000000" w:sz="6" w:space="0"/>
                    <w:left w:val="single" w:color="000000" w:sz="4" w:space="0"/>
                    <w:bottom w:val="single" w:color="000000" w:sz="6" w:space="0"/>
                    <w:right w:val="single" w:color="000000" w:sz="6" w:space="0"/>
                  </w:tcBorders>
                  <w:shd w:val="clear" w:color="auto" w:fill="auto"/>
                  <w:noWrap/>
                  <w:vAlign w:val="center"/>
                </w:tcPr>
                <w:p w14:paraId="14A4CF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典型荒漠植被</w:t>
                  </w:r>
                </w:p>
              </w:tc>
              <w:tc>
                <w:tcPr>
                  <w:tcW w:w="1668"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2C3984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沙蒿、沙竹</w:t>
                  </w:r>
                </w:p>
              </w:tc>
              <w:tc>
                <w:tcPr>
                  <w:tcW w:w="1284"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422D49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608"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0CFAFB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3834.94</w:t>
                  </w:r>
                </w:p>
              </w:tc>
              <w:tc>
                <w:tcPr>
                  <w:tcW w:w="1236"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19D90F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2.33</w:t>
                  </w:r>
                </w:p>
              </w:tc>
            </w:tr>
            <w:tr w14:paraId="5F18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644" w:type="dxa"/>
                  <w:gridSpan w:val="2"/>
                  <w:tcBorders>
                    <w:top w:val="single" w:color="000000" w:sz="6" w:space="0"/>
                    <w:left w:val="single" w:color="000000" w:sz="4" w:space="0"/>
                    <w:right w:val="single" w:color="000000" w:sz="6" w:space="0"/>
                  </w:tcBorders>
                  <w:shd w:val="clear" w:color="auto" w:fill="auto"/>
                  <w:noWrap/>
                  <w:vAlign w:val="center"/>
                </w:tcPr>
                <w:p w14:paraId="1A362962">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lang w:val="en-US" w:eastAsia="zh-CN"/>
                    </w:rPr>
                  </w:pPr>
                  <w:r>
                    <w:rPr>
                      <w:rFonts w:hint="default" w:ascii="Times New Roman" w:hAnsi="Times New Roman" w:eastAsia="宋体" w:cs="Times New Roman"/>
                      <w:i w:val="0"/>
                      <w:iCs w:val="0"/>
                      <w:color w:val="000000"/>
                      <w:sz w:val="21"/>
                      <w:szCs w:val="21"/>
                      <w:highlight w:val="none"/>
                      <w:u w:val="none"/>
                      <w:lang w:val="en-US" w:eastAsia="zh-CN"/>
                    </w:rPr>
                    <w:t>其他</w:t>
                  </w:r>
                </w:p>
              </w:tc>
              <w:tc>
                <w:tcPr>
                  <w:tcW w:w="1668"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4B327A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裸沙</w:t>
                  </w:r>
                </w:p>
              </w:tc>
              <w:tc>
                <w:tcPr>
                  <w:tcW w:w="1284"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33BFE7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08"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722F16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eastAsia"/>
                      <w:highlight w:val="none"/>
                    </w:rPr>
                    <w:t>160591.27</w:t>
                  </w:r>
                </w:p>
              </w:tc>
              <w:tc>
                <w:tcPr>
                  <w:tcW w:w="1236"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36DF00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97.6</w:t>
                  </w:r>
                  <w:r>
                    <w:rPr>
                      <w:rFonts w:hint="eastAsia" w:ascii="Times New Roman" w:hAnsi="Times New Roman" w:eastAsia="宋体" w:cs="Times New Roman"/>
                      <w:i w:val="0"/>
                      <w:iCs w:val="0"/>
                      <w:color w:val="000000"/>
                      <w:kern w:val="0"/>
                      <w:sz w:val="21"/>
                      <w:szCs w:val="21"/>
                      <w:highlight w:val="none"/>
                      <w:u w:val="none"/>
                      <w:lang w:val="en-US" w:eastAsia="zh-CN" w:bidi="ar"/>
                    </w:rPr>
                    <w:t>7</w:t>
                  </w:r>
                </w:p>
              </w:tc>
            </w:tr>
            <w:tr w14:paraId="6B3B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8" w:hRule="atLeast"/>
              </w:trPr>
              <w:tc>
                <w:tcPr>
                  <w:tcW w:w="3307" w:type="dxa"/>
                  <w:gridSpan w:val="2"/>
                  <w:tcBorders>
                    <w:top w:val="single" w:color="000000" w:sz="6" w:space="0"/>
                    <w:left w:val="single" w:color="000000" w:sz="4" w:space="0"/>
                    <w:bottom w:val="single" w:color="000000" w:sz="6" w:space="0"/>
                    <w:right w:val="single" w:color="000000" w:sz="6" w:space="0"/>
                  </w:tcBorders>
                  <w:shd w:val="clear" w:color="auto" w:fill="auto"/>
                  <w:noWrap/>
                  <w:vAlign w:val="center"/>
                </w:tcPr>
                <w:p w14:paraId="3C451268">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合计</w:t>
                  </w:r>
                </w:p>
              </w:tc>
              <w:tc>
                <w:tcPr>
                  <w:tcW w:w="1284"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26FD19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608"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276F58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164426.21</w:t>
                  </w:r>
                </w:p>
              </w:tc>
              <w:tc>
                <w:tcPr>
                  <w:tcW w:w="1236"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3F1E47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bl>
          <w:p w14:paraId="56829E10">
            <w:pPr>
              <w:pStyle w:val="12"/>
              <w:keepNext w:val="0"/>
              <w:keepLines w:val="0"/>
              <w:pageBreakBefore w:val="0"/>
              <w:kinsoku/>
              <w:wordWrap/>
              <w:overflowPunct/>
              <w:topLinePunct w:val="0"/>
              <w:autoSpaceDE/>
              <w:autoSpaceDN/>
              <w:bidi w:val="0"/>
              <w:adjustRightInd/>
              <w:spacing w:before="0" w:after="0" w:line="360" w:lineRule="auto"/>
              <w:ind w:right="0" w:firstLine="480" w:firstLineChars="200"/>
              <w:jc w:val="both"/>
              <w:textAlignment w:val="auto"/>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统计结果显示，项目区</w:t>
            </w:r>
            <w:r>
              <w:rPr>
                <w:rFonts w:hint="eastAsia"/>
                <w:color w:val="000000" w:themeColor="text1"/>
                <w:sz w:val="24"/>
                <w:szCs w:val="24"/>
                <w:highlight w:val="none"/>
                <w:lang w:val="en-US" w:eastAsia="zh-CN"/>
                <w14:textFill>
                  <w14:solidFill>
                    <w14:schemeClr w14:val="tx1"/>
                  </w14:solidFill>
                </w14:textFill>
              </w:rPr>
              <w:t>用地范围内植被类型主要为沙蒿、沙竹，</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面积为3834.94</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占项目区面积的2.33%，其余用地均为裸沙</w:t>
            </w:r>
            <w:r>
              <w:rPr>
                <w:color w:val="000000" w:themeColor="text1"/>
                <w:sz w:val="24"/>
                <w:szCs w:val="24"/>
                <w:highlight w:val="none"/>
                <w:lang w:val="en-US" w:eastAsia="zh-CN"/>
                <w14:textFill>
                  <w14:solidFill>
                    <w14:schemeClr w14:val="tx1"/>
                  </w14:solidFill>
                </w14:textFill>
              </w:rPr>
              <w:t>。</w:t>
            </w:r>
          </w:p>
          <w:p w14:paraId="5907ED45">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color w:val="000000" w:themeColor="text1"/>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评价区</w:t>
            </w:r>
            <w:r>
              <w:rPr>
                <w:rFonts w:hint="eastAsia"/>
                <w:color w:val="000000" w:themeColor="text1"/>
                <w:sz w:val="24"/>
                <w:szCs w:val="24"/>
                <w:highlight w:val="none"/>
                <w:lang w:val="en-US" w:eastAsia="zh-CN"/>
                <w14:textFill>
                  <w14:solidFill>
                    <w14:schemeClr w14:val="tx1"/>
                  </w14:solidFill>
                </w14:textFill>
              </w:rPr>
              <w:t>主要</w:t>
            </w:r>
            <w:r>
              <w:rPr>
                <w:color w:val="000000" w:themeColor="text1"/>
                <w:sz w:val="24"/>
                <w:szCs w:val="24"/>
                <w:highlight w:val="none"/>
                <w:lang w:val="en-US" w:eastAsia="zh-CN"/>
                <w14:textFill>
                  <w14:solidFill>
                    <w14:schemeClr w14:val="tx1"/>
                  </w14:solidFill>
                </w14:textFill>
              </w:rPr>
              <w:t>植被类型</w:t>
            </w:r>
            <w:r>
              <w:rPr>
                <w:rFonts w:hint="eastAsia"/>
                <w:color w:val="000000" w:themeColor="text1"/>
                <w:sz w:val="24"/>
                <w:szCs w:val="24"/>
                <w:highlight w:val="none"/>
                <w:lang w:val="en-US" w:eastAsia="zh-CN"/>
                <w14:textFill>
                  <w14:solidFill>
                    <w14:schemeClr w14:val="tx1"/>
                  </w14:solidFill>
                </w14:textFill>
              </w:rPr>
              <w:t>为沙蒿、沙竹，占评价区面积的4.52</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其余用地为工业设施用地、裸沙、裸土，占评价区面积的</w:t>
            </w:r>
            <w:r>
              <w:rPr>
                <w:rFonts w:hint="default"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0.01</w:t>
            </w:r>
            <w:r>
              <w:rPr>
                <w:rFonts w:hint="eastAsia"/>
                <w:color w:val="000000" w:themeColor="text1"/>
                <w:sz w:val="24"/>
                <w:szCs w:val="24"/>
                <w:highlight w:val="none"/>
                <w:lang w:eastAsia="zh-CN"/>
                <w14:textFill>
                  <w14:solidFill>
                    <w14:schemeClr w14:val="tx1"/>
                  </w14:solidFill>
                </w14:textFill>
              </w:rPr>
              <w:t>%</w:t>
            </w:r>
            <w:r>
              <w:rPr>
                <w:rFonts w:hint="eastAsia" w:cs="Times New Roman"/>
                <w:i w:val="0"/>
                <w:iCs w:val="0"/>
                <w:color w:val="000000" w:themeColor="text1"/>
                <w:kern w:val="0"/>
                <w:sz w:val="24"/>
                <w:szCs w:val="24"/>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94.21</w:t>
            </w:r>
            <w:r>
              <w:rPr>
                <w:rFonts w:hint="eastAsia"/>
                <w:color w:val="000000" w:themeColor="text1"/>
                <w:sz w:val="24"/>
                <w:szCs w:val="24"/>
                <w:highlight w:val="none"/>
                <w:lang w:eastAsia="zh-CN"/>
                <w14:textFill>
                  <w14:solidFill>
                    <w14:schemeClr w14:val="tx1"/>
                  </w14:solidFill>
                </w14:textFill>
              </w:rPr>
              <w:t>%</w:t>
            </w:r>
            <w:r>
              <w:rPr>
                <w:rFonts w:hint="eastAsia" w:cs="Times New Roman"/>
                <w:i w:val="0"/>
                <w:iCs w:val="0"/>
                <w:color w:val="000000" w:themeColor="text1"/>
                <w:kern w:val="0"/>
                <w:sz w:val="24"/>
                <w:szCs w:val="24"/>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1.26</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w:t>
            </w:r>
          </w:p>
          <w:p w14:paraId="194212CA">
            <w:pPr>
              <w:jc w:val="center"/>
              <w:rPr>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val="en-US" w:eastAsia="zh-CN"/>
                <w14:textFill>
                  <w14:solidFill>
                    <w14:schemeClr w14:val="tx1"/>
                  </w14:solidFill>
                </w14:textFill>
              </w:rPr>
              <w:drawing>
                <wp:inline distT="0" distB="0" distL="114300" distR="114300">
                  <wp:extent cx="4564380" cy="4870450"/>
                  <wp:effectExtent l="0" t="0" r="7620" b="6350"/>
                  <wp:docPr id="54" name="图片 54" descr="植被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植被2"/>
                          <pic:cNvPicPr>
                            <a:picLocks noChangeAspect="1"/>
                          </pic:cNvPicPr>
                        </pic:nvPicPr>
                        <pic:blipFill>
                          <a:blip r:embed="rId11"/>
                          <a:stretch>
                            <a:fillRect/>
                          </a:stretch>
                        </pic:blipFill>
                        <pic:spPr>
                          <a:xfrm>
                            <a:off x="0" y="0"/>
                            <a:ext cx="4564380" cy="4870450"/>
                          </a:xfrm>
                          <a:prstGeom prst="rect">
                            <a:avLst/>
                          </a:prstGeom>
                        </pic:spPr>
                      </pic:pic>
                    </a:graphicData>
                  </a:graphic>
                </wp:inline>
              </w:drawing>
            </w:r>
          </w:p>
          <w:p w14:paraId="60FA4FF8">
            <w:pPr>
              <w:jc w:val="center"/>
              <w:rPr>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val="en-US" w:eastAsia="zh-CN"/>
                <w14:textFill>
                  <w14:solidFill>
                    <w14:schemeClr w14:val="tx1"/>
                  </w14:solidFill>
                </w14:textFill>
              </w:rPr>
              <w:t>图3-</w:t>
            </w:r>
            <w:r>
              <w:rPr>
                <w:rFonts w:hint="eastAsia"/>
                <w:color w:val="000000" w:themeColor="text1"/>
                <w:sz w:val="21"/>
                <w:szCs w:val="21"/>
                <w:highlight w:val="none"/>
                <w:lang w:val="en-US" w:eastAsia="zh-CN"/>
                <w14:textFill>
                  <w14:solidFill>
                    <w14:schemeClr w14:val="tx1"/>
                  </w14:solidFill>
                </w14:textFill>
              </w:rPr>
              <w:t xml:space="preserve">3 </w:t>
            </w:r>
            <w:r>
              <w:rPr>
                <w:color w:val="000000" w:themeColor="text1"/>
                <w:sz w:val="21"/>
                <w:szCs w:val="21"/>
                <w:highlight w:val="none"/>
                <w:lang w:val="en-US" w:eastAsia="zh-CN"/>
                <w14:textFill>
                  <w14:solidFill>
                    <w14:schemeClr w14:val="tx1"/>
                  </w14:solidFill>
                </w14:textFill>
              </w:rPr>
              <w:t>项目区及评价区植被类型</w:t>
            </w:r>
          </w:p>
          <w:p w14:paraId="6D0E595D">
            <w:pPr>
              <w:pStyle w:val="18"/>
              <w:keepNext w:val="0"/>
              <w:keepLines w:val="0"/>
              <w:pageBreakBefore w:val="0"/>
              <w:widowControl/>
              <w:numPr>
                <w:ilvl w:val="0"/>
                <w:numId w:val="0"/>
              </w:numPr>
              <w:kinsoku/>
              <w:wordWrap/>
              <w:overflowPunct/>
              <w:topLinePunct w:val="0"/>
              <w:autoSpaceDE/>
              <w:autoSpaceDN/>
              <w:bidi w:val="0"/>
              <w:adjustRightInd/>
              <w:snapToGrid w:val="0"/>
              <w:spacing w:before="0" w:after="0" w:line="240" w:lineRule="auto"/>
              <w:ind w:right="0" w:rightChars="0"/>
              <w:jc w:val="both"/>
              <w:textAlignment w:val="auto"/>
              <w:rPr>
                <w:color w:val="000000" w:themeColor="text1"/>
                <w:highlight w:val="none"/>
                <w:lang w:val="en-US" w:eastAsia="zh-CN"/>
                <w14:textFill>
                  <w14:solidFill>
                    <w14:schemeClr w14:val="tx1"/>
                  </w14:solidFill>
                </w14:textFill>
              </w:rPr>
            </w:pPr>
            <w:r>
              <w:rPr>
                <w:color w:val="000000" w:themeColor="text1"/>
                <w:highlight w:val="none"/>
                <w:lang w:val="en-US" w:eastAsia="zh-CN"/>
                <w14:textFill>
                  <w14:solidFill>
                    <w14:schemeClr w14:val="tx1"/>
                  </w14:solidFill>
                </w14:textFill>
              </w:rPr>
              <w:drawing>
                <wp:inline distT="0" distB="0" distL="114300" distR="114300">
                  <wp:extent cx="5097145" cy="3552825"/>
                  <wp:effectExtent l="0" t="0" r="8255" b="13335"/>
                  <wp:docPr id="17" name="图片 17" descr="盖度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盖度2"/>
                          <pic:cNvPicPr>
                            <a:picLocks noChangeAspect="1"/>
                          </pic:cNvPicPr>
                        </pic:nvPicPr>
                        <pic:blipFill>
                          <a:blip r:embed="rId12"/>
                          <a:stretch>
                            <a:fillRect/>
                          </a:stretch>
                        </pic:blipFill>
                        <pic:spPr>
                          <a:xfrm>
                            <a:off x="0" y="0"/>
                            <a:ext cx="5097145" cy="3552825"/>
                          </a:xfrm>
                          <a:prstGeom prst="rect">
                            <a:avLst/>
                          </a:prstGeom>
                        </pic:spPr>
                      </pic:pic>
                    </a:graphicData>
                  </a:graphic>
                </wp:inline>
              </w:drawing>
            </w:r>
          </w:p>
          <w:p w14:paraId="1BE1F5B9">
            <w:pPr>
              <w:jc w:val="center"/>
              <w:rPr>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植被覆盖度见图3-4</w:t>
            </w:r>
          </w:p>
          <w:p w14:paraId="617D09F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（3）野生动物</w:t>
            </w:r>
          </w:p>
          <w:p w14:paraId="0964DC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76" w:firstLineChars="200"/>
              <w:jc w:val="left"/>
              <w:textAlignment w:val="auto"/>
              <w:rPr>
                <w:rFonts w:hint="eastAsia"/>
                <w:color w:val="000000" w:themeColor="text1"/>
                <w:sz w:val="24"/>
                <w:szCs w:val="24"/>
                <w:highlight w:val="none"/>
                <w:lang w:val="en-US" w:eastAsia="zh-CN"/>
                <w14:textFill>
                  <w14:solidFill>
                    <w14:schemeClr w14:val="tx1"/>
                  </w14:solidFill>
                </w14:textFill>
              </w:rPr>
            </w:pPr>
            <w:r>
              <w:rPr>
                <w:rFonts w:hint="eastAsia"/>
                <w:spacing w:val="-1"/>
                <w:sz w:val="24"/>
                <w:szCs w:val="24"/>
                <w:highlight w:val="none"/>
                <w:lang w:val="en-US" w:eastAsia="zh-CN"/>
              </w:rPr>
              <w:t>项目区主要是沙地和少部分其他草地，自然植被保留较少。</w:t>
            </w:r>
            <w:r>
              <w:rPr>
                <w:rFonts w:ascii="宋体" w:hAnsi="宋体" w:eastAsia="宋体" w:cs="宋体"/>
                <w:sz w:val="24"/>
                <w:szCs w:val="24"/>
                <w:highlight w:val="none"/>
              </w:rPr>
              <w:t>区域内野生动物组成简单，主要为沙漠动物，以</w:t>
            </w:r>
            <w:r>
              <w:rPr>
                <w:rFonts w:hint="eastAsia" w:ascii="宋体" w:hAnsi="宋体" w:eastAsia="宋体" w:cs="宋体"/>
                <w:sz w:val="24"/>
                <w:szCs w:val="24"/>
                <w:highlight w:val="none"/>
                <w:lang w:eastAsia="zh-CN"/>
              </w:rPr>
              <w:t>爬行</w:t>
            </w:r>
            <w:r>
              <w:rPr>
                <w:rFonts w:ascii="宋体" w:hAnsi="宋体" w:eastAsia="宋体" w:cs="宋体"/>
                <w:sz w:val="24"/>
                <w:szCs w:val="24"/>
                <w:highlight w:val="none"/>
              </w:rPr>
              <w:t>类动物为主</w:t>
            </w:r>
            <w:r>
              <w:rPr>
                <w:rFonts w:hint="eastAsia"/>
                <w:spacing w:val="-1"/>
                <w:sz w:val="24"/>
                <w:szCs w:val="24"/>
                <w:highlight w:val="none"/>
                <w:lang w:val="en-US" w:eastAsia="zh-CN"/>
              </w:rPr>
              <w:t>。常见的野生动物有</w:t>
            </w:r>
            <w:r>
              <w:rPr>
                <w:rFonts w:ascii="宋体" w:hAnsi="宋体" w:eastAsia="宋体" w:cs="宋体"/>
                <w:sz w:val="24"/>
                <w:szCs w:val="24"/>
                <w:highlight w:val="none"/>
              </w:rPr>
              <w:t>荒漠沙蜥</w:t>
            </w:r>
            <w:r>
              <w:rPr>
                <w:rFonts w:hint="eastAsia"/>
                <w:spacing w:val="-1"/>
                <w:sz w:val="24"/>
                <w:szCs w:val="24"/>
                <w:highlight w:val="none"/>
                <w:lang w:val="en-US" w:eastAsia="zh-CN"/>
              </w:rPr>
              <w:t>、荒漠麻蜥等。</w:t>
            </w:r>
            <w:r>
              <w:rPr>
                <w:rFonts w:hint="default" w:ascii="Times New Roman" w:hAnsi="Times New Roman" w:cs="Times New Roman"/>
                <w:color w:val="auto"/>
                <w:sz w:val="24"/>
                <w:szCs w:val="24"/>
                <w:highlight w:val="none"/>
              </w:rPr>
              <w:t>评价范围内</w:t>
            </w:r>
            <w:r>
              <w:rPr>
                <w:rFonts w:hint="eastAsia"/>
                <w:spacing w:val="1"/>
                <w:sz w:val="24"/>
                <w:szCs w:val="24"/>
                <w:highlight w:val="none"/>
                <w:lang w:eastAsia="zh-CN"/>
              </w:rPr>
              <w:t>没有</w:t>
            </w:r>
            <w:r>
              <w:rPr>
                <w:spacing w:val="1"/>
                <w:sz w:val="24"/>
                <w:szCs w:val="24"/>
                <w:highlight w:val="none"/>
              </w:rPr>
              <w:t>发现国家重</w:t>
            </w:r>
            <w:r>
              <w:rPr>
                <w:spacing w:val="-2"/>
                <w:sz w:val="24"/>
                <w:szCs w:val="24"/>
                <w:highlight w:val="none"/>
              </w:rPr>
              <w:t>点保护野生动物和地方保护野生动物</w:t>
            </w:r>
            <w:r>
              <w:rPr>
                <w:rFonts w:hint="default" w:ascii="Times New Roman" w:hAnsi="Times New Roman" w:cs="Times New Roman"/>
                <w:color w:val="auto"/>
                <w:sz w:val="24"/>
                <w:szCs w:val="24"/>
                <w:highlight w:val="none"/>
              </w:rPr>
              <w:t>。</w:t>
            </w:r>
          </w:p>
          <w:p w14:paraId="08EB25AA">
            <w:pPr>
              <w:numPr>
                <w:ilvl w:val="0"/>
                <w:numId w:val="0"/>
              </w:numPr>
              <w:spacing w:line="360" w:lineRule="auto"/>
              <w:ind w:firstLine="480" w:firstLineChars="20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二、</w:t>
            </w:r>
            <w:r>
              <w:rPr>
                <w:rFonts w:hint="default" w:ascii="Times New Roman" w:hAnsi="Times New Roman" w:cs="Times New Roman"/>
                <w:color w:val="000000" w:themeColor="text1"/>
                <w:sz w:val="24"/>
                <w:szCs w:val="24"/>
                <w:highlight w:val="none"/>
                <w:lang w:eastAsia="zh-CN"/>
                <w14:textFill>
                  <w14:solidFill>
                    <w14:schemeClr w14:val="tx1"/>
                  </w14:solidFill>
                </w14:textFill>
              </w:rPr>
              <w:t>大气质量环境现状评价</w:t>
            </w:r>
          </w:p>
          <w:p w14:paraId="72EFDC04">
            <w:pPr>
              <w:adjustRightInd w:val="0"/>
              <w:snapToGrid w:val="0"/>
              <w:spacing w:line="360" w:lineRule="auto"/>
              <w:ind w:firstLine="48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2022年《内蒙古自治区生态环境状况公报》统计数据</w:t>
            </w:r>
            <w:r>
              <w:rPr>
                <w:rFonts w:hint="default" w:ascii="Times New Roman" w:hAnsi="Times New Roman" w:cs="Times New Roman"/>
                <w:color w:val="000000" w:themeColor="text1"/>
                <w:sz w:val="24"/>
                <w:highlight w:val="none"/>
                <w14:textFill>
                  <w14:solidFill>
                    <w14:schemeClr w14:val="tx1"/>
                  </w14:solidFill>
                </w14:textFill>
              </w:rPr>
              <w:t>，鄂尔多斯市202</w:t>
            </w: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年PM</w:t>
            </w:r>
            <w:r>
              <w:rPr>
                <w:rFonts w:hint="default" w:ascii="Times New Roman" w:hAnsi="Times New Roman" w:cs="Times New Roman"/>
                <w:color w:val="000000" w:themeColor="text1"/>
                <w:sz w:val="24"/>
                <w:highlight w:val="none"/>
                <w:vertAlign w:val="subscript"/>
                <w14:textFill>
                  <w14:solidFill>
                    <w14:schemeClr w14:val="tx1"/>
                  </w14:solidFill>
                </w14:textFill>
              </w:rPr>
              <w:t>2.5</w:t>
            </w:r>
            <w:r>
              <w:rPr>
                <w:rFonts w:hint="default" w:ascii="Times New Roman" w:hAnsi="Times New Roman" w:cs="Times New Roman"/>
                <w:color w:val="000000" w:themeColor="text1"/>
                <w:sz w:val="24"/>
                <w:highlight w:val="none"/>
                <w14:textFill>
                  <w14:solidFill>
                    <w14:schemeClr w14:val="tx1"/>
                  </w14:solidFill>
                </w14:textFill>
              </w:rPr>
              <w:t>、PM</w:t>
            </w:r>
            <w:r>
              <w:rPr>
                <w:rFonts w:hint="default" w:ascii="Times New Roman" w:hAnsi="Times New Roman" w:cs="Times New Roman"/>
                <w:color w:val="000000" w:themeColor="text1"/>
                <w:sz w:val="24"/>
                <w:highlight w:val="none"/>
                <w:vertAlign w:val="subscript"/>
                <w14:textFill>
                  <w14:solidFill>
                    <w14:schemeClr w14:val="tx1"/>
                  </w14:solidFill>
                </w14:textFill>
              </w:rPr>
              <w:t>10</w:t>
            </w:r>
            <w:r>
              <w:rPr>
                <w:rFonts w:hint="default" w:ascii="Times New Roman" w:hAnsi="Times New Roman" w:cs="Times New Roman"/>
                <w:color w:val="000000" w:themeColor="text1"/>
                <w:sz w:val="24"/>
                <w:highlight w:val="none"/>
                <w14:textFill>
                  <w14:solidFill>
                    <w14:schemeClr w14:val="tx1"/>
                  </w14:solidFill>
                </w14:textFill>
              </w:rPr>
              <w:t>、SO</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、NO</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年均浓度分别为；2</w:t>
            </w:r>
            <w:r>
              <w:rPr>
                <w:rFonts w:hint="default" w:ascii="Times New Roman" w:hAnsi="Times New Roman" w:cs="Times New Roman"/>
                <w:color w:val="000000" w:themeColor="text1"/>
                <w:sz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highlight w:val="none"/>
                <w:lang w:eastAsia="zh-CN"/>
                <w14:textFill>
                  <w14:solidFill>
                    <w14:schemeClr w14:val="tx1"/>
                  </w14:solidFill>
                </w14:textFill>
              </w:rPr>
              <w:t>μ</w:t>
            </w:r>
            <w:r>
              <w:rPr>
                <w:rFonts w:hint="default" w:ascii="Times New Roman" w:hAnsi="Times New Roman" w:cs="Times New Roman"/>
                <w:color w:val="000000" w:themeColor="text1"/>
                <w:sz w:val="24"/>
                <w:highlight w:val="none"/>
                <w14:textFill>
                  <w14:solidFill>
                    <w14:schemeClr w14:val="tx1"/>
                  </w14:solidFill>
                </w14:textFill>
              </w:rPr>
              <w:t>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、5</w:t>
            </w:r>
            <w:r>
              <w:rPr>
                <w:rFonts w:hint="default"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highlight w:val="none"/>
                <w:lang w:eastAsia="zh-CN"/>
                <w14:textFill>
                  <w14:solidFill>
                    <w14:schemeClr w14:val="tx1"/>
                  </w14:solidFill>
                </w14:textFill>
              </w:rPr>
              <w:t>μ</w:t>
            </w:r>
            <w:r>
              <w:rPr>
                <w:rFonts w:hint="default" w:ascii="Times New Roman" w:hAnsi="Times New Roman" w:cs="Times New Roman"/>
                <w:color w:val="000000" w:themeColor="text1"/>
                <w:sz w:val="24"/>
                <w:highlight w:val="none"/>
                <w14:textFill>
                  <w14:solidFill>
                    <w14:schemeClr w14:val="tx1"/>
                  </w14:solidFill>
                </w14:textFill>
              </w:rPr>
              <w:t>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、1</w:t>
            </w:r>
            <w:r>
              <w:rPr>
                <w:rFonts w:hint="default" w:ascii="Times New Roman" w:hAnsi="Times New Roman" w:cs="Times New Roman"/>
                <w:color w:val="000000" w:themeColor="text1"/>
                <w:sz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highlight w:val="none"/>
                <w:lang w:eastAsia="zh-CN"/>
                <w14:textFill>
                  <w14:solidFill>
                    <w14:schemeClr w14:val="tx1"/>
                  </w14:solidFill>
                </w14:textFill>
              </w:rPr>
              <w:t>μ</w:t>
            </w:r>
            <w:r>
              <w:rPr>
                <w:rFonts w:hint="default" w:ascii="Times New Roman" w:hAnsi="Times New Roman" w:cs="Times New Roman"/>
                <w:color w:val="000000" w:themeColor="text1"/>
                <w:sz w:val="24"/>
                <w:highlight w:val="none"/>
                <w14:textFill>
                  <w14:solidFill>
                    <w14:schemeClr w14:val="tx1"/>
                  </w14:solidFill>
                </w14:textFill>
              </w:rPr>
              <w:t>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、2</w:t>
            </w:r>
            <w:r>
              <w:rPr>
                <w:rFonts w:hint="default" w:ascii="Times New Roman" w:hAnsi="Times New Roman" w:cs="Times New Roman"/>
                <w:color w:val="000000" w:themeColor="text1"/>
                <w:sz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eastAsia="zh-CN"/>
                <w14:textFill>
                  <w14:solidFill>
                    <w14:schemeClr w14:val="tx1"/>
                  </w14:solidFill>
                </w14:textFill>
              </w:rPr>
              <w:t>μ</w:t>
            </w:r>
            <w:r>
              <w:rPr>
                <w:rFonts w:hint="default" w:ascii="Times New Roman" w:hAnsi="Times New Roman" w:cs="Times New Roman"/>
                <w:color w:val="000000" w:themeColor="text1"/>
                <w:sz w:val="24"/>
                <w:highlight w:val="none"/>
                <w14:textFill>
                  <w14:solidFill>
                    <w14:schemeClr w14:val="tx1"/>
                  </w14:solidFill>
                </w14:textFill>
              </w:rPr>
              <w:t>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；CO，24小时平均第95百分</w:t>
            </w:r>
            <w:r>
              <w:rPr>
                <w:rFonts w:hint="eastAsia" w:cs="Times New Roman"/>
                <w:color w:val="000000" w:themeColor="text1"/>
                <w:sz w:val="24"/>
                <w:highlight w:val="none"/>
                <w:lang w:eastAsia="zh-CN"/>
                <w14:textFill>
                  <w14:solidFill>
                    <w14:schemeClr w14:val="tx1"/>
                  </w14:solidFill>
                </w14:textFill>
              </w:rPr>
              <w:t>位</w:t>
            </w:r>
            <w:r>
              <w:rPr>
                <w:rFonts w:hint="default" w:ascii="Times New Roman" w:hAnsi="Times New Roman" w:cs="Times New Roman"/>
                <w:color w:val="000000" w:themeColor="text1"/>
                <w:sz w:val="24"/>
                <w:highlight w:val="none"/>
                <w14:textFill>
                  <w14:solidFill>
                    <w14:schemeClr w14:val="tx1"/>
                  </w14:solidFill>
                </w14:textFill>
              </w:rPr>
              <w:t>数浓度为0.9mg/m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，O</w:t>
            </w:r>
            <w:r>
              <w:rPr>
                <w:rFonts w:hint="default" w:ascii="Times New Roman" w:hAnsi="Times New Roman" w:cs="Times New Roman"/>
                <w:color w:val="000000" w:themeColor="text1"/>
                <w:sz w:val="24"/>
                <w:highlight w:val="none"/>
                <w:vertAlign w:val="sub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日最大平均值第90百分位数浓度为</w:t>
            </w:r>
            <w:r>
              <w:rPr>
                <w:rFonts w:hint="default" w:ascii="Times New Roman" w:hAnsi="Times New Roman" w:cs="Times New Roman"/>
                <w:color w:val="000000" w:themeColor="text1"/>
                <w:sz w:val="24"/>
                <w:highlight w:val="none"/>
                <w:lang w:val="en-US" w:eastAsia="zh-CN"/>
                <w14:textFill>
                  <w14:solidFill>
                    <w14:schemeClr w14:val="tx1"/>
                  </w14:solidFill>
                </w14:textFill>
              </w:rPr>
              <w:t>148</w:t>
            </w:r>
            <w:r>
              <w:rPr>
                <w:rFonts w:hint="default" w:ascii="Times New Roman" w:hAnsi="Times New Roman" w:cs="Times New Roman"/>
                <w:color w:val="000000" w:themeColor="text1"/>
                <w:sz w:val="24"/>
                <w:highlight w:val="none"/>
                <w14:textFill>
                  <w14:solidFill>
                    <w14:schemeClr w14:val="tx1"/>
                  </w14:solidFill>
                </w14:textFill>
              </w:rPr>
              <w:t>ug/m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各污染物</w:t>
            </w:r>
            <w:r>
              <w:rPr>
                <w:rFonts w:hint="eastAsia" w:cs="Times New Roman"/>
                <w:color w:val="000000" w:themeColor="text1"/>
                <w:sz w:val="24"/>
                <w:highlight w:val="none"/>
                <w:lang w:eastAsia="zh-CN"/>
                <w14:textFill>
                  <w14:solidFill>
                    <w14:schemeClr w14:val="tx1"/>
                  </w14:solidFill>
                </w14:textFill>
              </w:rPr>
              <w:t>的</w:t>
            </w:r>
            <w:r>
              <w:rPr>
                <w:rFonts w:hint="default" w:ascii="Times New Roman" w:hAnsi="Times New Roman" w:cs="Times New Roman"/>
                <w:color w:val="000000" w:themeColor="text1"/>
                <w:sz w:val="24"/>
                <w:highlight w:val="none"/>
                <w14:textFill>
                  <w14:solidFill>
                    <w14:schemeClr w14:val="tx1"/>
                  </w14:solidFill>
                </w14:textFill>
              </w:rPr>
              <w:t>平均浓度均低于《环境空气质量标准》（GB3095-2012）及其修改单二级标准。因此，鄂尔多斯市</w:t>
            </w:r>
            <w:r>
              <w:rPr>
                <w:rFonts w:hint="eastAsia" w:cs="Times New Roman"/>
                <w:color w:val="000000" w:themeColor="text1"/>
                <w:sz w:val="24"/>
                <w:highlight w:val="none"/>
                <w:lang w:eastAsia="zh-CN"/>
                <w14:textFill>
                  <w14:solidFill>
                    <w14:schemeClr w14:val="tx1"/>
                  </w14:solidFill>
                </w14:textFill>
              </w:rPr>
              <w:t>的</w:t>
            </w:r>
            <w:r>
              <w:rPr>
                <w:rFonts w:hint="default" w:ascii="Times New Roman" w:hAnsi="Times New Roman" w:cs="Times New Roman"/>
                <w:color w:val="000000" w:themeColor="text1"/>
                <w:sz w:val="24"/>
                <w:highlight w:val="none"/>
                <w14:textFill>
                  <w14:solidFill>
                    <w14:schemeClr w14:val="tx1"/>
                  </w14:solidFill>
                </w14:textFill>
              </w:rPr>
              <w:t>环境空气质量属于达标区。</w:t>
            </w:r>
            <w:r>
              <w:rPr>
                <w:rFonts w:ascii="Times New Roman" w:hAnsi="Times New Roman" w:cs="Times New Roman"/>
                <w:color w:val="000000" w:themeColor="text1"/>
                <w:sz w:val="24"/>
                <w:highlight w:val="none"/>
                <w14:textFill>
                  <w14:solidFill>
                    <w14:schemeClr w14:val="tx1"/>
                  </w14:solidFill>
                </w14:textFill>
              </w:rPr>
              <w:t>区域空气质量现状评价见</w:t>
            </w:r>
            <w:r>
              <w:rPr>
                <w:rFonts w:hint="default" w:ascii="Times New Roman" w:hAnsi="Times New Roman" w:cs="Times New Roman"/>
                <w:color w:val="000000" w:themeColor="text1"/>
                <w:sz w:val="24"/>
                <w:highlight w:val="none"/>
                <w:lang w:eastAsia="zh-CN"/>
                <w14:textFill>
                  <w14:solidFill>
                    <w14:schemeClr w14:val="tx1"/>
                  </w14:solidFill>
                </w14:textFill>
              </w:rPr>
              <w:t>下</w:t>
            </w:r>
            <w:r>
              <w:rPr>
                <w:rFonts w:ascii="Times New Roman" w:hAnsi="Times New Roman" w:cs="Times New Roman"/>
                <w:color w:val="000000" w:themeColor="text1"/>
                <w:sz w:val="24"/>
                <w:highlight w:val="none"/>
                <w14:textFill>
                  <w14:solidFill>
                    <w14:schemeClr w14:val="tx1"/>
                  </w14:solidFill>
                </w14:textFill>
              </w:rPr>
              <w:t>表</w:t>
            </w:r>
            <w:r>
              <w:rPr>
                <w:rFonts w:ascii="Times New Roman" w:hAnsi="Times New Roman" w:cs="Times New Roman"/>
                <w:color w:val="000000" w:themeColor="text1"/>
                <w:highlight w:val="none"/>
                <w14:textFill>
                  <w14:solidFill>
                    <w14:schemeClr w14:val="tx1"/>
                  </w14:solidFill>
                </w14:textFill>
              </w:rPr>
              <w:t>。</w:t>
            </w:r>
          </w:p>
          <w:p w14:paraId="7A6F9FB5">
            <w:pPr>
              <w:adjustRightInd w:val="0"/>
              <w:snapToGrid w:val="0"/>
              <w:spacing w:line="240" w:lineRule="auto"/>
              <w:jc w:val="center"/>
              <w:rPr>
                <w:b/>
                <w:bCs/>
                <w:color w:val="000000" w:themeColor="text1"/>
                <w:sz w:val="24"/>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表3-</w:t>
            </w:r>
            <w:r>
              <w:rPr>
                <w:rFonts w:hint="eastAsia"/>
                <w:b w:val="0"/>
                <w:bCs w:val="0"/>
                <w:color w:val="000000" w:themeColor="text1"/>
                <w:sz w:val="21"/>
                <w:szCs w:val="21"/>
                <w:highlight w:val="none"/>
                <w:lang w:val="en-US" w:eastAsia="zh-CN"/>
                <w14:textFill>
                  <w14:solidFill>
                    <w14:schemeClr w14:val="tx1"/>
                  </w14:solidFill>
                </w14:textFill>
              </w:rPr>
              <w:t>5</w:t>
            </w:r>
            <w:r>
              <w:rPr>
                <w:b w:val="0"/>
                <w:bCs w:val="0"/>
                <w:color w:val="000000" w:themeColor="text1"/>
                <w:sz w:val="21"/>
                <w:szCs w:val="21"/>
                <w:highlight w:val="none"/>
                <w14:textFill>
                  <w14:solidFill>
                    <w14:schemeClr w14:val="tx1"/>
                  </w14:solidFill>
                </w14:textFill>
              </w:rPr>
              <w:t>区域空气质量现状评价表</w:t>
            </w:r>
          </w:p>
          <w:tbl>
            <w:tblPr>
              <w:tblStyle w:val="19"/>
              <w:tblW w:w="80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57" w:type="dxa"/>
                <w:bottom w:w="0" w:type="dxa"/>
                <w:right w:w="57" w:type="dxa"/>
              </w:tblCellMar>
            </w:tblPr>
            <w:tblGrid>
              <w:gridCol w:w="853"/>
              <w:gridCol w:w="2412"/>
              <w:gridCol w:w="1296"/>
              <w:gridCol w:w="1272"/>
              <w:gridCol w:w="1104"/>
              <w:gridCol w:w="1121"/>
            </w:tblGrid>
            <w:tr w14:paraId="3D12B9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97" w:hRule="atLeast"/>
                <w:jc w:val="center"/>
              </w:trPr>
              <w:tc>
                <w:tcPr>
                  <w:tcW w:w="853" w:type="dxa"/>
                  <w:tcBorders>
                    <w:tl2br w:val="nil"/>
                    <w:tr2bl w:val="nil"/>
                  </w:tcBorders>
                  <w:vAlign w:val="center"/>
                </w:tcPr>
                <w:p w14:paraId="765FF946">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污染物</w:t>
                  </w:r>
                </w:p>
              </w:tc>
              <w:tc>
                <w:tcPr>
                  <w:tcW w:w="2412" w:type="dxa"/>
                  <w:tcBorders>
                    <w:tl2br w:val="nil"/>
                    <w:tr2bl w:val="nil"/>
                  </w:tcBorders>
                  <w:vAlign w:val="center"/>
                </w:tcPr>
                <w:p w14:paraId="2EC55619">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年评价指标</w:t>
                  </w:r>
                </w:p>
              </w:tc>
              <w:tc>
                <w:tcPr>
                  <w:tcW w:w="1296" w:type="dxa"/>
                  <w:tcBorders>
                    <w:tl2br w:val="nil"/>
                    <w:tr2bl w:val="nil"/>
                  </w:tcBorders>
                  <w:vAlign w:val="center"/>
                </w:tcPr>
                <w:p w14:paraId="6F977489">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现状浓度（μg/m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r>
                    <w:rPr>
                      <w:rFonts w:ascii="Times New Roman" w:hAnsi="Times New Roman" w:cs="Times New Roman"/>
                      <w:color w:val="000000" w:themeColor="text1"/>
                      <w:sz w:val="21"/>
                      <w:szCs w:val="21"/>
                      <w:highlight w:val="none"/>
                      <w14:textFill>
                        <w14:solidFill>
                          <w14:schemeClr w14:val="tx1"/>
                        </w14:solidFill>
                      </w14:textFill>
                    </w:rPr>
                    <w:t>）</w:t>
                  </w:r>
                </w:p>
              </w:tc>
              <w:tc>
                <w:tcPr>
                  <w:tcW w:w="1272" w:type="dxa"/>
                  <w:tcBorders>
                    <w:tl2br w:val="nil"/>
                    <w:tr2bl w:val="nil"/>
                  </w:tcBorders>
                  <w:vAlign w:val="center"/>
                </w:tcPr>
                <w:p w14:paraId="66AC1E9A">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标准值</w:t>
                  </w:r>
                </w:p>
                <w:p w14:paraId="2CF8E696">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（μg/m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r>
                    <w:rPr>
                      <w:rFonts w:ascii="Times New Roman" w:hAnsi="Times New Roman" w:cs="Times New Roman"/>
                      <w:color w:val="000000" w:themeColor="text1"/>
                      <w:sz w:val="21"/>
                      <w:szCs w:val="21"/>
                      <w:highlight w:val="none"/>
                      <w14:textFill>
                        <w14:solidFill>
                          <w14:schemeClr w14:val="tx1"/>
                        </w14:solidFill>
                      </w14:textFill>
                    </w:rPr>
                    <w:t>）</w:t>
                  </w:r>
                </w:p>
              </w:tc>
              <w:tc>
                <w:tcPr>
                  <w:tcW w:w="1104" w:type="dxa"/>
                  <w:tcBorders>
                    <w:tl2br w:val="nil"/>
                    <w:tr2bl w:val="nil"/>
                  </w:tcBorders>
                  <w:vAlign w:val="center"/>
                </w:tcPr>
                <w:p w14:paraId="3FB8BC86">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占标率/%</w:t>
                  </w:r>
                </w:p>
              </w:tc>
              <w:tc>
                <w:tcPr>
                  <w:tcW w:w="1121" w:type="dxa"/>
                  <w:tcBorders>
                    <w:tl2br w:val="nil"/>
                    <w:tr2bl w:val="nil"/>
                  </w:tcBorders>
                  <w:vAlign w:val="center"/>
                </w:tcPr>
                <w:p w14:paraId="77174BBE">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达标情况</w:t>
                  </w:r>
                </w:p>
              </w:tc>
            </w:tr>
            <w:tr w14:paraId="18C859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14:paraId="752F5502">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SO</w:t>
                  </w:r>
                  <w:r>
                    <w:rPr>
                      <w:rFonts w:ascii="Times New Roman" w:hAnsi="Times New Roman" w:cs="Times New Roman"/>
                      <w:color w:val="000000" w:themeColor="text1"/>
                      <w:sz w:val="21"/>
                      <w:szCs w:val="21"/>
                      <w:highlight w:val="none"/>
                      <w:vertAlign w:val="subscript"/>
                      <w14:textFill>
                        <w14:solidFill>
                          <w14:schemeClr w14:val="tx1"/>
                        </w14:solidFill>
                      </w14:textFill>
                    </w:rPr>
                    <w:t>2</w:t>
                  </w:r>
                </w:p>
              </w:tc>
              <w:tc>
                <w:tcPr>
                  <w:tcW w:w="2412" w:type="dxa"/>
                  <w:tcBorders>
                    <w:tl2br w:val="nil"/>
                    <w:tr2bl w:val="nil"/>
                  </w:tcBorders>
                  <w:vAlign w:val="center"/>
                </w:tcPr>
                <w:p w14:paraId="69EC1094">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1296" w:type="dxa"/>
                  <w:tcBorders>
                    <w:tl2br w:val="nil"/>
                    <w:tr2bl w:val="nil"/>
                  </w:tcBorders>
                  <w:vAlign w:val="center"/>
                </w:tcPr>
                <w:p w14:paraId="589B87D3">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1</w:t>
                  </w:r>
                  <w:r>
                    <w:rPr>
                      <w:rFonts w:ascii="Times New Roman" w:hAnsi="Times New Roman" w:cs="Times New Roman"/>
                      <w:color w:val="000000" w:themeColor="text1"/>
                      <w:sz w:val="21"/>
                      <w:szCs w:val="21"/>
                      <w:highlight w:val="none"/>
                      <w:lang w:eastAsia="zh-CN"/>
                      <w14:textFill>
                        <w14:solidFill>
                          <w14:schemeClr w14:val="tx1"/>
                        </w14:solidFill>
                      </w14:textFill>
                    </w:rPr>
                    <w:t>0</w:t>
                  </w:r>
                </w:p>
              </w:tc>
              <w:tc>
                <w:tcPr>
                  <w:tcW w:w="1272" w:type="dxa"/>
                  <w:tcBorders>
                    <w:tl2br w:val="nil"/>
                    <w:tr2bl w:val="nil"/>
                  </w:tcBorders>
                  <w:vAlign w:val="center"/>
                </w:tcPr>
                <w:p w14:paraId="7B5347FB">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60</w:t>
                  </w:r>
                </w:p>
              </w:tc>
              <w:tc>
                <w:tcPr>
                  <w:tcW w:w="1104" w:type="dxa"/>
                  <w:tcBorders>
                    <w:tl2br w:val="nil"/>
                    <w:tr2bl w:val="nil"/>
                  </w:tcBorders>
                  <w:vAlign w:val="center"/>
                </w:tcPr>
                <w:p w14:paraId="650B5308">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16.67</w:t>
                  </w:r>
                </w:p>
              </w:tc>
              <w:tc>
                <w:tcPr>
                  <w:tcW w:w="1121" w:type="dxa"/>
                  <w:tcBorders>
                    <w:tl2br w:val="nil"/>
                    <w:tr2bl w:val="nil"/>
                  </w:tcBorders>
                  <w:vAlign w:val="center"/>
                </w:tcPr>
                <w:p w14:paraId="71620A00">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23D201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14:paraId="1ADFA978">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NO</w:t>
                  </w:r>
                  <w:r>
                    <w:rPr>
                      <w:rFonts w:ascii="Times New Roman" w:hAnsi="Times New Roman" w:cs="Times New Roman"/>
                      <w:color w:val="000000" w:themeColor="text1"/>
                      <w:sz w:val="21"/>
                      <w:szCs w:val="21"/>
                      <w:highlight w:val="none"/>
                      <w:vertAlign w:val="subscript"/>
                      <w14:textFill>
                        <w14:solidFill>
                          <w14:schemeClr w14:val="tx1"/>
                        </w14:solidFill>
                      </w14:textFill>
                    </w:rPr>
                    <w:t>2</w:t>
                  </w:r>
                </w:p>
              </w:tc>
              <w:tc>
                <w:tcPr>
                  <w:tcW w:w="2412" w:type="dxa"/>
                  <w:tcBorders>
                    <w:tl2br w:val="nil"/>
                    <w:tr2bl w:val="nil"/>
                  </w:tcBorders>
                  <w:vAlign w:val="center"/>
                </w:tcPr>
                <w:p w14:paraId="2518754E">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1296" w:type="dxa"/>
                  <w:tcBorders>
                    <w:tl2br w:val="nil"/>
                    <w:tr2bl w:val="nil"/>
                  </w:tcBorders>
                  <w:vAlign w:val="center"/>
                </w:tcPr>
                <w:p w14:paraId="5C5E3BF5">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2</w:t>
                  </w:r>
                  <w:r>
                    <w:rPr>
                      <w:rFonts w:ascii="Times New Roman" w:hAnsi="Times New Roman" w:cs="Times New Roman"/>
                      <w:color w:val="000000" w:themeColor="text1"/>
                      <w:sz w:val="21"/>
                      <w:szCs w:val="21"/>
                      <w:highlight w:val="none"/>
                      <w:lang w:eastAsia="zh-CN"/>
                      <w14:textFill>
                        <w14:solidFill>
                          <w14:schemeClr w14:val="tx1"/>
                        </w14:solidFill>
                      </w14:textFill>
                    </w:rPr>
                    <w:t>3</w:t>
                  </w:r>
                </w:p>
              </w:tc>
              <w:tc>
                <w:tcPr>
                  <w:tcW w:w="1272" w:type="dxa"/>
                  <w:tcBorders>
                    <w:tl2br w:val="nil"/>
                    <w:tr2bl w:val="nil"/>
                  </w:tcBorders>
                  <w:vAlign w:val="center"/>
                </w:tcPr>
                <w:p w14:paraId="42EEDA89">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40</w:t>
                  </w:r>
                </w:p>
              </w:tc>
              <w:tc>
                <w:tcPr>
                  <w:tcW w:w="1104" w:type="dxa"/>
                  <w:tcBorders>
                    <w:tl2br w:val="nil"/>
                    <w:tr2bl w:val="nil"/>
                  </w:tcBorders>
                  <w:vAlign w:val="center"/>
                </w:tcPr>
                <w:p w14:paraId="4A00FE57">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57.50</w:t>
                  </w:r>
                </w:p>
              </w:tc>
              <w:tc>
                <w:tcPr>
                  <w:tcW w:w="1121" w:type="dxa"/>
                  <w:tcBorders>
                    <w:tl2br w:val="nil"/>
                    <w:tr2bl w:val="nil"/>
                  </w:tcBorders>
                  <w:vAlign w:val="center"/>
                </w:tcPr>
                <w:p w14:paraId="6B4BE152">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701282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14:paraId="2946BEAD">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PM</w:t>
                  </w:r>
                  <w:r>
                    <w:rPr>
                      <w:rFonts w:ascii="Times New Roman" w:hAnsi="Times New Roman" w:cs="Times New Roman"/>
                      <w:color w:val="000000" w:themeColor="text1"/>
                      <w:sz w:val="21"/>
                      <w:szCs w:val="21"/>
                      <w:highlight w:val="none"/>
                      <w:vertAlign w:val="subscript"/>
                      <w14:textFill>
                        <w14:solidFill>
                          <w14:schemeClr w14:val="tx1"/>
                        </w14:solidFill>
                      </w14:textFill>
                    </w:rPr>
                    <w:t>10</w:t>
                  </w:r>
                </w:p>
              </w:tc>
              <w:tc>
                <w:tcPr>
                  <w:tcW w:w="2412" w:type="dxa"/>
                  <w:tcBorders>
                    <w:tl2br w:val="nil"/>
                    <w:tr2bl w:val="nil"/>
                  </w:tcBorders>
                  <w:vAlign w:val="center"/>
                </w:tcPr>
                <w:p w14:paraId="7C063CEF">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1296" w:type="dxa"/>
                  <w:tcBorders>
                    <w:tl2br w:val="nil"/>
                    <w:tr2bl w:val="nil"/>
                  </w:tcBorders>
                  <w:vAlign w:val="center"/>
                </w:tcPr>
                <w:p w14:paraId="5DCBBB73">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5</w:t>
                  </w:r>
                  <w:r>
                    <w:rPr>
                      <w:rFonts w:ascii="Times New Roman" w:hAnsi="Times New Roman" w:cs="Times New Roman"/>
                      <w:color w:val="000000" w:themeColor="text1"/>
                      <w:sz w:val="21"/>
                      <w:szCs w:val="21"/>
                      <w:highlight w:val="none"/>
                      <w:lang w:eastAsia="zh-CN"/>
                      <w14:textFill>
                        <w14:solidFill>
                          <w14:schemeClr w14:val="tx1"/>
                        </w14:solidFill>
                      </w14:textFill>
                    </w:rPr>
                    <w:t>1</w:t>
                  </w:r>
                </w:p>
              </w:tc>
              <w:tc>
                <w:tcPr>
                  <w:tcW w:w="1272" w:type="dxa"/>
                  <w:tcBorders>
                    <w:tl2br w:val="nil"/>
                    <w:tr2bl w:val="nil"/>
                  </w:tcBorders>
                  <w:vAlign w:val="center"/>
                </w:tcPr>
                <w:p w14:paraId="74E9439A">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70</w:t>
                  </w:r>
                </w:p>
              </w:tc>
              <w:tc>
                <w:tcPr>
                  <w:tcW w:w="1104" w:type="dxa"/>
                  <w:tcBorders>
                    <w:tl2br w:val="nil"/>
                    <w:tr2bl w:val="nil"/>
                  </w:tcBorders>
                  <w:vAlign w:val="center"/>
                </w:tcPr>
                <w:p w14:paraId="4C0F7A9C">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72.86</w:t>
                  </w:r>
                </w:p>
              </w:tc>
              <w:tc>
                <w:tcPr>
                  <w:tcW w:w="1121" w:type="dxa"/>
                  <w:tcBorders>
                    <w:tl2br w:val="nil"/>
                    <w:tr2bl w:val="nil"/>
                  </w:tcBorders>
                  <w:vAlign w:val="center"/>
                </w:tcPr>
                <w:p w14:paraId="069217D5">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539F8A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14:paraId="42E4AD63">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PM</w:t>
                  </w:r>
                  <w:r>
                    <w:rPr>
                      <w:rFonts w:ascii="Times New Roman" w:hAnsi="Times New Roman" w:cs="Times New Roman"/>
                      <w:color w:val="000000" w:themeColor="text1"/>
                      <w:sz w:val="21"/>
                      <w:szCs w:val="21"/>
                      <w:highlight w:val="none"/>
                      <w:vertAlign w:val="subscript"/>
                      <w14:textFill>
                        <w14:solidFill>
                          <w14:schemeClr w14:val="tx1"/>
                        </w14:solidFill>
                      </w14:textFill>
                    </w:rPr>
                    <w:t>2.5</w:t>
                  </w:r>
                </w:p>
              </w:tc>
              <w:tc>
                <w:tcPr>
                  <w:tcW w:w="2412" w:type="dxa"/>
                  <w:tcBorders>
                    <w:tl2br w:val="nil"/>
                    <w:tr2bl w:val="nil"/>
                  </w:tcBorders>
                  <w:vAlign w:val="center"/>
                </w:tcPr>
                <w:p w14:paraId="097961C7">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1296" w:type="dxa"/>
                  <w:tcBorders>
                    <w:tl2br w:val="nil"/>
                    <w:tr2bl w:val="nil"/>
                  </w:tcBorders>
                  <w:vAlign w:val="center"/>
                </w:tcPr>
                <w:p w14:paraId="66F28FAD">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20</w:t>
                  </w:r>
                </w:p>
              </w:tc>
              <w:tc>
                <w:tcPr>
                  <w:tcW w:w="1272" w:type="dxa"/>
                  <w:tcBorders>
                    <w:tl2br w:val="nil"/>
                    <w:tr2bl w:val="nil"/>
                  </w:tcBorders>
                  <w:vAlign w:val="center"/>
                </w:tcPr>
                <w:p w14:paraId="1F0C42BD">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35</w:t>
                  </w:r>
                </w:p>
              </w:tc>
              <w:tc>
                <w:tcPr>
                  <w:tcW w:w="1104" w:type="dxa"/>
                  <w:tcBorders>
                    <w:tl2br w:val="nil"/>
                    <w:tr2bl w:val="nil"/>
                  </w:tcBorders>
                  <w:vAlign w:val="center"/>
                </w:tcPr>
                <w:p w14:paraId="0732DEFB">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57.14</w:t>
                  </w:r>
                </w:p>
              </w:tc>
              <w:tc>
                <w:tcPr>
                  <w:tcW w:w="1121" w:type="dxa"/>
                  <w:tcBorders>
                    <w:tl2br w:val="nil"/>
                    <w:tr2bl w:val="nil"/>
                  </w:tcBorders>
                  <w:vAlign w:val="center"/>
                </w:tcPr>
                <w:p w14:paraId="64E34FAA">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17050C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14:paraId="22E820A8">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O</w:t>
                  </w:r>
                  <w:r>
                    <w:rPr>
                      <w:rFonts w:ascii="Times New Roman" w:hAnsi="Times New Roman" w:cs="Times New Roman"/>
                      <w:color w:val="000000" w:themeColor="text1"/>
                      <w:sz w:val="21"/>
                      <w:szCs w:val="21"/>
                      <w:highlight w:val="none"/>
                      <w:vertAlign w:val="subscript"/>
                      <w14:textFill>
                        <w14:solidFill>
                          <w14:schemeClr w14:val="tx1"/>
                        </w14:solidFill>
                      </w14:textFill>
                    </w:rPr>
                    <w:t>3</w:t>
                  </w:r>
                </w:p>
              </w:tc>
              <w:tc>
                <w:tcPr>
                  <w:tcW w:w="2412" w:type="dxa"/>
                  <w:tcBorders>
                    <w:tl2br w:val="nil"/>
                    <w:tr2bl w:val="nil"/>
                  </w:tcBorders>
                  <w:vAlign w:val="center"/>
                </w:tcPr>
                <w:p w14:paraId="034A7562">
                  <w:pPr>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8小时平均质量浓度</w:t>
                  </w:r>
                </w:p>
              </w:tc>
              <w:tc>
                <w:tcPr>
                  <w:tcW w:w="1296" w:type="dxa"/>
                  <w:tcBorders>
                    <w:tl2br w:val="nil"/>
                    <w:tr2bl w:val="nil"/>
                  </w:tcBorders>
                  <w:vAlign w:val="center"/>
                </w:tcPr>
                <w:p w14:paraId="597FFD4C">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1</w:t>
                  </w:r>
                  <w:r>
                    <w:rPr>
                      <w:rFonts w:ascii="Times New Roman" w:hAnsi="Times New Roman" w:cs="Times New Roman"/>
                      <w:color w:val="000000" w:themeColor="text1"/>
                      <w:sz w:val="21"/>
                      <w:szCs w:val="21"/>
                      <w:highlight w:val="none"/>
                      <w:lang w:eastAsia="zh-CN"/>
                      <w14:textFill>
                        <w14:solidFill>
                          <w14:schemeClr w14:val="tx1"/>
                        </w14:solidFill>
                      </w14:textFill>
                    </w:rPr>
                    <w:t>48</w:t>
                  </w:r>
                </w:p>
              </w:tc>
              <w:tc>
                <w:tcPr>
                  <w:tcW w:w="1272" w:type="dxa"/>
                  <w:tcBorders>
                    <w:tl2br w:val="nil"/>
                    <w:tr2bl w:val="nil"/>
                  </w:tcBorders>
                  <w:vAlign w:val="center"/>
                </w:tcPr>
                <w:p w14:paraId="58BFD672">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160</w:t>
                  </w:r>
                </w:p>
              </w:tc>
              <w:tc>
                <w:tcPr>
                  <w:tcW w:w="1104" w:type="dxa"/>
                  <w:tcBorders>
                    <w:tl2br w:val="nil"/>
                    <w:tr2bl w:val="nil"/>
                  </w:tcBorders>
                  <w:vAlign w:val="center"/>
                </w:tcPr>
                <w:p w14:paraId="3C57F240">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92.50</w:t>
                  </w:r>
                </w:p>
              </w:tc>
              <w:tc>
                <w:tcPr>
                  <w:tcW w:w="1121" w:type="dxa"/>
                  <w:tcBorders>
                    <w:tl2br w:val="nil"/>
                    <w:tr2bl w:val="nil"/>
                  </w:tcBorders>
                  <w:vAlign w:val="center"/>
                </w:tcPr>
                <w:p w14:paraId="4FE4E2FE">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09AD8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98" w:hRule="atLeast"/>
                <w:jc w:val="center"/>
              </w:trPr>
              <w:tc>
                <w:tcPr>
                  <w:tcW w:w="853" w:type="dxa"/>
                  <w:tcBorders>
                    <w:tl2br w:val="nil"/>
                    <w:tr2bl w:val="nil"/>
                  </w:tcBorders>
                  <w:vAlign w:val="center"/>
                </w:tcPr>
                <w:p w14:paraId="76B52AAD">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CO</w:t>
                  </w:r>
                </w:p>
              </w:tc>
              <w:tc>
                <w:tcPr>
                  <w:tcW w:w="2412" w:type="dxa"/>
                  <w:tcBorders>
                    <w:tl2br w:val="nil"/>
                    <w:tr2bl w:val="nil"/>
                  </w:tcBorders>
                  <w:vAlign w:val="center"/>
                </w:tcPr>
                <w:p w14:paraId="684CE5B2">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第95百分位数日平均</w:t>
                  </w:r>
                </w:p>
              </w:tc>
              <w:tc>
                <w:tcPr>
                  <w:tcW w:w="1296" w:type="dxa"/>
                  <w:tcBorders>
                    <w:tl2br w:val="nil"/>
                    <w:tr2bl w:val="nil"/>
                  </w:tcBorders>
                  <w:vAlign w:val="center"/>
                </w:tcPr>
                <w:p w14:paraId="6F19BE0D">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0.9mg/m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p>
              </w:tc>
              <w:tc>
                <w:tcPr>
                  <w:tcW w:w="1272" w:type="dxa"/>
                  <w:tcBorders>
                    <w:tl2br w:val="nil"/>
                    <w:tr2bl w:val="nil"/>
                  </w:tcBorders>
                  <w:vAlign w:val="center"/>
                </w:tcPr>
                <w:p w14:paraId="785E063E">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4mg/m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p>
              </w:tc>
              <w:tc>
                <w:tcPr>
                  <w:tcW w:w="1104" w:type="dxa"/>
                  <w:tcBorders>
                    <w:tl2br w:val="nil"/>
                    <w:tr2bl w:val="nil"/>
                  </w:tcBorders>
                  <w:vAlign w:val="center"/>
                </w:tcPr>
                <w:p w14:paraId="2D72D2DA">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22.50</w:t>
                  </w:r>
                </w:p>
              </w:tc>
              <w:tc>
                <w:tcPr>
                  <w:tcW w:w="1121" w:type="dxa"/>
                  <w:tcBorders>
                    <w:tl2br w:val="nil"/>
                    <w:tr2bl w:val="nil"/>
                  </w:tcBorders>
                  <w:vAlign w:val="center"/>
                </w:tcPr>
                <w:p w14:paraId="4C5BADAA">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bl>
          <w:p w14:paraId="702CFA35">
            <w:pPr>
              <w:adjustRightInd w:val="0"/>
              <w:snapToGrid w:val="0"/>
              <w:spacing w:line="360" w:lineRule="auto"/>
              <w:ind w:firstLine="482" w:firstLineChars="200"/>
              <w:jc w:val="left"/>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eastAsia" w:cs="Times New Roman"/>
                <w:b/>
                <w:bCs/>
                <w:color w:val="000000" w:themeColor="text1"/>
                <w:sz w:val="24"/>
                <w:szCs w:val="24"/>
                <w:highlight w:val="none"/>
                <w:lang w:eastAsia="zh-CN"/>
                <w14:textFill>
                  <w14:solidFill>
                    <w14:schemeClr w14:val="tx1"/>
                  </w14:solidFill>
                </w14:textFill>
              </w:rPr>
              <w:t>三</w:t>
            </w:r>
            <w:r>
              <w:rPr>
                <w:rFonts w:hint="default" w:ascii="Times New Roman" w:hAnsi="Times New Roman" w:cs="Times New Roman"/>
                <w:b/>
                <w:bCs/>
                <w:color w:val="000000" w:themeColor="text1"/>
                <w:sz w:val="24"/>
                <w:szCs w:val="24"/>
                <w:highlight w:val="none"/>
                <w14:textFill>
                  <w14:solidFill>
                    <w14:schemeClr w14:val="tx1"/>
                  </w14:solidFill>
                </w14:textFill>
              </w:rPr>
              <w:t>、声环境质量现状</w:t>
            </w:r>
          </w:p>
          <w:p w14:paraId="50F04191">
            <w:pPr>
              <w:pStyle w:val="12"/>
              <w:keepNext w:val="0"/>
              <w:keepLines w:val="0"/>
              <w:pageBreakBefore w:val="0"/>
              <w:widowControl/>
              <w:kinsoku/>
              <w:wordWrap/>
              <w:overflowPunct/>
              <w:topLinePunct w:val="0"/>
              <w:autoSpaceDE/>
              <w:autoSpaceDN/>
              <w:bidi w:val="0"/>
              <w:adjustRightInd/>
              <w:snapToGrid w:val="0"/>
              <w:spacing w:before="0"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项目厂界外50m范围内无居民区、医院、学校、机关、科研单位、住宅等需要保持安静的建筑物，因此不开展声环境现状监测。</w:t>
            </w:r>
          </w:p>
          <w:p w14:paraId="13CC7F4A">
            <w:pPr>
              <w:pStyle w:val="12"/>
              <w:keepNext w:val="0"/>
              <w:keepLines w:val="0"/>
              <w:pageBreakBefore w:val="0"/>
              <w:widowControl/>
              <w:numPr>
                <w:ilvl w:val="0"/>
                <w:numId w:val="5"/>
              </w:numPr>
              <w:kinsoku/>
              <w:wordWrap/>
              <w:overflowPunct/>
              <w:topLinePunct w:val="0"/>
              <w:autoSpaceDE/>
              <w:autoSpaceDN/>
              <w:bidi w:val="0"/>
              <w:adjustRightInd/>
              <w:snapToGrid w:val="0"/>
              <w:spacing w:before="0" w:after="0" w:line="360" w:lineRule="auto"/>
              <w:ind w:left="0" w:leftChars="0" w:right="0" w:rightChars="0" w:firstLine="482" w:firstLineChars="200"/>
              <w:jc w:val="both"/>
              <w:textAlignment w:val="auto"/>
              <w:outlineLvl w:val="9"/>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地表水环境质量现状</w:t>
            </w:r>
          </w:p>
          <w:p w14:paraId="09EBE128">
            <w:pPr>
              <w:pStyle w:val="12"/>
              <w:keepNext w:val="0"/>
              <w:keepLines w:val="0"/>
              <w:pageBreakBefore w:val="0"/>
              <w:widowControl/>
              <w:kinsoku/>
              <w:wordWrap/>
              <w:overflowPunct/>
              <w:topLinePunct w:val="0"/>
              <w:autoSpaceDE/>
              <w:autoSpaceDN/>
              <w:bidi w:val="0"/>
              <w:adjustRightInd/>
              <w:snapToGrid w:val="0"/>
              <w:spacing w:before="0" w:after="0" w:line="360" w:lineRule="auto"/>
              <w:ind w:left="0" w:leftChars="0" w:right="0" w:rightChars="0" w:firstLine="480" w:firstLineChars="200"/>
              <w:jc w:val="both"/>
              <w:textAlignment w:val="auto"/>
              <w:outlineLvl w:val="9"/>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杭锦旗库布其沙漠现代农牧业1500万吨/a供水工程</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》水源在杭锦旗黄河南岸灌区总排干桩号148+900km处，本项目水源引自《</w:t>
            </w:r>
            <w:r>
              <w:rPr>
                <w:rFonts w:hint="eastAsia" w:cs="Times New Roman"/>
                <w:color w:val="000000" w:themeColor="text1"/>
                <w:kern w:val="2"/>
                <w:sz w:val="24"/>
                <w:szCs w:val="24"/>
                <w:highlight w:val="none"/>
                <w:lang w:val="en-US" w:eastAsia="zh-CN" w:bidi="ar-SA"/>
                <w14:textFill>
                  <w14:solidFill>
                    <w14:schemeClr w14:val="tx1"/>
                  </w14:solidFill>
                </w14:textFill>
              </w:rPr>
              <w:t>杭锦旗库布其沙漠现代农牧业1500万吨/a供水工程</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本工程利用《</w:t>
            </w:r>
            <w:r>
              <w:rPr>
                <w:rFonts w:hint="eastAsia" w:cs="Times New Roman"/>
                <w:color w:val="000000" w:themeColor="text1"/>
                <w:kern w:val="2"/>
                <w:sz w:val="24"/>
                <w:szCs w:val="24"/>
                <w:highlight w:val="none"/>
                <w:lang w:val="en-US" w:eastAsia="zh-CN" w:bidi="ar-SA"/>
                <w14:textFill>
                  <w14:solidFill>
                    <w14:schemeClr w14:val="tx1"/>
                  </w14:solidFill>
                </w14:textFill>
              </w:rPr>
              <w:t>杭锦旗库布其沙漠现代农牧业1500万吨/a供水工程</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》已建输水管道与本项目新建输水管线相接，引排干水至本项目蓄水池。</w:t>
            </w:r>
          </w:p>
          <w:p w14:paraId="3EFA8D56">
            <w:pPr>
              <w:pStyle w:val="12"/>
              <w:keepNext w:val="0"/>
              <w:keepLines w:val="0"/>
              <w:pageBreakBefore w:val="0"/>
              <w:widowControl/>
              <w:kinsoku/>
              <w:wordWrap/>
              <w:overflowPunct/>
              <w:topLinePunct w:val="0"/>
              <w:autoSpaceDE/>
              <w:autoSpaceDN/>
              <w:bidi w:val="0"/>
              <w:adjustRightInd/>
              <w:snapToGrid w:val="0"/>
              <w:spacing w:before="0" w:after="0" w:line="360" w:lineRule="auto"/>
              <w:ind w:left="0" w:leftChars="0" w:right="0" w:rightChars="0" w:firstLine="480" w:firstLineChars="200"/>
              <w:jc w:val="both"/>
              <w:textAlignment w:val="auto"/>
              <w:outlineLvl w:val="9"/>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w:t>
            </w:r>
            <w:r>
              <w:rPr>
                <w:rFonts w:hint="eastAsia" w:cs="Times New Roman"/>
                <w:color w:val="000000" w:themeColor="text1"/>
                <w:kern w:val="2"/>
                <w:sz w:val="24"/>
                <w:szCs w:val="24"/>
                <w:highlight w:val="none"/>
                <w:lang w:val="en-US" w:eastAsia="zh-CN" w:bidi="ar-SA"/>
                <w14:textFill>
                  <w14:solidFill>
                    <w14:schemeClr w14:val="tx1"/>
                  </w14:solidFill>
                </w14:textFill>
              </w:rPr>
              <w:t>工</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程水源水质监测引用内蒙古八思巴环保科技有限责任公司对《</w:t>
            </w:r>
            <w:r>
              <w:rPr>
                <w:rFonts w:hint="eastAsia" w:cs="Times New Roman"/>
                <w:color w:val="000000" w:themeColor="text1"/>
                <w:kern w:val="2"/>
                <w:sz w:val="24"/>
                <w:szCs w:val="24"/>
                <w:highlight w:val="none"/>
                <w:lang w:val="en-US" w:eastAsia="zh-CN" w:bidi="ar-SA"/>
                <w14:textFill>
                  <w14:solidFill>
                    <w14:schemeClr w14:val="tx1"/>
                  </w14:solidFill>
                </w14:textFill>
              </w:rPr>
              <w:t>杭锦旗库布其沙漠现代农牧业1500万吨/a供水工程</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（地表水）》中的地表水现状监测数据，监测点位位于杭锦旗沿黄灌区总排干沟桩号148+900处，采样时间为2024年4月7日，监测结果见表3-6。</w:t>
            </w:r>
          </w:p>
          <w:p w14:paraId="49B0BBC3">
            <w:pPr>
              <w:pStyle w:val="12"/>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表3-6地表水水质检测结果一览表</w:t>
            </w:r>
          </w:p>
          <w:tbl>
            <w:tblPr>
              <w:tblStyle w:val="19"/>
              <w:tblW w:w="4756"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28" w:type="dxa"/>
                <w:bottom w:w="0" w:type="dxa"/>
                <w:right w:w="28" w:type="dxa"/>
              </w:tblCellMar>
            </w:tblPr>
            <w:tblGrid>
              <w:gridCol w:w="1418"/>
              <w:gridCol w:w="1210"/>
              <w:gridCol w:w="3033"/>
              <w:gridCol w:w="1127"/>
              <w:gridCol w:w="843"/>
            </w:tblGrid>
            <w:tr w14:paraId="5E97039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tblHeader/>
                <w:jc w:val="center"/>
              </w:trPr>
              <w:tc>
                <w:tcPr>
                  <w:tcW w:w="929" w:type="pct"/>
                  <w:vMerge w:val="restart"/>
                  <w:tcBorders>
                    <w:tl2br w:val="nil"/>
                    <w:tr2bl w:val="nil"/>
                  </w:tcBorders>
                  <w:noWrap w:val="0"/>
                  <w:vAlign w:val="center"/>
                </w:tcPr>
                <w:p w14:paraId="37F480BE">
                  <w:pPr>
                    <w:adjustRightInd w:val="0"/>
                    <w:snapToGrid w:val="0"/>
                    <w:jc w:val="center"/>
                    <w:rPr>
                      <w:rFonts w:hint="default" w:ascii="Times New Roman" w:hAnsi="Times New Roman" w:eastAsia="宋体" w:cs="Times New Roman"/>
                      <w:b w:val="0"/>
                      <w:bCs/>
                      <w:sz w:val="18"/>
                      <w:szCs w:val="18"/>
                      <w:highlight w:val="none"/>
                    </w:rPr>
                  </w:pPr>
                  <w:r>
                    <w:rPr>
                      <w:rFonts w:hint="default" w:ascii="Times New Roman" w:hAnsi="Times New Roman" w:eastAsia="宋体" w:cs="Times New Roman"/>
                      <w:b w:val="0"/>
                      <w:bCs/>
                      <w:sz w:val="18"/>
                      <w:szCs w:val="18"/>
                      <w:highlight w:val="none"/>
                    </w:rPr>
                    <w:t>检测项目</w:t>
                  </w:r>
                </w:p>
              </w:tc>
              <w:tc>
                <w:tcPr>
                  <w:tcW w:w="792" w:type="pct"/>
                  <w:vMerge w:val="restart"/>
                  <w:tcBorders>
                    <w:tl2br w:val="nil"/>
                    <w:tr2bl w:val="nil"/>
                  </w:tcBorders>
                  <w:noWrap w:val="0"/>
                  <w:vAlign w:val="center"/>
                </w:tcPr>
                <w:p w14:paraId="6078D39C">
                  <w:pPr>
                    <w:adjustRightInd w:val="0"/>
                    <w:snapToGrid w:val="0"/>
                    <w:jc w:val="center"/>
                    <w:rPr>
                      <w:rFonts w:hint="default" w:ascii="Times New Roman" w:hAnsi="Times New Roman" w:eastAsia="宋体" w:cs="Times New Roman"/>
                      <w:b w:val="0"/>
                      <w:bCs/>
                      <w:sz w:val="18"/>
                      <w:szCs w:val="18"/>
                      <w:highlight w:val="none"/>
                    </w:rPr>
                  </w:pPr>
                  <w:r>
                    <w:rPr>
                      <w:rFonts w:hint="default" w:ascii="Times New Roman" w:hAnsi="Times New Roman" w:eastAsia="宋体" w:cs="Times New Roman"/>
                      <w:b w:val="0"/>
                      <w:bCs/>
                      <w:sz w:val="18"/>
                      <w:szCs w:val="18"/>
                      <w:highlight w:val="none"/>
                    </w:rPr>
                    <w:t>单位</w:t>
                  </w:r>
                </w:p>
              </w:tc>
              <w:tc>
                <w:tcPr>
                  <w:tcW w:w="1987" w:type="pct"/>
                  <w:tcBorders>
                    <w:tl2br w:val="nil"/>
                    <w:tr2bl w:val="nil"/>
                  </w:tcBorders>
                  <w:noWrap w:val="0"/>
                  <w:vAlign w:val="center"/>
                </w:tcPr>
                <w:p w14:paraId="583A7404">
                  <w:pPr>
                    <w:adjustRightInd w:val="0"/>
                    <w:snapToGrid w:val="0"/>
                    <w:jc w:val="center"/>
                    <w:rPr>
                      <w:rFonts w:hint="default" w:ascii="Times New Roman" w:hAnsi="Times New Roman" w:eastAsia="宋体" w:cs="Times New Roman"/>
                      <w:b w:val="0"/>
                      <w:bCs/>
                      <w:sz w:val="18"/>
                      <w:szCs w:val="18"/>
                      <w:highlight w:val="none"/>
                    </w:rPr>
                  </w:pPr>
                  <w:r>
                    <w:rPr>
                      <w:rFonts w:hint="default" w:ascii="Times New Roman" w:hAnsi="Times New Roman" w:eastAsia="宋体" w:cs="Times New Roman"/>
                      <w:b w:val="0"/>
                      <w:bCs/>
                      <w:sz w:val="18"/>
                      <w:szCs w:val="18"/>
                      <w:highlight w:val="none"/>
                    </w:rPr>
                    <w:t>（</w:t>
                  </w:r>
                  <w:r>
                    <w:rPr>
                      <w:rFonts w:hint="eastAsia" w:ascii="Times New Roman" w:hAnsi="Times New Roman" w:eastAsia="宋体" w:cs="Times New Roman"/>
                      <w:b w:val="0"/>
                      <w:bCs/>
                      <w:sz w:val="18"/>
                      <w:szCs w:val="18"/>
                      <w:highlight w:val="none"/>
                      <w:lang w:val="en-US" w:eastAsia="zh-CN"/>
                    </w:rPr>
                    <w:t>2024.04.07</w:t>
                  </w:r>
                  <w:r>
                    <w:rPr>
                      <w:rFonts w:hint="default" w:ascii="Times New Roman" w:hAnsi="Times New Roman" w:eastAsia="宋体" w:cs="Times New Roman"/>
                      <w:b w:val="0"/>
                      <w:bCs/>
                      <w:sz w:val="18"/>
                      <w:szCs w:val="18"/>
                      <w:highlight w:val="none"/>
                    </w:rPr>
                    <w:t>）/检测结果</w:t>
                  </w:r>
                </w:p>
              </w:tc>
              <w:tc>
                <w:tcPr>
                  <w:tcW w:w="738" w:type="pct"/>
                  <w:vMerge w:val="restart"/>
                  <w:tcBorders>
                    <w:tl2br w:val="nil"/>
                    <w:tr2bl w:val="nil"/>
                  </w:tcBorders>
                  <w:noWrap w:val="0"/>
                  <w:vAlign w:val="center"/>
                </w:tcPr>
                <w:p w14:paraId="10F9C00F">
                  <w:pPr>
                    <w:adjustRightInd w:val="0"/>
                    <w:snapToGrid w:val="0"/>
                    <w:jc w:val="center"/>
                    <w:rPr>
                      <w:rFonts w:hint="default" w:ascii="Times New Roman" w:hAnsi="Times New Roman" w:eastAsia="宋体" w:cs="Times New Roman"/>
                      <w:b w:val="0"/>
                      <w:bCs/>
                      <w:sz w:val="18"/>
                      <w:szCs w:val="18"/>
                      <w:highlight w:val="none"/>
                    </w:rPr>
                  </w:pPr>
                  <w:r>
                    <w:rPr>
                      <w:rFonts w:hint="eastAsia"/>
                      <w:b w:val="0"/>
                      <w:bCs/>
                      <w:sz w:val="18"/>
                      <w:szCs w:val="18"/>
                      <w:highlight w:val="none"/>
                      <w:lang w:eastAsia="zh-CN"/>
                    </w:rPr>
                    <w:t>标准限值</w:t>
                  </w:r>
                </w:p>
              </w:tc>
              <w:tc>
                <w:tcPr>
                  <w:tcW w:w="552" w:type="pct"/>
                  <w:vMerge w:val="restart"/>
                  <w:tcBorders>
                    <w:tl2br w:val="nil"/>
                    <w:tr2bl w:val="nil"/>
                  </w:tcBorders>
                  <w:noWrap w:val="0"/>
                  <w:vAlign w:val="center"/>
                </w:tcPr>
                <w:p w14:paraId="0005D484">
                  <w:pPr>
                    <w:adjustRightInd w:val="0"/>
                    <w:snapToGrid w:val="0"/>
                    <w:jc w:val="center"/>
                    <w:rPr>
                      <w:rFonts w:hint="default" w:ascii="Times New Roman" w:hAnsi="Times New Roman" w:eastAsia="宋体" w:cs="Times New Roman"/>
                      <w:b w:val="0"/>
                      <w:bCs/>
                      <w:sz w:val="18"/>
                      <w:szCs w:val="18"/>
                      <w:highlight w:val="none"/>
                    </w:rPr>
                  </w:pPr>
                  <w:r>
                    <w:rPr>
                      <w:b w:val="0"/>
                      <w:bCs/>
                      <w:sz w:val="18"/>
                      <w:szCs w:val="18"/>
                      <w:highlight w:val="none"/>
                    </w:rPr>
                    <w:t>检测结果评定</w:t>
                  </w:r>
                </w:p>
              </w:tc>
            </w:tr>
            <w:tr w14:paraId="6453C4E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tblHeader/>
                <w:jc w:val="center"/>
              </w:trPr>
              <w:tc>
                <w:tcPr>
                  <w:tcW w:w="929" w:type="pct"/>
                  <w:vMerge w:val="continue"/>
                  <w:tcBorders>
                    <w:tl2br w:val="nil"/>
                    <w:tr2bl w:val="nil"/>
                  </w:tcBorders>
                  <w:noWrap w:val="0"/>
                  <w:vAlign w:val="center"/>
                </w:tcPr>
                <w:p w14:paraId="0D7FB7ED">
                  <w:pPr>
                    <w:adjustRightInd w:val="0"/>
                    <w:snapToGrid w:val="0"/>
                    <w:jc w:val="center"/>
                    <w:rPr>
                      <w:rFonts w:hint="default" w:ascii="Times New Roman" w:hAnsi="Times New Roman" w:eastAsia="宋体" w:cs="Times New Roman"/>
                      <w:b/>
                      <w:sz w:val="18"/>
                      <w:szCs w:val="18"/>
                      <w:highlight w:val="none"/>
                    </w:rPr>
                  </w:pPr>
                </w:p>
              </w:tc>
              <w:tc>
                <w:tcPr>
                  <w:tcW w:w="792" w:type="pct"/>
                  <w:vMerge w:val="continue"/>
                  <w:tcBorders>
                    <w:tl2br w:val="nil"/>
                    <w:tr2bl w:val="nil"/>
                  </w:tcBorders>
                  <w:noWrap w:val="0"/>
                  <w:vAlign w:val="top"/>
                </w:tcPr>
                <w:p w14:paraId="703060EB">
                  <w:pPr>
                    <w:adjustRightInd w:val="0"/>
                    <w:snapToGrid w:val="0"/>
                    <w:jc w:val="center"/>
                    <w:rPr>
                      <w:rFonts w:hint="default" w:ascii="Times New Roman" w:hAnsi="Times New Roman" w:eastAsia="宋体" w:cs="Times New Roman"/>
                      <w:b w:val="0"/>
                      <w:bCs/>
                      <w:color w:val="FF0000"/>
                      <w:sz w:val="18"/>
                      <w:szCs w:val="18"/>
                      <w:highlight w:val="none"/>
                    </w:rPr>
                  </w:pPr>
                </w:p>
              </w:tc>
              <w:tc>
                <w:tcPr>
                  <w:tcW w:w="1987" w:type="pct"/>
                  <w:tcBorders>
                    <w:tl2br w:val="nil"/>
                    <w:tr2bl w:val="nil"/>
                  </w:tcBorders>
                  <w:noWrap w:val="0"/>
                  <w:vAlign w:val="center"/>
                </w:tcPr>
                <w:p w14:paraId="5B15319A">
                  <w:pPr>
                    <w:adjustRightInd w:val="0"/>
                    <w:snapToGrid w:val="0"/>
                    <w:jc w:val="center"/>
                    <w:rPr>
                      <w:rFonts w:hint="default" w:ascii="Times New Roman" w:hAnsi="Times New Roman" w:eastAsia="宋体" w:cs="Times New Roman"/>
                      <w:b w:val="0"/>
                      <w:bCs/>
                      <w:sz w:val="18"/>
                      <w:szCs w:val="18"/>
                      <w:highlight w:val="none"/>
                    </w:rPr>
                  </w:pPr>
                  <w:r>
                    <w:rPr>
                      <w:rFonts w:hint="eastAsia" w:ascii="Times New Roman" w:hAnsi="Times New Roman" w:eastAsia="宋体" w:cs="Times New Roman"/>
                      <w:b w:val="0"/>
                      <w:bCs/>
                      <w:sz w:val="18"/>
                      <w:szCs w:val="18"/>
                      <w:highlight w:val="none"/>
                      <w:lang w:eastAsia="zh-CN"/>
                    </w:rPr>
                    <w:t>杭锦旗沿黄灌区总排干沟桩号148+900处，排干水</w:t>
                  </w:r>
                  <w:r>
                    <w:rPr>
                      <w:rFonts w:hint="eastAsia"/>
                      <w:b w:val="0"/>
                      <w:bCs/>
                      <w:szCs w:val="21"/>
                      <w:highlight w:val="none"/>
                      <w:lang w:val="en-US" w:eastAsia="zh-CN"/>
                    </w:rPr>
                    <w:t>/</w:t>
                  </w:r>
                  <w:r>
                    <w:rPr>
                      <w:rFonts w:hint="eastAsia" w:ascii="Times New Roman" w:hAnsi="Times New Roman" w:eastAsia="宋体" w:cs="Times New Roman"/>
                      <w:b w:val="0"/>
                      <w:bCs/>
                      <w:i w:val="0"/>
                      <w:iCs w:val="0"/>
                      <w:color w:val="000000"/>
                      <w:kern w:val="0"/>
                      <w:sz w:val="18"/>
                      <w:szCs w:val="18"/>
                      <w:highlight w:val="none"/>
                      <w:u w:val="none"/>
                      <w:lang w:val="en-US" w:eastAsia="zh-CN" w:bidi="ar"/>
                    </w:rPr>
                    <w:t>WT24274DB010101</w:t>
                  </w:r>
                </w:p>
              </w:tc>
              <w:tc>
                <w:tcPr>
                  <w:tcW w:w="738" w:type="pct"/>
                  <w:vMerge w:val="continue"/>
                  <w:tcBorders>
                    <w:tl2br w:val="nil"/>
                    <w:tr2bl w:val="nil"/>
                  </w:tcBorders>
                  <w:noWrap w:val="0"/>
                  <w:vAlign w:val="center"/>
                </w:tcPr>
                <w:p w14:paraId="348A48C3">
                  <w:pPr>
                    <w:adjustRightInd w:val="0"/>
                    <w:snapToGrid w:val="0"/>
                    <w:jc w:val="center"/>
                    <w:rPr>
                      <w:rFonts w:hint="eastAsia"/>
                      <w:b/>
                      <w:bCs/>
                      <w:szCs w:val="21"/>
                      <w:highlight w:val="none"/>
                      <w:lang w:val="en-US" w:eastAsia="zh-CN"/>
                    </w:rPr>
                  </w:pPr>
                </w:p>
              </w:tc>
              <w:tc>
                <w:tcPr>
                  <w:tcW w:w="552" w:type="pct"/>
                  <w:vMerge w:val="continue"/>
                  <w:tcBorders>
                    <w:tl2br w:val="nil"/>
                    <w:tr2bl w:val="nil"/>
                  </w:tcBorders>
                  <w:noWrap w:val="0"/>
                  <w:vAlign w:val="center"/>
                </w:tcPr>
                <w:p w14:paraId="12C66F3C">
                  <w:pPr>
                    <w:adjustRightInd w:val="0"/>
                    <w:snapToGrid w:val="0"/>
                    <w:jc w:val="center"/>
                    <w:rPr>
                      <w:rFonts w:hint="eastAsia"/>
                      <w:b/>
                      <w:bCs/>
                      <w:szCs w:val="21"/>
                      <w:highlight w:val="none"/>
                      <w:lang w:val="en-US" w:eastAsia="zh-CN"/>
                    </w:rPr>
                  </w:pPr>
                </w:p>
              </w:tc>
            </w:tr>
            <w:tr w14:paraId="27A3A56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43CCBEDE">
                  <w:pPr>
                    <w:keepNext w:val="0"/>
                    <w:keepLines w:val="0"/>
                    <w:widowControl/>
                    <w:suppressLineNumbers w:val="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pH</w:t>
                  </w:r>
                </w:p>
              </w:tc>
              <w:tc>
                <w:tcPr>
                  <w:tcW w:w="792" w:type="pct"/>
                  <w:tcBorders>
                    <w:tl2br w:val="nil"/>
                    <w:tr2bl w:val="nil"/>
                  </w:tcBorders>
                  <w:noWrap w:val="0"/>
                  <w:vAlign w:val="center"/>
                </w:tcPr>
                <w:p w14:paraId="5F11F9CC">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w:t>
                  </w:r>
                </w:p>
              </w:tc>
              <w:tc>
                <w:tcPr>
                  <w:tcW w:w="1987" w:type="pct"/>
                  <w:tcBorders>
                    <w:tl2br w:val="nil"/>
                    <w:tr2bl w:val="nil"/>
                  </w:tcBorders>
                  <w:noWrap w:val="0"/>
                  <w:vAlign w:val="center"/>
                </w:tcPr>
                <w:p w14:paraId="01E6E7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8.0 </w:t>
                  </w:r>
                </w:p>
              </w:tc>
              <w:tc>
                <w:tcPr>
                  <w:tcW w:w="738" w:type="pct"/>
                  <w:tcBorders>
                    <w:tl2br w:val="nil"/>
                    <w:tr2bl w:val="nil"/>
                  </w:tcBorders>
                  <w:noWrap w:val="0"/>
                  <w:vAlign w:val="center"/>
                </w:tcPr>
                <w:p w14:paraId="75634BF7">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6-9</w:t>
                  </w:r>
                </w:p>
              </w:tc>
              <w:tc>
                <w:tcPr>
                  <w:tcW w:w="552" w:type="pct"/>
                  <w:tcBorders>
                    <w:tl2br w:val="nil"/>
                    <w:tr2bl w:val="nil"/>
                  </w:tcBorders>
                  <w:noWrap w:val="0"/>
                  <w:vAlign w:val="center"/>
                </w:tcPr>
                <w:p w14:paraId="36DED796">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19CE455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2E426CC3">
                  <w:pPr>
                    <w:keepNext w:val="0"/>
                    <w:keepLines w:val="0"/>
                    <w:widowControl/>
                    <w:suppressLineNumbers w:val="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溶解氧</w:t>
                  </w:r>
                </w:p>
              </w:tc>
              <w:tc>
                <w:tcPr>
                  <w:tcW w:w="792" w:type="pct"/>
                  <w:tcBorders>
                    <w:tl2br w:val="nil"/>
                    <w:tr2bl w:val="nil"/>
                  </w:tcBorders>
                  <w:noWrap w:val="0"/>
                  <w:vAlign w:val="center"/>
                </w:tcPr>
                <w:p w14:paraId="523543F4">
                  <w:pPr>
                    <w:keepNext w:val="0"/>
                    <w:keepLines w:val="0"/>
                    <w:widowControl/>
                    <w:suppressLineNumbers w:val="0"/>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793AA88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6.6</w:t>
                  </w:r>
                </w:p>
              </w:tc>
              <w:tc>
                <w:tcPr>
                  <w:tcW w:w="738" w:type="pct"/>
                  <w:tcBorders>
                    <w:tl2br w:val="nil"/>
                    <w:tr2bl w:val="nil"/>
                  </w:tcBorders>
                  <w:noWrap w:val="0"/>
                  <w:vAlign w:val="center"/>
                </w:tcPr>
                <w:p w14:paraId="5AA3AA39">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≥5mg/L</w:t>
                  </w:r>
                </w:p>
              </w:tc>
              <w:tc>
                <w:tcPr>
                  <w:tcW w:w="552" w:type="pct"/>
                  <w:tcBorders>
                    <w:tl2br w:val="nil"/>
                    <w:tr2bl w:val="nil"/>
                  </w:tcBorders>
                  <w:noWrap w:val="0"/>
                  <w:vAlign w:val="center"/>
                </w:tcPr>
                <w:p w14:paraId="0BA6A451">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0492159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1DA75AE6">
                  <w:pPr>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化学需氧量</w:t>
                  </w:r>
                </w:p>
              </w:tc>
              <w:tc>
                <w:tcPr>
                  <w:tcW w:w="792" w:type="pct"/>
                  <w:tcBorders>
                    <w:tl2br w:val="nil"/>
                    <w:tr2bl w:val="nil"/>
                  </w:tcBorders>
                  <w:noWrap w:val="0"/>
                  <w:vAlign w:val="center"/>
                </w:tcPr>
                <w:p w14:paraId="24526EBC">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1234D78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eastAsia" w:ascii="Times New Roman" w:hAnsi="Times New Roman" w:eastAsia="宋体" w:cs="Times New Roman"/>
                      <w:i w:val="0"/>
                      <w:iCs w:val="0"/>
                      <w:color w:val="000000"/>
                      <w:kern w:val="0"/>
                      <w:sz w:val="18"/>
                      <w:szCs w:val="18"/>
                      <w:highlight w:val="none"/>
                      <w:u w:val="none"/>
                      <w:lang w:val="en-US" w:eastAsia="zh-CN" w:bidi="ar"/>
                    </w:rPr>
                    <w:t>18</w:t>
                  </w:r>
                </w:p>
              </w:tc>
              <w:tc>
                <w:tcPr>
                  <w:tcW w:w="738" w:type="pct"/>
                  <w:tcBorders>
                    <w:tl2br w:val="nil"/>
                    <w:tr2bl w:val="nil"/>
                  </w:tcBorders>
                  <w:noWrap w:val="0"/>
                  <w:vAlign w:val="center"/>
                </w:tcPr>
                <w:p w14:paraId="4746167B">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≤20mg/L</w:t>
                  </w:r>
                </w:p>
              </w:tc>
              <w:tc>
                <w:tcPr>
                  <w:tcW w:w="552" w:type="pct"/>
                  <w:tcBorders>
                    <w:tl2br w:val="nil"/>
                    <w:tr2bl w:val="nil"/>
                  </w:tcBorders>
                  <w:noWrap w:val="0"/>
                  <w:vAlign w:val="center"/>
                </w:tcPr>
                <w:p w14:paraId="1225914D">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3364501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085C1E4E">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五日生化需氧量</w:t>
                  </w:r>
                </w:p>
              </w:tc>
              <w:tc>
                <w:tcPr>
                  <w:tcW w:w="792" w:type="pct"/>
                  <w:tcBorders>
                    <w:tl2br w:val="nil"/>
                    <w:tr2bl w:val="nil"/>
                  </w:tcBorders>
                  <w:noWrap w:val="0"/>
                  <w:vAlign w:val="center"/>
                </w:tcPr>
                <w:p w14:paraId="4B317219">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5261487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eastAsia" w:ascii="Times New Roman" w:hAnsi="Times New Roman" w:eastAsia="宋体" w:cs="Times New Roman"/>
                      <w:i w:val="0"/>
                      <w:iCs w:val="0"/>
                      <w:color w:val="000000"/>
                      <w:kern w:val="0"/>
                      <w:sz w:val="18"/>
                      <w:szCs w:val="18"/>
                      <w:highlight w:val="none"/>
                      <w:u w:val="none"/>
                      <w:lang w:val="en-US" w:eastAsia="zh-CN" w:bidi="ar"/>
                    </w:rPr>
                    <w:t>3.5</w:t>
                  </w:r>
                </w:p>
              </w:tc>
              <w:tc>
                <w:tcPr>
                  <w:tcW w:w="738" w:type="pct"/>
                  <w:tcBorders>
                    <w:tl2br w:val="nil"/>
                    <w:tr2bl w:val="nil"/>
                  </w:tcBorders>
                  <w:noWrap w:val="0"/>
                  <w:vAlign w:val="center"/>
                </w:tcPr>
                <w:p w14:paraId="7AC0C4BB">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≤4mg/L</w:t>
                  </w:r>
                </w:p>
              </w:tc>
              <w:tc>
                <w:tcPr>
                  <w:tcW w:w="552" w:type="pct"/>
                  <w:tcBorders>
                    <w:tl2br w:val="nil"/>
                    <w:tr2bl w:val="nil"/>
                  </w:tcBorders>
                  <w:noWrap w:val="0"/>
                  <w:vAlign w:val="center"/>
                </w:tcPr>
                <w:p w14:paraId="132F066D">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3762E93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5EB5A394">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氨氮</w:t>
                  </w:r>
                </w:p>
              </w:tc>
              <w:tc>
                <w:tcPr>
                  <w:tcW w:w="792" w:type="pct"/>
                  <w:tcBorders>
                    <w:tl2br w:val="nil"/>
                    <w:tr2bl w:val="nil"/>
                  </w:tcBorders>
                  <w:noWrap w:val="0"/>
                  <w:vAlign w:val="center"/>
                </w:tcPr>
                <w:p w14:paraId="761BADA8">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43F10AC9">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0.333</w:t>
                  </w:r>
                </w:p>
              </w:tc>
              <w:tc>
                <w:tcPr>
                  <w:tcW w:w="738" w:type="pct"/>
                  <w:tcBorders>
                    <w:tl2br w:val="nil"/>
                    <w:tr2bl w:val="nil"/>
                  </w:tcBorders>
                  <w:noWrap w:val="0"/>
                  <w:vAlign w:val="center"/>
                </w:tcPr>
                <w:p w14:paraId="5D9F3808">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≤1.0mg/L</w:t>
                  </w:r>
                </w:p>
              </w:tc>
              <w:tc>
                <w:tcPr>
                  <w:tcW w:w="552" w:type="pct"/>
                  <w:tcBorders>
                    <w:tl2br w:val="nil"/>
                    <w:tr2bl w:val="nil"/>
                  </w:tcBorders>
                  <w:noWrap w:val="0"/>
                  <w:vAlign w:val="center"/>
                </w:tcPr>
                <w:p w14:paraId="3919BEE5">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3B62241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03092519">
                  <w:pPr>
                    <w:jc w:val="center"/>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eastAsia="zh-CN"/>
                    </w:rPr>
                    <w:t>总磷</w:t>
                  </w:r>
                </w:p>
              </w:tc>
              <w:tc>
                <w:tcPr>
                  <w:tcW w:w="792" w:type="pct"/>
                  <w:tcBorders>
                    <w:tl2br w:val="nil"/>
                    <w:tr2bl w:val="nil"/>
                  </w:tcBorders>
                  <w:noWrap w:val="0"/>
                  <w:vAlign w:val="center"/>
                </w:tcPr>
                <w:p w14:paraId="0F5748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2179D00F">
                  <w:pPr>
                    <w:keepNext w:val="0"/>
                    <w:keepLines w:val="0"/>
                    <w:widowControl/>
                    <w:suppressLineNumbers w:val="0"/>
                    <w:jc w:val="center"/>
                    <w:textAlignment w:val="center"/>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0.03</w:t>
                  </w:r>
                </w:p>
              </w:tc>
              <w:tc>
                <w:tcPr>
                  <w:tcW w:w="738" w:type="pct"/>
                  <w:tcBorders>
                    <w:tl2br w:val="nil"/>
                    <w:tr2bl w:val="nil"/>
                  </w:tcBorders>
                  <w:noWrap w:val="0"/>
                  <w:vAlign w:val="center"/>
                </w:tcPr>
                <w:p w14:paraId="3EE7F5E6">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≤0.2mg/L</w:t>
                  </w:r>
                </w:p>
              </w:tc>
              <w:tc>
                <w:tcPr>
                  <w:tcW w:w="552" w:type="pct"/>
                  <w:tcBorders>
                    <w:tl2br w:val="nil"/>
                    <w:tr2bl w:val="nil"/>
                  </w:tcBorders>
                  <w:noWrap w:val="0"/>
                  <w:vAlign w:val="center"/>
                </w:tcPr>
                <w:p w14:paraId="5E52DF53">
                  <w:pPr>
                    <w:widowControl/>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7216FD9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674EAEFD">
                  <w:pPr>
                    <w:jc w:val="center"/>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auto"/>
                      <w:sz w:val="18"/>
                      <w:szCs w:val="18"/>
                      <w:highlight w:val="none"/>
                    </w:rPr>
                    <w:t>铜</w:t>
                  </w:r>
                </w:p>
              </w:tc>
              <w:tc>
                <w:tcPr>
                  <w:tcW w:w="792" w:type="pct"/>
                  <w:tcBorders>
                    <w:tl2br w:val="nil"/>
                    <w:tr2bl w:val="nil"/>
                  </w:tcBorders>
                  <w:noWrap w:val="0"/>
                  <w:vAlign w:val="center"/>
                </w:tcPr>
                <w:p w14:paraId="55871CDB">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mg/L</w:t>
                  </w:r>
                </w:p>
              </w:tc>
              <w:tc>
                <w:tcPr>
                  <w:tcW w:w="1987" w:type="pct"/>
                  <w:tcBorders>
                    <w:tl2br w:val="nil"/>
                    <w:tr2bl w:val="nil"/>
                  </w:tcBorders>
                  <w:noWrap w:val="0"/>
                  <w:vAlign w:val="center"/>
                </w:tcPr>
                <w:p w14:paraId="7F109BF8">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0.01L</w:t>
                  </w:r>
                </w:p>
              </w:tc>
              <w:tc>
                <w:tcPr>
                  <w:tcW w:w="738" w:type="pct"/>
                  <w:tcBorders>
                    <w:tl2br w:val="nil"/>
                    <w:tr2bl w:val="nil"/>
                  </w:tcBorders>
                  <w:noWrap w:val="0"/>
                  <w:vAlign w:val="center"/>
                </w:tcPr>
                <w:p w14:paraId="60BD2994">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≤1.0mg/L</w:t>
                  </w:r>
                </w:p>
              </w:tc>
              <w:tc>
                <w:tcPr>
                  <w:tcW w:w="552" w:type="pct"/>
                  <w:tcBorders>
                    <w:tl2br w:val="nil"/>
                    <w:tr2bl w:val="nil"/>
                  </w:tcBorders>
                  <w:noWrap w:val="0"/>
                  <w:vAlign w:val="center"/>
                </w:tcPr>
                <w:p w14:paraId="5C158CF1">
                  <w:pPr>
                    <w:widowControl/>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46A085D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23065FB4">
                  <w:pPr>
                    <w:jc w:val="center"/>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auto"/>
                      <w:sz w:val="18"/>
                      <w:szCs w:val="18"/>
                      <w:highlight w:val="none"/>
                    </w:rPr>
                    <w:t>锌</w:t>
                  </w:r>
                </w:p>
              </w:tc>
              <w:tc>
                <w:tcPr>
                  <w:tcW w:w="792" w:type="pct"/>
                  <w:tcBorders>
                    <w:tl2br w:val="nil"/>
                    <w:tr2bl w:val="nil"/>
                  </w:tcBorders>
                  <w:noWrap w:val="0"/>
                  <w:vAlign w:val="center"/>
                </w:tcPr>
                <w:p w14:paraId="3533CCDE">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748EFC6A">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0.01L</w:t>
                  </w:r>
                </w:p>
              </w:tc>
              <w:tc>
                <w:tcPr>
                  <w:tcW w:w="738" w:type="pct"/>
                  <w:tcBorders>
                    <w:tl2br w:val="nil"/>
                    <w:tr2bl w:val="nil"/>
                  </w:tcBorders>
                  <w:noWrap w:val="0"/>
                  <w:vAlign w:val="center"/>
                </w:tcPr>
                <w:p w14:paraId="5D0941AD">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≤1.0mg/L</w:t>
                  </w:r>
                </w:p>
              </w:tc>
              <w:tc>
                <w:tcPr>
                  <w:tcW w:w="552" w:type="pct"/>
                  <w:tcBorders>
                    <w:tl2br w:val="nil"/>
                    <w:tr2bl w:val="nil"/>
                  </w:tcBorders>
                  <w:noWrap w:val="0"/>
                  <w:vAlign w:val="center"/>
                </w:tcPr>
                <w:p w14:paraId="6BD0B1F5">
                  <w:pPr>
                    <w:widowControl/>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69DF557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62C41738">
                  <w:pPr>
                    <w:jc w:val="center"/>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auto"/>
                      <w:sz w:val="18"/>
                      <w:szCs w:val="18"/>
                      <w:highlight w:val="none"/>
                    </w:rPr>
                    <w:t>挥发酚</w:t>
                  </w:r>
                </w:p>
              </w:tc>
              <w:tc>
                <w:tcPr>
                  <w:tcW w:w="792" w:type="pct"/>
                  <w:tcBorders>
                    <w:tl2br w:val="nil"/>
                    <w:tr2bl w:val="nil"/>
                  </w:tcBorders>
                  <w:noWrap w:val="0"/>
                  <w:vAlign w:val="center"/>
                </w:tcPr>
                <w:p w14:paraId="3528E519">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37DF636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0.0003L</w:t>
                  </w:r>
                </w:p>
              </w:tc>
              <w:tc>
                <w:tcPr>
                  <w:tcW w:w="738" w:type="pct"/>
                  <w:tcBorders>
                    <w:tl2br w:val="nil"/>
                    <w:tr2bl w:val="nil"/>
                  </w:tcBorders>
                  <w:noWrap w:val="0"/>
                  <w:vAlign w:val="center"/>
                </w:tcPr>
                <w:p w14:paraId="5BD32FC7">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≤0.005mg/L</w:t>
                  </w:r>
                </w:p>
              </w:tc>
              <w:tc>
                <w:tcPr>
                  <w:tcW w:w="552" w:type="pct"/>
                  <w:tcBorders>
                    <w:tl2br w:val="nil"/>
                    <w:tr2bl w:val="nil"/>
                  </w:tcBorders>
                  <w:noWrap w:val="0"/>
                  <w:vAlign w:val="center"/>
                </w:tcPr>
                <w:p w14:paraId="0CA042B8">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072A3FD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74127BF2">
                  <w:pPr>
                    <w:jc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氟化物</w:t>
                  </w:r>
                </w:p>
              </w:tc>
              <w:tc>
                <w:tcPr>
                  <w:tcW w:w="792" w:type="pct"/>
                  <w:tcBorders>
                    <w:tl2br w:val="nil"/>
                    <w:tr2bl w:val="nil"/>
                  </w:tcBorders>
                  <w:noWrap w:val="0"/>
                  <w:vAlign w:val="center"/>
                </w:tcPr>
                <w:p w14:paraId="0FAF4B04">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1F2FE01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0.52</w:t>
                  </w:r>
                </w:p>
              </w:tc>
              <w:tc>
                <w:tcPr>
                  <w:tcW w:w="738" w:type="pct"/>
                  <w:tcBorders>
                    <w:tl2br w:val="nil"/>
                    <w:tr2bl w:val="nil"/>
                  </w:tcBorders>
                  <w:noWrap w:val="0"/>
                  <w:vAlign w:val="center"/>
                </w:tcPr>
                <w:p w14:paraId="5FAEFEEE">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≤1.0mg/L</w:t>
                  </w:r>
                </w:p>
              </w:tc>
              <w:tc>
                <w:tcPr>
                  <w:tcW w:w="552" w:type="pct"/>
                  <w:tcBorders>
                    <w:tl2br w:val="nil"/>
                    <w:tr2bl w:val="nil"/>
                  </w:tcBorders>
                  <w:noWrap w:val="0"/>
                  <w:vAlign w:val="center"/>
                </w:tcPr>
                <w:p w14:paraId="197FFF4E">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05FA633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766B0F3F">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000000"/>
                      <w:sz w:val="18"/>
                      <w:szCs w:val="18"/>
                      <w:highlight w:val="none"/>
                    </w:rPr>
                    <w:t>硒</w:t>
                  </w:r>
                </w:p>
              </w:tc>
              <w:tc>
                <w:tcPr>
                  <w:tcW w:w="792" w:type="pct"/>
                  <w:tcBorders>
                    <w:tl2br w:val="nil"/>
                    <w:tr2bl w:val="nil"/>
                  </w:tcBorders>
                  <w:noWrap w:val="0"/>
                  <w:vAlign w:val="center"/>
                </w:tcPr>
                <w:p w14:paraId="52B00F63">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μg/L</w:t>
                  </w:r>
                </w:p>
              </w:tc>
              <w:tc>
                <w:tcPr>
                  <w:tcW w:w="1987" w:type="pct"/>
                  <w:tcBorders>
                    <w:tl2br w:val="nil"/>
                    <w:tr2bl w:val="nil"/>
                  </w:tcBorders>
                  <w:noWrap w:val="0"/>
                  <w:vAlign w:val="center"/>
                </w:tcPr>
                <w:p w14:paraId="0C2932B1">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0.4L</w:t>
                  </w:r>
                </w:p>
              </w:tc>
              <w:tc>
                <w:tcPr>
                  <w:tcW w:w="738" w:type="pct"/>
                  <w:tcBorders>
                    <w:tl2br w:val="nil"/>
                    <w:tr2bl w:val="nil"/>
                  </w:tcBorders>
                  <w:noWrap w:val="0"/>
                  <w:vAlign w:val="center"/>
                </w:tcPr>
                <w:p w14:paraId="6EEA2525">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≤0.01mg/L</w:t>
                  </w:r>
                </w:p>
              </w:tc>
              <w:tc>
                <w:tcPr>
                  <w:tcW w:w="552" w:type="pct"/>
                  <w:tcBorders>
                    <w:tl2br w:val="nil"/>
                    <w:tr2bl w:val="nil"/>
                  </w:tcBorders>
                  <w:noWrap w:val="0"/>
                  <w:vAlign w:val="center"/>
                </w:tcPr>
                <w:p w14:paraId="710520BA">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5B041E3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4629D523">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砷</w:t>
                  </w:r>
                </w:p>
              </w:tc>
              <w:tc>
                <w:tcPr>
                  <w:tcW w:w="792" w:type="pct"/>
                  <w:tcBorders>
                    <w:tl2br w:val="nil"/>
                    <w:tr2bl w:val="nil"/>
                  </w:tcBorders>
                  <w:noWrap w:val="0"/>
                  <w:vAlign w:val="center"/>
                </w:tcPr>
                <w:p w14:paraId="2F775DBB">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μg/L</w:t>
                  </w:r>
                </w:p>
              </w:tc>
              <w:tc>
                <w:tcPr>
                  <w:tcW w:w="1987" w:type="pct"/>
                  <w:tcBorders>
                    <w:tl2br w:val="nil"/>
                    <w:tr2bl w:val="nil"/>
                  </w:tcBorders>
                  <w:noWrap w:val="0"/>
                  <w:vAlign w:val="center"/>
                </w:tcPr>
                <w:p w14:paraId="59A33AD9">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2.3</w:t>
                  </w:r>
                </w:p>
              </w:tc>
              <w:tc>
                <w:tcPr>
                  <w:tcW w:w="738" w:type="pct"/>
                  <w:tcBorders>
                    <w:tl2br w:val="nil"/>
                    <w:tr2bl w:val="nil"/>
                  </w:tcBorders>
                  <w:noWrap w:val="0"/>
                  <w:vAlign w:val="center"/>
                </w:tcPr>
                <w:p w14:paraId="3FBA9EEE">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≤0.05mg/L</w:t>
                  </w:r>
                </w:p>
              </w:tc>
              <w:tc>
                <w:tcPr>
                  <w:tcW w:w="552" w:type="pct"/>
                  <w:tcBorders>
                    <w:tl2br w:val="nil"/>
                    <w:tr2bl w:val="nil"/>
                  </w:tcBorders>
                  <w:noWrap w:val="0"/>
                  <w:vAlign w:val="center"/>
                </w:tcPr>
                <w:p w14:paraId="1D59CB84">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052CB4C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26F00EEA">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汞</w:t>
                  </w:r>
                </w:p>
              </w:tc>
              <w:tc>
                <w:tcPr>
                  <w:tcW w:w="792" w:type="pct"/>
                  <w:tcBorders>
                    <w:tl2br w:val="nil"/>
                    <w:tr2bl w:val="nil"/>
                  </w:tcBorders>
                  <w:noWrap w:val="0"/>
                  <w:vAlign w:val="center"/>
                </w:tcPr>
                <w:p w14:paraId="56581639">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μg/L</w:t>
                  </w:r>
                </w:p>
              </w:tc>
              <w:tc>
                <w:tcPr>
                  <w:tcW w:w="1987" w:type="pct"/>
                  <w:tcBorders>
                    <w:tl2br w:val="nil"/>
                    <w:tr2bl w:val="nil"/>
                  </w:tcBorders>
                  <w:noWrap w:val="0"/>
                  <w:vAlign w:val="center"/>
                </w:tcPr>
                <w:p w14:paraId="3C2BF51E">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0.04L</w:t>
                  </w:r>
                </w:p>
              </w:tc>
              <w:tc>
                <w:tcPr>
                  <w:tcW w:w="738" w:type="pct"/>
                  <w:tcBorders>
                    <w:tl2br w:val="nil"/>
                    <w:tr2bl w:val="nil"/>
                  </w:tcBorders>
                  <w:noWrap w:val="0"/>
                  <w:vAlign w:val="center"/>
                </w:tcPr>
                <w:p w14:paraId="748A1A3D">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≤0.0001mg/L</w:t>
                  </w:r>
                </w:p>
              </w:tc>
              <w:tc>
                <w:tcPr>
                  <w:tcW w:w="552" w:type="pct"/>
                  <w:tcBorders>
                    <w:tl2br w:val="nil"/>
                    <w:tr2bl w:val="nil"/>
                  </w:tcBorders>
                  <w:noWrap w:val="0"/>
                  <w:vAlign w:val="center"/>
                </w:tcPr>
                <w:p w14:paraId="3D442B01">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44CFF67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6BCE28FB">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000000"/>
                      <w:sz w:val="18"/>
                      <w:szCs w:val="18"/>
                      <w:highlight w:val="none"/>
                    </w:rPr>
                    <w:t>镉</w:t>
                  </w:r>
                </w:p>
              </w:tc>
              <w:tc>
                <w:tcPr>
                  <w:tcW w:w="792" w:type="pct"/>
                  <w:tcBorders>
                    <w:tl2br w:val="nil"/>
                    <w:tr2bl w:val="nil"/>
                  </w:tcBorders>
                  <w:noWrap w:val="0"/>
                  <w:vAlign w:val="center"/>
                </w:tcPr>
                <w:p w14:paraId="2C72F4C8">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μg/L</w:t>
                  </w:r>
                </w:p>
              </w:tc>
              <w:tc>
                <w:tcPr>
                  <w:tcW w:w="1987" w:type="pct"/>
                  <w:tcBorders>
                    <w:tl2br w:val="nil"/>
                    <w:tr2bl w:val="nil"/>
                  </w:tcBorders>
                  <w:noWrap w:val="0"/>
                  <w:vAlign w:val="center"/>
                </w:tcPr>
                <w:p w14:paraId="7DDB39FF">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0.160</w:t>
                  </w:r>
                </w:p>
              </w:tc>
              <w:tc>
                <w:tcPr>
                  <w:tcW w:w="738" w:type="pct"/>
                  <w:tcBorders>
                    <w:tl2br w:val="nil"/>
                    <w:tr2bl w:val="nil"/>
                  </w:tcBorders>
                  <w:noWrap w:val="0"/>
                  <w:vAlign w:val="center"/>
                </w:tcPr>
                <w:p w14:paraId="6CDF338A">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≤0.005mg/L</w:t>
                  </w:r>
                </w:p>
              </w:tc>
              <w:tc>
                <w:tcPr>
                  <w:tcW w:w="552" w:type="pct"/>
                  <w:tcBorders>
                    <w:tl2br w:val="nil"/>
                    <w:tr2bl w:val="nil"/>
                  </w:tcBorders>
                  <w:noWrap w:val="0"/>
                  <w:vAlign w:val="center"/>
                </w:tcPr>
                <w:p w14:paraId="53E055E8">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0B54C0A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611FE000">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六价铬</w:t>
                  </w:r>
                </w:p>
              </w:tc>
              <w:tc>
                <w:tcPr>
                  <w:tcW w:w="792" w:type="pct"/>
                  <w:tcBorders>
                    <w:tl2br w:val="nil"/>
                    <w:tr2bl w:val="nil"/>
                  </w:tcBorders>
                  <w:noWrap w:val="0"/>
                  <w:vAlign w:val="center"/>
                </w:tcPr>
                <w:p w14:paraId="72FA13EB">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3953162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0.004L</w:t>
                  </w:r>
                </w:p>
              </w:tc>
              <w:tc>
                <w:tcPr>
                  <w:tcW w:w="738" w:type="pct"/>
                  <w:tcBorders>
                    <w:tl2br w:val="nil"/>
                    <w:tr2bl w:val="nil"/>
                  </w:tcBorders>
                  <w:noWrap w:val="0"/>
                  <w:vAlign w:val="center"/>
                </w:tcPr>
                <w:p w14:paraId="0778633E">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≤0.05mg/L</w:t>
                  </w:r>
                </w:p>
              </w:tc>
              <w:tc>
                <w:tcPr>
                  <w:tcW w:w="552" w:type="pct"/>
                  <w:tcBorders>
                    <w:tl2br w:val="nil"/>
                    <w:tr2bl w:val="nil"/>
                  </w:tcBorders>
                  <w:noWrap w:val="0"/>
                  <w:vAlign w:val="center"/>
                </w:tcPr>
                <w:p w14:paraId="1FE41222">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40B10A6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4313297B">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sz w:val="18"/>
                      <w:szCs w:val="18"/>
                      <w:highlight w:val="none"/>
                    </w:rPr>
                    <w:t>铅</w:t>
                  </w:r>
                </w:p>
              </w:tc>
              <w:tc>
                <w:tcPr>
                  <w:tcW w:w="792" w:type="pct"/>
                  <w:tcBorders>
                    <w:tl2br w:val="nil"/>
                    <w:tr2bl w:val="nil"/>
                  </w:tcBorders>
                  <w:noWrap w:val="0"/>
                  <w:vAlign w:val="center"/>
                </w:tcPr>
                <w:p w14:paraId="70542BF8">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auto"/>
                      <w:sz w:val="18"/>
                      <w:szCs w:val="18"/>
                      <w:highlight w:val="none"/>
                    </w:rPr>
                    <w:t>μg/L</w:t>
                  </w:r>
                </w:p>
              </w:tc>
              <w:tc>
                <w:tcPr>
                  <w:tcW w:w="1987" w:type="pct"/>
                  <w:tcBorders>
                    <w:tl2br w:val="nil"/>
                    <w:tr2bl w:val="nil"/>
                  </w:tcBorders>
                  <w:noWrap w:val="0"/>
                  <w:vAlign w:val="center"/>
                </w:tcPr>
                <w:p w14:paraId="1E30039F">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4.94</w:t>
                  </w:r>
                </w:p>
              </w:tc>
              <w:tc>
                <w:tcPr>
                  <w:tcW w:w="738" w:type="pct"/>
                  <w:tcBorders>
                    <w:tl2br w:val="nil"/>
                    <w:tr2bl w:val="nil"/>
                  </w:tcBorders>
                  <w:noWrap w:val="0"/>
                  <w:vAlign w:val="center"/>
                </w:tcPr>
                <w:p w14:paraId="04C922C7">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≤0.05mg/L</w:t>
                  </w:r>
                </w:p>
              </w:tc>
              <w:tc>
                <w:tcPr>
                  <w:tcW w:w="552" w:type="pct"/>
                  <w:tcBorders>
                    <w:tl2br w:val="nil"/>
                    <w:tr2bl w:val="nil"/>
                  </w:tcBorders>
                  <w:noWrap w:val="0"/>
                  <w:vAlign w:val="center"/>
                </w:tcPr>
                <w:p w14:paraId="18D12D84">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6483584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5FE7B8C2">
                  <w:pPr>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000000"/>
                      <w:sz w:val="18"/>
                      <w:szCs w:val="18"/>
                      <w:highlight w:val="none"/>
                    </w:rPr>
                    <w:t>石油类</w:t>
                  </w:r>
                </w:p>
              </w:tc>
              <w:tc>
                <w:tcPr>
                  <w:tcW w:w="792" w:type="pct"/>
                  <w:tcBorders>
                    <w:tl2br w:val="nil"/>
                    <w:tr2bl w:val="nil"/>
                  </w:tcBorders>
                  <w:noWrap w:val="0"/>
                  <w:vAlign w:val="center"/>
                </w:tcPr>
                <w:p w14:paraId="42D3D9D7">
                  <w:pPr>
                    <w:keepNext w:val="0"/>
                    <w:keepLines w:val="0"/>
                    <w:widowControl/>
                    <w:suppressLineNumbers w:val="0"/>
                    <w:jc w:val="center"/>
                    <w:textAlignment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5188034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0.01L</w:t>
                  </w:r>
                </w:p>
              </w:tc>
              <w:tc>
                <w:tcPr>
                  <w:tcW w:w="738" w:type="pct"/>
                  <w:tcBorders>
                    <w:tl2br w:val="nil"/>
                    <w:tr2bl w:val="nil"/>
                  </w:tcBorders>
                  <w:noWrap w:val="0"/>
                  <w:vAlign w:val="center"/>
                </w:tcPr>
                <w:p w14:paraId="5DF214D1">
                  <w:pPr>
                    <w:widowControl/>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≤0.05mg/L</w:t>
                  </w:r>
                </w:p>
              </w:tc>
              <w:tc>
                <w:tcPr>
                  <w:tcW w:w="552" w:type="pct"/>
                  <w:tcBorders>
                    <w:tl2br w:val="nil"/>
                    <w:tr2bl w:val="nil"/>
                  </w:tcBorders>
                  <w:noWrap w:val="0"/>
                  <w:vAlign w:val="center"/>
                </w:tcPr>
                <w:p w14:paraId="7C15B160">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达标</w:t>
                  </w:r>
                </w:p>
              </w:tc>
            </w:tr>
            <w:tr w14:paraId="71BB57A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77105A03">
                  <w:pPr>
                    <w:jc w:val="center"/>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auto"/>
                      <w:sz w:val="18"/>
                      <w:szCs w:val="18"/>
                      <w:highlight w:val="none"/>
                    </w:rPr>
                    <w:t>阴离子表面活性剂</w:t>
                  </w:r>
                </w:p>
              </w:tc>
              <w:tc>
                <w:tcPr>
                  <w:tcW w:w="792" w:type="pct"/>
                  <w:tcBorders>
                    <w:tl2br w:val="nil"/>
                    <w:tr2bl w:val="nil"/>
                  </w:tcBorders>
                  <w:noWrap w:val="0"/>
                  <w:vAlign w:val="center"/>
                </w:tcPr>
                <w:p w14:paraId="6EDDA209">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696238B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0.05L</w:t>
                  </w:r>
                </w:p>
              </w:tc>
              <w:tc>
                <w:tcPr>
                  <w:tcW w:w="738" w:type="pct"/>
                  <w:tcBorders>
                    <w:tl2br w:val="nil"/>
                    <w:tr2bl w:val="nil"/>
                  </w:tcBorders>
                  <w:noWrap w:val="0"/>
                  <w:vAlign w:val="center"/>
                </w:tcPr>
                <w:p w14:paraId="1FCA5594">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≤0.2mg/L</w:t>
                  </w:r>
                </w:p>
              </w:tc>
              <w:tc>
                <w:tcPr>
                  <w:tcW w:w="552" w:type="pct"/>
                  <w:tcBorders>
                    <w:tl2br w:val="nil"/>
                    <w:tr2bl w:val="nil"/>
                  </w:tcBorders>
                  <w:noWrap w:val="0"/>
                  <w:vAlign w:val="center"/>
                </w:tcPr>
                <w:p w14:paraId="2F00EE03">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02D473A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03D8A9EA">
                  <w:pPr>
                    <w:jc w:val="center"/>
                    <w:rPr>
                      <w:rFonts w:hint="default" w:ascii="Times New Roman" w:hAnsi="Times New Roman" w:cs="Times New Roman"/>
                      <w:color w:val="000000"/>
                      <w:sz w:val="18"/>
                      <w:szCs w:val="18"/>
                      <w:highlight w:val="none"/>
                    </w:rPr>
                  </w:pPr>
                  <w:r>
                    <w:rPr>
                      <w:rFonts w:hint="default" w:ascii="Times New Roman" w:hAnsi="Times New Roman" w:eastAsia="宋体" w:cs="Times New Roman"/>
                      <w:color w:val="auto"/>
                      <w:sz w:val="18"/>
                      <w:szCs w:val="18"/>
                      <w:highlight w:val="none"/>
                    </w:rPr>
                    <w:t>硫化物</w:t>
                  </w:r>
                </w:p>
              </w:tc>
              <w:tc>
                <w:tcPr>
                  <w:tcW w:w="792" w:type="pct"/>
                  <w:tcBorders>
                    <w:tl2br w:val="nil"/>
                    <w:tr2bl w:val="nil"/>
                  </w:tcBorders>
                  <w:noWrap w:val="0"/>
                  <w:vAlign w:val="center"/>
                </w:tcPr>
                <w:p w14:paraId="22D5E0AE">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mg/L</w:t>
                  </w:r>
                </w:p>
              </w:tc>
              <w:tc>
                <w:tcPr>
                  <w:tcW w:w="1987" w:type="pct"/>
                  <w:tcBorders>
                    <w:tl2br w:val="nil"/>
                    <w:tr2bl w:val="nil"/>
                  </w:tcBorders>
                  <w:noWrap w:val="0"/>
                  <w:vAlign w:val="center"/>
                </w:tcPr>
                <w:p w14:paraId="345F30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0.003L</w:t>
                  </w:r>
                </w:p>
              </w:tc>
              <w:tc>
                <w:tcPr>
                  <w:tcW w:w="738" w:type="pct"/>
                  <w:tcBorders>
                    <w:tl2br w:val="nil"/>
                    <w:tr2bl w:val="nil"/>
                  </w:tcBorders>
                  <w:noWrap w:val="0"/>
                  <w:vAlign w:val="center"/>
                </w:tcPr>
                <w:p w14:paraId="44846530">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≤0.2mg/L</w:t>
                  </w:r>
                </w:p>
              </w:tc>
              <w:tc>
                <w:tcPr>
                  <w:tcW w:w="552" w:type="pct"/>
                  <w:tcBorders>
                    <w:tl2br w:val="nil"/>
                    <w:tr2bl w:val="nil"/>
                  </w:tcBorders>
                  <w:noWrap w:val="0"/>
                  <w:vAlign w:val="center"/>
                </w:tcPr>
                <w:p w14:paraId="5F132020">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50F9431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5E7046C2">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粪大肠菌群</w:t>
                  </w:r>
                </w:p>
              </w:tc>
              <w:tc>
                <w:tcPr>
                  <w:tcW w:w="792" w:type="pct"/>
                  <w:tcBorders>
                    <w:tl2br w:val="nil"/>
                    <w:tr2bl w:val="nil"/>
                  </w:tcBorders>
                  <w:noWrap w:val="0"/>
                  <w:vAlign w:val="center"/>
                </w:tcPr>
                <w:p w14:paraId="64460BFF">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000000"/>
                      <w:sz w:val="18"/>
                      <w:szCs w:val="18"/>
                      <w:highlight w:val="none"/>
                    </w:rPr>
                    <w:t>MPN/L</w:t>
                  </w:r>
                </w:p>
              </w:tc>
              <w:tc>
                <w:tcPr>
                  <w:tcW w:w="1987" w:type="pct"/>
                  <w:tcBorders>
                    <w:tl2br w:val="nil"/>
                    <w:tr2bl w:val="nil"/>
                  </w:tcBorders>
                  <w:noWrap w:val="0"/>
                  <w:vAlign w:val="center"/>
                </w:tcPr>
                <w:p w14:paraId="27A528A2">
                  <w:pPr>
                    <w:keepNext w:val="0"/>
                    <w:keepLines w:val="0"/>
                    <w:widowControl/>
                    <w:suppressLineNumbers w:val="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未检出</w:t>
                  </w:r>
                </w:p>
              </w:tc>
              <w:tc>
                <w:tcPr>
                  <w:tcW w:w="738" w:type="pct"/>
                  <w:tcBorders>
                    <w:tl2br w:val="nil"/>
                    <w:tr2bl w:val="nil"/>
                  </w:tcBorders>
                  <w:noWrap w:val="0"/>
                  <w:vAlign w:val="center"/>
                </w:tcPr>
                <w:p w14:paraId="235B6736">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≤10000个/L</w:t>
                  </w:r>
                </w:p>
              </w:tc>
              <w:tc>
                <w:tcPr>
                  <w:tcW w:w="552" w:type="pct"/>
                  <w:tcBorders>
                    <w:tl2br w:val="nil"/>
                    <w:tr2bl w:val="nil"/>
                  </w:tcBorders>
                  <w:noWrap w:val="0"/>
                  <w:vAlign w:val="center"/>
                </w:tcPr>
                <w:p w14:paraId="787A250F">
                  <w:pPr>
                    <w:widowControl/>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达标</w:t>
                  </w:r>
                </w:p>
              </w:tc>
            </w:tr>
            <w:tr w14:paraId="0C5E52B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28" w:type="dxa"/>
                  <w:bottom w:w="0" w:type="dxa"/>
                  <w:right w:w="28" w:type="dxa"/>
                </w:tblCellMar>
              </w:tblPrEx>
              <w:trPr>
                <w:trHeight w:val="340" w:hRule="atLeast"/>
                <w:jc w:val="center"/>
              </w:trPr>
              <w:tc>
                <w:tcPr>
                  <w:tcW w:w="929" w:type="pct"/>
                  <w:tcBorders>
                    <w:tl2br w:val="nil"/>
                    <w:tr2bl w:val="nil"/>
                  </w:tcBorders>
                  <w:noWrap w:val="0"/>
                  <w:vAlign w:val="center"/>
                </w:tcPr>
                <w:p w14:paraId="4C7367F8">
                  <w:pPr>
                    <w:jc w:val="center"/>
                    <w:rPr>
                      <w:rFonts w:hint="default" w:ascii="Times New Roman" w:hAnsi="Times New Roman" w:eastAsia="宋体" w:cs="Times New Roman"/>
                      <w:b/>
                      <w:bCs/>
                      <w:color w:val="000000"/>
                      <w:sz w:val="18"/>
                      <w:szCs w:val="18"/>
                      <w:highlight w:val="none"/>
                    </w:rPr>
                  </w:pPr>
                  <w:r>
                    <w:rPr>
                      <w:rFonts w:hint="default" w:ascii="Times New Roman" w:hAnsi="Times New Roman" w:eastAsia="宋体" w:cs="Times New Roman"/>
                      <w:b/>
                      <w:bCs/>
                      <w:color w:val="000000"/>
                      <w:sz w:val="18"/>
                      <w:szCs w:val="18"/>
                      <w:highlight w:val="none"/>
                    </w:rPr>
                    <w:t>备注</w:t>
                  </w:r>
                </w:p>
              </w:tc>
              <w:tc>
                <w:tcPr>
                  <w:tcW w:w="4070" w:type="pct"/>
                  <w:gridSpan w:val="4"/>
                  <w:tcBorders>
                    <w:tl2br w:val="nil"/>
                    <w:tr2bl w:val="nil"/>
                  </w:tcBorders>
                  <w:noWrap w:val="0"/>
                  <w:vAlign w:val="center"/>
                </w:tcPr>
                <w:p w14:paraId="52592978">
                  <w:pPr>
                    <w:widowControl/>
                    <w:textAlignment w:val="center"/>
                    <w:rPr>
                      <w:rFonts w:hint="eastAsia"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sz w:val="18"/>
                      <w:szCs w:val="18"/>
                      <w:highlight w:val="none"/>
                    </w:rPr>
                    <w:t>pH无量纲</w:t>
                  </w:r>
                  <w:r>
                    <w:rPr>
                      <w:rFonts w:hint="eastAsia" w:ascii="Times New Roman" w:hAnsi="Times New Roman" w:eastAsia="宋体" w:cs="Times New Roman"/>
                      <w:color w:val="000000"/>
                      <w:sz w:val="18"/>
                      <w:szCs w:val="18"/>
                      <w:highlight w:val="none"/>
                      <w:lang w:eastAsia="zh-CN"/>
                    </w:rPr>
                    <w:t>，</w:t>
                  </w:r>
                  <w:r>
                    <w:rPr>
                      <w:rFonts w:hint="default" w:ascii="Times New Roman" w:hAnsi="Times New Roman" w:eastAsia="宋体" w:cs="Times New Roman"/>
                      <w:color w:val="000000"/>
                      <w:sz w:val="18"/>
                      <w:szCs w:val="18"/>
                      <w:highlight w:val="none"/>
                    </w:rPr>
                    <w:t>“检出限+L”：表示检测值低于方法检出限</w:t>
                  </w:r>
                  <w:r>
                    <w:rPr>
                      <w:rFonts w:hint="eastAsia" w:ascii="Times New Roman" w:hAnsi="Times New Roman" w:eastAsia="宋体" w:cs="Times New Roman"/>
                      <w:color w:val="000000"/>
                      <w:sz w:val="18"/>
                      <w:szCs w:val="18"/>
                      <w:highlight w:val="none"/>
                      <w:lang w:eastAsia="zh-CN"/>
                    </w:rPr>
                    <w:t>；</w:t>
                  </w:r>
                </w:p>
                <w:p w14:paraId="1A9E623A">
                  <w:pPr>
                    <w:widowControl/>
                    <w:textAlignment w:val="center"/>
                    <w:rPr>
                      <w:rFonts w:hint="eastAsia" w:ascii="Times New Roman" w:hAnsi="Times New Roman" w:eastAsia="宋体" w:cs="Times New Roman"/>
                      <w:sz w:val="18"/>
                      <w:szCs w:val="18"/>
                      <w:highlight w:val="none"/>
                      <w:lang w:eastAsia="zh-CN"/>
                    </w:rPr>
                  </w:pPr>
                  <w:r>
                    <w:rPr>
                      <w:rFonts w:hint="eastAsia" w:ascii="Times New Roman" w:hAnsi="Times New Roman" w:eastAsia="宋体" w:cs="Times New Roman"/>
                      <w:sz w:val="18"/>
                      <w:szCs w:val="18"/>
                      <w:highlight w:val="none"/>
                      <w:lang w:eastAsia="zh-CN"/>
                    </w:rPr>
                    <w:t>六价铬</w:t>
                  </w:r>
                  <w:r>
                    <w:rPr>
                      <w:rFonts w:hint="default" w:ascii="Times New Roman" w:hAnsi="Times New Roman" w:eastAsia="宋体" w:cs="Times New Roman"/>
                      <w:sz w:val="18"/>
                      <w:szCs w:val="18"/>
                      <w:highlight w:val="none"/>
                    </w:rPr>
                    <w:t>在</w:t>
                  </w:r>
                  <w:r>
                    <w:rPr>
                      <w:rFonts w:hint="eastAsia" w:ascii="Times New Roman" w:hAnsi="Times New Roman" w:eastAsia="宋体" w:cs="Times New Roman"/>
                      <w:color w:val="000000"/>
                      <w:sz w:val="18"/>
                      <w:szCs w:val="18"/>
                      <w:highlight w:val="none"/>
                      <w:lang w:eastAsia="zh-CN"/>
                    </w:rPr>
                    <w:t>《地表水环境质量标准》GB</w:t>
                  </w:r>
                  <w:r>
                    <w:rPr>
                      <w:rFonts w:hint="eastAsia" w:ascii="Times New Roman" w:hAnsi="Times New Roman" w:eastAsia="宋体" w:cs="Times New Roman"/>
                      <w:color w:val="000000"/>
                      <w:sz w:val="18"/>
                      <w:szCs w:val="18"/>
                      <w:highlight w:val="none"/>
                      <w:lang w:val="en-US" w:eastAsia="zh-CN"/>
                    </w:rPr>
                    <w:t xml:space="preserve"> </w:t>
                  </w:r>
                  <w:r>
                    <w:rPr>
                      <w:rFonts w:hint="eastAsia" w:ascii="Times New Roman" w:hAnsi="Times New Roman" w:eastAsia="宋体" w:cs="Times New Roman"/>
                      <w:color w:val="000000"/>
                      <w:sz w:val="18"/>
                      <w:szCs w:val="18"/>
                      <w:highlight w:val="none"/>
                      <w:lang w:eastAsia="zh-CN"/>
                    </w:rPr>
                    <w:t>3838-2002</w:t>
                  </w:r>
                  <w:r>
                    <w:rPr>
                      <w:rFonts w:hint="default" w:ascii="Times New Roman" w:hAnsi="Times New Roman" w:eastAsia="宋体" w:cs="Times New Roman"/>
                      <w:sz w:val="18"/>
                      <w:szCs w:val="18"/>
                      <w:highlight w:val="none"/>
                    </w:rPr>
                    <w:t>中又名</w:t>
                  </w:r>
                  <w:r>
                    <w:rPr>
                      <w:rFonts w:hint="eastAsia" w:ascii="Times New Roman" w:hAnsi="Times New Roman" w:eastAsia="宋体" w:cs="Times New Roman"/>
                      <w:sz w:val="18"/>
                      <w:szCs w:val="18"/>
                      <w:highlight w:val="none"/>
                      <w:lang w:eastAsia="zh-CN"/>
                    </w:rPr>
                    <w:t>铬（六价）；</w:t>
                  </w:r>
                </w:p>
                <w:p w14:paraId="42DAC94A">
                  <w:pPr>
                    <w:widowControl/>
                    <w:textAlignment w:val="center"/>
                    <w:rPr>
                      <w:rFonts w:hint="eastAsia" w:ascii="Times New Roman" w:hAnsi="Times New Roman" w:eastAsia="宋体" w:cs="Times New Roman"/>
                      <w:b w:val="0"/>
                      <w:bCs/>
                      <w:color w:val="auto"/>
                      <w:sz w:val="18"/>
                      <w:szCs w:val="18"/>
                      <w:highlight w:val="none"/>
                      <w:lang w:val="en-US" w:eastAsia="zh-CN"/>
                    </w:rPr>
                  </w:pPr>
                  <w:r>
                    <w:rPr>
                      <w:rFonts w:hint="eastAsia" w:ascii="Times New Roman" w:hAnsi="Times New Roman" w:eastAsia="宋体" w:cs="Times New Roman"/>
                      <w:color w:val="000000"/>
                      <w:sz w:val="18"/>
                      <w:szCs w:val="18"/>
                      <w:highlight w:val="none"/>
                      <w:lang w:eastAsia="zh-CN"/>
                    </w:rPr>
                    <w:t>参照《地表水环境质量标准》GB</w:t>
                  </w:r>
                  <w:r>
                    <w:rPr>
                      <w:rFonts w:hint="eastAsia" w:ascii="Times New Roman" w:hAnsi="Times New Roman" w:eastAsia="宋体" w:cs="Times New Roman"/>
                      <w:color w:val="000000"/>
                      <w:sz w:val="18"/>
                      <w:szCs w:val="18"/>
                      <w:highlight w:val="none"/>
                      <w:lang w:val="en-US" w:eastAsia="zh-CN"/>
                    </w:rPr>
                    <w:t xml:space="preserve"> </w:t>
                  </w:r>
                  <w:r>
                    <w:rPr>
                      <w:rFonts w:hint="eastAsia" w:ascii="Times New Roman" w:hAnsi="Times New Roman" w:eastAsia="宋体" w:cs="Times New Roman"/>
                      <w:color w:val="000000"/>
                      <w:sz w:val="18"/>
                      <w:szCs w:val="18"/>
                      <w:highlight w:val="none"/>
                      <w:lang w:eastAsia="zh-CN"/>
                    </w:rPr>
                    <w:t>3838-2002表1</w:t>
                  </w:r>
                  <w:r>
                    <w:rPr>
                      <w:rFonts w:hint="eastAsia" w:ascii="Times New Roman" w:hAnsi="Times New Roman" w:eastAsia="宋体" w:cs="Times New Roman"/>
                      <w:color w:val="000000"/>
                      <w:sz w:val="18"/>
                      <w:szCs w:val="18"/>
                      <w:highlight w:val="none"/>
                      <w:lang w:val="en-US" w:eastAsia="zh-CN"/>
                    </w:rPr>
                    <w:t>III</w:t>
                  </w:r>
                  <w:r>
                    <w:rPr>
                      <w:rFonts w:hint="eastAsia" w:ascii="Times New Roman" w:hAnsi="Times New Roman" w:eastAsia="宋体" w:cs="Times New Roman"/>
                      <w:color w:val="000000"/>
                      <w:sz w:val="18"/>
                      <w:szCs w:val="18"/>
                      <w:highlight w:val="none"/>
                      <w:lang w:eastAsia="zh-CN"/>
                    </w:rPr>
                    <w:t>类标准限值</w:t>
                  </w:r>
                  <w:r>
                    <w:rPr>
                      <w:rFonts w:hint="eastAsia" w:cs="Times New Roman"/>
                      <w:color w:val="000000"/>
                      <w:sz w:val="18"/>
                      <w:szCs w:val="18"/>
                      <w:highlight w:val="none"/>
                      <w:lang w:eastAsia="zh-CN"/>
                    </w:rPr>
                    <w:t>执行</w:t>
                  </w:r>
                  <w:r>
                    <w:rPr>
                      <w:rFonts w:hint="eastAsia" w:ascii="Times New Roman" w:hAnsi="Times New Roman" w:eastAsia="宋体" w:cs="Times New Roman"/>
                      <w:color w:val="000000"/>
                      <w:sz w:val="18"/>
                      <w:szCs w:val="18"/>
                      <w:highlight w:val="none"/>
                      <w:lang w:eastAsia="zh-CN"/>
                    </w:rPr>
                    <w:t>。</w:t>
                  </w:r>
                </w:p>
              </w:tc>
            </w:tr>
          </w:tbl>
          <w:p w14:paraId="713227E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sz w:val="24"/>
                <w:szCs w:val="24"/>
                <w:highlight w:val="none"/>
                <w:lang w:eastAsia="zh-CN"/>
              </w:rPr>
              <w:t>由监测结果可知，</w:t>
            </w:r>
            <w:r>
              <w:rPr>
                <w:rFonts w:hint="eastAsia" w:ascii="Times New Roman" w:hAnsi="Times New Roman" w:eastAsia="宋体" w:cs="Times New Roman"/>
                <w:sz w:val="24"/>
                <w:szCs w:val="24"/>
                <w:highlight w:val="none"/>
                <w:lang w:eastAsia="zh-CN"/>
              </w:rPr>
              <w:t xml:space="preserve">所检测项目均符合《地表水环境质量标准》 </w:t>
            </w:r>
            <w:r>
              <w:rPr>
                <w:rFonts w:hint="eastAsia"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eastAsia="zh-CN"/>
              </w:rPr>
              <w:t>GB</w:t>
            </w:r>
            <w:r>
              <w:rPr>
                <w:rFonts w:hint="eastAsia" w:ascii="Times New Roman" w:hAnsi="Times New Roman" w:eastAsia="宋体" w:cs="Times New Roman"/>
                <w:sz w:val="24"/>
                <w:szCs w:val="24"/>
                <w:highlight w:val="none"/>
                <w:lang w:val="en-US" w:eastAsia="zh-CN"/>
              </w:rPr>
              <w:t>3838-2002）</w:t>
            </w:r>
            <w:r>
              <w:rPr>
                <w:rFonts w:hint="eastAsia" w:ascii="Times New Roman" w:hAnsi="Times New Roman" w:eastAsia="宋体" w:cs="Times New Roman"/>
                <w:sz w:val="24"/>
                <w:szCs w:val="24"/>
                <w:highlight w:val="none"/>
                <w:lang w:eastAsia="zh-CN"/>
              </w:rPr>
              <w:t>表1</w:t>
            </w:r>
            <w:r>
              <w:rPr>
                <w:rFonts w:hint="eastAsia" w:ascii="宋体" w:hAnsi="宋体"/>
                <w:sz w:val="24"/>
                <w:highlight w:val="none"/>
                <w:lang w:eastAsia="zh-CN"/>
              </w:rPr>
              <w:t>Ⅲ</w:t>
            </w:r>
            <w:r>
              <w:rPr>
                <w:rFonts w:hint="eastAsia" w:ascii="Times New Roman" w:hAnsi="Times New Roman" w:eastAsia="宋体" w:cs="Times New Roman"/>
                <w:sz w:val="24"/>
                <w:szCs w:val="24"/>
                <w:highlight w:val="none"/>
                <w:lang w:eastAsia="zh-CN"/>
              </w:rPr>
              <w:t>类水质标准要求</w:t>
            </w:r>
            <w:r>
              <w:rPr>
                <w:rFonts w:hint="eastAsia" w:ascii="Times New Roman" w:hAnsi="Times New Roman" w:eastAsia="宋体" w:cs="Times New Roman"/>
                <w:sz w:val="24"/>
                <w:szCs w:val="24"/>
                <w:highlight w:val="none"/>
                <w:lang w:val="en-US" w:eastAsia="zh-CN"/>
              </w:rPr>
              <w:t>。</w:t>
            </w:r>
          </w:p>
        </w:tc>
      </w:tr>
      <w:tr w14:paraId="5F544E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904" w:type="dxa"/>
            <w:noWrap w:val="0"/>
            <w:vAlign w:val="center"/>
          </w:tcPr>
          <w:p w14:paraId="2A857416">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与项目有关的原有环境污染和生态破坏问题</w:t>
            </w:r>
          </w:p>
        </w:tc>
        <w:tc>
          <w:tcPr>
            <w:tcW w:w="8253" w:type="dxa"/>
            <w:noWrap w:val="0"/>
            <w:vAlign w:val="center"/>
          </w:tcPr>
          <w:p w14:paraId="4ADC7C1B">
            <w:pPr>
              <w:keepNext w:val="0"/>
              <w:keepLines w:val="0"/>
              <w:pageBreakBefore w:val="0"/>
              <w:widowControl/>
              <w:suppressLineNumbers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p>
          <w:p w14:paraId="5ABE1D64">
            <w:pPr>
              <w:pStyle w:val="2"/>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p>
          <w:p w14:paraId="0279108F">
            <w:pPr>
              <w:pStyle w:val="2"/>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本项目为新建项目，不存在原有环境污染和生态破坏问题。</w:t>
            </w:r>
          </w:p>
          <w:p w14:paraId="71522693">
            <w:pPr>
              <w:pStyle w:val="2"/>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p>
          <w:p w14:paraId="07D21825">
            <w:pPr>
              <w:pStyle w:val="2"/>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p>
          <w:p w14:paraId="61ABF8ED">
            <w:pPr>
              <w:pStyle w:val="2"/>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p>
        </w:tc>
      </w:tr>
      <w:tr w14:paraId="1EDE3A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04" w:type="dxa"/>
            <w:noWrap w:val="0"/>
            <w:vAlign w:val="center"/>
          </w:tcPr>
          <w:p w14:paraId="6F33CEA1">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生态环境保护目标</w:t>
            </w:r>
          </w:p>
        </w:tc>
        <w:tc>
          <w:tcPr>
            <w:tcW w:w="8253" w:type="dxa"/>
            <w:noWrap w:val="0"/>
            <w:vAlign w:val="center"/>
          </w:tcPr>
          <w:p w14:paraId="318734EE">
            <w:pPr>
              <w:pStyle w:val="1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hint="eastAsia"/>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本项目位于</w:t>
            </w:r>
            <w:r>
              <w:rPr>
                <w:rFonts w:hint="eastAsia" w:cs="Times New Roman"/>
                <w:color w:val="000000" w:themeColor="text1"/>
                <w:spacing w:val="0"/>
                <w:w w:val="100"/>
                <w:position w:val="0"/>
                <w:sz w:val="24"/>
                <w:szCs w:val="24"/>
                <w:highlight w:val="none"/>
                <w:lang w:eastAsia="zh-CN"/>
                <w14:textFill>
                  <w14:solidFill>
                    <w14:schemeClr w14:val="tx1"/>
                  </w14:solidFill>
                </w14:textFill>
              </w:rPr>
              <w:t>杭锦旗吉日嘎朗图镇</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bCs/>
                <w:color w:val="000000"/>
                <w:sz w:val="24"/>
                <w:szCs w:val="24"/>
                <w:highlight w:val="none"/>
              </w:rPr>
              <w:t>本项目不涉及国家公园、自然保护区、</w:t>
            </w:r>
            <w:r>
              <w:rPr>
                <w:rFonts w:hint="eastAsia"/>
                <w:color w:val="000000" w:themeColor="text1"/>
                <w:sz w:val="24"/>
                <w:szCs w:val="24"/>
                <w:highlight w:val="none"/>
                <w:lang w:val="en-US" w:eastAsia="zh-CN"/>
                <w14:textFill>
                  <w14:solidFill>
                    <w14:schemeClr w14:val="tx1"/>
                  </w14:solidFill>
                </w14:textFill>
              </w:rPr>
              <w:t>自然公园等自然保护地、世界自然遗产、生态保护红线等区域；不涉及重要物种的天然集中分布区、栖息地，不涉及重要水生生物的产卵场、索饵场、越冬场和洄游通道，不涉及迁徙鸟类的重要繁殖地、停歇地、越冬地以及野生动物迁徙通道等生态敏感区。</w:t>
            </w:r>
            <w:r>
              <w:rPr>
                <w:bCs/>
                <w:color w:val="000000"/>
                <w:sz w:val="24"/>
                <w:szCs w:val="24"/>
                <w:highlight w:val="none"/>
              </w:rPr>
              <w:t>不涉及风景名胜区、世界文化和自然遗产地、天然林</w:t>
            </w:r>
            <w:r>
              <w:rPr>
                <w:rFonts w:hint="eastAsia"/>
                <w:bCs/>
                <w:color w:val="000000"/>
                <w:sz w:val="24"/>
                <w:szCs w:val="24"/>
                <w:highlight w:val="none"/>
                <w:lang w:eastAsia="zh-CN"/>
              </w:rPr>
              <w:t>、</w:t>
            </w:r>
            <w:r>
              <w:rPr>
                <w:rFonts w:hint="eastAsia"/>
                <w:color w:val="000000"/>
                <w:sz w:val="24"/>
                <w:szCs w:val="24"/>
                <w:highlight w:val="none"/>
                <w:lang w:eastAsia="zh-CN"/>
              </w:rPr>
              <w:t>基本草原、</w:t>
            </w:r>
            <w:r>
              <w:rPr>
                <w:rFonts w:hint="eastAsia"/>
                <w:bCs/>
                <w:color w:val="000000"/>
                <w:sz w:val="24"/>
                <w:szCs w:val="24"/>
                <w:highlight w:val="none"/>
                <w:lang w:eastAsia="zh-CN"/>
              </w:rPr>
              <w:t>永久基本农田</w:t>
            </w:r>
            <w:r>
              <w:rPr>
                <w:bCs/>
                <w:color w:val="000000"/>
                <w:sz w:val="24"/>
                <w:szCs w:val="24"/>
                <w:highlight w:val="none"/>
              </w:rPr>
              <w:t>等敏感区。</w:t>
            </w:r>
            <w:r>
              <w:rPr>
                <w:color w:val="000000"/>
                <w:sz w:val="24"/>
                <w:szCs w:val="24"/>
                <w:highlight w:val="none"/>
              </w:rPr>
              <w:t>项目</w:t>
            </w:r>
            <w:r>
              <w:rPr>
                <w:rFonts w:hint="eastAsia"/>
                <w:color w:val="000000"/>
                <w:sz w:val="24"/>
                <w:szCs w:val="24"/>
                <w:highlight w:val="none"/>
              </w:rPr>
              <w:t>所在</w:t>
            </w:r>
            <w:r>
              <w:rPr>
                <w:color w:val="000000"/>
                <w:sz w:val="24"/>
                <w:szCs w:val="24"/>
                <w:highlight w:val="none"/>
              </w:rPr>
              <w:t>区域内没有饮用水源保护区、重点文物等重点保护目标</w:t>
            </w:r>
            <w:r>
              <w:rPr>
                <w:rFonts w:hint="eastAsia"/>
                <w:color w:val="000000"/>
                <w:sz w:val="24"/>
                <w:szCs w:val="24"/>
                <w:highlight w:val="none"/>
                <w:lang w:eastAsia="zh-CN"/>
              </w:rPr>
              <w:t>。</w:t>
            </w:r>
            <w:r>
              <w:rPr>
                <w:rFonts w:hint="eastAsia"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主要环境保护目标见表</w:t>
            </w:r>
            <w:r>
              <w:rPr>
                <w:rFonts w:hint="eastAsia"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3-</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7</w:t>
            </w:r>
            <w:r>
              <w:rPr>
                <w:rFonts w:hint="eastAsia"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w:t>
            </w:r>
          </w:p>
          <w:p w14:paraId="3BCAC832">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b/>
                <w:bCs/>
                <w:color w:val="000000" w:themeColor="text1"/>
                <w:spacing w:val="0"/>
                <w:w w:val="100"/>
                <w:position w:val="0"/>
                <w:sz w:val="24"/>
                <w:szCs w:val="24"/>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1"/>
                <w:szCs w:val="21"/>
                <w:highlight w:val="none"/>
                <w:lang w:eastAsia="zh-CN"/>
                <w14:textFill>
                  <w14:solidFill>
                    <w14:schemeClr w14:val="tx1"/>
                  </w14:solidFill>
                </w14:textFill>
              </w:rPr>
              <w:t>表</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3-</w:t>
            </w: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7</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 xml:space="preserve">  本项目</w:t>
            </w:r>
            <w:r>
              <w:rPr>
                <w:rFonts w:hint="eastAsia" w:ascii="Times New Roman" w:hAnsi="Times New Roman" w:eastAsia="宋体" w:cs="Times New Roman"/>
                <w:b w:val="0"/>
                <w:bCs w:val="0"/>
                <w:color w:val="000000" w:themeColor="text1"/>
                <w:spacing w:val="0"/>
                <w:w w:val="100"/>
                <w:position w:val="0"/>
                <w:sz w:val="21"/>
                <w:szCs w:val="21"/>
                <w:highlight w:val="none"/>
                <w:lang w:eastAsia="zh-CN"/>
                <w14:textFill>
                  <w14:solidFill>
                    <w14:schemeClr w14:val="tx1"/>
                  </w14:solidFill>
                </w14:textFill>
              </w:rPr>
              <w:t>主要环境保护目标一览表</w:t>
            </w:r>
          </w:p>
          <w:tbl>
            <w:tblPr>
              <w:tblStyle w:val="20"/>
              <w:tblW w:w="8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320"/>
              <w:gridCol w:w="1104"/>
              <w:gridCol w:w="696"/>
              <w:gridCol w:w="960"/>
              <w:gridCol w:w="3327"/>
            </w:tblGrid>
            <w:tr w14:paraId="5DE9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686" w:type="dxa"/>
                  <w:noWrap w:val="0"/>
                  <w:vAlign w:val="center"/>
                </w:tcPr>
                <w:p w14:paraId="016124A7">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敏感因素</w:t>
                  </w:r>
                </w:p>
              </w:tc>
              <w:tc>
                <w:tcPr>
                  <w:tcW w:w="1320" w:type="dxa"/>
                  <w:noWrap w:val="0"/>
                  <w:vAlign w:val="center"/>
                </w:tcPr>
                <w:p w14:paraId="67362588">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保护目标</w:t>
                  </w:r>
                </w:p>
              </w:tc>
              <w:tc>
                <w:tcPr>
                  <w:tcW w:w="1104" w:type="dxa"/>
                  <w:noWrap w:val="0"/>
                  <w:vAlign w:val="center"/>
                </w:tcPr>
                <w:p w14:paraId="097C5E64">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位置关系</w:t>
                  </w:r>
                </w:p>
              </w:tc>
              <w:tc>
                <w:tcPr>
                  <w:tcW w:w="696" w:type="dxa"/>
                  <w:noWrap w:val="0"/>
                  <w:vAlign w:val="center"/>
                </w:tcPr>
                <w:p w14:paraId="0FEA7345">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距离</w:t>
                  </w:r>
                </w:p>
              </w:tc>
              <w:tc>
                <w:tcPr>
                  <w:tcW w:w="960" w:type="dxa"/>
                  <w:noWrap w:val="0"/>
                  <w:vAlign w:val="center"/>
                </w:tcPr>
                <w:p w14:paraId="72A39F9C">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规模</w:t>
                  </w:r>
                </w:p>
              </w:tc>
              <w:tc>
                <w:tcPr>
                  <w:tcW w:w="3327" w:type="dxa"/>
                  <w:noWrap w:val="0"/>
                  <w:vAlign w:val="center"/>
                </w:tcPr>
                <w:p w14:paraId="5D4ABE49">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区域功能及执行标准</w:t>
                  </w:r>
                </w:p>
              </w:tc>
            </w:tr>
            <w:tr w14:paraId="4D64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noWrap w:val="0"/>
                  <w:vAlign w:val="center"/>
                </w:tcPr>
                <w:p w14:paraId="357CC0AD">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大气环境</w:t>
                  </w:r>
                </w:p>
              </w:tc>
              <w:tc>
                <w:tcPr>
                  <w:tcW w:w="4080" w:type="dxa"/>
                  <w:gridSpan w:val="4"/>
                  <w:noWrap w:val="0"/>
                  <w:vAlign w:val="center"/>
                </w:tcPr>
                <w:p w14:paraId="78DBF66E">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ascii="宋体" w:hAnsi="宋体" w:eastAsia="宋体" w:cs="宋体"/>
                      <w:color w:val="000000"/>
                      <w:sz w:val="21"/>
                      <w:szCs w:val="21"/>
                      <w:highlight w:val="none"/>
                    </w:rPr>
                    <w:t>项目周边500m范围内无自然保护区、风景名胜区</w:t>
                  </w:r>
                  <w:r>
                    <w:rPr>
                      <w:rFonts w:hint="eastAsia" w:ascii="宋体" w:hAnsi="宋体" w:eastAsia="宋体" w:cs="宋体"/>
                      <w:color w:val="000000"/>
                      <w:sz w:val="21"/>
                      <w:szCs w:val="21"/>
                      <w:highlight w:val="none"/>
                      <w:lang w:eastAsia="zh-CN"/>
                    </w:rPr>
                    <w:t>和其他需要特殊保护的区域，无</w:t>
                  </w:r>
                  <w:r>
                    <w:rPr>
                      <w:rFonts w:ascii="宋体" w:hAnsi="宋体" w:eastAsia="宋体" w:cs="宋体"/>
                      <w:color w:val="000000"/>
                      <w:sz w:val="21"/>
                      <w:szCs w:val="21"/>
                      <w:highlight w:val="none"/>
                    </w:rPr>
                    <w:t>居民区、文化区和农村地区中人群较集中的区域。</w:t>
                  </w:r>
                </w:p>
              </w:tc>
              <w:tc>
                <w:tcPr>
                  <w:tcW w:w="3327" w:type="dxa"/>
                  <w:noWrap w:val="0"/>
                  <w:vAlign w:val="center"/>
                </w:tcPr>
                <w:p w14:paraId="7986EE20">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《环境空气质量标准》（</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GB3095-2012</w:t>
                  </w: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）二级标准</w:t>
                  </w:r>
                </w:p>
              </w:tc>
            </w:tr>
            <w:tr w14:paraId="48B7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noWrap w:val="0"/>
                  <w:vAlign w:val="center"/>
                </w:tcPr>
                <w:p w14:paraId="0F82A4C2">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声环境</w:t>
                  </w:r>
                </w:p>
              </w:tc>
              <w:tc>
                <w:tcPr>
                  <w:tcW w:w="4080" w:type="dxa"/>
                  <w:gridSpan w:val="4"/>
                  <w:noWrap w:val="0"/>
                  <w:vAlign w:val="center"/>
                </w:tcPr>
                <w:p w14:paraId="375BDE75">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ascii="宋体" w:hAnsi="宋体" w:eastAsia="宋体" w:cs="宋体"/>
                      <w:color w:val="000000"/>
                      <w:sz w:val="21"/>
                      <w:szCs w:val="21"/>
                      <w:highlight w:val="none"/>
                    </w:rPr>
                    <w:t>项目</w:t>
                  </w:r>
                  <w:r>
                    <w:rPr>
                      <w:rFonts w:hint="eastAsia" w:ascii="宋体" w:hAnsi="宋体" w:eastAsia="宋体" w:cs="宋体"/>
                      <w:color w:val="000000"/>
                      <w:sz w:val="21"/>
                      <w:szCs w:val="21"/>
                      <w:highlight w:val="none"/>
                      <w:lang w:eastAsia="zh-CN"/>
                    </w:rPr>
                    <w:t>占地范围</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外50米范围内无医院、学校、机关、科研单位、住宅等需要保持安静的建筑物。</w:t>
                  </w:r>
                </w:p>
              </w:tc>
              <w:tc>
                <w:tcPr>
                  <w:tcW w:w="3327" w:type="dxa"/>
                  <w:noWrap w:val="0"/>
                  <w:vAlign w:val="center"/>
                </w:tcPr>
                <w:p w14:paraId="083C81F1">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default" w:ascii="Times New Roman" w:hAnsi="Times New Roman" w:eastAsia="宋体" w:cs="Times New Roman"/>
                      <w:color w:val="000000"/>
                      <w:spacing w:val="-8"/>
                      <w:sz w:val="21"/>
                      <w:szCs w:val="21"/>
                      <w:highlight w:val="none"/>
                    </w:rPr>
                    <w:t>《声环境质量标准》</w:t>
                  </w:r>
                  <w:r>
                    <w:rPr>
                      <w:rFonts w:hint="default" w:ascii="Times New Roman" w:hAnsi="Times New Roman" w:eastAsia="宋体" w:cs="Times New Roman"/>
                      <w:color w:val="000000"/>
                      <w:sz w:val="21"/>
                      <w:szCs w:val="21"/>
                      <w:highlight w:val="none"/>
                    </w:rPr>
                    <w:t>（GB3096-2008）中</w:t>
                  </w:r>
                  <w:r>
                    <w:rPr>
                      <w:rFonts w:hint="eastAsia" w:cs="Times New Roman"/>
                      <w:color w:val="000000"/>
                      <w:sz w:val="21"/>
                      <w:szCs w:val="21"/>
                      <w:highlight w:val="none"/>
                      <w:lang w:val="en-US" w:eastAsia="zh-CN"/>
                    </w:rPr>
                    <w:t>1</w:t>
                  </w:r>
                  <w:r>
                    <w:rPr>
                      <w:rFonts w:hint="default" w:ascii="Times New Roman" w:hAnsi="Times New Roman" w:eastAsia="宋体" w:cs="Times New Roman"/>
                      <w:color w:val="000000"/>
                      <w:sz w:val="21"/>
                      <w:szCs w:val="21"/>
                      <w:highlight w:val="none"/>
                    </w:rPr>
                    <w:t>类标准</w:t>
                  </w:r>
                </w:p>
              </w:tc>
            </w:tr>
            <w:tr w14:paraId="4F54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86" w:type="dxa"/>
                  <w:noWrap w:val="0"/>
                  <w:vAlign w:val="center"/>
                </w:tcPr>
                <w:p w14:paraId="3601BE23">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生态</w:t>
                  </w:r>
                </w:p>
              </w:tc>
              <w:tc>
                <w:tcPr>
                  <w:tcW w:w="4080" w:type="dxa"/>
                  <w:gridSpan w:val="4"/>
                  <w:noWrap w:val="0"/>
                  <w:vAlign w:val="center"/>
                </w:tcPr>
                <w:p w14:paraId="68413AC1">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sz w:val="21"/>
                      <w:szCs w:val="21"/>
                      <w:highlight w:val="none"/>
                    </w:rPr>
                    <w:t>项目区外1km范围内不涉及重要物种及需保护的生态敏感区，因此本项目主要生态环境保护目标为项目区外1km范围内的沙蒿、沙竹等荒漠植被群落及荒漠沙蜥、荒漠麻蜥等沙漠动物。</w:t>
                  </w:r>
                </w:p>
              </w:tc>
              <w:tc>
                <w:tcPr>
                  <w:tcW w:w="3327" w:type="dxa"/>
                  <w:noWrap w:val="0"/>
                  <w:vAlign w:val="center"/>
                </w:tcPr>
                <w:p w14:paraId="59605554">
                  <w:pPr>
                    <w:pStyle w:val="1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维持现有功能</w:t>
                  </w:r>
                </w:p>
              </w:tc>
            </w:tr>
          </w:tbl>
          <w:p w14:paraId="6EEDCCFB">
            <w:pPr>
              <w:spacing w:line="360" w:lineRule="auto"/>
              <w:jc w:val="left"/>
              <w:rPr>
                <w:rFonts w:ascii="宋体" w:hAnsi="宋体" w:cs="宋体"/>
                <w:color w:val="000000" w:themeColor="text1"/>
                <w:kern w:val="0"/>
                <w:szCs w:val="21"/>
                <w:highlight w:val="none"/>
                <w14:textFill>
                  <w14:solidFill>
                    <w14:schemeClr w14:val="tx1"/>
                  </w14:solidFill>
                </w14:textFill>
              </w:rPr>
            </w:pPr>
          </w:p>
        </w:tc>
      </w:tr>
      <w:tr w14:paraId="43C88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904" w:type="dxa"/>
            <w:noWrap w:val="0"/>
            <w:vAlign w:val="center"/>
          </w:tcPr>
          <w:p w14:paraId="69F25A22">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评价</w:t>
            </w:r>
          </w:p>
          <w:p w14:paraId="0972E414">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标准</w:t>
            </w:r>
          </w:p>
        </w:tc>
        <w:tc>
          <w:tcPr>
            <w:tcW w:w="8253" w:type="dxa"/>
            <w:noWrap w:val="0"/>
            <w:vAlign w:val="center"/>
          </w:tcPr>
          <w:p w14:paraId="4A365DF1">
            <w:pPr>
              <w:spacing w:line="360" w:lineRule="auto"/>
              <w:rPr>
                <w:rFonts w:hint="eastAsia" w:eastAsia="宋体"/>
                <w:b/>
                <w:color w:val="000000" w:themeColor="text1"/>
                <w:sz w:val="24"/>
                <w:highlight w:val="none"/>
                <w:lang w:eastAsia="zh-CN"/>
                <w14:textFill>
                  <w14:solidFill>
                    <w14:schemeClr w14:val="tx1"/>
                  </w14:solidFill>
                </w14:textFill>
              </w:rPr>
            </w:pPr>
            <w:r>
              <w:rPr>
                <w:rFonts w:hint="eastAsia"/>
                <w:b/>
                <w:color w:val="000000" w:themeColor="text1"/>
                <w:sz w:val="24"/>
                <w:highlight w:val="none"/>
                <w:lang w:eastAsia="zh-CN"/>
                <w14:textFill>
                  <w14:solidFill>
                    <w14:schemeClr w14:val="tx1"/>
                  </w14:solidFill>
                </w14:textFill>
              </w:rPr>
              <w:t>一、</w:t>
            </w:r>
            <w:r>
              <w:rPr>
                <w:rFonts w:hint="eastAsia"/>
                <w:b/>
                <w:color w:val="000000" w:themeColor="text1"/>
                <w:sz w:val="24"/>
                <w:highlight w:val="none"/>
                <w:lang w:val="en-US" w:eastAsia="zh-CN"/>
                <w14:textFill>
                  <w14:solidFill>
                    <w14:schemeClr w14:val="tx1"/>
                  </w14:solidFill>
                </w14:textFill>
              </w:rPr>
              <w:t>环境质量标准</w:t>
            </w:r>
          </w:p>
          <w:p w14:paraId="0E166EE5">
            <w:pPr>
              <w:spacing w:line="360" w:lineRule="auto"/>
              <w:ind w:firstLine="482" w:firstLineChars="200"/>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lang w:val="en-US" w:eastAsia="zh-CN"/>
                <w14:textFill>
                  <w14:solidFill>
                    <w14:schemeClr w14:val="tx1"/>
                  </w14:solidFill>
                </w14:textFill>
              </w:rPr>
              <w:t>.</w:t>
            </w:r>
            <w:r>
              <w:rPr>
                <w:b/>
                <w:color w:val="000000" w:themeColor="text1"/>
                <w:sz w:val="24"/>
                <w:highlight w:val="none"/>
                <w14:textFill>
                  <w14:solidFill>
                    <w14:schemeClr w14:val="tx1"/>
                  </w14:solidFill>
                </w14:textFill>
              </w:rPr>
              <w:t>环境空气</w:t>
            </w:r>
            <w:r>
              <w:rPr>
                <w:rFonts w:hint="eastAsia"/>
                <w:b/>
                <w:color w:val="000000" w:themeColor="text1"/>
                <w:sz w:val="24"/>
                <w:highlight w:val="none"/>
                <w14:textFill>
                  <w14:solidFill>
                    <w14:schemeClr w14:val="tx1"/>
                  </w14:solidFill>
                </w14:textFill>
              </w:rPr>
              <w:t>质量标准</w:t>
            </w:r>
          </w:p>
          <w:p w14:paraId="623CFD03">
            <w:pPr>
              <w:tabs>
                <w:tab w:val="left" w:pos="0"/>
              </w:tabs>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环境空气执行《环境空气质量标准》（GB3095-2012）及修改单中的二级标准，见下表。</w:t>
            </w:r>
          </w:p>
          <w:p w14:paraId="0B21BA34">
            <w:pPr>
              <w:ind w:firstLine="420" w:firstLineChars="200"/>
              <w:jc w:val="cente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表3-</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8</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环境空气执行标准</w:t>
            </w:r>
          </w:p>
          <w:tbl>
            <w:tblPr>
              <w:tblStyle w:val="19"/>
              <w:tblW w:w="77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558"/>
              <w:gridCol w:w="1145"/>
              <w:gridCol w:w="2165"/>
              <w:gridCol w:w="1267"/>
            </w:tblGrid>
            <w:tr w14:paraId="3E4B6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restart"/>
                  <w:noWrap w:val="0"/>
                  <w:vAlign w:val="center"/>
                </w:tcPr>
                <w:p w14:paraId="3E6D13E0">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类别</w:t>
                  </w:r>
                </w:p>
              </w:tc>
              <w:tc>
                <w:tcPr>
                  <w:tcW w:w="2558" w:type="dxa"/>
                  <w:vMerge w:val="restart"/>
                  <w:noWrap w:val="0"/>
                  <w:vAlign w:val="center"/>
                </w:tcPr>
                <w:p w14:paraId="191BC0F7">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标准名称及级别</w:t>
                  </w:r>
                </w:p>
              </w:tc>
              <w:tc>
                <w:tcPr>
                  <w:tcW w:w="1145" w:type="dxa"/>
                  <w:vMerge w:val="restart"/>
                  <w:noWrap w:val="0"/>
                  <w:vAlign w:val="center"/>
                </w:tcPr>
                <w:p w14:paraId="3012F2A7">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现状评价因子</w:t>
                  </w:r>
                </w:p>
              </w:tc>
              <w:tc>
                <w:tcPr>
                  <w:tcW w:w="2165" w:type="dxa"/>
                  <w:vMerge w:val="restart"/>
                  <w:noWrap w:val="0"/>
                  <w:vAlign w:val="center"/>
                </w:tcPr>
                <w:p w14:paraId="549CD700">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平均时间</w:t>
                  </w:r>
                </w:p>
              </w:tc>
              <w:tc>
                <w:tcPr>
                  <w:tcW w:w="1267" w:type="dxa"/>
                  <w:noWrap w:val="0"/>
                  <w:vAlign w:val="center"/>
                </w:tcPr>
                <w:p w14:paraId="64142C8D">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标准值（</w:t>
                  </w:r>
                  <w:r>
                    <w:rPr>
                      <w:color w:val="000000" w:themeColor="text1"/>
                      <w:szCs w:val="20"/>
                      <w:highlight w:val="none"/>
                      <w:lang w:val="zh-CN"/>
                      <w14:textFill>
                        <w14:solidFill>
                          <w14:schemeClr w14:val="tx1"/>
                        </w14:solidFill>
                      </w14:textFill>
                    </w:rPr>
                    <w:t>mg/m</w:t>
                  </w:r>
                  <w:r>
                    <w:rPr>
                      <w:color w:val="000000" w:themeColor="text1"/>
                      <w:szCs w:val="20"/>
                      <w:highlight w:val="none"/>
                      <w:vertAlign w:val="superscript"/>
                      <w:lang w:val="zh-CN"/>
                      <w14:textFill>
                        <w14:solidFill>
                          <w14:schemeClr w14:val="tx1"/>
                        </w14:solidFill>
                      </w14:textFill>
                    </w:rPr>
                    <w:t>3</w:t>
                  </w:r>
                  <w:r>
                    <w:rPr>
                      <w:color w:val="000000" w:themeColor="text1"/>
                      <w:highlight w:val="none"/>
                      <w14:textFill>
                        <w14:solidFill>
                          <w14:schemeClr w14:val="tx1"/>
                        </w14:solidFill>
                      </w14:textFill>
                    </w:rPr>
                    <w:t>）</w:t>
                  </w:r>
                </w:p>
              </w:tc>
            </w:tr>
            <w:tr w14:paraId="7B0E1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59019FD3">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66CA9126">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44B68925">
                  <w:pPr>
                    <w:pStyle w:val="35"/>
                    <w:adjustRightInd w:val="0"/>
                    <w:snapToGrid w:val="0"/>
                    <w:spacing w:line="240" w:lineRule="atLeast"/>
                    <w:rPr>
                      <w:color w:val="000000" w:themeColor="text1"/>
                      <w:highlight w:val="none"/>
                      <w14:textFill>
                        <w14:solidFill>
                          <w14:schemeClr w14:val="tx1"/>
                        </w14:solidFill>
                      </w14:textFill>
                    </w:rPr>
                  </w:pPr>
                </w:p>
              </w:tc>
              <w:tc>
                <w:tcPr>
                  <w:tcW w:w="2165" w:type="dxa"/>
                  <w:vMerge w:val="continue"/>
                  <w:noWrap w:val="0"/>
                  <w:vAlign w:val="center"/>
                </w:tcPr>
                <w:p w14:paraId="7E5BD35B">
                  <w:pPr>
                    <w:pStyle w:val="35"/>
                    <w:adjustRightInd w:val="0"/>
                    <w:snapToGrid w:val="0"/>
                    <w:spacing w:line="240" w:lineRule="atLeast"/>
                    <w:rPr>
                      <w:color w:val="000000" w:themeColor="text1"/>
                      <w:highlight w:val="none"/>
                      <w14:textFill>
                        <w14:solidFill>
                          <w14:schemeClr w14:val="tx1"/>
                        </w14:solidFill>
                      </w14:textFill>
                    </w:rPr>
                  </w:pPr>
                </w:p>
              </w:tc>
              <w:tc>
                <w:tcPr>
                  <w:tcW w:w="1267" w:type="dxa"/>
                  <w:noWrap w:val="0"/>
                  <w:vAlign w:val="center"/>
                </w:tcPr>
                <w:p w14:paraId="5CFE3F71">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二级标准</w:t>
                  </w:r>
                </w:p>
              </w:tc>
            </w:tr>
            <w:tr w14:paraId="0362DF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restart"/>
                  <w:noWrap w:val="0"/>
                  <w:vAlign w:val="center"/>
                </w:tcPr>
                <w:p w14:paraId="2A6DD903">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大</w:t>
                  </w:r>
                </w:p>
                <w:p w14:paraId="2E595D4E">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气</w:t>
                  </w:r>
                </w:p>
                <w:p w14:paraId="096B13DA">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w:t>
                  </w:r>
                </w:p>
                <w:p w14:paraId="6228B131">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境</w:t>
                  </w:r>
                </w:p>
                <w:p w14:paraId="03AD8023">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w:t>
                  </w:r>
                </w:p>
                <w:p w14:paraId="0872BE76">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量</w:t>
                  </w:r>
                </w:p>
                <w:p w14:paraId="4D9B403D">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现</w:t>
                  </w:r>
                </w:p>
                <w:p w14:paraId="081F335F">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状</w:t>
                  </w:r>
                </w:p>
              </w:tc>
              <w:tc>
                <w:tcPr>
                  <w:tcW w:w="2558" w:type="dxa"/>
                  <w:vMerge w:val="restart"/>
                  <w:noWrap w:val="0"/>
                  <w:vAlign w:val="center"/>
                </w:tcPr>
                <w:p w14:paraId="070EDBD8">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《环境空气质量标准》（GB3095-2012）</w:t>
                  </w:r>
                </w:p>
                <w:p w14:paraId="01E3863D">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二级浓度限值</w:t>
                  </w:r>
                </w:p>
              </w:tc>
              <w:tc>
                <w:tcPr>
                  <w:tcW w:w="1145" w:type="dxa"/>
                  <w:vMerge w:val="restart"/>
                  <w:noWrap w:val="0"/>
                  <w:vAlign w:val="center"/>
                </w:tcPr>
                <w:p w14:paraId="7D960F90">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SO</w:t>
                  </w:r>
                  <w:r>
                    <w:rPr>
                      <w:color w:val="000000" w:themeColor="text1"/>
                      <w:highlight w:val="none"/>
                      <w:vertAlign w:val="subscript"/>
                      <w14:textFill>
                        <w14:solidFill>
                          <w14:schemeClr w14:val="tx1"/>
                        </w14:solidFill>
                      </w14:textFill>
                    </w:rPr>
                    <w:t>2</w:t>
                  </w:r>
                </w:p>
              </w:tc>
              <w:tc>
                <w:tcPr>
                  <w:tcW w:w="2165" w:type="dxa"/>
                  <w:noWrap w:val="0"/>
                  <w:vAlign w:val="center"/>
                </w:tcPr>
                <w:p w14:paraId="1EF9594E">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14:paraId="351C9FA3">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0.50</w:t>
                  </w:r>
                </w:p>
              </w:tc>
            </w:tr>
            <w:tr w14:paraId="265805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4826A687">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2BD159CE">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0CDF080B">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6D0C6D25">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14:paraId="0840566D">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0.15</w:t>
                  </w:r>
                </w:p>
              </w:tc>
            </w:tr>
            <w:tr w14:paraId="6357A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6D6BFC24">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4363D84F">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4AFFFFB8">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2EE7D8B4">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1小时平均</w:t>
                  </w:r>
                </w:p>
              </w:tc>
              <w:tc>
                <w:tcPr>
                  <w:tcW w:w="1267" w:type="dxa"/>
                  <w:noWrap w:val="0"/>
                  <w:vAlign w:val="center"/>
                </w:tcPr>
                <w:p w14:paraId="32F05F7B">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0.06</w:t>
                  </w:r>
                </w:p>
              </w:tc>
            </w:tr>
            <w:tr w14:paraId="4F1BE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51D14489">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0CE0B098">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14:paraId="3011AFDF">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NO</w:t>
                  </w:r>
                  <w:r>
                    <w:rPr>
                      <w:color w:val="000000" w:themeColor="text1"/>
                      <w:highlight w:val="none"/>
                      <w:vertAlign w:val="subscript"/>
                      <w14:textFill>
                        <w14:solidFill>
                          <w14:schemeClr w14:val="tx1"/>
                        </w14:solidFill>
                      </w14:textFill>
                    </w:rPr>
                    <w:t>2</w:t>
                  </w:r>
                </w:p>
              </w:tc>
              <w:tc>
                <w:tcPr>
                  <w:tcW w:w="2165" w:type="dxa"/>
                  <w:noWrap w:val="0"/>
                  <w:vAlign w:val="center"/>
                </w:tcPr>
                <w:p w14:paraId="3B9F9999">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14:paraId="0AA2CFA1">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0.30</w:t>
                  </w:r>
                </w:p>
              </w:tc>
            </w:tr>
            <w:tr w14:paraId="728605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1CA77F79">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4FF8D9F0">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56C3CE7E">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418F3DFD">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14:paraId="458030E2">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0.20</w:t>
                  </w:r>
                </w:p>
              </w:tc>
            </w:tr>
            <w:tr w14:paraId="3BEB0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32918AF4">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323A54CF">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58289AB7">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339A034F">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1小时平均</w:t>
                  </w:r>
                </w:p>
              </w:tc>
              <w:tc>
                <w:tcPr>
                  <w:tcW w:w="1267" w:type="dxa"/>
                  <w:noWrap w:val="0"/>
                  <w:vAlign w:val="center"/>
                </w:tcPr>
                <w:p w14:paraId="69D038E8">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0.15</w:t>
                  </w:r>
                </w:p>
              </w:tc>
            </w:tr>
            <w:tr w14:paraId="7D1F8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234706DC">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75CD0BF9">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14:paraId="796372FB">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CO</w:t>
                  </w:r>
                </w:p>
              </w:tc>
              <w:tc>
                <w:tcPr>
                  <w:tcW w:w="2165" w:type="dxa"/>
                  <w:noWrap w:val="0"/>
                  <w:vAlign w:val="center"/>
                </w:tcPr>
                <w:p w14:paraId="0A809B2E">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14:paraId="60970AEF">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0.07</w:t>
                  </w:r>
                </w:p>
              </w:tc>
            </w:tr>
            <w:tr w14:paraId="7B257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6C6F5EDA">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599BE79E">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5B9C5F26">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7C53F9A4">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1小时平均</w:t>
                  </w:r>
                </w:p>
              </w:tc>
              <w:tc>
                <w:tcPr>
                  <w:tcW w:w="1267" w:type="dxa"/>
                  <w:noWrap w:val="0"/>
                  <w:vAlign w:val="center"/>
                </w:tcPr>
                <w:p w14:paraId="626818E4">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0.075</w:t>
                  </w:r>
                </w:p>
              </w:tc>
            </w:tr>
            <w:tr w14:paraId="3D8C3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4B5AF640">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0B0B6E1E">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14:paraId="57BBB263">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O</w:t>
                  </w:r>
                  <w:r>
                    <w:rPr>
                      <w:color w:val="000000" w:themeColor="text1"/>
                      <w:highlight w:val="none"/>
                      <w:vertAlign w:val="subscript"/>
                      <w14:textFill>
                        <w14:solidFill>
                          <w14:schemeClr w14:val="tx1"/>
                        </w14:solidFill>
                      </w14:textFill>
                    </w:rPr>
                    <w:t>3</w:t>
                  </w:r>
                </w:p>
              </w:tc>
              <w:tc>
                <w:tcPr>
                  <w:tcW w:w="2165" w:type="dxa"/>
                  <w:noWrap w:val="0"/>
                  <w:vAlign w:val="center"/>
                </w:tcPr>
                <w:p w14:paraId="249CEE11">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日最大8小时平均</w:t>
                  </w:r>
                </w:p>
              </w:tc>
              <w:tc>
                <w:tcPr>
                  <w:tcW w:w="1267" w:type="dxa"/>
                  <w:noWrap w:val="0"/>
                  <w:vAlign w:val="center"/>
                </w:tcPr>
                <w:p w14:paraId="534809A9">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0.035</w:t>
                  </w:r>
                </w:p>
              </w:tc>
            </w:tr>
            <w:tr w14:paraId="4277B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2BBB7E08">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1FCF5EA2">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2BE98E66">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12406CEF">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1小时平均</w:t>
                  </w:r>
                </w:p>
              </w:tc>
              <w:tc>
                <w:tcPr>
                  <w:tcW w:w="1267" w:type="dxa"/>
                  <w:noWrap w:val="0"/>
                  <w:vAlign w:val="center"/>
                </w:tcPr>
                <w:p w14:paraId="32AE6360">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0.20</w:t>
                  </w:r>
                </w:p>
              </w:tc>
            </w:tr>
            <w:tr w14:paraId="302CE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3198AB89">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49C9906E">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14:paraId="2CCEF4B1">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PM</w:t>
                  </w:r>
                  <w:r>
                    <w:rPr>
                      <w:color w:val="000000" w:themeColor="text1"/>
                      <w:highlight w:val="none"/>
                      <w:vertAlign w:val="subscript"/>
                      <w14:textFill>
                        <w14:solidFill>
                          <w14:schemeClr w14:val="tx1"/>
                        </w14:solidFill>
                      </w14:textFill>
                    </w:rPr>
                    <w:t>10</w:t>
                  </w:r>
                </w:p>
              </w:tc>
              <w:tc>
                <w:tcPr>
                  <w:tcW w:w="2165" w:type="dxa"/>
                  <w:noWrap w:val="0"/>
                  <w:vAlign w:val="center"/>
                </w:tcPr>
                <w:p w14:paraId="17CF8AEB">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14:paraId="532131E2">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0.08</w:t>
                  </w:r>
                </w:p>
              </w:tc>
            </w:tr>
            <w:tr w14:paraId="6E164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39C3DD3C">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124B64D6">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72B3CB8E">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30C343AD">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14:paraId="4B2922DD">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0.04</w:t>
                  </w:r>
                </w:p>
              </w:tc>
            </w:tr>
            <w:tr w14:paraId="0985D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74C2CD38">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79F76BEA">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14:paraId="2955F94A">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PM</w:t>
                  </w:r>
                  <w:r>
                    <w:rPr>
                      <w:color w:val="000000" w:themeColor="text1"/>
                      <w:highlight w:val="none"/>
                      <w:vertAlign w:val="subscript"/>
                      <w14:textFill>
                        <w14:solidFill>
                          <w14:schemeClr w14:val="tx1"/>
                        </w14:solidFill>
                      </w14:textFill>
                    </w:rPr>
                    <w:t>2.5</w:t>
                  </w:r>
                </w:p>
              </w:tc>
              <w:tc>
                <w:tcPr>
                  <w:tcW w:w="2165" w:type="dxa"/>
                  <w:noWrap w:val="0"/>
                  <w:vAlign w:val="center"/>
                </w:tcPr>
                <w:p w14:paraId="130F29EC">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14:paraId="1C8BEEB5">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4.00</w:t>
                  </w:r>
                </w:p>
              </w:tc>
            </w:tr>
            <w:tr w14:paraId="6649A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7F6B2399">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5AB2A752">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64D95B05">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5F7361CB">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14:paraId="446419AC">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10.00</w:t>
                  </w:r>
                </w:p>
              </w:tc>
            </w:tr>
            <w:tr w14:paraId="01F27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70F17EBF">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1E11F881">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14:paraId="48A39FA2">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TSP</w:t>
                  </w:r>
                </w:p>
              </w:tc>
              <w:tc>
                <w:tcPr>
                  <w:tcW w:w="2165" w:type="dxa"/>
                  <w:noWrap w:val="0"/>
                  <w:vAlign w:val="center"/>
                </w:tcPr>
                <w:p w14:paraId="6E482506">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14:paraId="2B84E8E2">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0.20</w:t>
                  </w:r>
                </w:p>
              </w:tc>
            </w:tr>
            <w:tr w14:paraId="455CC2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14:paraId="27E2DA6D">
                  <w:pPr>
                    <w:pStyle w:val="35"/>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14:paraId="1042BF4F">
                  <w:pPr>
                    <w:pStyle w:val="35"/>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14:paraId="757EF5FF">
                  <w:pPr>
                    <w:pStyle w:val="35"/>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14:paraId="60B7BAA1">
                  <w:pPr>
                    <w:pStyle w:val="35"/>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14:paraId="3672FF3E">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0.16</w:t>
                  </w:r>
                </w:p>
              </w:tc>
            </w:tr>
          </w:tbl>
          <w:p w14:paraId="7D550AF0">
            <w:pPr>
              <w:spacing w:line="360" w:lineRule="auto"/>
              <w:ind w:firstLine="482" w:firstLineChars="200"/>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2</w:t>
            </w:r>
            <w:r>
              <w:rPr>
                <w:rFonts w:hint="eastAsia" w:cs="Times New Roman"/>
                <w:b/>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声环境质量标准</w:t>
            </w:r>
          </w:p>
          <w:p w14:paraId="3FC9D2B0">
            <w:pPr>
              <w:spacing w:line="360" w:lineRule="auto"/>
              <w:ind w:firstLine="480" w:firstLineChars="200"/>
              <w:rPr>
                <w:rFonts w:ascii="Times New Roman" w:hAnsi="Times New Roman" w:eastAsia="宋体" w:cs="Times New Roman"/>
                <w:b w:val="0"/>
                <w:bCs/>
                <w:color w:val="000000" w:themeColor="text1"/>
                <w:sz w:val="24"/>
                <w:highlight w:val="none"/>
                <w14:textFill>
                  <w14:solidFill>
                    <w14:schemeClr w14:val="tx1"/>
                  </w14:solidFill>
                </w14:textFill>
              </w:rPr>
            </w:pP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声环境</w:t>
            </w:r>
            <w:r>
              <w:rPr>
                <w:rFonts w:hint="default" w:ascii="Times New Roman" w:hAnsi="Times New Roman" w:eastAsia="宋体" w:cs="Times New Roman"/>
                <w:color w:val="auto"/>
                <w:sz w:val="24"/>
                <w:szCs w:val="24"/>
                <w:highlight w:val="none"/>
                <w:lang w:val="en-US" w:eastAsia="zh-CN"/>
              </w:rPr>
              <w:t>质量</w:t>
            </w: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执行《声环境质量标准》（</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GB3096-2008</w:t>
            </w: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w:t>
            </w:r>
            <w:r>
              <w:rPr>
                <w:rFonts w:hint="eastAsia" w:cs="Times New Roman"/>
                <w:b w:val="0"/>
                <w:bCs/>
                <w:color w:val="000000" w:themeColor="text1"/>
                <w:sz w:val="24"/>
                <w:highlight w:val="none"/>
                <w:lang w:val="en-US" w:eastAsia="zh-CN"/>
                <w14:textFill>
                  <w14:solidFill>
                    <w14:schemeClr w14:val="tx1"/>
                  </w14:solidFill>
                </w14:textFill>
              </w:rPr>
              <w:t>中1</w:t>
            </w: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类标准</w:t>
            </w:r>
            <w:r>
              <w:rPr>
                <w:rFonts w:hint="eastAsia" w:cs="Times New Roman"/>
                <w:b w:val="0"/>
                <w:bCs/>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具体标准限值见表</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3-</w:t>
            </w:r>
            <w:r>
              <w:rPr>
                <w:rFonts w:hint="eastAsia" w:cs="Times New Roman"/>
                <w:b w:val="0"/>
                <w:bCs/>
                <w:color w:val="000000" w:themeColor="text1"/>
                <w:sz w:val="24"/>
                <w:highlight w:val="none"/>
                <w:lang w:val="en-US" w:eastAsia="zh-CN"/>
                <w14:textFill>
                  <w14:solidFill>
                    <w14:schemeClr w14:val="tx1"/>
                  </w14:solidFill>
                </w14:textFill>
              </w:rPr>
              <w:t>9</w:t>
            </w: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w:t>
            </w:r>
          </w:p>
          <w:p w14:paraId="5959D28E">
            <w:pPr>
              <w:ind w:firstLine="420" w:firstLineChars="200"/>
              <w:jc w:val="cente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pP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表 </w:t>
            </w:r>
            <w:r>
              <w:rPr>
                <w:rFonts w:hint="default"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3-</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9</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声环境质量标准</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w:t>
            </w:r>
            <w:r>
              <w:rPr>
                <w:b w:val="0"/>
                <w:bCs w:val="0"/>
                <w:color w:val="000000" w:themeColor="text1"/>
                <w:sz w:val="21"/>
                <w:szCs w:val="21"/>
                <w:highlight w:val="none"/>
                <w14:textFill>
                  <w14:solidFill>
                    <w14:schemeClr w14:val="tx1"/>
                  </w14:solidFill>
                </w14:textFill>
              </w:rPr>
              <w:t>dB（A）</w:t>
            </w:r>
          </w:p>
          <w:tbl>
            <w:tblPr>
              <w:tblStyle w:val="20"/>
              <w:tblW w:w="740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83"/>
              <w:gridCol w:w="1320"/>
              <w:gridCol w:w="1602"/>
              <w:gridCol w:w="3498"/>
            </w:tblGrid>
            <w:tr w14:paraId="765176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dxa"/>
                  <w:vMerge w:val="restart"/>
                  <w:tcBorders>
                    <w:tl2br w:val="nil"/>
                    <w:tr2bl w:val="nil"/>
                  </w:tcBorders>
                  <w:vAlign w:val="center"/>
                </w:tcPr>
                <w:p w14:paraId="52FA4909">
                  <w:pPr>
                    <w:pStyle w:val="44"/>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类别</w:t>
                  </w:r>
                </w:p>
              </w:tc>
              <w:tc>
                <w:tcPr>
                  <w:tcW w:w="2922" w:type="dxa"/>
                  <w:gridSpan w:val="2"/>
                  <w:tcBorders>
                    <w:tl2br w:val="nil"/>
                    <w:tr2bl w:val="nil"/>
                  </w:tcBorders>
                  <w:vAlign w:val="center"/>
                </w:tcPr>
                <w:p w14:paraId="3607278B">
                  <w:pPr>
                    <w:pStyle w:val="44"/>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噪声限值</w:t>
                  </w:r>
                </w:p>
              </w:tc>
              <w:tc>
                <w:tcPr>
                  <w:tcW w:w="3498" w:type="dxa"/>
                  <w:tcBorders>
                    <w:tl2br w:val="nil"/>
                    <w:tr2bl w:val="nil"/>
                  </w:tcBorders>
                  <w:vAlign w:val="center"/>
                </w:tcPr>
                <w:p w14:paraId="394F12C5">
                  <w:pPr>
                    <w:spacing w:line="320" w:lineRule="exact"/>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标准来源</w:t>
                  </w:r>
                </w:p>
              </w:tc>
            </w:tr>
            <w:tr w14:paraId="257057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dxa"/>
                  <w:vMerge w:val="continue"/>
                  <w:tcBorders>
                    <w:tl2br w:val="nil"/>
                    <w:tr2bl w:val="nil"/>
                  </w:tcBorders>
                  <w:vAlign w:val="center"/>
                </w:tcPr>
                <w:p w14:paraId="60F093A4">
                  <w:pPr>
                    <w:pStyle w:val="44"/>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320" w:type="dxa"/>
                  <w:tcBorders>
                    <w:tl2br w:val="nil"/>
                    <w:tr2bl w:val="nil"/>
                  </w:tcBorders>
                  <w:vAlign w:val="center"/>
                </w:tcPr>
                <w:p w14:paraId="533240CA">
                  <w:pPr>
                    <w:pStyle w:val="44"/>
                    <w:spacing w:line="240" w:lineRule="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b w:val="0"/>
                      <w:bCs w:val="0"/>
                      <w:color w:val="000000" w:themeColor="text1"/>
                      <w:sz w:val="21"/>
                      <w:szCs w:val="21"/>
                      <w:highlight w:val="none"/>
                      <w14:textFill>
                        <w14:solidFill>
                          <w14:schemeClr w14:val="tx1"/>
                        </w14:solidFill>
                      </w14:textFill>
                    </w:rPr>
                    <w:t>昼间</w:t>
                  </w:r>
                </w:p>
              </w:tc>
              <w:tc>
                <w:tcPr>
                  <w:tcW w:w="1602" w:type="dxa"/>
                  <w:tcBorders>
                    <w:tl2br w:val="nil"/>
                    <w:tr2bl w:val="nil"/>
                  </w:tcBorders>
                  <w:vAlign w:val="center"/>
                </w:tcPr>
                <w:p w14:paraId="7C0666A7">
                  <w:pPr>
                    <w:pStyle w:val="44"/>
                    <w:spacing w:line="240" w:lineRule="auto"/>
                    <w:rPr>
                      <w:color w:val="000000" w:themeColor="text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夜间</w:t>
                  </w:r>
                </w:p>
              </w:tc>
              <w:tc>
                <w:tcPr>
                  <w:tcW w:w="3498" w:type="dxa"/>
                  <w:vMerge w:val="restart"/>
                  <w:tcBorders>
                    <w:tl2br w:val="nil"/>
                    <w:tr2bl w:val="nil"/>
                  </w:tcBorders>
                  <w:vAlign w:val="center"/>
                </w:tcPr>
                <w:p w14:paraId="7D4069BA">
                  <w:pPr>
                    <w:spacing w:line="320" w:lineRule="exact"/>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《声环境质量标准》（GB3096-2008）</w:t>
                  </w:r>
                </w:p>
              </w:tc>
            </w:tr>
            <w:tr w14:paraId="47E9BF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dxa"/>
                  <w:tcBorders>
                    <w:tl2br w:val="nil"/>
                    <w:tr2bl w:val="nil"/>
                  </w:tcBorders>
                  <w:vAlign w:val="center"/>
                </w:tcPr>
                <w:p w14:paraId="171F8664">
                  <w:pPr>
                    <w:pStyle w:val="44"/>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1类</w:t>
                  </w:r>
                </w:p>
              </w:tc>
              <w:tc>
                <w:tcPr>
                  <w:tcW w:w="1320" w:type="dxa"/>
                  <w:tcBorders>
                    <w:tl2br w:val="nil"/>
                    <w:tr2bl w:val="nil"/>
                  </w:tcBorders>
                  <w:vAlign w:val="center"/>
                </w:tcPr>
                <w:p w14:paraId="2D082D1F">
                  <w:pPr>
                    <w:pStyle w:val="44"/>
                    <w:spacing w:line="240" w:lineRule="auto"/>
                    <w:rPr>
                      <w:rFonts w:hint="default" w:eastAsia="宋体" w:cs="Times New Roman"/>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55</w:t>
                  </w:r>
                </w:p>
              </w:tc>
              <w:tc>
                <w:tcPr>
                  <w:tcW w:w="1602" w:type="dxa"/>
                  <w:tcBorders>
                    <w:tl2br w:val="nil"/>
                    <w:tr2bl w:val="nil"/>
                  </w:tcBorders>
                  <w:vAlign w:val="center"/>
                </w:tcPr>
                <w:p w14:paraId="3DBA45C0">
                  <w:pPr>
                    <w:pStyle w:val="44"/>
                    <w:spacing w:line="240" w:lineRule="auto"/>
                    <w:rPr>
                      <w:rFonts w:hint="default"/>
                      <w:color w:val="000000" w:themeColor="text1"/>
                      <w:highlight w:val="none"/>
                      <w:lang w:val="en-US"/>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45</w:t>
                  </w:r>
                </w:p>
              </w:tc>
              <w:tc>
                <w:tcPr>
                  <w:tcW w:w="3498" w:type="dxa"/>
                  <w:vMerge w:val="continue"/>
                  <w:tcBorders>
                    <w:tl2br w:val="nil"/>
                    <w:tr2bl w:val="nil"/>
                  </w:tcBorders>
                  <w:vAlign w:val="center"/>
                </w:tcPr>
                <w:p w14:paraId="0C8DB8EA">
                  <w:pPr>
                    <w:spacing w:line="320" w:lineRule="exact"/>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bl>
          <w:p w14:paraId="1BD40382">
            <w:pPr>
              <w:tabs>
                <w:tab w:val="left" w:pos="0"/>
              </w:tabs>
              <w:spacing w:line="360" w:lineRule="auto"/>
              <w:ind w:firstLine="482" w:firstLineChars="200"/>
              <w:rPr>
                <w:rFonts w:hint="default"/>
                <w:color w:val="000000" w:themeColor="text1"/>
                <w:sz w:val="24"/>
                <w:szCs w:val="24"/>
                <w:highlight w:val="none"/>
                <w:lang w:val="en-US" w:eastAsia="zh-CN"/>
                <w14:textFill>
                  <w14:solidFill>
                    <w14:schemeClr w14:val="tx1"/>
                  </w14:solidFill>
                </w14:textFill>
              </w:rPr>
            </w:pPr>
            <w:r>
              <w:rPr>
                <w:b/>
                <w:color w:val="000000" w:themeColor="text1"/>
                <w:sz w:val="24"/>
                <w:highlight w:val="none"/>
                <w14:textFill>
                  <w14:solidFill>
                    <w14:schemeClr w14:val="tx1"/>
                  </w14:solidFill>
                </w14:textFill>
              </w:rPr>
              <w:t>二、污染物排放标准</w:t>
            </w:r>
          </w:p>
          <w:p w14:paraId="6C748300">
            <w:pPr>
              <w:widowControl/>
              <w:spacing w:line="360" w:lineRule="auto"/>
              <w:ind w:firstLine="480" w:firstLineChars="200"/>
              <w:jc w:val="both"/>
              <w:rPr>
                <w:color w:val="000000" w:themeColor="text1"/>
                <w:sz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highlight w:val="none"/>
                <w14:textFill>
                  <w14:solidFill>
                    <w14:schemeClr w14:val="tx1"/>
                  </w14:solidFill>
                </w14:textFill>
              </w:rPr>
              <w:t>本项目施工期产生的扬尘执行《大气污染物综合排放标准》（GB16297-1996）表2 新污染源大气污染物排放限值中的无组织排放监控浓度限值</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具体标准值见表</w:t>
            </w:r>
            <w:r>
              <w:rPr>
                <w:rFonts w:hint="eastAsia"/>
                <w:color w:val="000000" w:themeColor="text1"/>
                <w:sz w:val="24"/>
                <w:highlight w:val="none"/>
                <w:lang w:val="en-US" w:eastAsia="zh-CN"/>
                <w14:textFill>
                  <w14:solidFill>
                    <w14:schemeClr w14:val="tx1"/>
                  </w14:solidFill>
                </w14:textFill>
              </w:rPr>
              <w:t>3-10</w:t>
            </w:r>
            <w:r>
              <w:rPr>
                <w:color w:val="000000" w:themeColor="text1"/>
                <w:sz w:val="24"/>
                <w:highlight w:val="none"/>
                <w14:textFill>
                  <w14:solidFill>
                    <w14:schemeClr w14:val="tx1"/>
                  </w14:solidFill>
                </w14:textFill>
              </w:rPr>
              <w:t>。</w:t>
            </w:r>
          </w:p>
          <w:p w14:paraId="4CF0233B">
            <w:pPr>
              <w:ind w:firstLine="420" w:firstLineChars="200"/>
              <w:jc w:val="cente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表3-</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10</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大气污染物排放限值</w:t>
            </w:r>
          </w:p>
          <w:tbl>
            <w:tblPr>
              <w:tblStyle w:val="19"/>
              <w:tblW w:w="7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1"/>
              <w:gridCol w:w="2330"/>
              <w:gridCol w:w="3388"/>
            </w:tblGrid>
            <w:tr w14:paraId="3204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81" w:type="dxa"/>
                  <w:vMerge w:val="restart"/>
                  <w:noWrap w:val="0"/>
                  <w:vAlign w:val="center"/>
                </w:tcPr>
                <w:p w14:paraId="5F359365">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污染物</w:t>
                  </w:r>
                </w:p>
              </w:tc>
              <w:tc>
                <w:tcPr>
                  <w:tcW w:w="5718" w:type="dxa"/>
                  <w:gridSpan w:val="2"/>
                  <w:noWrap w:val="0"/>
                  <w:vAlign w:val="top"/>
                </w:tcPr>
                <w:p w14:paraId="1C4FD92A">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无组织排放监控浓度限值</w:t>
                  </w:r>
                </w:p>
              </w:tc>
            </w:tr>
            <w:tr w14:paraId="6A34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81" w:type="dxa"/>
                  <w:vMerge w:val="continue"/>
                  <w:noWrap w:val="0"/>
                  <w:vAlign w:val="top"/>
                </w:tcPr>
                <w:p w14:paraId="0FE3D968">
                  <w:pPr>
                    <w:widowControl/>
                    <w:spacing w:line="240" w:lineRule="atLeast"/>
                    <w:jc w:val="center"/>
                    <w:rPr>
                      <w:color w:val="000000" w:themeColor="text1"/>
                      <w:sz w:val="21"/>
                      <w:szCs w:val="21"/>
                      <w:highlight w:val="none"/>
                      <w14:textFill>
                        <w14:solidFill>
                          <w14:schemeClr w14:val="tx1"/>
                        </w14:solidFill>
                      </w14:textFill>
                    </w:rPr>
                  </w:pPr>
                </w:p>
              </w:tc>
              <w:tc>
                <w:tcPr>
                  <w:tcW w:w="2330" w:type="dxa"/>
                  <w:noWrap w:val="0"/>
                  <w:vAlign w:val="top"/>
                </w:tcPr>
                <w:p w14:paraId="432AFF37">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监控点</w:t>
                  </w:r>
                </w:p>
              </w:tc>
              <w:tc>
                <w:tcPr>
                  <w:tcW w:w="3388" w:type="dxa"/>
                  <w:noWrap w:val="0"/>
                  <w:vAlign w:val="top"/>
                </w:tcPr>
                <w:p w14:paraId="5BF6297C">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浓度（mg/m</w:t>
                  </w:r>
                  <w:r>
                    <w:rPr>
                      <w:color w:val="000000" w:themeColor="text1"/>
                      <w:sz w:val="21"/>
                      <w:szCs w:val="21"/>
                      <w:highlight w:val="none"/>
                      <w:vertAlign w:val="superscript"/>
                      <w14:textFill>
                        <w14:solidFill>
                          <w14:schemeClr w14:val="tx1"/>
                        </w14:solidFill>
                      </w14:textFill>
                    </w:rPr>
                    <w:t>3</w:t>
                  </w:r>
                  <w:r>
                    <w:rPr>
                      <w:color w:val="000000" w:themeColor="text1"/>
                      <w:sz w:val="21"/>
                      <w:szCs w:val="21"/>
                      <w:highlight w:val="none"/>
                      <w14:textFill>
                        <w14:solidFill>
                          <w14:schemeClr w14:val="tx1"/>
                        </w14:solidFill>
                      </w14:textFill>
                    </w:rPr>
                    <w:t>）</w:t>
                  </w:r>
                </w:p>
              </w:tc>
            </w:tr>
            <w:tr w14:paraId="1C2F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81" w:type="dxa"/>
                  <w:noWrap w:val="0"/>
                  <w:vAlign w:val="top"/>
                </w:tcPr>
                <w:p w14:paraId="2BC3091B">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2330" w:type="dxa"/>
                  <w:noWrap w:val="0"/>
                  <w:vAlign w:val="top"/>
                </w:tcPr>
                <w:p w14:paraId="3DC441C1">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周界外浓度最高点</w:t>
                  </w:r>
                </w:p>
              </w:tc>
              <w:tc>
                <w:tcPr>
                  <w:tcW w:w="3388" w:type="dxa"/>
                  <w:noWrap w:val="0"/>
                  <w:vAlign w:val="top"/>
                </w:tcPr>
                <w:p w14:paraId="4DE36F20">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1.0</w:t>
                  </w:r>
                </w:p>
              </w:tc>
            </w:tr>
          </w:tbl>
          <w:p w14:paraId="553AA4B1">
            <w:pPr>
              <w:widowControl/>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2.噪声排放标准</w:t>
            </w:r>
          </w:p>
          <w:p w14:paraId="17E1EDAC">
            <w:pPr>
              <w:widowControl/>
              <w:spacing w:line="360" w:lineRule="auto"/>
              <w:ind w:firstLine="480" w:firstLineChars="200"/>
              <w:jc w:val="both"/>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项目施工期噪声排放执行《建筑施工场界环境噪声排放标准》（GB12523-2011），噪声限值见表</w:t>
            </w:r>
            <w:r>
              <w:rPr>
                <w:rFonts w:hint="eastAsia"/>
                <w:color w:val="000000" w:themeColor="text1"/>
                <w:sz w:val="24"/>
                <w:highlight w:val="none"/>
                <w:lang w:val="en-US" w:eastAsia="zh-CN"/>
                <w14:textFill>
                  <w14:solidFill>
                    <w14:schemeClr w14:val="tx1"/>
                  </w14:solidFill>
                </w14:textFill>
              </w:rPr>
              <w:t>3-11</w:t>
            </w:r>
            <w:r>
              <w:rPr>
                <w:color w:val="000000" w:themeColor="text1"/>
                <w:sz w:val="24"/>
                <w:highlight w:val="none"/>
                <w14:textFill>
                  <w14:solidFill>
                    <w14:schemeClr w14:val="tx1"/>
                  </w14:solidFill>
                </w14:textFill>
              </w:rPr>
              <w:t>。</w:t>
            </w:r>
          </w:p>
          <w:p w14:paraId="274DEA6F">
            <w:pPr>
              <w:widowControl/>
              <w:jc w:val="center"/>
              <w:rPr>
                <w:color w:val="000000" w:themeColor="text1"/>
                <w:sz w:val="24"/>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表3-1</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1</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建筑施工厂界环境噪声排放限值       单位：dB（A）</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7"/>
            </w:tblGrid>
            <w:tr w14:paraId="7957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646" w:type="dxa"/>
                  <w:vMerge w:val="restart"/>
                  <w:noWrap w:val="0"/>
                  <w:vAlign w:val="center"/>
                </w:tcPr>
                <w:p w14:paraId="51A260A9">
                  <w:pPr>
                    <w:widowControl/>
                    <w:spacing w:line="240" w:lineRule="atLeast"/>
                    <w:jc w:val="center"/>
                    <w:rPr>
                      <w:rFonts w:hint="eastAsia" w:eastAsia="宋体"/>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施工</w:t>
                  </w:r>
                  <w:r>
                    <w:rPr>
                      <w:rFonts w:hint="eastAsia"/>
                      <w:color w:val="000000" w:themeColor="text1"/>
                      <w:sz w:val="24"/>
                      <w:highlight w:val="none"/>
                      <w:lang w:eastAsia="zh-CN"/>
                      <w14:textFill>
                        <w14:solidFill>
                          <w14:schemeClr w14:val="tx1"/>
                        </w14:solidFill>
                      </w14:textFill>
                    </w:rPr>
                    <w:t>期</w:t>
                  </w:r>
                </w:p>
              </w:tc>
              <w:tc>
                <w:tcPr>
                  <w:tcW w:w="2646" w:type="dxa"/>
                  <w:noWrap w:val="0"/>
                  <w:vAlign w:val="top"/>
                </w:tcPr>
                <w:p w14:paraId="593F70C1">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昼间</w:t>
                  </w:r>
                </w:p>
              </w:tc>
              <w:tc>
                <w:tcPr>
                  <w:tcW w:w="2647" w:type="dxa"/>
                  <w:noWrap w:val="0"/>
                  <w:vAlign w:val="top"/>
                </w:tcPr>
                <w:p w14:paraId="69FEF7D1">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夜间</w:t>
                  </w:r>
                </w:p>
              </w:tc>
            </w:tr>
            <w:tr w14:paraId="308E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646" w:type="dxa"/>
                  <w:vMerge w:val="continue"/>
                  <w:noWrap w:val="0"/>
                  <w:vAlign w:val="top"/>
                </w:tcPr>
                <w:p w14:paraId="28351F25">
                  <w:pPr>
                    <w:widowControl/>
                    <w:spacing w:line="240" w:lineRule="atLeast"/>
                    <w:jc w:val="center"/>
                    <w:rPr>
                      <w:color w:val="000000" w:themeColor="text1"/>
                      <w:sz w:val="24"/>
                      <w:highlight w:val="none"/>
                      <w14:textFill>
                        <w14:solidFill>
                          <w14:schemeClr w14:val="tx1"/>
                        </w14:solidFill>
                      </w14:textFill>
                    </w:rPr>
                  </w:pPr>
                </w:p>
              </w:tc>
              <w:tc>
                <w:tcPr>
                  <w:tcW w:w="2646" w:type="dxa"/>
                  <w:noWrap w:val="0"/>
                  <w:vAlign w:val="top"/>
                </w:tcPr>
                <w:p w14:paraId="010BB7D8">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70</w:t>
                  </w:r>
                </w:p>
              </w:tc>
              <w:tc>
                <w:tcPr>
                  <w:tcW w:w="2647" w:type="dxa"/>
                  <w:noWrap w:val="0"/>
                  <w:vAlign w:val="top"/>
                </w:tcPr>
                <w:p w14:paraId="135C7601">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55</w:t>
                  </w:r>
                </w:p>
              </w:tc>
            </w:tr>
          </w:tbl>
          <w:p w14:paraId="0C9D9271">
            <w:pPr>
              <w:keepNext w:val="0"/>
              <w:keepLines w:val="0"/>
              <w:pageBreakBefore w:val="0"/>
              <w:widowControl w:val="0"/>
              <w:tabs>
                <w:tab w:val="left" w:pos="0"/>
                <w:tab w:val="left" w:pos="676"/>
              </w:tabs>
              <w:kinsoku/>
              <w:wordWrap/>
              <w:overflowPunct/>
              <w:topLinePunct w:val="0"/>
              <w:autoSpaceDE/>
              <w:autoSpaceDN/>
              <w:bidi w:val="0"/>
              <w:spacing w:line="360" w:lineRule="auto"/>
              <w:ind w:firstLine="482" w:firstLineChars="200"/>
              <w:textAlignment w:val="auto"/>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3.</w:t>
            </w:r>
            <w:r>
              <w:rPr>
                <w:b/>
                <w:color w:val="000000" w:themeColor="text1"/>
                <w:sz w:val="24"/>
                <w:highlight w:val="none"/>
                <w14:textFill>
                  <w14:solidFill>
                    <w14:schemeClr w14:val="tx1"/>
                  </w14:solidFill>
                </w14:textFill>
              </w:rPr>
              <w:t>废水</w:t>
            </w:r>
            <w:r>
              <w:rPr>
                <w:rFonts w:hint="eastAsia"/>
                <w:b/>
                <w:color w:val="000000" w:themeColor="text1"/>
                <w:sz w:val="24"/>
                <w:highlight w:val="none"/>
                <w14:textFill>
                  <w14:solidFill>
                    <w14:schemeClr w14:val="tx1"/>
                  </w14:solidFill>
                </w14:textFill>
              </w:rPr>
              <w:t>排放标准</w:t>
            </w:r>
          </w:p>
          <w:p w14:paraId="32FF3FA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b w:val="0"/>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本项目施工期</w:t>
            </w:r>
            <w:r>
              <w:rPr>
                <w:rFonts w:hint="eastAsia" w:ascii="宋体" w:hAnsi="宋体" w:cs="宋体"/>
                <w:color w:val="000000" w:themeColor="text1"/>
                <w:kern w:val="0"/>
                <w:sz w:val="24"/>
                <w:highlight w:val="none"/>
                <w:lang w:val="en-US" w:eastAsia="zh-CN"/>
                <w14:textFill>
                  <w14:solidFill>
                    <w14:schemeClr w14:val="tx1"/>
                  </w14:solidFill>
                </w14:textFill>
              </w:rPr>
              <w:t>生活污水执行《污水综合排放标准》（</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GB8978-1996</w:t>
            </w:r>
            <w:r>
              <w:rPr>
                <w:rFonts w:hint="eastAsia" w:ascii="宋体" w:hAnsi="宋体" w:cs="宋体"/>
                <w:color w:val="000000" w:themeColor="text1"/>
                <w:kern w:val="0"/>
                <w:sz w:val="24"/>
                <w:highlight w:val="none"/>
                <w:lang w:val="en-US"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表4、表5</w:t>
            </w:r>
            <w:r>
              <w:rPr>
                <w:rFonts w:hint="eastAsia" w:ascii="宋体" w:hAnsi="宋体" w:cs="宋体"/>
                <w:color w:val="000000" w:themeColor="text1"/>
                <w:kern w:val="0"/>
                <w:sz w:val="24"/>
                <w:highlight w:val="none"/>
                <w:lang w:val="en-US" w:eastAsia="zh-CN"/>
                <w14:textFill>
                  <w14:solidFill>
                    <w14:schemeClr w14:val="tx1"/>
                  </w14:solidFill>
                </w14:textFill>
              </w:rPr>
              <w:t>中的三级标准</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bCs/>
                <w:color w:val="000000" w:themeColor="text1"/>
                <w:sz w:val="24"/>
                <w:highlight w:val="none"/>
                <w14:textFill>
                  <w14:solidFill>
                    <w14:schemeClr w14:val="tx1"/>
                  </w14:solidFill>
                </w14:textFill>
              </w:rPr>
              <w:t>本项目运行期无废水产生。</w:t>
            </w:r>
          </w:p>
          <w:p w14:paraId="64952FD9">
            <w:pPr>
              <w:keepNext w:val="0"/>
              <w:keepLines w:val="0"/>
              <w:pageBreakBefore w:val="0"/>
              <w:widowControl w:val="0"/>
              <w:kinsoku/>
              <w:wordWrap/>
              <w:overflowPunct/>
              <w:topLinePunct w:val="0"/>
              <w:autoSpaceDE/>
              <w:autoSpaceDN/>
              <w:bidi w:val="0"/>
              <w:spacing w:line="360" w:lineRule="auto"/>
              <w:ind w:firstLine="361" w:firstLineChars="150"/>
              <w:textAlignment w:val="auto"/>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4.</w:t>
            </w:r>
            <w:r>
              <w:rPr>
                <w:b/>
                <w:color w:val="000000" w:themeColor="text1"/>
                <w:sz w:val="24"/>
                <w:highlight w:val="none"/>
                <w14:textFill>
                  <w14:solidFill>
                    <w14:schemeClr w14:val="tx1"/>
                  </w14:solidFill>
                </w14:textFill>
              </w:rPr>
              <w:t>固体废物</w:t>
            </w:r>
            <w:r>
              <w:rPr>
                <w:rFonts w:hint="eastAsia"/>
                <w:b/>
                <w:color w:val="000000" w:themeColor="text1"/>
                <w:sz w:val="24"/>
                <w:highlight w:val="none"/>
                <w14:textFill>
                  <w14:solidFill>
                    <w14:schemeClr w14:val="tx1"/>
                  </w14:solidFill>
                </w14:textFill>
              </w:rPr>
              <w:t>标准</w:t>
            </w:r>
          </w:p>
          <w:p w14:paraId="1D979E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color w:val="000000" w:themeColor="text1"/>
                <w:kern w:val="0"/>
                <w:szCs w:val="2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本项目一般固体废物执行《一般工业固体废物贮存和填埋污染控制标准》（GB18599-2020）的规定。</w:t>
            </w:r>
          </w:p>
        </w:tc>
      </w:tr>
      <w:tr w14:paraId="234D8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904" w:type="dxa"/>
            <w:noWrap w:val="0"/>
            <w:vAlign w:val="center"/>
          </w:tcPr>
          <w:p w14:paraId="41BB6276">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其他</w:t>
            </w:r>
          </w:p>
        </w:tc>
        <w:tc>
          <w:tcPr>
            <w:tcW w:w="8253" w:type="dxa"/>
            <w:noWrap w:val="0"/>
            <w:vAlign w:val="center"/>
          </w:tcPr>
          <w:p w14:paraId="043A538D">
            <w:pPr>
              <w:adjustRightInd w:val="0"/>
              <w:snapToGrid w:val="0"/>
              <w:jc w:val="center"/>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无</w:t>
            </w:r>
          </w:p>
        </w:tc>
      </w:tr>
    </w:tbl>
    <w:p w14:paraId="3279F821">
      <w:pPr>
        <w:pStyle w:val="17"/>
        <w:adjustRightInd w:val="0"/>
        <w:snapToGrid w:val="0"/>
        <w:spacing w:before="0" w:beforeAutospacing="0" w:after="0" w:afterAutospacing="0" w:line="14" w:lineRule="auto"/>
        <w:jc w:val="center"/>
        <w:outlineLvl w:val="9"/>
        <w:rPr>
          <w:rFonts w:ascii="黑体" w:hAnsi="黑体" w:eastAsia="黑体"/>
          <w:snapToGrid w:val="0"/>
          <w:kern w:val="2"/>
          <w:sz w:val="36"/>
          <w:szCs w:val="36"/>
          <w:highlight w:val="none"/>
        </w:rPr>
      </w:pPr>
    </w:p>
    <w:p w14:paraId="753036B8">
      <w:pPr>
        <w:pStyle w:val="17"/>
        <w:jc w:val="center"/>
        <w:outlineLvl w:val="0"/>
        <w:rPr>
          <w:rFonts w:ascii="黑体" w:hAnsi="黑体" w:eastAsia="黑体"/>
          <w:snapToGrid w:val="0"/>
          <w:sz w:val="30"/>
          <w:szCs w:val="30"/>
          <w:highlight w:val="none"/>
        </w:rPr>
      </w:pPr>
      <w:r>
        <w:rPr>
          <w:rFonts w:ascii="黑体" w:hAnsi="黑体" w:eastAsia="黑体"/>
          <w:snapToGrid w:val="0"/>
          <w:kern w:val="2"/>
          <w:sz w:val="36"/>
          <w:szCs w:val="36"/>
          <w:highlight w:val="none"/>
        </w:rPr>
        <w:br w:type="page"/>
      </w:r>
      <w:r>
        <w:rPr>
          <w:rFonts w:hint="eastAsia" w:ascii="黑体" w:hAnsi="黑体" w:eastAsia="黑体"/>
          <w:snapToGrid w:val="0"/>
          <w:sz w:val="30"/>
          <w:szCs w:val="30"/>
          <w:highlight w:val="none"/>
        </w:rPr>
        <w:t>四、生态环境影响分析</w:t>
      </w:r>
    </w:p>
    <w:tbl>
      <w:tblPr>
        <w:tblStyle w:val="19"/>
        <w:tblpPr w:leftFromText="180" w:rightFromText="180" w:vertAnchor="text" w:horzAnchor="page" w:tblpX="1366" w:tblpY="672"/>
        <w:tblOverlap w:val="never"/>
        <w:tblW w:w="924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9"/>
        <w:gridCol w:w="8363"/>
      </w:tblGrid>
      <w:tr w14:paraId="15AB18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879" w:type="dxa"/>
            <w:noWrap w:val="0"/>
            <w:tcMar>
              <w:left w:w="28" w:type="dxa"/>
              <w:right w:w="28" w:type="dxa"/>
            </w:tcMar>
            <w:vAlign w:val="center"/>
          </w:tcPr>
          <w:p w14:paraId="4680F3A6">
            <w:pPr>
              <w:pStyle w:val="17"/>
              <w:adjustRightInd w:val="0"/>
              <w:snapToGrid w:val="0"/>
              <w:spacing w:before="0" w:beforeAutospacing="0" w:after="0" w:afterAutospacing="0"/>
              <w:jc w:val="center"/>
              <w:rPr>
                <w:rFonts w:cs="宋体"/>
                <w:bCs/>
                <w:kern w:val="2"/>
                <w:sz w:val="21"/>
                <w:szCs w:val="21"/>
                <w:highlight w:val="none"/>
              </w:rPr>
            </w:pPr>
            <w:bookmarkStart w:id="10" w:name="_Hlk49796138"/>
            <w:r>
              <w:rPr>
                <w:rFonts w:hint="eastAsia" w:cs="宋体"/>
                <w:bCs/>
                <w:spacing w:val="10"/>
                <w:kern w:val="2"/>
                <w:sz w:val="21"/>
                <w:szCs w:val="21"/>
                <w:highlight w:val="none"/>
              </w:rPr>
              <w:t>施工期生态环境影响分析</w:t>
            </w:r>
            <w:bookmarkEnd w:id="10"/>
          </w:p>
        </w:tc>
        <w:tc>
          <w:tcPr>
            <w:tcW w:w="8363" w:type="dxa"/>
            <w:noWrap w:val="0"/>
            <w:vAlign w:val="top"/>
          </w:tcPr>
          <w:p w14:paraId="128D084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一</w:t>
            </w:r>
            <w:r>
              <w:rPr>
                <w:rFonts w:hint="default" w:ascii="Times New Roman" w:hAnsi="Times New Roman" w:eastAsia="宋体" w:cs="Times New Roman"/>
                <w:b w:val="0"/>
                <w:bCs w:val="0"/>
                <w:sz w:val="24"/>
                <w:highlight w:val="none"/>
              </w:rPr>
              <w:t>、生态环境影响分析</w:t>
            </w:r>
          </w:p>
          <w:p w14:paraId="1CD950F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color w:val="000000"/>
                <w:kern w:val="0"/>
                <w:sz w:val="24"/>
                <w:szCs w:val="24"/>
                <w:highlight w:val="none"/>
                <w:lang w:val="en-US" w:eastAsia="zh-CN" w:bidi="ar"/>
              </w:rPr>
              <w:t xml:space="preserve">（1）工程占地影响分析 </w:t>
            </w:r>
          </w:p>
          <w:p w14:paraId="0201F52A">
            <w:pPr>
              <w:pStyle w:val="28"/>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本工程占地面积为</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164426.21m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kern w:val="0"/>
                <w:sz w:val="24"/>
                <w:szCs w:val="24"/>
                <w:highlight w:val="none"/>
                <w:lang w:val="en-US" w:eastAsia="zh-CN" w:bidi="ar"/>
              </w:rPr>
              <w:t>，其中永久占地</w:t>
            </w:r>
            <w:r>
              <w:rPr>
                <w:rFonts w:hint="default" w:ascii="Times New Roman" w:hAnsi="Times New Roman" w:eastAsia="宋体" w:cs="Times New Roman"/>
                <w:color w:val="auto"/>
                <w:spacing w:val="0"/>
                <w:sz w:val="24"/>
                <w:szCs w:val="24"/>
                <w:highlight w:val="none"/>
                <w:lang w:eastAsia="zh-CN"/>
              </w:rPr>
              <w:t>108915.3396</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kern w:val="0"/>
                <w:sz w:val="24"/>
                <w:szCs w:val="24"/>
                <w:highlight w:val="none"/>
                <w:lang w:val="en-US" w:eastAsia="zh-CN" w:bidi="ar"/>
              </w:rPr>
              <w:t>，主要</w:t>
            </w:r>
            <w:r>
              <w:rPr>
                <w:rFonts w:hint="eastAsia" w:cs="Times New Roman"/>
                <w:b w:val="0"/>
                <w:bCs w:val="0"/>
                <w:color w:val="000000"/>
                <w:kern w:val="0"/>
                <w:sz w:val="24"/>
                <w:szCs w:val="24"/>
                <w:highlight w:val="none"/>
                <w:lang w:val="en-US" w:eastAsia="zh-CN" w:bidi="ar"/>
              </w:rPr>
              <w:t>是蓄水池工程</w:t>
            </w:r>
            <w:r>
              <w:rPr>
                <w:rFonts w:hint="default" w:ascii="Times New Roman" w:hAnsi="Times New Roman" w:eastAsia="宋体" w:cs="Times New Roman"/>
                <w:b w:val="0"/>
                <w:bCs w:val="0"/>
                <w:color w:val="000000"/>
                <w:kern w:val="0"/>
                <w:sz w:val="24"/>
                <w:szCs w:val="24"/>
                <w:highlight w:val="none"/>
                <w:lang w:val="en-US" w:eastAsia="zh-CN" w:bidi="ar"/>
              </w:rPr>
              <w:t>占地</w:t>
            </w:r>
            <w:r>
              <w:rPr>
                <w:rFonts w:hint="eastAsia" w:cs="Times New Roman"/>
                <w:color w:val="auto"/>
                <w:spacing w:val="0"/>
                <w:kern w:val="0"/>
                <w:sz w:val="24"/>
                <w:szCs w:val="24"/>
                <w:highlight w:val="none"/>
                <w:lang w:val="en-US" w:eastAsia="zh-CN" w:bidi="ar"/>
              </w:rPr>
              <w:t>以及管道附属建筑物占地；蓄水池工程</w:t>
            </w:r>
            <w:r>
              <w:rPr>
                <w:rFonts w:hint="default" w:ascii="Times New Roman" w:hAnsi="Times New Roman" w:eastAsia="宋体" w:cs="Times New Roman"/>
                <w:color w:val="auto"/>
                <w:spacing w:val="0"/>
                <w:kern w:val="0"/>
                <w:sz w:val="24"/>
                <w:szCs w:val="24"/>
                <w:highlight w:val="none"/>
                <w:lang w:val="en-US" w:eastAsia="zh-CN" w:bidi="ar"/>
              </w:rPr>
              <w:t>占地</w:t>
            </w:r>
            <w:r>
              <w:rPr>
                <w:rFonts w:hint="default" w:ascii="Times New Roman" w:hAnsi="Times New Roman" w:eastAsia="宋体" w:cs="Times New Roman"/>
                <w:color w:val="000000" w:themeColor="text1"/>
                <w:spacing w:val="0"/>
                <w:kern w:val="2"/>
                <w:sz w:val="24"/>
                <w:szCs w:val="24"/>
                <w:highlight w:val="none"/>
                <w:lang w:eastAsia="zh-CN"/>
                <w14:textFill>
                  <w14:solidFill>
                    <w14:schemeClr w14:val="tx1"/>
                  </w14:solidFill>
                </w14:textFill>
              </w:rPr>
              <w:t>面积约</w:t>
            </w:r>
            <w:r>
              <w:rPr>
                <w:rFonts w:hint="default" w:ascii="Times New Roman" w:hAnsi="Times New Roman" w:eastAsia="宋体" w:cs="Times New Roman"/>
                <w:color w:val="auto"/>
                <w:spacing w:val="0"/>
                <w:sz w:val="24"/>
                <w:szCs w:val="24"/>
                <w:highlight w:val="none"/>
                <w:lang w:eastAsia="zh-CN"/>
              </w:rPr>
              <w:t>108854.97</w:t>
            </w:r>
            <w:r>
              <w:rPr>
                <w:rFonts w:hint="default" w:ascii="Times New Roman" w:hAnsi="Times New Roman" w:eastAsia="宋体" w:cs="Times New Roman"/>
                <w:color w:val="000000" w:themeColor="text1"/>
                <w:spacing w:val="0"/>
                <w:kern w:val="2"/>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0"/>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pacing w:val="0"/>
                <w:kern w:val="2"/>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color w:val="auto"/>
                <w:spacing w:val="0"/>
                <w:kern w:val="0"/>
                <w:sz w:val="24"/>
                <w:szCs w:val="24"/>
                <w:highlight w:val="none"/>
                <w:lang w:val="en-US" w:eastAsia="zh-CN" w:bidi="ar"/>
              </w:rPr>
              <w:t>包括蓄水池池体、</w:t>
            </w:r>
            <w:r>
              <w:rPr>
                <w:rFonts w:hint="default" w:ascii="Times New Roman" w:hAnsi="Times New Roman" w:eastAsia="宋体" w:cs="Times New Roman"/>
                <w:color w:val="auto"/>
                <w:spacing w:val="0"/>
                <w:sz w:val="24"/>
                <w:szCs w:val="24"/>
                <w:highlight w:val="none"/>
                <w:lang w:eastAsia="zh-CN"/>
              </w:rPr>
              <w:t>坝顶道路</w:t>
            </w:r>
            <w:r>
              <w:rPr>
                <w:rFonts w:hint="default" w:ascii="Times New Roman" w:hAnsi="Times New Roman" w:eastAsia="宋体" w:cs="Times New Roman"/>
                <w:spacing w:val="0"/>
                <w:sz w:val="24"/>
                <w:szCs w:val="24"/>
                <w:highlight w:val="none"/>
                <w:lang w:eastAsia="zh-CN"/>
              </w:rPr>
              <w:t>以及蓄水池</w:t>
            </w:r>
            <w:r>
              <w:rPr>
                <w:rFonts w:hint="default" w:ascii="Times New Roman" w:hAnsi="Times New Roman" w:eastAsia="宋体" w:cs="Times New Roman"/>
                <w:spacing w:val="0"/>
                <w:sz w:val="24"/>
                <w:szCs w:val="24"/>
                <w:highlight w:val="none"/>
                <w:lang w:val="en-US" w:eastAsia="zh-CN"/>
              </w:rPr>
              <w:t>绿化带</w:t>
            </w:r>
            <w:r>
              <w:rPr>
                <w:rFonts w:hint="default" w:ascii="Times New Roman" w:hAnsi="Times New Roman" w:eastAsia="宋体" w:cs="Times New Roman"/>
                <w:spacing w:val="0"/>
                <w:sz w:val="24"/>
                <w:szCs w:val="24"/>
                <w:highlight w:val="none"/>
                <w:lang w:eastAsia="zh-CN"/>
              </w:rPr>
              <w:t>工程</w:t>
            </w:r>
            <w:r>
              <w:rPr>
                <w:rFonts w:hint="eastAsia" w:cs="Times New Roman"/>
                <w:color w:val="000000" w:themeColor="text1"/>
                <w:spacing w:val="0"/>
                <w:kern w:val="2"/>
                <w:sz w:val="24"/>
                <w:szCs w:val="24"/>
                <w:highlight w:val="none"/>
                <w:vertAlign w:val="baseline"/>
                <w:lang w:val="en-US" w:eastAsia="zh-CN"/>
                <w14:textFill>
                  <w14:solidFill>
                    <w14:schemeClr w14:val="tx1"/>
                  </w14:solidFill>
                </w14:textFill>
              </w:rPr>
              <w:t>；</w:t>
            </w:r>
            <w:r>
              <w:rPr>
                <w:rFonts w:hint="eastAsia" w:cs="Times New Roman"/>
                <w:color w:val="auto"/>
                <w:spacing w:val="0"/>
                <w:kern w:val="0"/>
                <w:sz w:val="24"/>
                <w:szCs w:val="24"/>
                <w:highlight w:val="none"/>
                <w:lang w:val="en-US" w:eastAsia="zh-CN" w:bidi="ar"/>
              </w:rPr>
              <w:t>管道附属建筑物主要是</w:t>
            </w:r>
            <w:r>
              <w:rPr>
                <w:rFonts w:hint="eastAsia" w:cs="Times New Roman"/>
                <w:color w:val="000000" w:themeColor="text1"/>
                <w:spacing w:val="0"/>
                <w:kern w:val="2"/>
                <w:sz w:val="24"/>
                <w:szCs w:val="24"/>
                <w:highlight w:val="none"/>
                <w:vertAlign w:val="baseline"/>
                <w:lang w:val="en-US" w:eastAsia="zh-CN"/>
                <w14:textFill>
                  <w14:solidFill>
                    <w14:schemeClr w14:val="tx1"/>
                  </w14:solidFill>
                </w14:textFill>
              </w:rPr>
              <w:t>排气井、阀井、排泥井，总</w:t>
            </w:r>
            <w:r>
              <w:rPr>
                <w:rFonts w:hint="default" w:ascii="Times New Roman" w:hAnsi="Times New Roman" w:eastAsia="宋体" w:cs="Times New Roman"/>
                <w:color w:val="auto"/>
                <w:spacing w:val="0"/>
                <w:kern w:val="0"/>
                <w:sz w:val="24"/>
                <w:szCs w:val="24"/>
                <w:highlight w:val="none"/>
                <w:lang w:val="en-US" w:eastAsia="zh-CN" w:bidi="ar"/>
              </w:rPr>
              <w:t>占地</w:t>
            </w:r>
            <w:r>
              <w:rPr>
                <w:rFonts w:hint="default" w:ascii="Times New Roman" w:hAnsi="Times New Roman" w:eastAsia="宋体" w:cs="Times New Roman"/>
                <w:color w:val="000000" w:themeColor="text1"/>
                <w:spacing w:val="0"/>
                <w:kern w:val="2"/>
                <w:sz w:val="24"/>
                <w:szCs w:val="24"/>
                <w:highlight w:val="none"/>
                <w:lang w:eastAsia="zh-CN"/>
                <w14:textFill>
                  <w14:solidFill>
                    <w14:schemeClr w14:val="tx1"/>
                  </w14:solidFill>
                </w14:textFill>
              </w:rPr>
              <w:t>面积约</w:t>
            </w:r>
            <w:r>
              <w:rPr>
                <w:rFonts w:hint="default" w:ascii="Times New Roman" w:hAnsi="Times New Roman" w:eastAsia="宋体" w:cs="Times New Roman"/>
                <w:color w:val="000000" w:themeColor="text1"/>
                <w:spacing w:val="0"/>
                <w:kern w:val="2"/>
                <w:sz w:val="24"/>
                <w:szCs w:val="24"/>
                <w:highlight w:val="none"/>
                <w:lang w:val="en-US" w:eastAsia="zh-CN"/>
                <w14:textFill>
                  <w14:solidFill>
                    <w14:schemeClr w14:val="tx1"/>
                  </w14:solidFill>
                </w14:textFill>
              </w:rPr>
              <w:t>60.3696m</w:t>
            </w:r>
            <w:r>
              <w:rPr>
                <w:rFonts w:hint="default" w:ascii="Times New Roman" w:hAnsi="Times New Roman" w:eastAsia="宋体" w:cs="Times New Roman"/>
                <w:color w:val="000000" w:themeColor="text1"/>
                <w:spacing w:val="0"/>
                <w:kern w:val="2"/>
                <w:sz w:val="24"/>
                <w:szCs w:val="24"/>
                <w:highlight w:val="none"/>
                <w:vertAlign w:val="superscript"/>
                <w:lang w:val="en-US" w:eastAsia="zh-CN"/>
                <w14:textFill>
                  <w14:solidFill>
                    <w14:schemeClr w14:val="tx1"/>
                  </w14:solidFill>
                </w14:textFill>
              </w:rPr>
              <w:t>2</w:t>
            </w:r>
            <w:r>
              <w:rPr>
                <w:rFonts w:hint="eastAsia" w:cs="Times New Roman"/>
                <w:b w:val="0"/>
                <w:bCs w:val="0"/>
                <w:color w:val="000000"/>
                <w:kern w:val="0"/>
                <w:sz w:val="24"/>
                <w:szCs w:val="24"/>
                <w:highlight w:val="none"/>
                <w:lang w:val="en-US" w:eastAsia="zh-CN" w:bidi="ar"/>
              </w:rPr>
              <w:t>，永久占地类型为沙地。</w:t>
            </w:r>
            <w:r>
              <w:rPr>
                <w:rFonts w:hint="default" w:ascii="Times New Roman" w:hAnsi="Times New Roman" w:eastAsia="宋体" w:cs="Times New Roman"/>
                <w:b w:val="0"/>
                <w:bCs w:val="0"/>
                <w:color w:val="000000"/>
                <w:kern w:val="0"/>
                <w:sz w:val="24"/>
                <w:szCs w:val="24"/>
                <w:highlight w:val="none"/>
                <w:lang w:val="en-US" w:eastAsia="zh-CN" w:bidi="ar"/>
              </w:rPr>
              <w:t>临时</w:t>
            </w:r>
            <w:r>
              <w:rPr>
                <w:rFonts w:hint="eastAsia" w:cs="Times New Roman"/>
                <w:b w:val="0"/>
                <w:bCs w:val="0"/>
                <w:color w:val="000000"/>
                <w:kern w:val="0"/>
                <w:sz w:val="24"/>
                <w:szCs w:val="24"/>
                <w:highlight w:val="none"/>
                <w:lang w:val="en-US" w:eastAsia="zh-CN" w:bidi="ar"/>
              </w:rPr>
              <w:t>占</w:t>
            </w:r>
            <w:r>
              <w:rPr>
                <w:rFonts w:hint="default" w:ascii="Times New Roman" w:hAnsi="Times New Roman" w:eastAsia="宋体" w:cs="Times New Roman"/>
                <w:b w:val="0"/>
                <w:bCs w:val="0"/>
                <w:color w:val="000000"/>
                <w:kern w:val="0"/>
                <w:sz w:val="24"/>
                <w:szCs w:val="24"/>
                <w:highlight w:val="none"/>
                <w:lang w:val="en-US" w:eastAsia="zh-CN" w:bidi="ar"/>
              </w:rPr>
              <w:t>地主要</w:t>
            </w:r>
            <w:r>
              <w:rPr>
                <w:rFonts w:hint="eastAsia" w:cs="Times New Roman"/>
                <w:b w:val="0"/>
                <w:bCs w:val="0"/>
                <w:color w:val="000000"/>
                <w:kern w:val="0"/>
                <w:sz w:val="24"/>
                <w:szCs w:val="24"/>
                <w:highlight w:val="none"/>
                <w:lang w:val="en-US" w:eastAsia="zh-CN" w:bidi="ar"/>
              </w:rPr>
              <w:t>是输水管线</w:t>
            </w:r>
            <w:r>
              <w:rPr>
                <w:rFonts w:hint="default" w:ascii="Times New Roman" w:hAnsi="Times New Roman" w:eastAsia="宋体" w:cs="Times New Roman"/>
                <w:color w:val="auto"/>
                <w:spacing w:val="0"/>
                <w:sz w:val="24"/>
                <w:szCs w:val="24"/>
                <w:highlight w:val="none"/>
                <w:lang w:eastAsia="zh-CN"/>
              </w:rPr>
              <w:t>施工</w:t>
            </w:r>
            <w:r>
              <w:rPr>
                <w:rFonts w:hint="default" w:ascii="Times New Roman" w:hAnsi="Times New Roman" w:eastAsia="宋体" w:cs="Times New Roman"/>
                <w:b w:val="0"/>
                <w:bCs w:val="0"/>
                <w:color w:val="000000"/>
                <w:kern w:val="0"/>
                <w:sz w:val="24"/>
                <w:szCs w:val="24"/>
                <w:highlight w:val="none"/>
                <w:lang w:val="en-US" w:eastAsia="zh-CN" w:bidi="ar"/>
              </w:rPr>
              <w:t>占地，施工生产生活区</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临时仓库位于蓄水池工程占地范围内，不新增临时占地。</w:t>
            </w:r>
          </w:p>
          <w:p w14:paraId="504108F9">
            <w:pPr>
              <w:pStyle w:val="28"/>
              <w:keepNext w:val="0"/>
              <w:keepLines w:val="0"/>
              <w:pageBreakBefore w:val="0"/>
              <w:widowControl w:val="0"/>
              <w:kinsoku/>
              <w:wordWrap/>
              <w:overflowPunct/>
              <w:topLinePunct w:val="0"/>
              <w:autoSpaceDE/>
              <w:autoSpaceDN/>
              <w:bidi w:val="0"/>
              <w:adjustRightInd/>
              <w:spacing w:line="360" w:lineRule="auto"/>
              <w:jc w:val="both"/>
              <w:textAlignment w:val="auto"/>
              <w:rPr>
                <w:rFonts w:hint="default"/>
                <w:highlight w:val="none"/>
                <w:lang w:val="en-US" w:eastAsia="zh-CN"/>
              </w:rPr>
            </w:pPr>
            <w:r>
              <w:rPr>
                <w:spacing w:val="-3"/>
                <w:sz w:val="24"/>
                <w:szCs w:val="24"/>
                <w:highlight w:val="none"/>
              </w:rPr>
              <w:t>工程建设使</w:t>
            </w:r>
            <w:r>
              <w:rPr>
                <w:rFonts w:hint="eastAsia" w:cs="Times New Roman"/>
                <w:b w:val="0"/>
                <w:bCs w:val="0"/>
                <w:color w:val="000000"/>
                <w:kern w:val="0"/>
                <w:sz w:val="24"/>
                <w:szCs w:val="24"/>
                <w:highlight w:val="none"/>
                <w:lang w:val="en-US" w:eastAsia="zh-CN" w:bidi="ar"/>
              </w:rPr>
              <w:t>永久占地由原来的沙地被各类人工构造物长期取代，这部分占地的土地利用类型将发生彻底的改变。本项目临时占地不可避免地会对原有地表造成破坏，导致原有土壤－植被自然体系受到影响或瓦解，从而影响土地的原有使用功能。建设单位应在施工结束后及时对临时占地区域采取沙柳网格沙障等防风固沙措施，尽可能减小施工对临时占地带来的影响。本项目临时占地在施工期结束后</w:t>
            </w:r>
            <w:r>
              <w:rPr>
                <w:rFonts w:hint="eastAsia"/>
                <w:sz w:val="24"/>
                <w:highlight w:val="none"/>
              </w:rPr>
              <w:t>进行土地整治，在</w:t>
            </w:r>
            <w:r>
              <w:rPr>
                <w:rFonts w:hint="eastAsia" w:cs="Times New Roman"/>
                <w:b w:val="0"/>
                <w:bCs w:val="0"/>
                <w:color w:val="000000"/>
                <w:kern w:val="0"/>
                <w:sz w:val="24"/>
                <w:szCs w:val="24"/>
                <w:highlight w:val="none"/>
                <w:lang w:val="en-US" w:eastAsia="zh-CN" w:bidi="ar"/>
              </w:rPr>
              <w:t>临时占地区域</w:t>
            </w:r>
            <w:r>
              <w:rPr>
                <w:rFonts w:hint="eastAsia"/>
                <w:sz w:val="24"/>
                <w:highlight w:val="none"/>
              </w:rPr>
              <w:t>实施沙柳网格沙障，并在沙障内撒播种草。</w:t>
            </w:r>
            <w:r>
              <w:rPr>
                <w:rFonts w:hint="eastAsia" w:cs="Times New Roman"/>
                <w:b w:val="0"/>
                <w:bCs w:val="0"/>
                <w:color w:val="000000"/>
                <w:kern w:val="0"/>
                <w:sz w:val="24"/>
                <w:szCs w:val="24"/>
                <w:highlight w:val="none"/>
                <w:lang w:val="en-US" w:eastAsia="zh-CN" w:bidi="ar"/>
              </w:rPr>
              <w:t>随着施工期的结束，工程占地的影响将会逐渐减弱。施工期临时占地对土地利用的影响较小。</w:t>
            </w:r>
          </w:p>
          <w:p w14:paraId="4B7D64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lang w:val="en-US" w:eastAsia="zh-CN"/>
              </w:rPr>
              <w:t>2</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对植物的影响</w:t>
            </w:r>
          </w:p>
          <w:p w14:paraId="1EC08B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kern w:val="0"/>
                <w:sz w:val="24"/>
                <w:szCs w:val="24"/>
                <w:highlight w:val="none"/>
                <w:lang w:val="en-US" w:eastAsia="zh-CN"/>
              </w:rPr>
            </w:pPr>
            <w:r>
              <w:rPr>
                <w:rFonts w:hint="default" w:ascii="Times New Roman" w:hAnsi="Times New Roman" w:eastAsia="宋体" w:cs="Times New Roman"/>
                <w:b w:val="0"/>
                <w:bCs w:val="0"/>
                <w:sz w:val="24"/>
                <w:szCs w:val="24"/>
                <w:highlight w:val="none"/>
                <w:lang w:eastAsia="zh-CN"/>
              </w:rPr>
              <w:t>施工过程</w:t>
            </w:r>
            <w:r>
              <w:rPr>
                <w:rFonts w:hint="eastAsia"/>
                <w:kern w:val="0"/>
                <w:sz w:val="24"/>
                <w:szCs w:val="24"/>
                <w:highlight w:val="none"/>
                <w:lang w:val="en-US" w:eastAsia="zh-CN"/>
              </w:rPr>
              <w:t>对植被环境影响最大的是占地对地表植被的扰动和破坏。</w:t>
            </w:r>
            <w:r>
              <w:rPr>
                <w:rFonts w:hint="eastAsia"/>
                <w:kern w:val="0"/>
                <w:sz w:val="24"/>
                <w:szCs w:val="24"/>
                <w:highlight w:val="none"/>
              </w:rPr>
              <w:t>项目所在区域</w:t>
            </w:r>
            <w:r>
              <w:rPr>
                <w:rFonts w:hint="eastAsia"/>
                <w:kern w:val="0"/>
                <w:sz w:val="24"/>
                <w:szCs w:val="24"/>
                <w:highlight w:val="none"/>
                <w:lang w:eastAsia="zh-CN"/>
              </w:rPr>
              <w:t>主要</w:t>
            </w:r>
            <w:r>
              <w:rPr>
                <w:rFonts w:hint="eastAsia"/>
                <w:kern w:val="0"/>
                <w:sz w:val="24"/>
                <w:szCs w:val="24"/>
                <w:highlight w:val="none"/>
              </w:rPr>
              <w:t>为沙地</w:t>
            </w:r>
            <w:r>
              <w:rPr>
                <w:rFonts w:hint="eastAsia"/>
                <w:kern w:val="0"/>
                <w:sz w:val="24"/>
                <w:szCs w:val="24"/>
                <w:highlight w:val="none"/>
                <w:lang w:eastAsia="zh-CN"/>
              </w:rPr>
              <w:t>和少部分其他草地；</w:t>
            </w:r>
            <w:r>
              <w:rPr>
                <w:rFonts w:hint="eastAsia"/>
                <w:kern w:val="0"/>
                <w:sz w:val="24"/>
                <w:szCs w:val="24"/>
                <w:highlight w:val="none"/>
                <w:lang w:val="en-US" w:eastAsia="zh-CN"/>
              </w:rPr>
              <w:t>本项目所在区域地表植被稀疏，植物种类贫乏，</w:t>
            </w:r>
            <w:r>
              <w:rPr>
                <w:rFonts w:hint="default" w:ascii="Times New Roman" w:hAnsi="Times New Roman" w:eastAsia="宋体" w:cs="Times New Roman"/>
                <w:b w:val="0"/>
                <w:bCs w:val="0"/>
                <w:sz w:val="24"/>
                <w:szCs w:val="24"/>
                <w:highlight w:val="none"/>
                <w:lang w:val="en-US" w:eastAsia="zh-CN"/>
              </w:rPr>
              <w:t>项目建设影响的多为本地区常见植物种类，</w:t>
            </w:r>
            <w:r>
              <w:rPr>
                <w:rFonts w:hint="eastAsia"/>
                <w:kern w:val="0"/>
                <w:sz w:val="24"/>
                <w:szCs w:val="24"/>
                <w:highlight w:val="none"/>
              </w:rPr>
              <w:t>植被覆盖度较低</w:t>
            </w:r>
            <w:r>
              <w:rPr>
                <w:rFonts w:hint="eastAsia"/>
                <w:kern w:val="0"/>
                <w:sz w:val="24"/>
                <w:szCs w:val="24"/>
                <w:highlight w:val="none"/>
                <w:lang w:val="en-US" w:eastAsia="zh-CN"/>
              </w:rPr>
              <w:t>，且未发现珍稀保护野生植物的分布</w:t>
            </w:r>
            <w:r>
              <w:rPr>
                <w:rFonts w:hint="eastAsia"/>
                <w:kern w:val="0"/>
                <w:sz w:val="24"/>
                <w:szCs w:val="24"/>
                <w:highlight w:val="none"/>
                <w:lang w:eastAsia="zh-CN"/>
              </w:rPr>
              <w:t>。</w:t>
            </w:r>
            <w:r>
              <w:rPr>
                <w:rFonts w:hint="eastAsia"/>
                <w:kern w:val="0"/>
                <w:sz w:val="24"/>
                <w:szCs w:val="24"/>
                <w:highlight w:val="none"/>
              </w:rPr>
              <w:t>根据生态解译结果，项目占地范围内</w:t>
            </w:r>
            <w:r>
              <w:rPr>
                <w:rFonts w:hint="eastAsia"/>
                <w:kern w:val="0"/>
                <w:sz w:val="24"/>
                <w:szCs w:val="24"/>
                <w:highlight w:val="none"/>
                <w:lang w:eastAsia="zh-CN"/>
              </w:rPr>
              <w:t>主要裸沙</w:t>
            </w:r>
            <w:r>
              <w:rPr>
                <w:rFonts w:hint="eastAsia"/>
                <w:kern w:val="0"/>
                <w:sz w:val="24"/>
                <w:szCs w:val="24"/>
                <w:highlight w:val="none"/>
                <w:lang w:val="en-US" w:eastAsia="zh-CN"/>
              </w:rPr>
              <w:t>占项目区面积的97.67%；</w:t>
            </w:r>
            <w:r>
              <w:rPr>
                <w:rFonts w:hint="eastAsia"/>
                <w:kern w:val="0"/>
                <w:sz w:val="24"/>
                <w:szCs w:val="24"/>
                <w:highlight w:val="none"/>
              </w:rPr>
              <w:t>占地范围内</w:t>
            </w:r>
            <w:r>
              <w:rPr>
                <w:rFonts w:hint="eastAsia"/>
                <w:kern w:val="0"/>
                <w:sz w:val="24"/>
                <w:szCs w:val="24"/>
                <w:highlight w:val="none"/>
                <w:lang w:eastAsia="zh-CN"/>
              </w:rPr>
              <w:t>主要</w:t>
            </w:r>
            <w:r>
              <w:rPr>
                <w:rFonts w:hint="eastAsia"/>
                <w:kern w:val="0"/>
                <w:sz w:val="24"/>
                <w:szCs w:val="24"/>
                <w:highlight w:val="none"/>
              </w:rPr>
              <w:t>影响的植被为沙蒿、沙竹</w:t>
            </w:r>
            <w:r>
              <w:rPr>
                <w:kern w:val="0"/>
                <w:sz w:val="24"/>
                <w:szCs w:val="24"/>
                <w:highlight w:val="none"/>
              </w:rPr>
              <w:t>，</w:t>
            </w:r>
            <w:r>
              <w:rPr>
                <w:rFonts w:hint="eastAsia"/>
                <w:kern w:val="0"/>
                <w:sz w:val="24"/>
                <w:szCs w:val="24"/>
                <w:highlight w:val="none"/>
                <w:lang w:val="en-US" w:eastAsia="zh-CN"/>
              </w:rPr>
              <w:t>占项目区面积的2.33%。</w:t>
            </w:r>
          </w:p>
          <w:p w14:paraId="52D7D4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kern w:val="0"/>
                <w:sz w:val="24"/>
                <w:szCs w:val="24"/>
                <w:highlight w:val="none"/>
              </w:rPr>
            </w:pPr>
            <w:r>
              <w:rPr>
                <w:rFonts w:hint="eastAsia"/>
                <w:kern w:val="0"/>
                <w:sz w:val="24"/>
                <w:szCs w:val="24"/>
                <w:highlight w:val="none"/>
              </w:rPr>
              <w:t>本项目开工建设时</w:t>
            </w:r>
            <w:r>
              <w:rPr>
                <w:kern w:val="0"/>
                <w:sz w:val="24"/>
                <w:szCs w:val="24"/>
                <w:highlight w:val="none"/>
              </w:rPr>
              <w:t>场地平整</w:t>
            </w:r>
            <w:r>
              <w:rPr>
                <w:rFonts w:hint="eastAsia"/>
                <w:kern w:val="0"/>
                <w:sz w:val="24"/>
                <w:szCs w:val="24"/>
                <w:highlight w:val="none"/>
              </w:rPr>
              <w:t>、</w:t>
            </w:r>
            <w:r>
              <w:rPr>
                <w:rFonts w:hint="eastAsia"/>
                <w:kern w:val="0"/>
                <w:sz w:val="24"/>
                <w:szCs w:val="24"/>
                <w:highlight w:val="none"/>
                <w:lang w:eastAsia="zh-CN"/>
              </w:rPr>
              <w:t>管道</w:t>
            </w:r>
            <w:r>
              <w:rPr>
                <w:rFonts w:hint="eastAsia"/>
                <w:kern w:val="0"/>
                <w:sz w:val="24"/>
                <w:szCs w:val="24"/>
                <w:highlight w:val="none"/>
              </w:rPr>
              <w:t>铺设</w:t>
            </w:r>
            <w:r>
              <w:rPr>
                <w:kern w:val="0"/>
                <w:sz w:val="24"/>
                <w:szCs w:val="24"/>
                <w:highlight w:val="none"/>
              </w:rPr>
              <w:t>等</w:t>
            </w:r>
            <w:r>
              <w:rPr>
                <w:rFonts w:hint="eastAsia"/>
                <w:kern w:val="0"/>
                <w:sz w:val="24"/>
                <w:szCs w:val="24"/>
                <w:highlight w:val="none"/>
              </w:rPr>
              <w:t>都将会</w:t>
            </w:r>
            <w:r>
              <w:rPr>
                <w:kern w:val="0"/>
                <w:sz w:val="24"/>
                <w:szCs w:val="24"/>
                <w:highlight w:val="none"/>
              </w:rPr>
              <w:t>破坏地表植被</w:t>
            </w:r>
            <w:r>
              <w:rPr>
                <w:rFonts w:hint="eastAsia"/>
                <w:kern w:val="0"/>
                <w:sz w:val="24"/>
                <w:szCs w:val="24"/>
                <w:highlight w:val="none"/>
              </w:rPr>
              <w:t>，</w:t>
            </w:r>
            <w:r>
              <w:rPr>
                <w:kern w:val="0"/>
                <w:sz w:val="24"/>
                <w:szCs w:val="24"/>
                <w:highlight w:val="none"/>
              </w:rPr>
              <w:t>对生态环境</w:t>
            </w:r>
            <w:r>
              <w:rPr>
                <w:rFonts w:hint="eastAsia"/>
                <w:kern w:val="0"/>
                <w:sz w:val="24"/>
                <w:szCs w:val="24"/>
                <w:highlight w:val="none"/>
              </w:rPr>
              <w:t>会</w:t>
            </w:r>
            <w:r>
              <w:rPr>
                <w:kern w:val="0"/>
                <w:sz w:val="24"/>
                <w:szCs w:val="24"/>
                <w:highlight w:val="none"/>
              </w:rPr>
              <w:t>造成</w:t>
            </w:r>
            <w:r>
              <w:rPr>
                <w:rFonts w:hint="eastAsia"/>
                <w:kern w:val="0"/>
                <w:sz w:val="24"/>
                <w:szCs w:val="24"/>
                <w:highlight w:val="none"/>
              </w:rPr>
              <w:t>一定</w:t>
            </w:r>
            <w:r>
              <w:rPr>
                <w:kern w:val="0"/>
                <w:sz w:val="24"/>
                <w:szCs w:val="24"/>
                <w:highlight w:val="none"/>
              </w:rPr>
              <w:t>影响</w:t>
            </w:r>
            <w:r>
              <w:rPr>
                <w:rFonts w:hint="eastAsia"/>
                <w:kern w:val="0"/>
                <w:sz w:val="24"/>
                <w:szCs w:val="24"/>
                <w:highlight w:val="none"/>
              </w:rPr>
              <w:t>，会进一步降低项目区的植被覆盖率。但</w:t>
            </w:r>
            <w:r>
              <w:rPr>
                <w:rFonts w:hint="default" w:ascii="Times New Roman" w:hAnsi="Times New Roman" w:eastAsia="宋体" w:cs="Times New Roman"/>
                <w:snapToGrid/>
                <w:color w:val="auto"/>
                <w:kern w:val="2"/>
                <w:sz w:val="24"/>
                <w:szCs w:val="24"/>
                <w:highlight w:val="none"/>
                <w:lang w:val="en-US" w:eastAsia="zh-CN" w:bidi="ar-SA"/>
              </w:rPr>
              <w:t>主体工程结束后对坝顶道路一侧进行绿化，蓄水池外边坡防护采用1m×1m沙柳枝条扦插成网格防护，形成</w:t>
            </w:r>
            <w:r>
              <w:rPr>
                <w:rFonts w:hint="eastAsia" w:ascii="Times New Roman" w:hAnsi="Times New Roman" w:eastAsia="宋体" w:cs="Times New Roman"/>
                <w:snapToGrid/>
                <w:color w:val="auto"/>
                <w:kern w:val="2"/>
                <w:sz w:val="24"/>
                <w:szCs w:val="24"/>
                <w:highlight w:val="none"/>
                <w:lang w:val="en-US" w:eastAsia="zh-CN" w:bidi="ar-SA"/>
              </w:rPr>
              <w:t>的</w:t>
            </w:r>
            <w:r>
              <w:rPr>
                <w:rFonts w:hint="default" w:ascii="Times New Roman" w:hAnsi="Times New Roman" w:eastAsia="宋体" w:cs="Times New Roman"/>
                <w:snapToGrid/>
                <w:color w:val="auto"/>
                <w:kern w:val="2"/>
                <w:sz w:val="24"/>
                <w:szCs w:val="24"/>
                <w:highlight w:val="none"/>
                <w:lang w:val="en-US" w:eastAsia="zh-CN" w:bidi="ar-SA"/>
              </w:rPr>
              <w:t>沙柳沙障内撒播草籽。蓄水池外周边50米设置沙障防护。</w:t>
            </w:r>
            <w:r>
              <w:rPr>
                <w:rFonts w:hint="eastAsia" w:cs="Times New Roman"/>
                <w:snapToGrid/>
                <w:color w:val="auto"/>
                <w:kern w:val="2"/>
                <w:sz w:val="24"/>
                <w:szCs w:val="24"/>
                <w:highlight w:val="none"/>
                <w:lang w:val="en-US" w:eastAsia="zh-CN" w:bidi="ar-SA"/>
              </w:rPr>
              <w:t>针对</w:t>
            </w:r>
            <w:r>
              <w:rPr>
                <w:rFonts w:hint="eastAsia" w:cs="Times New Roman"/>
                <w:b w:val="0"/>
                <w:bCs w:val="0"/>
                <w:color w:val="000000"/>
                <w:kern w:val="0"/>
                <w:sz w:val="24"/>
                <w:szCs w:val="24"/>
                <w:highlight w:val="none"/>
                <w:lang w:val="en-US" w:eastAsia="zh-CN" w:bidi="ar"/>
              </w:rPr>
              <w:t>临时占地区域，</w:t>
            </w:r>
            <w:r>
              <w:rPr>
                <w:rFonts w:hint="eastAsia"/>
                <w:sz w:val="24"/>
                <w:highlight w:val="none"/>
              </w:rPr>
              <w:t>实施沙柳网格沙障，并在沙障内撒播种草</w:t>
            </w:r>
            <w:r>
              <w:rPr>
                <w:rFonts w:hint="eastAsia"/>
                <w:sz w:val="24"/>
                <w:highlight w:val="none"/>
                <w:lang w:eastAsia="zh-CN"/>
              </w:rPr>
              <w:t>等措施</w:t>
            </w:r>
            <w:r>
              <w:rPr>
                <w:rFonts w:hint="eastAsia"/>
                <w:sz w:val="24"/>
                <w:highlight w:val="none"/>
              </w:rPr>
              <w:t>。</w:t>
            </w:r>
            <w:r>
              <w:rPr>
                <w:rFonts w:hint="eastAsia"/>
                <w:kern w:val="0"/>
                <w:sz w:val="24"/>
                <w:szCs w:val="24"/>
                <w:highlight w:val="none"/>
              </w:rPr>
              <w:t>项目区植被覆盖率会得到提升，可改善项目实施对生态环境的影响</w:t>
            </w:r>
            <w:r>
              <w:rPr>
                <w:kern w:val="0"/>
                <w:sz w:val="24"/>
                <w:szCs w:val="24"/>
                <w:highlight w:val="none"/>
              </w:rPr>
              <w:t>。</w:t>
            </w:r>
            <w:r>
              <w:rPr>
                <w:rFonts w:hint="eastAsia"/>
                <w:kern w:val="0"/>
                <w:sz w:val="24"/>
                <w:szCs w:val="24"/>
                <w:highlight w:val="none"/>
                <w:lang w:val="en-US" w:eastAsia="zh-CN"/>
              </w:rPr>
              <w:t>因此工程的建设对植被影响较小。</w:t>
            </w:r>
          </w:p>
          <w:p w14:paraId="0386AD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lang w:val="en-US" w:eastAsia="zh-CN"/>
              </w:rPr>
              <w:t>3</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对动物的影响</w:t>
            </w:r>
          </w:p>
          <w:p w14:paraId="188EE8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工程施工过程中，由于施工车辆噪声、人为活动干扰等因素，可能导致场地附近的动物产生回避行为，使其向外围迁移</w:t>
            </w:r>
            <w:r>
              <w:rPr>
                <w:rFonts w:hint="eastAsia"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工程场地范围内出现的频率会降低，但不会对野生动物的总体多样性产生影响。由于施工期较短，而场址相对整个地区来说范围又很小，项目区野生动物稀少</w:t>
            </w:r>
            <w:r>
              <w:rPr>
                <w:rFonts w:hint="eastAsia"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因此，施工期对周围环境的影响较小。</w:t>
            </w:r>
          </w:p>
          <w:p w14:paraId="51A237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lang w:val="en-US" w:eastAsia="zh-CN"/>
              </w:rPr>
              <w:t>4</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对水土流失的影响</w:t>
            </w:r>
          </w:p>
          <w:p w14:paraId="7284789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本项目水土流失主要为施工过程中由于施工扰动造成的水土流失</w:t>
            </w:r>
            <w:r>
              <w:rPr>
                <w:rFonts w:hint="eastAsia" w:ascii="Times New Roman" w:hAnsi="Times New Roman" w:eastAsia="宋体" w:cs="Times New Roman"/>
                <w:b w:val="0"/>
                <w:bCs w:val="0"/>
                <w:sz w:val="24"/>
                <w:szCs w:val="24"/>
                <w:highlight w:val="none"/>
                <w:lang w:val="en-US" w:eastAsia="zh-CN"/>
              </w:rPr>
              <w:t>。</w:t>
            </w:r>
            <w:r>
              <w:rPr>
                <w:rFonts w:hint="default" w:ascii="Times New Roman" w:hAnsi="Times New Roman" w:eastAsia="宋体" w:cs="Times New Roman"/>
                <w:b w:val="0"/>
                <w:bCs w:val="0"/>
                <w:sz w:val="24"/>
                <w:szCs w:val="24"/>
                <w:highlight w:val="none"/>
                <w:lang w:val="en-US" w:eastAsia="zh-CN"/>
              </w:rPr>
              <w:t>项目施工期间开挖和扰动地表，致使地表裸露、植被稀疏、土体松散，土壤抗蚀能力降低，在大风季节产生大量以风力侵蚀为主的水土流失，在雨季产生以水力侵蚀为主的水土流失。施工时应减少扰动面积，</w:t>
            </w:r>
            <w:r>
              <w:rPr>
                <w:rFonts w:hint="default" w:ascii="Times New Roman" w:hAnsi="Times New Roman" w:eastAsia="宋体" w:cs="Times New Roman"/>
                <w:b w:val="0"/>
                <w:bCs w:val="0"/>
                <w:sz w:val="24"/>
                <w:szCs w:val="24"/>
                <w:highlight w:val="none"/>
              </w:rPr>
              <w:t>注意</w:t>
            </w:r>
            <w:r>
              <w:rPr>
                <w:rFonts w:hint="eastAsia" w:ascii="Times New Roman" w:hAnsi="Times New Roman" w:eastAsia="宋体" w:cs="Times New Roman"/>
                <w:b w:val="0"/>
                <w:bCs w:val="0"/>
                <w:sz w:val="24"/>
                <w:szCs w:val="24"/>
                <w:highlight w:val="none"/>
                <w:lang w:eastAsia="zh-CN"/>
              </w:rPr>
              <w:t>临时堆土</w:t>
            </w:r>
            <w:r>
              <w:rPr>
                <w:rFonts w:hint="default" w:ascii="Times New Roman" w:hAnsi="Times New Roman" w:eastAsia="宋体" w:cs="Times New Roman"/>
                <w:b w:val="0"/>
                <w:bCs w:val="0"/>
                <w:sz w:val="24"/>
                <w:szCs w:val="24"/>
                <w:highlight w:val="none"/>
              </w:rPr>
              <w:t>的堆放及防护问题</w:t>
            </w:r>
            <w:r>
              <w:rPr>
                <w:rFonts w:hint="default" w:ascii="Times New Roman" w:hAnsi="Times New Roman" w:eastAsia="宋体" w:cs="Times New Roman"/>
                <w:b w:val="0"/>
                <w:bCs w:val="0"/>
                <w:sz w:val="24"/>
                <w:szCs w:val="24"/>
                <w:highlight w:val="none"/>
                <w:lang w:val="en-US" w:eastAsia="zh-CN"/>
              </w:rPr>
              <w:t>，合理选择施工季节，避免在大风多雨季节进行施工，减少水土流失的产生。</w:t>
            </w:r>
          </w:p>
          <w:p w14:paraId="5CFC232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二</w:t>
            </w:r>
            <w:r>
              <w:rPr>
                <w:rFonts w:hint="default" w:ascii="Times New Roman" w:hAnsi="Times New Roman" w:eastAsia="宋体" w:cs="Times New Roman"/>
                <w:b w:val="0"/>
                <w:bCs w:val="0"/>
                <w:sz w:val="24"/>
                <w:highlight w:val="none"/>
              </w:rPr>
              <w:t>、</w:t>
            </w:r>
            <w:r>
              <w:rPr>
                <w:rFonts w:hint="default" w:ascii="Times New Roman" w:hAnsi="Times New Roman" w:eastAsia="宋体" w:cs="Times New Roman"/>
                <w:b w:val="0"/>
                <w:bCs w:val="0"/>
                <w:sz w:val="24"/>
                <w:highlight w:val="none"/>
                <w:lang w:val="en-US" w:eastAsia="zh-CN"/>
              </w:rPr>
              <w:t>大气环境影响分析</w:t>
            </w:r>
          </w:p>
          <w:p w14:paraId="23E976E4">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本项目施工废气包括施工扬尘、</w:t>
            </w:r>
            <w:r>
              <w:rPr>
                <w:rFonts w:hint="eastAsia" w:cs="Times New Roman"/>
                <w:b w:val="0"/>
                <w:bCs w:val="0"/>
                <w:sz w:val="24"/>
                <w:highlight w:val="none"/>
                <w:lang w:val="en-US" w:eastAsia="zh-CN"/>
              </w:rPr>
              <w:t>焊接废气、</w:t>
            </w:r>
            <w:r>
              <w:rPr>
                <w:rFonts w:hint="default" w:ascii="Times New Roman" w:hAnsi="Times New Roman" w:eastAsia="宋体" w:cs="Times New Roman"/>
                <w:b w:val="0"/>
                <w:bCs w:val="0"/>
                <w:sz w:val="24"/>
                <w:highlight w:val="none"/>
                <w:lang w:val="en-US" w:eastAsia="zh-CN"/>
              </w:rPr>
              <w:t>施工机械与运输车辆尾气等。</w:t>
            </w:r>
          </w:p>
          <w:p w14:paraId="6026AF97">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eastAsia="zh-CN"/>
              </w:rPr>
              <w:t>（</w:t>
            </w:r>
            <w:r>
              <w:rPr>
                <w:rFonts w:hint="default" w:ascii="Times New Roman" w:hAnsi="Times New Roman" w:eastAsia="宋体" w:cs="Times New Roman"/>
                <w:b w:val="0"/>
                <w:bCs w:val="0"/>
                <w:sz w:val="24"/>
                <w:highlight w:val="none"/>
                <w:lang w:val="en-US" w:eastAsia="zh-CN"/>
              </w:rPr>
              <w:t>1</w:t>
            </w:r>
            <w:r>
              <w:rPr>
                <w:rFonts w:hint="default" w:ascii="Times New Roman" w:hAnsi="Times New Roman" w:eastAsia="宋体" w:cs="Times New Roman"/>
                <w:b w:val="0"/>
                <w:bCs w:val="0"/>
                <w:sz w:val="24"/>
                <w:highlight w:val="none"/>
                <w:lang w:eastAsia="zh-CN"/>
              </w:rPr>
              <w:t>）</w:t>
            </w:r>
            <w:r>
              <w:rPr>
                <w:rFonts w:hint="default" w:ascii="Times New Roman" w:hAnsi="Times New Roman" w:eastAsia="宋体" w:cs="Times New Roman"/>
                <w:b w:val="0"/>
                <w:bCs w:val="0"/>
                <w:sz w:val="24"/>
                <w:highlight w:val="none"/>
              </w:rPr>
              <w:t>施工扬尘</w:t>
            </w:r>
          </w:p>
          <w:p w14:paraId="172A3FFB">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rPr>
              <w:t>施工</w:t>
            </w:r>
            <w:r>
              <w:rPr>
                <w:rFonts w:hint="default" w:ascii="Times New Roman" w:hAnsi="Times New Roman" w:eastAsia="宋体" w:cs="Times New Roman"/>
                <w:b w:val="0"/>
                <w:bCs w:val="0"/>
                <w:sz w:val="24"/>
                <w:highlight w:val="none"/>
                <w:lang w:val="en-US" w:eastAsia="zh-CN"/>
              </w:rPr>
              <w:t>扬尘主要来自：土石方扬尘</w:t>
            </w:r>
            <w:r>
              <w:rPr>
                <w:rFonts w:hint="eastAsia" w:cs="Times New Roman"/>
                <w:b w:val="0"/>
                <w:bCs w:val="0"/>
                <w:sz w:val="24"/>
                <w:highlight w:val="none"/>
                <w:lang w:val="en-US" w:eastAsia="zh-CN"/>
              </w:rPr>
              <w:t>、</w:t>
            </w:r>
            <w:r>
              <w:rPr>
                <w:rFonts w:hint="default" w:ascii="Times New Roman" w:hAnsi="Times New Roman" w:eastAsia="宋体" w:cs="Times New Roman"/>
                <w:b w:val="0"/>
                <w:bCs w:val="0"/>
                <w:sz w:val="24"/>
                <w:highlight w:val="none"/>
                <w:lang w:val="en-US" w:eastAsia="zh-CN"/>
              </w:rPr>
              <w:t>材料堆放等产生的扬尘</w:t>
            </w:r>
            <w:r>
              <w:rPr>
                <w:rFonts w:hint="eastAsia" w:cs="Times New Roman"/>
                <w:b w:val="0"/>
                <w:bCs w:val="0"/>
                <w:sz w:val="24"/>
                <w:highlight w:val="none"/>
                <w:lang w:val="en-US" w:eastAsia="zh-CN"/>
              </w:rPr>
              <w:t>和</w:t>
            </w:r>
            <w:r>
              <w:rPr>
                <w:rFonts w:hint="default" w:ascii="Times New Roman" w:hAnsi="Times New Roman" w:eastAsia="宋体" w:cs="Times New Roman"/>
                <w:b w:val="0"/>
                <w:bCs w:val="0"/>
                <w:sz w:val="24"/>
                <w:highlight w:val="none"/>
                <w:lang w:val="en-US" w:eastAsia="zh-CN"/>
              </w:rPr>
              <w:t>运输</w:t>
            </w:r>
            <w:r>
              <w:rPr>
                <w:rFonts w:hint="default" w:ascii="Times New Roman" w:hAnsi="Times New Roman" w:eastAsia="宋体" w:cs="Times New Roman"/>
                <w:b w:val="0"/>
                <w:bCs w:val="0"/>
                <w:sz w:val="24"/>
                <w:highlight w:val="none"/>
              </w:rPr>
              <w:t>道路扬尘</w:t>
            </w:r>
            <w:r>
              <w:rPr>
                <w:rFonts w:hint="default" w:ascii="Times New Roman" w:hAnsi="Times New Roman" w:eastAsia="宋体" w:cs="Times New Roman"/>
                <w:b w:val="0"/>
                <w:bCs w:val="0"/>
                <w:sz w:val="24"/>
                <w:highlight w:val="none"/>
                <w:lang w:val="en-US" w:eastAsia="zh-CN"/>
              </w:rPr>
              <w:t xml:space="preserve">。 </w:t>
            </w:r>
          </w:p>
          <w:p w14:paraId="77BD2191">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eastAsia" w:ascii="东文宋体" w:hAnsi="东文宋体" w:eastAsia="东文宋体" w:cs="东文宋体"/>
                <w:b w:val="0"/>
                <w:bCs w:val="0"/>
                <w:sz w:val="24"/>
                <w:highlight w:val="none"/>
                <w:lang w:val="en-US" w:eastAsia="zh-CN"/>
              </w:rPr>
              <w:t>①</w:t>
            </w:r>
            <w:r>
              <w:rPr>
                <w:rFonts w:hint="default" w:ascii="Times New Roman" w:hAnsi="Times New Roman" w:eastAsia="宋体" w:cs="Times New Roman"/>
                <w:b w:val="0"/>
                <w:bCs w:val="0"/>
                <w:sz w:val="24"/>
                <w:highlight w:val="none"/>
                <w:lang w:val="en-US" w:eastAsia="zh-CN"/>
              </w:rPr>
              <w:t>土石方扬尘</w:t>
            </w:r>
          </w:p>
          <w:p w14:paraId="1D53FB96">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项目施工期间</w:t>
            </w:r>
            <w:r>
              <w:rPr>
                <w:rFonts w:hint="eastAsia" w:cs="Times New Roman"/>
                <w:b w:val="0"/>
                <w:bCs w:val="0"/>
                <w:sz w:val="24"/>
                <w:highlight w:val="none"/>
                <w:lang w:val="en-US" w:eastAsia="zh-CN"/>
              </w:rPr>
              <w:t>，</w:t>
            </w:r>
            <w:r>
              <w:rPr>
                <w:rFonts w:hint="default" w:ascii="Times New Roman" w:hAnsi="Times New Roman" w:eastAsia="宋体" w:cs="Times New Roman"/>
                <w:b w:val="0"/>
                <w:bCs w:val="0"/>
                <w:sz w:val="24"/>
                <w:highlight w:val="none"/>
                <w:lang w:val="en-US" w:eastAsia="zh-CN"/>
              </w:rPr>
              <w:t>基础开挖、填垫整地、临建工程修建等过程</w:t>
            </w:r>
            <w:r>
              <w:rPr>
                <w:rFonts w:hint="eastAsia" w:cs="Times New Roman"/>
                <w:b w:val="0"/>
                <w:bCs w:val="0"/>
                <w:sz w:val="24"/>
                <w:highlight w:val="none"/>
                <w:lang w:val="en-US" w:eastAsia="zh-CN"/>
              </w:rPr>
              <w:t>中</w:t>
            </w:r>
            <w:r>
              <w:rPr>
                <w:rFonts w:hint="default" w:ascii="Times New Roman" w:hAnsi="Times New Roman" w:eastAsia="宋体" w:cs="Times New Roman"/>
                <w:b w:val="0"/>
                <w:bCs w:val="0"/>
                <w:sz w:val="24"/>
                <w:highlight w:val="none"/>
                <w:lang w:val="en-US" w:eastAsia="zh-CN"/>
              </w:rPr>
              <w:t>会形成裸露地面，会产生扬尘</w:t>
            </w:r>
            <w:r>
              <w:rPr>
                <w:rFonts w:hint="eastAsia" w:cs="Times New Roman"/>
                <w:b w:val="0"/>
                <w:bCs w:val="0"/>
                <w:sz w:val="24"/>
                <w:highlight w:val="none"/>
                <w:lang w:val="en-US" w:eastAsia="zh-CN"/>
              </w:rPr>
              <w:t>。</w:t>
            </w:r>
            <w:r>
              <w:rPr>
                <w:rFonts w:hint="default" w:ascii="Times New Roman" w:hAnsi="Times New Roman" w:eastAsia="宋体" w:cs="Times New Roman"/>
                <w:b w:val="0"/>
                <w:bCs w:val="0"/>
                <w:sz w:val="24"/>
                <w:highlight w:val="none"/>
                <w:lang w:val="en-US" w:eastAsia="zh-CN"/>
              </w:rPr>
              <w:t>扬尘量大小与施工现场条件、施工管理水平、机械化程度高低及施工季节、时间长短，以及土质结构、天气条件等诸多因素关系密切。</w:t>
            </w:r>
          </w:p>
          <w:p w14:paraId="6F51AB84">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eastAsia" w:ascii="东文宋体" w:hAnsi="东文宋体" w:eastAsia="东文宋体" w:cs="东文宋体"/>
                <w:b w:val="0"/>
                <w:bCs w:val="0"/>
                <w:sz w:val="24"/>
                <w:highlight w:val="none"/>
                <w:lang w:val="en-US" w:eastAsia="zh-CN"/>
              </w:rPr>
              <w:t>②</w:t>
            </w:r>
            <w:r>
              <w:rPr>
                <w:rFonts w:hint="default" w:ascii="Times New Roman" w:hAnsi="Times New Roman" w:eastAsia="宋体" w:cs="Times New Roman"/>
                <w:b w:val="0"/>
                <w:bCs w:val="0"/>
                <w:sz w:val="24"/>
                <w:highlight w:val="none"/>
                <w:lang w:val="en-US" w:eastAsia="zh-CN"/>
              </w:rPr>
              <w:t xml:space="preserve">施工材料堆放等产生的扬尘 </w:t>
            </w:r>
          </w:p>
          <w:p w14:paraId="727B6C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eastAsia" w:cs="Times New Roman"/>
                <w:b w:val="0"/>
                <w:bCs w:val="0"/>
                <w:sz w:val="24"/>
                <w:highlight w:val="none"/>
                <w:lang w:val="en-US" w:eastAsia="zh-CN"/>
              </w:rPr>
              <w:t>本项目不设置拌合工序，</w:t>
            </w:r>
            <w:r>
              <w:rPr>
                <w:rFonts w:hint="default" w:ascii="Times New Roman" w:hAnsi="Times New Roman" w:eastAsia="宋体" w:cs="Times New Roman"/>
                <w:b w:val="0"/>
                <w:bCs w:val="0"/>
                <w:sz w:val="24"/>
                <w:highlight w:val="none"/>
                <w:lang w:val="en-US" w:eastAsia="zh-CN"/>
              </w:rPr>
              <w:t>施工场地建筑物料堆放也是造成扬尘污染</w:t>
            </w:r>
            <w:r>
              <w:rPr>
                <w:rFonts w:hint="eastAsia" w:cs="Times New Roman"/>
                <w:b w:val="0"/>
                <w:bCs w:val="0"/>
                <w:sz w:val="24"/>
                <w:highlight w:val="none"/>
                <w:lang w:val="en-US" w:eastAsia="zh-CN"/>
              </w:rPr>
              <w:t>的</w:t>
            </w:r>
            <w:r>
              <w:rPr>
                <w:rFonts w:hint="default" w:ascii="Times New Roman" w:hAnsi="Times New Roman" w:eastAsia="宋体" w:cs="Times New Roman"/>
                <w:b w:val="0"/>
                <w:bCs w:val="0"/>
                <w:sz w:val="24"/>
                <w:highlight w:val="none"/>
                <w:lang w:val="en-US" w:eastAsia="zh-CN"/>
              </w:rPr>
              <w:t>主要原因之一。</w:t>
            </w:r>
            <w:r>
              <w:rPr>
                <w:rFonts w:hint="default" w:ascii="Times New Roman" w:hAnsi="Times New Roman" w:eastAsia="宋体" w:cs="Times New Roman"/>
                <w:sz w:val="24"/>
                <w:szCs w:val="24"/>
                <w:highlight w:val="none"/>
              </w:rPr>
              <w:t>在气候干燥且有风的情况下，会产生大量的扬尘，扬尘量可按堆场扬尘的经验公式计算：</w:t>
            </w:r>
          </w:p>
          <w:p w14:paraId="0658E11D">
            <w:pPr>
              <w:keepNext w:val="0"/>
              <w:keepLines w:val="0"/>
              <w:pageBreakBefore w:val="0"/>
              <w:widowControl w:val="0"/>
              <w:kinsoku/>
              <w:wordWrap/>
              <w:overflowPunct/>
              <w:topLinePunct w:val="0"/>
              <w:autoSpaceDE/>
              <w:autoSpaceDN/>
              <w:bidi w:val="0"/>
              <w:adjustRightInd/>
              <w:snapToGrid/>
              <w:spacing w:line="360" w:lineRule="auto"/>
              <w:ind w:firstLine="1680" w:firstLineChars="800"/>
              <w:jc w:val="both"/>
              <w:textAlignment w:val="auto"/>
              <w:rPr>
                <w:iCs/>
                <w:highlight w:val="none"/>
                <w:vertAlign w:val="superscript"/>
              </w:rPr>
            </w:pPr>
            <w:r>
              <w:rPr>
                <w:iCs/>
                <w:highlight w:val="none"/>
              </w:rPr>
              <w:t>Q=2.1（V</w:t>
            </w:r>
            <w:r>
              <w:rPr>
                <w:iCs/>
                <w:highlight w:val="none"/>
                <w:vertAlign w:val="subscript"/>
              </w:rPr>
              <w:t>50</w:t>
            </w:r>
            <w:r>
              <w:rPr>
                <w:iCs/>
                <w:highlight w:val="none"/>
              </w:rPr>
              <w:t>-V</w:t>
            </w:r>
            <w:r>
              <w:rPr>
                <w:iCs/>
                <w:highlight w:val="none"/>
                <w:vertAlign w:val="subscript"/>
              </w:rPr>
              <w:t>0</w:t>
            </w:r>
            <w:r>
              <w:rPr>
                <w:iCs/>
                <w:highlight w:val="none"/>
              </w:rPr>
              <w:t>）</w:t>
            </w:r>
            <w:r>
              <w:rPr>
                <w:iCs/>
                <w:highlight w:val="none"/>
                <w:vertAlign w:val="baseline"/>
              </w:rPr>
              <w:t>3</w:t>
            </w:r>
            <w:r>
              <w:rPr>
                <w:iCs/>
                <w:highlight w:val="none"/>
              </w:rPr>
              <w:t>e</w:t>
            </w:r>
            <w:r>
              <w:rPr>
                <w:rFonts w:hint="eastAsia"/>
                <w:iCs/>
                <w:highlight w:val="none"/>
                <w:vertAlign w:val="superscript"/>
                <w:lang w:val="en-US" w:eastAsia="zh-CN"/>
              </w:rPr>
              <w:t>-</w:t>
            </w:r>
            <w:r>
              <w:rPr>
                <w:iCs/>
                <w:highlight w:val="none"/>
                <w:vertAlign w:val="superscript"/>
              </w:rPr>
              <w:t>1.023W</w:t>
            </w:r>
          </w:p>
          <w:p w14:paraId="1F0320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式中：Q——起尘量，kg/t·a；</w:t>
            </w:r>
          </w:p>
          <w:p w14:paraId="72906BF1">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Vso——距地面50m处风速，m/s；</w:t>
            </w:r>
          </w:p>
          <w:p w14:paraId="586AAD42">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Vo——起尘风速，m/s；</w:t>
            </w:r>
          </w:p>
          <w:p w14:paraId="277D20B1">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W——尘粒的含水量，%。</w:t>
            </w:r>
          </w:p>
          <w:p w14:paraId="7E8CE1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起尘风速与尘粒和含水量有关，因此，减少露天堆放、保证一定的含水量以及减少裸露地面是减少风力起尘的有效手段。扬尘在空气</w:t>
            </w:r>
            <w:r>
              <w:rPr>
                <w:rFonts w:hint="eastAsia" w:cs="Times New Roman"/>
                <w:sz w:val="24"/>
                <w:szCs w:val="24"/>
                <w:highlight w:val="none"/>
                <w:lang w:eastAsia="zh-CN"/>
              </w:rPr>
              <w:t>中</w:t>
            </w:r>
            <w:r>
              <w:rPr>
                <w:rFonts w:hint="default" w:ascii="Times New Roman" w:hAnsi="Times New Roman" w:eastAsia="宋体" w:cs="Times New Roman"/>
                <w:sz w:val="24"/>
                <w:szCs w:val="24"/>
                <w:highlight w:val="none"/>
              </w:rPr>
              <w:t>的扩散</w:t>
            </w:r>
            <w:r>
              <w:rPr>
                <w:rFonts w:hint="eastAsia" w:cs="Times New Roman"/>
                <w:sz w:val="24"/>
                <w:szCs w:val="24"/>
                <w:highlight w:val="none"/>
                <w:lang w:eastAsia="zh-CN"/>
              </w:rPr>
              <w:t>和</w:t>
            </w:r>
            <w:r>
              <w:rPr>
                <w:rFonts w:hint="default" w:ascii="Times New Roman" w:hAnsi="Times New Roman" w:eastAsia="宋体" w:cs="Times New Roman"/>
                <w:sz w:val="24"/>
                <w:szCs w:val="24"/>
                <w:highlight w:val="none"/>
              </w:rPr>
              <w:t>稀释与风速等气象条件有关，也与扬尘本身的沉降速度有关。不同尘粒的沉降速度见表</w:t>
            </w:r>
            <w:r>
              <w:rPr>
                <w:rFonts w:hint="eastAsia" w:ascii="Times New Roman" w:hAnsi="Times New Roman" w:eastAsia="宋体" w:cs="Times New Roman"/>
                <w:sz w:val="24"/>
                <w:szCs w:val="24"/>
                <w:highlight w:val="none"/>
                <w:lang w:val="en-US" w:eastAsia="zh-CN"/>
              </w:rPr>
              <w:t>4-1</w:t>
            </w:r>
            <w:r>
              <w:rPr>
                <w:rFonts w:hint="default" w:ascii="Times New Roman" w:hAnsi="Times New Roman" w:eastAsia="宋体" w:cs="Times New Roman"/>
                <w:sz w:val="24"/>
                <w:szCs w:val="24"/>
                <w:highlight w:val="none"/>
              </w:rPr>
              <w:t>。</w:t>
            </w:r>
          </w:p>
          <w:p w14:paraId="680899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表</w:t>
            </w:r>
            <w:r>
              <w:rPr>
                <w:rFonts w:hint="default" w:ascii="Times New Roman" w:hAnsi="Times New Roman" w:eastAsia="宋体" w:cs="Times New Roman"/>
                <w:b w:val="0"/>
                <w:bCs w:val="0"/>
                <w:sz w:val="21"/>
                <w:szCs w:val="21"/>
                <w:highlight w:val="none"/>
                <w:lang w:val="en-US" w:eastAsia="zh-CN"/>
              </w:rPr>
              <w:t>4-1</w:t>
            </w:r>
            <w:r>
              <w:rPr>
                <w:rFonts w:hint="default" w:ascii="Times New Roman" w:hAnsi="Times New Roman" w:eastAsia="宋体" w:cs="Times New Roman"/>
                <w:b w:val="0"/>
                <w:bCs w:val="0"/>
                <w:sz w:val="21"/>
                <w:szCs w:val="21"/>
                <w:highlight w:val="none"/>
              </w:rPr>
              <w:t xml:space="preserve">  不同粒径的沉降速度</w:t>
            </w:r>
          </w:p>
          <w:tbl>
            <w:tblPr>
              <w:tblStyle w:val="2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58"/>
              <w:gridCol w:w="1009"/>
              <w:gridCol w:w="886"/>
              <w:gridCol w:w="896"/>
              <w:gridCol w:w="1047"/>
              <w:gridCol w:w="934"/>
              <w:gridCol w:w="886"/>
              <w:gridCol w:w="720"/>
            </w:tblGrid>
            <w:tr w14:paraId="567E21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58" w:type="dxa"/>
                  <w:tcBorders>
                    <w:tl2br w:val="nil"/>
                    <w:tr2bl w:val="nil"/>
                  </w:tcBorders>
                  <w:vAlign w:val="center"/>
                </w:tcPr>
                <w:p w14:paraId="208A975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粒径（μm）</w:t>
                  </w:r>
                </w:p>
              </w:tc>
              <w:tc>
                <w:tcPr>
                  <w:tcW w:w="1009" w:type="dxa"/>
                  <w:tcBorders>
                    <w:tl2br w:val="nil"/>
                    <w:tr2bl w:val="nil"/>
                  </w:tcBorders>
                  <w:vAlign w:val="center"/>
                </w:tcPr>
                <w:p w14:paraId="5C6DBD6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w:t>
                  </w:r>
                </w:p>
              </w:tc>
              <w:tc>
                <w:tcPr>
                  <w:tcW w:w="886" w:type="dxa"/>
                  <w:tcBorders>
                    <w:tl2br w:val="nil"/>
                    <w:tr2bl w:val="nil"/>
                  </w:tcBorders>
                  <w:vAlign w:val="center"/>
                </w:tcPr>
                <w:p w14:paraId="523D6E7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20</w:t>
                  </w:r>
                </w:p>
              </w:tc>
              <w:tc>
                <w:tcPr>
                  <w:tcW w:w="896" w:type="dxa"/>
                  <w:tcBorders>
                    <w:tl2br w:val="nil"/>
                    <w:tr2bl w:val="nil"/>
                  </w:tcBorders>
                  <w:vAlign w:val="center"/>
                </w:tcPr>
                <w:p w14:paraId="2C5D6C8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30</w:t>
                  </w:r>
                </w:p>
              </w:tc>
              <w:tc>
                <w:tcPr>
                  <w:tcW w:w="1047" w:type="dxa"/>
                  <w:tcBorders>
                    <w:tl2br w:val="nil"/>
                    <w:tr2bl w:val="nil"/>
                  </w:tcBorders>
                  <w:vAlign w:val="center"/>
                </w:tcPr>
                <w:p w14:paraId="5E6248A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40</w:t>
                  </w:r>
                </w:p>
              </w:tc>
              <w:tc>
                <w:tcPr>
                  <w:tcW w:w="934" w:type="dxa"/>
                  <w:tcBorders>
                    <w:tl2br w:val="nil"/>
                    <w:tr2bl w:val="nil"/>
                  </w:tcBorders>
                  <w:vAlign w:val="center"/>
                </w:tcPr>
                <w:p w14:paraId="144A4BD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50</w:t>
                  </w:r>
                </w:p>
              </w:tc>
              <w:tc>
                <w:tcPr>
                  <w:tcW w:w="886" w:type="dxa"/>
                  <w:tcBorders>
                    <w:tl2br w:val="nil"/>
                    <w:tr2bl w:val="nil"/>
                  </w:tcBorders>
                  <w:vAlign w:val="center"/>
                </w:tcPr>
                <w:p w14:paraId="25379FE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60</w:t>
                  </w:r>
                </w:p>
              </w:tc>
              <w:tc>
                <w:tcPr>
                  <w:tcW w:w="720" w:type="dxa"/>
                  <w:tcBorders>
                    <w:tl2br w:val="nil"/>
                    <w:tr2bl w:val="nil"/>
                  </w:tcBorders>
                  <w:vAlign w:val="center"/>
                </w:tcPr>
                <w:p w14:paraId="62EDE05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70</w:t>
                  </w:r>
                </w:p>
              </w:tc>
            </w:tr>
            <w:tr w14:paraId="7EE3EB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58" w:type="dxa"/>
                  <w:tcBorders>
                    <w:tl2br w:val="nil"/>
                    <w:tr2bl w:val="nil"/>
                  </w:tcBorders>
                  <w:vAlign w:val="center"/>
                </w:tcPr>
                <w:p w14:paraId="6C1797F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沉降速度（m/s）</w:t>
                  </w:r>
                </w:p>
              </w:tc>
              <w:tc>
                <w:tcPr>
                  <w:tcW w:w="1009" w:type="dxa"/>
                  <w:tcBorders>
                    <w:tl2br w:val="nil"/>
                    <w:tr2bl w:val="nil"/>
                  </w:tcBorders>
                  <w:vAlign w:val="center"/>
                </w:tcPr>
                <w:p w14:paraId="4F461BF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0.003</w:t>
                  </w:r>
                </w:p>
              </w:tc>
              <w:tc>
                <w:tcPr>
                  <w:tcW w:w="886" w:type="dxa"/>
                  <w:tcBorders>
                    <w:tl2br w:val="nil"/>
                    <w:tr2bl w:val="nil"/>
                  </w:tcBorders>
                  <w:vAlign w:val="center"/>
                </w:tcPr>
                <w:p w14:paraId="153A7B8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0.012</w:t>
                  </w:r>
                </w:p>
              </w:tc>
              <w:tc>
                <w:tcPr>
                  <w:tcW w:w="896" w:type="dxa"/>
                  <w:tcBorders>
                    <w:tl2br w:val="nil"/>
                    <w:tr2bl w:val="nil"/>
                  </w:tcBorders>
                  <w:vAlign w:val="center"/>
                </w:tcPr>
                <w:p w14:paraId="0879314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0.027</w:t>
                  </w:r>
                </w:p>
              </w:tc>
              <w:tc>
                <w:tcPr>
                  <w:tcW w:w="1047" w:type="dxa"/>
                  <w:tcBorders>
                    <w:tl2br w:val="nil"/>
                    <w:tr2bl w:val="nil"/>
                  </w:tcBorders>
                  <w:vAlign w:val="center"/>
                </w:tcPr>
                <w:p w14:paraId="4736AF1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0.048</w:t>
                  </w:r>
                </w:p>
              </w:tc>
              <w:tc>
                <w:tcPr>
                  <w:tcW w:w="934" w:type="dxa"/>
                  <w:tcBorders>
                    <w:tl2br w:val="nil"/>
                    <w:tr2bl w:val="nil"/>
                  </w:tcBorders>
                  <w:vAlign w:val="center"/>
                </w:tcPr>
                <w:p w14:paraId="71779C4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0.07</w:t>
                  </w:r>
                </w:p>
              </w:tc>
              <w:tc>
                <w:tcPr>
                  <w:tcW w:w="886" w:type="dxa"/>
                  <w:tcBorders>
                    <w:tl2br w:val="nil"/>
                    <w:tr2bl w:val="nil"/>
                  </w:tcBorders>
                  <w:vAlign w:val="center"/>
                </w:tcPr>
                <w:p w14:paraId="02BC73B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0.108</w:t>
                  </w:r>
                </w:p>
              </w:tc>
              <w:tc>
                <w:tcPr>
                  <w:tcW w:w="720" w:type="dxa"/>
                  <w:tcBorders>
                    <w:tl2br w:val="nil"/>
                    <w:tr2bl w:val="nil"/>
                  </w:tcBorders>
                  <w:vAlign w:val="center"/>
                </w:tcPr>
                <w:p w14:paraId="670EAF6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0.147</w:t>
                  </w:r>
                </w:p>
              </w:tc>
            </w:tr>
            <w:tr w14:paraId="77B78F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58" w:type="dxa"/>
                  <w:tcBorders>
                    <w:tl2br w:val="nil"/>
                    <w:tr2bl w:val="nil"/>
                  </w:tcBorders>
                  <w:vAlign w:val="center"/>
                </w:tcPr>
                <w:p w14:paraId="6C86FA2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粒径（μm）</w:t>
                  </w:r>
                </w:p>
              </w:tc>
              <w:tc>
                <w:tcPr>
                  <w:tcW w:w="1009" w:type="dxa"/>
                  <w:tcBorders>
                    <w:tl2br w:val="nil"/>
                    <w:tr2bl w:val="nil"/>
                  </w:tcBorders>
                  <w:vAlign w:val="center"/>
                </w:tcPr>
                <w:p w14:paraId="5B0B99F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80</w:t>
                  </w:r>
                </w:p>
              </w:tc>
              <w:tc>
                <w:tcPr>
                  <w:tcW w:w="886" w:type="dxa"/>
                  <w:tcBorders>
                    <w:tl2br w:val="nil"/>
                    <w:tr2bl w:val="nil"/>
                  </w:tcBorders>
                  <w:vAlign w:val="center"/>
                </w:tcPr>
                <w:p w14:paraId="2BFFE8B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90</w:t>
                  </w:r>
                </w:p>
              </w:tc>
              <w:tc>
                <w:tcPr>
                  <w:tcW w:w="896" w:type="dxa"/>
                  <w:tcBorders>
                    <w:tl2br w:val="nil"/>
                    <w:tr2bl w:val="nil"/>
                  </w:tcBorders>
                  <w:vAlign w:val="center"/>
                </w:tcPr>
                <w:p w14:paraId="1071453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100</w:t>
                  </w:r>
                </w:p>
              </w:tc>
              <w:tc>
                <w:tcPr>
                  <w:tcW w:w="1047" w:type="dxa"/>
                  <w:tcBorders>
                    <w:tl2br w:val="nil"/>
                    <w:tr2bl w:val="nil"/>
                  </w:tcBorders>
                  <w:vAlign w:val="center"/>
                </w:tcPr>
                <w:p w14:paraId="79331EB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150</w:t>
                  </w:r>
                </w:p>
              </w:tc>
              <w:tc>
                <w:tcPr>
                  <w:tcW w:w="934" w:type="dxa"/>
                  <w:tcBorders>
                    <w:tl2br w:val="nil"/>
                    <w:tr2bl w:val="nil"/>
                  </w:tcBorders>
                  <w:vAlign w:val="center"/>
                </w:tcPr>
                <w:p w14:paraId="45AF2F5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200</w:t>
                  </w:r>
                </w:p>
              </w:tc>
              <w:tc>
                <w:tcPr>
                  <w:tcW w:w="886" w:type="dxa"/>
                  <w:tcBorders>
                    <w:tl2br w:val="nil"/>
                    <w:tr2bl w:val="nil"/>
                  </w:tcBorders>
                  <w:vAlign w:val="center"/>
                </w:tcPr>
                <w:p w14:paraId="23E763C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250</w:t>
                  </w:r>
                </w:p>
              </w:tc>
              <w:tc>
                <w:tcPr>
                  <w:tcW w:w="720" w:type="dxa"/>
                  <w:tcBorders>
                    <w:tl2br w:val="nil"/>
                    <w:tr2bl w:val="nil"/>
                  </w:tcBorders>
                  <w:vAlign w:val="center"/>
                </w:tcPr>
                <w:p w14:paraId="028FA73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350</w:t>
                  </w:r>
                </w:p>
              </w:tc>
            </w:tr>
            <w:tr w14:paraId="01AF52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58" w:type="dxa"/>
                  <w:tcBorders>
                    <w:tl2br w:val="nil"/>
                    <w:tr2bl w:val="nil"/>
                  </w:tcBorders>
                  <w:vAlign w:val="center"/>
                </w:tcPr>
                <w:p w14:paraId="42E41E4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沉降速度（m/s）</w:t>
                  </w:r>
                </w:p>
              </w:tc>
              <w:tc>
                <w:tcPr>
                  <w:tcW w:w="1009" w:type="dxa"/>
                  <w:tcBorders>
                    <w:tl2br w:val="nil"/>
                    <w:tr2bl w:val="nil"/>
                  </w:tcBorders>
                  <w:vAlign w:val="center"/>
                </w:tcPr>
                <w:p w14:paraId="3A97CB3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0.138</w:t>
                  </w:r>
                </w:p>
              </w:tc>
              <w:tc>
                <w:tcPr>
                  <w:tcW w:w="886" w:type="dxa"/>
                  <w:tcBorders>
                    <w:tl2br w:val="nil"/>
                    <w:tr2bl w:val="nil"/>
                  </w:tcBorders>
                  <w:vAlign w:val="center"/>
                </w:tcPr>
                <w:p w14:paraId="5402150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0.174</w:t>
                  </w:r>
                </w:p>
              </w:tc>
              <w:tc>
                <w:tcPr>
                  <w:tcW w:w="896" w:type="dxa"/>
                  <w:tcBorders>
                    <w:tl2br w:val="nil"/>
                    <w:tr2bl w:val="nil"/>
                  </w:tcBorders>
                  <w:vAlign w:val="center"/>
                </w:tcPr>
                <w:p w14:paraId="1B015A2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0.182</w:t>
                  </w:r>
                </w:p>
              </w:tc>
              <w:tc>
                <w:tcPr>
                  <w:tcW w:w="1047" w:type="dxa"/>
                  <w:tcBorders>
                    <w:tl2br w:val="nil"/>
                    <w:tr2bl w:val="nil"/>
                  </w:tcBorders>
                  <w:vAlign w:val="center"/>
                </w:tcPr>
                <w:p w14:paraId="04E54AD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0.209</w:t>
                  </w:r>
                </w:p>
              </w:tc>
              <w:tc>
                <w:tcPr>
                  <w:tcW w:w="934" w:type="dxa"/>
                  <w:tcBorders>
                    <w:tl2br w:val="nil"/>
                    <w:tr2bl w:val="nil"/>
                  </w:tcBorders>
                  <w:vAlign w:val="center"/>
                </w:tcPr>
                <w:p w14:paraId="42797E5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0.804</w:t>
                  </w:r>
                </w:p>
              </w:tc>
              <w:tc>
                <w:tcPr>
                  <w:tcW w:w="886" w:type="dxa"/>
                  <w:tcBorders>
                    <w:tl2br w:val="nil"/>
                    <w:tr2bl w:val="nil"/>
                  </w:tcBorders>
                  <w:vAlign w:val="center"/>
                </w:tcPr>
                <w:p w14:paraId="527ED18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1.005</w:t>
                  </w:r>
                </w:p>
              </w:tc>
              <w:tc>
                <w:tcPr>
                  <w:tcW w:w="720" w:type="dxa"/>
                  <w:tcBorders>
                    <w:tl2br w:val="nil"/>
                    <w:tr2bl w:val="nil"/>
                  </w:tcBorders>
                  <w:vAlign w:val="center"/>
                </w:tcPr>
                <w:p w14:paraId="2C4028F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1.829</w:t>
                  </w:r>
                </w:p>
              </w:tc>
            </w:tr>
            <w:tr w14:paraId="2C402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58" w:type="dxa"/>
                  <w:tcBorders>
                    <w:tl2br w:val="nil"/>
                    <w:tr2bl w:val="nil"/>
                  </w:tcBorders>
                  <w:vAlign w:val="center"/>
                </w:tcPr>
                <w:p w14:paraId="0874E6F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粒径（μm）</w:t>
                  </w:r>
                </w:p>
              </w:tc>
              <w:tc>
                <w:tcPr>
                  <w:tcW w:w="1009" w:type="dxa"/>
                  <w:tcBorders>
                    <w:tl2br w:val="nil"/>
                    <w:tr2bl w:val="nil"/>
                  </w:tcBorders>
                  <w:vAlign w:val="center"/>
                </w:tcPr>
                <w:p w14:paraId="16575A4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450</w:t>
                  </w:r>
                </w:p>
              </w:tc>
              <w:tc>
                <w:tcPr>
                  <w:tcW w:w="886" w:type="dxa"/>
                  <w:tcBorders>
                    <w:tl2br w:val="nil"/>
                    <w:tr2bl w:val="nil"/>
                  </w:tcBorders>
                  <w:vAlign w:val="center"/>
                </w:tcPr>
                <w:p w14:paraId="3FAE3CB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550</w:t>
                  </w:r>
                </w:p>
              </w:tc>
              <w:tc>
                <w:tcPr>
                  <w:tcW w:w="896" w:type="dxa"/>
                  <w:tcBorders>
                    <w:tl2br w:val="nil"/>
                    <w:tr2bl w:val="nil"/>
                  </w:tcBorders>
                  <w:vAlign w:val="center"/>
                </w:tcPr>
                <w:p w14:paraId="46F0CE8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650</w:t>
                  </w:r>
                </w:p>
              </w:tc>
              <w:tc>
                <w:tcPr>
                  <w:tcW w:w="1047" w:type="dxa"/>
                  <w:tcBorders>
                    <w:tl2br w:val="nil"/>
                    <w:tr2bl w:val="nil"/>
                  </w:tcBorders>
                  <w:vAlign w:val="center"/>
                </w:tcPr>
                <w:p w14:paraId="2C227C6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750</w:t>
                  </w:r>
                </w:p>
              </w:tc>
              <w:tc>
                <w:tcPr>
                  <w:tcW w:w="934" w:type="dxa"/>
                  <w:tcBorders>
                    <w:tl2br w:val="nil"/>
                    <w:tr2bl w:val="nil"/>
                  </w:tcBorders>
                  <w:vAlign w:val="center"/>
                </w:tcPr>
                <w:p w14:paraId="2CB920D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800</w:t>
                  </w:r>
                </w:p>
              </w:tc>
              <w:tc>
                <w:tcPr>
                  <w:tcW w:w="886" w:type="dxa"/>
                  <w:tcBorders>
                    <w:tl2br w:val="nil"/>
                    <w:tr2bl w:val="nil"/>
                  </w:tcBorders>
                  <w:vAlign w:val="center"/>
                </w:tcPr>
                <w:p w14:paraId="6CE956E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950</w:t>
                  </w:r>
                </w:p>
              </w:tc>
              <w:tc>
                <w:tcPr>
                  <w:tcW w:w="720" w:type="dxa"/>
                  <w:tcBorders>
                    <w:tl2br w:val="nil"/>
                    <w:tr2bl w:val="nil"/>
                  </w:tcBorders>
                  <w:vAlign w:val="center"/>
                </w:tcPr>
                <w:p w14:paraId="74DC7AB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1050</w:t>
                  </w:r>
                </w:p>
              </w:tc>
            </w:tr>
            <w:tr w14:paraId="17363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58" w:type="dxa"/>
                  <w:tcBorders>
                    <w:tl2br w:val="nil"/>
                    <w:tr2bl w:val="nil"/>
                  </w:tcBorders>
                  <w:vAlign w:val="center"/>
                </w:tcPr>
                <w:p w14:paraId="00DFF45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沉降速度（m/s）</w:t>
                  </w:r>
                </w:p>
              </w:tc>
              <w:tc>
                <w:tcPr>
                  <w:tcW w:w="1009" w:type="dxa"/>
                  <w:tcBorders>
                    <w:tl2br w:val="nil"/>
                    <w:tr2bl w:val="nil"/>
                  </w:tcBorders>
                  <w:vAlign w:val="center"/>
                </w:tcPr>
                <w:p w14:paraId="22B0ABF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2.211</w:t>
                  </w:r>
                </w:p>
              </w:tc>
              <w:tc>
                <w:tcPr>
                  <w:tcW w:w="886" w:type="dxa"/>
                  <w:tcBorders>
                    <w:tl2br w:val="nil"/>
                    <w:tr2bl w:val="nil"/>
                  </w:tcBorders>
                  <w:vAlign w:val="center"/>
                </w:tcPr>
                <w:p w14:paraId="4071CEA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2.614</w:t>
                  </w:r>
                </w:p>
              </w:tc>
              <w:tc>
                <w:tcPr>
                  <w:tcW w:w="896" w:type="dxa"/>
                  <w:tcBorders>
                    <w:tl2br w:val="nil"/>
                    <w:tr2bl w:val="nil"/>
                  </w:tcBorders>
                  <w:vAlign w:val="center"/>
                </w:tcPr>
                <w:p w14:paraId="1516F47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3.016</w:t>
                  </w:r>
                </w:p>
              </w:tc>
              <w:tc>
                <w:tcPr>
                  <w:tcW w:w="1047" w:type="dxa"/>
                  <w:tcBorders>
                    <w:tl2br w:val="nil"/>
                    <w:tr2bl w:val="nil"/>
                  </w:tcBorders>
                  <w:vAlign w:val="center"/>
                </w:tcPr>
                <w:p w14:paraId="5FE8895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3.418</w:t>
                  </w:r>
                </w:p>
              </w:tc>
              <w:tc>
                <w:tcPr>
                  <w:tcW w:w="934" w:type="dxa"/>
                  <w:tcBorders>
                    <w:tl2br w:val="nil"/>
                    <w:tr2bl w:val="nil"/>
                  </w:tcBorders>
                  <w:vAlign w:val="center"/>
                </w:tcPr>
                <w:p w14:paraId="05433EB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3.720</w:t>
                  </w:r>
                </w:p>
              </w:tc>
              <w:tc>
                <w:tcPr>
                  <w:tcW w:w="886" w:type="dxa"/>
                  <w:tcBorders>
                    <w:tl2br w:val="nil"/>
                    <w:tr2bl w:val="nil"/>
                  </w:tcBorders>
                  <w:vAlign w:val="center"/>
                </w:tcPr>
                <w:p w14:paraId="400444E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4.222</w:t>
                  </w:r>
                </w:p>
              </w:tc>
              <w:tc>
                <w:tcPr>
                  <w:tcW w:w="720" w:type="dxa"/>
                  <w:tcBorders>
                    <w:tl2br w:val="nil"/>
                    <w:tr2bl w:val="nil"/>
                  </w:tcBorders>
                  <w:vAlign w:val="center"/>
                </w:tcPr>
                <w:p w14:paraId="4F23AB2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4.62</w:t>
                  </w:r>
                </w:p>
              </w:tc>
            </w:tr>
          </w:tbl>
          <w:p w14:paraId="7B64E3FC">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lang w:val="en-US" w:eastAsia="zh-CN"/>
              </w:rPr>
            </w:pPr>
            <w:r>
              <w:rPr>
                <w:rFonts w:hint="default" w:ascii="Times New Roman" w:hAnsi="Times New Roman" w:eastAsia="宋体" w:cs="Times New Roman"/>
                <w:b w:val="0"/>
                <w:bCs w:val="0"/>
                <w:sz w:val="24"/>
                <w:highlight w:val="none"/>
                <w:lang w:val="en-US" w:eastAsia="zh-CN"/>
              </w:rPr>
              <w:t>由表可知，尘粒的沉降速度随粒径的增大而迅速增大。当粒径为250μm时，沉降速度为1.005m/s，因此可以认为当尘粒大于250μm时，主要影响范围在扬尘点下风向近距离范围内，而真正对外环境产生影响的是一些微小尘粒。根据现场的气候情况不同，其影响范围也有所不同。由起尘计算公式可知，Vo与粒径和含水率有关，减少露天堆放和保证一定的含水率可有效减少施工物料扬尘的影响。因此，</w:t>
            </w:r>
            <w:r>
              <w:rPr>
                <w:rFonts w:hint="default" w:ascii="Times New Roman" w:hAnsi="Times New Roman" w:eastAsia="宋体" w:cs="Times New Roman"/>
                <w:sz w:val="24"/>
                <w:szCs w:val="24"/>
                <w:highlight w:val="none"/>
                <w:lang w:val="en-US" w:eastAsia="zh-CN"/>
              </w:rPr>
              <w:t>施工</w:t>
            </w:r>
            <w:r>
              <w:rPr>
                <w:rFonts w:hint="eastAsia" w:cs="Times New Roman"/>
                <w:sz w:val="24"/>
                <w:szCs w:val="24"/>
                <w:highlight w:val="none"/>
                <w:lang w:val="en-US" w:eastAsia="zh-CN"/>
              </w:rPr>
              <w:t>期间，</w:t>
            </w:r>
            <w:r>
              <w:rPr>
                <w:rFonts w:hint="default" w:ascii="Times New Roman" w:hAnsi="Times New Roman" w:eastAsia="宋体" w:cs="Times New Roman"/>
                <w:sz w:val="24"/>
                <w:szCs w:val="24"/>
                <w:highlight w:val="none"/>
                <w:lang w:val="en-US" w:eastAsia="zh-CN"/>
              </w:rPr>
              <w:t>开挖土方</w:t>
            </w:r>
            <w:r>
              <w:rPr>
                <w:rFonts w:hint="eastAsia" w:cs="Times New Roman"/>
                <w:sz w:val="24"/>
                <w:szCs w:val="24"/>
                <w:highlight w:val="none"/>
                <w:lang w:val="en-US" w:eastAsia="zh-CN"/>
              </w:rPr>
              <w:t>需要</w:t>
            </w:r>
            <w:r>
              <w:rPr>
                <w:rFonts w:hint="default" w:ascii="Times New Roman" w:hAnsi="Times New Roman" w:eastAsia="宋体" w:cs="Times New Roman"/>
                <w:sz w:val="24"/>
                <w:szCs w:val="24"/>
                <w:highlight w:val="none"/>
                <w:lang w:val="en-US" w:eastAsia="zh-CN"/>
              </w:rPr>
              <w:t>集中堆存，</w:t>
            </w:r>
            <w:r>
              <w:rPr>
                <w:rFonts w:hint="eastAsia" w:cs="Times New Roman"/>
                <w:sz w:val="24"/>
                <w:szCs w:val="24"/>
                <w:highlight w:val="none"/>
                <w:lang w:val="en-US" w:eastAsia="zh-CN"/>
              </w:rPr>
              <w:t>并对</w:t>
            </w:r>
            <w:r>
              <w:rPr>
                <w:rFonts w:hint="default" w:ascii="Times New Roman" w:hAnsi="Times New Roman" w:eastAsia="宋体" w:cs="Times New Roman"/>
                <w:sz w:val="24"/>
                <w:szCs w:val="24"/>
                <w:highlight w:val="none"/>
                <w:lang w:val="en-US" w:eastAsia="zh-CN"/>
              </w:rPr>
              <w:t>临时堆土进行拦挡</w:t>
            </w:r>
            <w:r>
              <w:rPr>
                <w:rFonts w:hint="eastAsia" w:cs="Times New Roman"/>
                <w:sz w:val="24"/>
                <w:szCs w:val="24"/>
                <w:highlight w:val="none"/>
                <w:lang w:val="en-US" w:eastAsia="zh-CN"/>
              </w:rPr>
              <w:t>和</w:t>
            </w:r>
            <w:r>
              <w:rPr>
                <w:rFonts w:hint="default" w:ascii="Times New Roman" w:hAnsi="Times New Roman" w:eastAsia="宋体" w:cs="Times New Roman"/>
                <w:sz w:val="24"/>
                <w:szCs w:val="24"/>
                <w:highlight w:val="none"/>
                <w:lang w:val="en-US" w:eastAsia="zh-CN"/>
              </w:rPr>
              <w:t>苫盖防护</w:t>
            </w:r>
            <w:r>
              <w:rPr>
                <w:rFonts w:hint="default" w:ascii="Times New Roman" w:hAnsi="Times New Roman" w:eastAsia="宋体" w:cs="Times New Roman"/>
                <w:sz w:val="24"/>
                <w:szCs w:val="24"/>
                <w:highlight w:val="none"/>
              </w:rPr>
              <w:t>。</w:t>
            </w:r>
            <w:r>
              <w:rPr>
                <w:rFonts w:hint="eastAsia" w:ascii="Times New Roman" w:hAnsi="Times New Roman" w:eastAsia="宋体" w:cs="Times New Roman"/>
                <w:b w:val="0"/>
                <w:color w:val="000000"/>
                <w:kern w:val="0"/>
                <w:sz w:val="24"/>
                <w:szCs w:val="24"/>
                <w:highlight w:val="none"/>
                <w:lang w:val="en-US" w:eastAsia="zh-CN" w:bidi="ar"/>
              </w:rPr>
              <w:t>蓄水池工程</w:t>
            </w:r>
            <w:r>
              <w:rPr>
                <w:rFonts w:hint="eastAsia" w:cs="Times New Roman"/>
                <w:b w:val="0"/>
                <w:color w:val="000000"/>
                <w:kern w:val="0"/>
                <w:sz w:val="24"/>
                <w:szCs w:val="24"/>
                <w:highlight w:val="none"/>
                <w:lang w:val="en-US" w:eastAsia="zh-CN" w:bidi="ar"/>
              </w:rPr>
              <w:t>占地类型为</w:t>
            </w:r>
            <w:r>
              <w:rPr>
                <w:rFonts w:hint="eastAsia"/>
                <w:sz w:val="24"/>
                <w:highlight w:val="none"/>
              </w:rPr>
              <w:t>沙地，无表土可剥离</w:t>
            </w:r>
            <w:r>
              <w:rPr>
                <w:rFonts w:hint="eastAsia"/>
                <w:sz w:val="24"/>
                <w:szCs w:val="24"/>
                <w:highlight w:val="none"/>
              </w:rPr>
              <w:t>。</w:t>
            </w:r>
            <w:r>
              <w:rPr>
                <w:rFonts w:hint="eastAsia" w:ascii="Times New Roman" w:hAnsi="Times New Roman" w:eastAsia="宋体" w:cs="Times New Roman"/>
                <w:b w:val="0"/>
                <w:color w:val="000000"/>
                <w:kern w:val="0"/>
                <w:sz w:val="24"/>
                <w:szCs w:val="24"/>
                <w:highlight w:val="none"/>
                <w:lang w:val="en-US" w:eastAsia="zh-CN" w:bidi="ar"/>
              </w:rPr>
              <w:t>管道</w:t>
            </w:r>
            <w:r>
              <w:rPr>
                <w:rFonts w:hint="eastAsia" w:cs="Times New Roman"/>
                <w:b w:val="0"/>
                <w:color w:val="000000"/>
                <w:kern w:val="0"/>
                <w:sz w:val="24"/>
                <w:szCs w:val="24"/>
                <w:highlight w:val="none"/>
                <w:lang w:val="en-US" w:eastAsia="zh-CN" w:bidi="ar"/>
              </w:rPr>
              <w:t>占地类型为沙地和其他草地，沙地</w:t>
            </w:r>
            <w:r>
              <w:rPr>
                <w:rFonts w:hint="eastAsia"/>
                <w:sz w:val="24"/>
                <w:highlight w:val="none"/>
              </w:rPr>
              <w:t>无表土可剥离</w:t>
            </w:r>
            <w:r>
              <w:rPr>
                <w:rFonts w:hint="eastAsia"/>
                <w:sz w:val="24"/>
                <w:szCs w:val="24"/>
                <w:highlight w:val="none"/>
              </w:rPr>
              <w:t>。</w:t>
            </w:r>
            <w:r>
              <w:rPr>
                <w:rFonts w:hint="eastAsia" w:cs="Times New Roman"/>
                <w:b w:val="0"/>
                <w:color w:val="000000"/>
                <w:kern w:val="0"/>
                <w:sz w:val="24"/>
                <w:szCs w:val="24"/>
                <w:highlight w:val="none"/>
                <w:lang w:val="en-US" w:eastAsia="zh-CN" w:bidi="ar"/>
              </w:rPr>
              <w:t>其他草地在</w:t>
            </w:r>
            <w:r>
              <w:rPr>
                <w:rFonts w:hint="eastAsia" w:ascii="Times New Roman" w:hAnsi="Times New Roman" w:eastAsia="宋体" w:cs="Times New Roman"/>
                <w:b w:val="0"/>
                <w:color w:val="000000"/>
                <w:kern w:val="0"/>
                <w:sz w:val="24"/>
                <w:szCs w:val="24"/>
                <w:highlight w:val="none"/>
                <w:lang w:val="en-US" w:eastAsia="zh-CN" w:bidi="ar"/>
              </w:rPr>
              <w:t>施工前</w:t>
            </w:r>
            <w:r>
              <w:rPr>
                <w:rFonts w:hint="eastAsia" w:cs="Times New Roman"/>
                <w:b w:val="0"/>
                <w:color w:val="000000"/>
                <w:kern w:val="0"/>
                <w:sz w:val="24"/>
                <w:szCs w:val="24"/>
                <w:highlight w:val="none"/>
                <w:lang w:val="en-US" w:eastAsia="zh-CN" w:bidi="ar"/>
              </w:rPr>
              <w:t>需要</w:t>
            </w:r>
            <w:r>
              <w:rPr>
                <w:rFonts w:hint="eastAsia" w:ascii="Times New Roman" w:hAnsi="Times New Roman" w:eastAsia="宋体" w:cs="Times New Roman"/>
                <w:b w:val="0"/>
                <w:color w:val="000000"/>
                <w:kern w:val="0"/>
                <w:sz w:val="24"/>
                <w:szCs w:val="24"/>
                <w:highlight w:val="none"/>
                <w:lang w:val="en-US" w:eastAsia="zh-CN" w:bidi="ar"/>
              </w:rPr>
              <w:t>进行表土剥离，剥离深度为0.3m，剥离</w:t>
            </w:r>
            <w:r>
              <w:rPr>
                <w:rFonts w:hint="eastAsia" w:cs="Times New Roman"/>
                <w:b w:val="0"/>
                <w:color w:val="000000"/>
                <w:kern w:val="0"/>
                <w:sz w:val="24"/>
                <w:szCs w:val="24"/>
                <w:highlight w:val="none"/>
                <w:lang w:val="en-US" w:eastAsia="zh-CN" w:bidi="ar"/>
              </w:rPr>
              <w:t>的</w:t>
            </w:r>
            <w:r>
              <w:rPr>
                <w:rFonts w:hint="eastAsia" w:ascii="Times New Roman" w:hAnsi="Times New Roman" w:eastAsia="宋体" w:cs="Times New Roman"/>
                <w:b w:val="0"/>
                <w:color w:val="000000"/>
                <w:kern w:val="0"/>
                <w:sz w:val="24"/>
                <w:szCs w:val="24"/>
                <w:highlight w:val="none"/>
                <w:lang w:val="en-US" w:eastAsia="zh-CN" w:bidi="ar"/>
              </w:rPr>
              <w:t>表土</w:t>
            </w:r>
            <w:r>
              <w:rPr>
                <w:rFonts w:hint="eastAsia" w:cs="Times New Roman"/>
                <w:b w:val="0"/>
                <w:color w:val="000000"/>
                <w:kern w:val="0"/>
                <w:sz w:val="24"/>
                <w:szCs w:val="24"/>
                <w:highlight w:val="none"/>
                <w:lang w:val="en-US" w:eastAsia="zh-CN" w:bidi="ar"/>
              </w:rPr>
              <w:t>需要</w:t>
            </w:r>
            <w:r>
              <w:rPr>
                <w:rFonts w:hint="eastAsia" w:ascii="Times New Roman" w:hAnsi="Times New Roman" w:eastAsia="宋体" w:cs="Times New Roman"/>
                <w:b w:val="0"/>
                <w:color w:val="000000"/>
                <w:kern w:val="0"/>
                <w:sz w:val="24"/>
                <w:szCs w:val="24"/>
                <w:highlight w:val="none"/>
                <w:lang w:val="en-US" w:eastAsia="zh-CN" w:bidi="ar"/>
              </w:rPr>
              <w:t>堆放</w:t>
            </w:r>
            <w:r>
              <w:rPr>
                <w:rFonts w:hint="eastAsia" w:cs="Times New Roman"/>
                <w:b w:val="0"/>
                <w:color w:val="000000"/>
                <w:kern w:val="0"/>
                <w:sz w:val="24"/>
                <w:szCs w:val="24"/>
                <w:highlight w:val="none"/>
                <w:lang w:val="en-US" w:eastAsia="zh-CN" w:bidi="ar"/>
              </w:rPr>
              <w:t>在</w:t>
            </w:r>
            <w:r>
              <w:rPr>
                <w:rFonts w:hint="eastAsia" w:ascii="Times New Roman" w:hAnsi="Times New Roman" w:eastAsia="宋体" w:cs="Times New Roman"/>
                <w:b w:val="0"/>
                <w:color w:val="000000"/>
                <w:kern w:val="0"/>
                <w:sz w:val="24"/>
                <w:szCs w:val="24"/>
                <w:highlight w:val="none"/>
                <w:lang w:val="en-US" w:eastAsia="zh-CN" w:bidi="ar"/>
              </w:rPr>
              <w:t>管道两侧施工区用于回填，表土堆存</w:t>
            </w:r>
            <w:r>
              <w:rPr>
                <w:rFonts w:hint="eastAsia" w:cs="Times New Roman"/>
                <w:b w:val="0"/>
                <w:color w:val="000000"/>
                <w:kern w:val="0"/>
                <w:sz w:val="24"/>
                <w:szCs w:val="24"/>
                <w:highlight w:val="none"/>
                <w:lang w:val="en-US" w:eastAsia="zh-CN" w:bidi="ar"/>
              </w:rPr>
              <w:t>时需要</w:t>
            </w:r>
            <w:r>
              <w:rPr>
                <w:rFonts w:hint="eastAsia" w:ascii="Times New Roman" w:hAnsi="Times New Roman" w:eastAsia="宋体" w:cs="Times New Roman"/>
                <w:b w:val="0"/>
                <w:color w:val="000000"/>
                <w:kern w:val="0"/>
                <w:sz w:val="24"/>
                <w:szCs w:val="24"/>
                <w:highlight w:val="none"/>
                <w:lang w:val="en-US" w:eastAsia="zh-CN" w:bidi="ar"/>
              </w:rPr>
              <w:t>采取密目网苫盖防护，</w:t>
            </w:r>
            <w:r>
              <w:rPr>
                <w:rFonts w:hint="eastAsia" w:eastAsia="宋体" w:cs="Times New Roman"/>
                <w:b w:val="0"/>
                <w:color w:val="000000"/>
                <w:kern w:val="0"/>
                <w:sz w:val="24"/>
                <w:szCs w:val="24"/>
                <w:highlight w:val="none"/>
                <w:lang w:val="en-US" w:eastAsia="zh-CN" w:bidi="ar"/>
              </w:rPr>
              <w:t>施工完成后表土</w:t>
            </w:r>
            <w:r>
              <w:rPr>
                <w:rFonts w:hint="eastAsia" w:cs="Times New Roman"/>
                <w:b w:val="0"/>
                <w:color w:val="000000"/>
                <w:kern w:val="0"/>
                <w:sz w:val="24"/>
                <w:szCs w:val="24"/>
                <w:highlight w:val="none"/>
                <w:lang w:val="en-US" w:eastAsia="zh-CN" w:bidi="ar"/>
              </w:rPr>
              <w:t>需要</w:t>
            </w:r>
            <w:r>
              <w:rPr>
                <w:rFonts w:hint="eastAsia" w:eastAsia="宋体" w:cs="Times New Roman"/>
                <w:b w:val="0"/>
                <w:color w:val="000000"/>
                <w:kern w:val="0"/>
                <w:sz w:val="24"/>
                <w:szCs w:val="24"/>
                <w:highlight w:val="none"/>
                <w:lang w:val="en-US" w:eastAsia="zh-CN" w:bidi="ar"/>
              </w:rPr>
              <w:t>回覆</w:t>
            </w:r>
            <w:r>
              <w:rPr>
                <w:rFonts w:hint="default" w:ascii="Times New Roman" w:hAnsi="Times New Roman" w:eastAsia="宋体" w:cs="Times New Roman"/>
                <w:b w:val="0"/>
                <w:color w:val="000000"/>
                <w:kern w:val="0"/>
                <w:sz w:val="24"/>
                <w:szCs w:val="24"/>
                <w:highlight w:val="none"/>
                <w:lang w:val="en-US" w:eastAsia="zh-CN" w:bidi="ar"/>
              </w:rPr>
              <w:t>。</w:t>
            </w:r>
            <w:r>
              <w:rPr>
                <w:rFonts w:hint="default" w:ascii="Times New Roman" w:hAnsi="Times New Roman" w:eastAsia="宋体" w:cs="Times New Roman"/>
                <w:b w:val="0"/>
                <w:bCs w:val="0"/>
                <w:sz w:val="24"/>
                <w:highlight w:val="none"/>
                <w:lang w:val="en-US" w:eastAsia="zh-CN"/>
              </w:rPr>
              <w:t>本工程在施工过程中，通过采取减少露天堆放、保证一定的含水率、使用土工布遮挡及减少裸露地面等措施，尽量将起尘量降到最低，从而减少其对周围环境空气质量的影响。扬尘对环境的影响较小。</w:t>
            </w:r>
          </w:p>
          <w:p w14:paraId="2BAF2F27">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eastAsia" w:ascii="东文宋体" w:hAnsi="东文宋体" w:eastAsia="东文宋体" w:cs="东文宋体"/>
                <w:b w:val="0"/>
                <w:bCs w:val="0"/>
                <w:sz w:val="24"/>
                <w:highlight w:val="none"/>
                <w:lang w:eastAsia="zh-CN"/>
              </w:rPr>
              <w:t>③</w:t>
            </w:r>
            <w:r>
              <w:rPr>
                <w:rFonts w:hint="default" w:ascii="Times New Roman" w:hAnsi="Times New Roman" w:eastAsia="宋体" w:cs="Times New Roman"/>
                <w:b w:val="0"/>
                <w:bCs w:val="0"/>
                <w:sz w:val="24"/>
                <w:highlight w:val="none"/>
              </w:rPr>
              <w:t>运输道路扬尘</w:t>
            </w:r>
          </w:p>
          <w:p w14:paraId="37526E20">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val="0"/>
                <w:bCs w:val="0"/>
                <w:sz w:val="24"/>
                <w:highlight w:val="none"/>
                <w:lang w:eastAsia="zh-CN"/>
              </w:rPr>
            </w:pPr>
            <w:r>
              <w:rPr>
                <w:rFonts w:hint="default" w:ascii="Times New Roman" w:hAnsi="Times New Roman" w:eastAsia="宋体" w:cs="Times New Roman"/>
                <w:b w:val="0"/>
                <w:bCs w:val="0"/>
                <w:sz w:val="24"/>
                <w:highlight w:val="none"/>
              </w:rPr>
              <w:t>施工区内车辆运输引起的道路扬尘约占场地扬尘总量的</w:t>
            </w:r>
            <w:r>
              <w:rPr>
                <w:rFonts w:hint="eastAsia" w:cs="Times New Roman"/>
                <w:b w:val="0"/>
                <w:bCs w:val="0"/>
                <w:sz w:val="24"/>
                <w:highlight w:val="none"/>
                <w:lang w:val="en-US" w:eastAsia="zh-CN"/>
              </w:rPr>
              <w:t>6</w:t>
            </w:r>
            <w:r>
              <w:rPr>
                <w:rFonts w:hint="default" w:ascii="Times New Roman" w:hAnsi="Times New Roman" w:eastAsia="宋体" w:cs="Times New Roman"/>
                <w:b w:val="0"/>
                <w:bCs w:val="0"/>
                <w:sz w:val="24"/>
                <w:highlight w:val="none"/>
              </w:rPr>
              <w:t>0%以上，道路扬尘的起尘量与运输车辆的车速、载重量、轮胎与地面的接触面积、路面含尘量、相对湿度等因素有关。根据同类工程建设经验，施工期施工区内运输车辆大多行驶在土路便道上，路面含尘量高，道路扬尘比较严重。因此，应加强路面洒水抑尘。</w:t>
            </w:r>
          </w:p>
          <w:p w14:paraId="08EAAC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1"/>
              <w:rPr>
                <w:rFonts w:hint="eastAsia" w:ascii="Times New Roman" w:hAnsi="Times New Roman" w:eastAsia="宋体" w:cs="Times New Roman"/>
                <w:b w:val="0"/>
                <w:bCs w:val="0"/>
                <w:sz w:val="24"/>
                <w:highlight w:val="none"/>
                <w:lang w:eastAsia="zh-CN"/>
              </w:rPr>
            </w:pPr>
            <w:r>
              <w:rPr>
                <w:rFonts w:hint="default" w:ascii="Times New Roman" w:hAnsi="Times New Roman" w:eastAsia="宋体" w:cs="Times New Roman"/>
                <w:b w:val="0"/>
                <w:bCs w:val="0"/>
                <w:sz w:val="24"/>
                <w:highlight w:val="none"/>
              </w:rPr>
              <w:t>（</w:t>
            </w:r>
            <w:r>
              <w:rPr>
                <w:rFonts w:hint="default" w:ascii="Times New Roman" w:hAnsi="Times New Roman" w:eastAsia="宋体" w:cs="Times New Roman"/>
                <w:b w:val="0"/>
                <w:bCs w:val="0"/>
                <w:sz w:val="24"/>
                <w:highlight w:val="none"/>
                <w:lang w:val="en-US" w:eastAsia="zh-CN"/>
              </w:rPr>
              <w:t>2</w:t>
            </w:r>
            <w:r>
              <w:rPr>
                <w:rFonts w:hint="default" w:ascii="Times New Roman" w:hAnsi="Times New Roman" w:eastAsia="宋体" w:cs="Times New Roman"/>
                <w:b w:val="0"/>
                <w:bCs w:val="0"/>
                <w:sz w:val="24"/>
                <w:highlight w:val="none"/>
              </w:rPr>
              <w:t>）</w:t>
            </w:r>
            <w:r>
              <w:rPr>
                <w:rFonts w:hint="eastAsia" w:cs="Times New Roman"/>
                <w:b w:val="0"/>
                <w:bCs w:val="0"/>
                <w:sz w:val="24"/>
                <w:highlight w:val="none"/>
                <w:lang w:eastAsia="zh-CN"/>
              </w:rPr>
              <w:t>焊接废气</w:t>
            </w:r>
          </w:p>
          <w:p w14:paraId="32420E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1"/>
              <w:rPr>
                <w:rFonts w:ascii="宋体" w:hAnsi="宋体" w:eastAsia="宋体" w:cs="宋体"/>
                <w:sz w:val="24"/>
                <w:szCs w:val="24"/>
                <w:highlight w:val="none"/>
              </w:rPr>
            </w:pPr>
            <w:r>
              <w:rPr>
                <w:rFonts w:hint="default" w:ascii="Times New Roman" w:hAnsi="Times New Roman" w:eastAsia="宋体" w:cs="Times New Roman"/>
                <w:b w:val="0"/>
                <w:bCs w:val="0"/>
                <w:sz w:val="24"/>
                <w:highlight w:val="none"/>
                <w:lang w:val="en-US" w:eastAsia="zh-CN"/>
              </w:rPr>
              <w:t>本项目</w:t>
            </w:r>
            <w:r>
              <w:rPr>
                <w:rFonts w:hint="eastAsia" w:cs="Times New Roman"/>
                <w:b w:val="0"/>
                <w:bCs w:val="0"/>
                <w:sz w:val="24"/>
                <w:highlight w:val="none"/>
                <w:lang w:val="en-US" w:eastAsia="zh-CN"/>
              </w:rPr>
              <w:t>输水</w:t>
            </w:r>
            <w:r>
              <w:rPr>
                <w:rFonts w:hint="default" w:ascii="Times New Roman" w:hAnsi="Times New Roman" w:eastAsia="宋体" w:cs="Times New Roman"/>
                <w:b w:val="0"/>
                <w:bCs w:val="0"/>
                <w:sz w:val="24"/>
                <w:highlight w:val="none"/>
                <w:lang w:val="en-US" w:eastAsia="zh-CN"/>
              </w:rPr>
              <w:t>管线涂塑钢管</w:t>
            </w:r>
            <w:r>
              <w:rPr>
                <w:rFonts w:hint="eastAsia" w:cs="Times New Roman"/>
                <w:b w:val="0"/>
                <w:bCs w:val="0"/>
                <w:sz w:val="24"/>
                <w:highlight w:val="none"/>
                <w:lang w:val="en-US" w:eastAsia="zh-CN"/>
              </w:rPr>
              <w:t>与</w:t>
            </w:r>
            <w:r>
              <w:rPr>
                <w:rFonts w:hint="default" w:ascii="Times New Roman" w:hAnsi="Times New Roman" w:eastAsia="宋体" w:cs="Times New Roman"/>
                <w:b w:val="0"/>
                <w:bCs w:val="0"/>
                <w:sz w:val="24"/>
                <w:highlight w:val="none"/>
                <w:lang w:val="en-US" w:eastAsia="zh-CN"/>
              </w:rPr>
              <w:t>涂塑钢管采用焊接工艺连接，</w:t>
            </w:r>
            <w:r>
              <w:rPr>
                <w:rFonts w:hint="default" w:ascii="Times New Roman" w:hAnsi="Times New Roman" w:eastAsia="宋体" w:cs="Times New Roman"/>
                <w:snapToGrid/>
                <w:color w:val="auto"/>
                <w:kern w:val="2"/>
                <w:sz w:val="24"/>
                <w:szCs w:val="24"/>
                <w:highlight w:val="none"/>
                <w:lang w:val="en-US" w:eastAsia="zh-CN" w:bidi="ar-SA"/>
              </w:rPr>
              <w:t>土工膜的</w:t>
            </w:r>
            <w:r>
              <w:rPr>
                <w:rFonts w:hint="eastAsia" w:ascii="Times New Roman" w:hAnsi="Times New Roman" w:eastAsia="宋体" w:cs="Times New Roman"/>
                <w:snapToGrid/>
                <w:color w:val="auto"/>
                <w:kern w:val="2"/>
                <w:sz w:val="24"/>
                <w:szCs w:val="24"/>
                <w:highlight w:val="none"/>
                <w:lang w:val="en-US" w:eastAsia="zh-CN" w:bidi="ar-SA"/>
              </w:rPr>
              <w:t>连接也采用</w:t>
            </w:r>
            <w:r>
              <w:rPr>
                <w:rFonts w:hint="default" w:ascii="Times New Roman" w:hAnsi="Times New Roman" w:eastAsia="宋体" w:cs="Times New Roman"/>
                <w:snapToGrid/>
                <w:color w:val="auto"/>
                <w:kern w:val="2"/>
                <w:sz w:val="24"/>
                <w:szCs w:val="24"/>
                <w:highlight w:val="none"/>
                <w:lang w:val="en-US" w:eastAsia="zh-CN" w:bidi="ar-SA"/>
              </w:rPr>
              <w:t>焊接</w:t>
            </w:r>
            <w:r>
              <w:rPr>
                <w:rFonts w:hint="eastAsia" w:ascii="Times New Roman" w:hAnsi="Times New Roman" w:eastAsia="宋体" w:cs="Times New Roman"/>
                <w:snapToGrid/>
                <w:color w:val="auto"/>
                <w:kern w:val="2"/>
                <w:sz w:val="24"/>
                <w:szCs w:val="24"/>
                <w:highlight w:val="none"/>
                <w:lang w:val="en-US" w:eastAsia="zh-CN" w:bidi="ar-SA"/>
              </w:rPr>
              <w:t>方式，此</w:t>
            </w:r>
            <w:r>
              <w:rPr>
                <w:rFonts w:hint="default" w:ascii="Times New Roman" w:hAnsi="Times New Roman" w:eastAsia="宋体" w:cs="Times New Roman"/>
                <w:b w:val="0"/>
                <w:bCs w:val="0"/>
                <w:sz w:val="24"/>
                <w:highlight w:val="none"/>
                <w:lang w:val="en-US" w:eastAsia="zh-CN"/>
              </w:rPr>
              <w:t>连接过程中会产生</w:t>
            </w:r>
            <w:r>
              <w:rPr>
                <w:rFonts w:hint="eastAsia" w:ascii="Times New Roman" w:hAnsi="Times New Roman" w:cs="Times New Roman"/>
                <w:b w:val="0"/>
                <w:bCs w:val="0"/>
                <w:sz w:val="24"/>
                <w:highlight w:val="none"/>
                <w:lang w:val="en-US" w:eastAsia="zh-CN"/>
              </w:rPr>
              <w:t>少</w:t>
            </w:r>
            <w:r>
              <w:rPr>
                <w:rFonts w:hint="default" w:ascii="Times New Roman" w:hAnsi="Times New Roman" w:eastAsia="宋体" w:cs="Times New Roman"/>
                <w:b w:val="0"/>
                <w:bCs w:val="0"/>
                <w:sz w:val="24"/>
                <w:highlight w:val="none"/>
                <w:lang w:val="en-US" w:eastAsia="zh-CN"/>
              </w:rPr>
              <w:t>量的焊接烟尘</w:t>
            </w:r>
            <w:r>
              <w:rPr>
                <w:rFonts w:hint="eastAsia" w:cs="Times New Roman"/>
                <w:b w:val="0"/>
                <w:bCs w:val="0"/>
                <w:sz w:val="24"/>
                <w:highlight w:val="none"/>
                <w:lang w:val="en-US" w:eastAsia="zh-CN"/>
              </w:rPr>
              <w:t>。</w:t>
            </w:r>
            <w:r>
              <w:rPr>
                <w:rFonts w:ascii="宋体" w:hAnsi="宋体" w:eastAsia="宋体" w:cs="宋体"/>
                <w:sz w:val="24"/>
                <w:szCs w:val="24"/>
                <w:highlight w:val="none"/>
              </w:rPr>
              <w:t>由于焊接烟尘的排放具有分散、间断排放和排放量小的特点，故焊接烟尘对周围环境空气质量影响较小。</w:t>
            </w:r>
          </w:p>
          <w:p w14:paraId="60AEBD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b w:val="0"/>
                <w:bCs w:val="0"/>
                <w:sz w:val="24"/>
                <w:highlight w:val="none"/>
              </w:rPr>
            </w:pPr>
            <w:r>
              <w:rPr>
                <w:rFonts w:hint="eastAsia" w:cs="Times New Roman"/>
                <w:b w:val="0"/>
                <w:bCs w:val="0"/>
                <w:sz w:val="24"/>
                <w:highlight w:val="none"/>
                <w:lang w:eastAsia="zh-CN"/>
              </w:rPr>
              <w:t>（</w:t>
            </w:r>
            <w:r>
              <w:rPr>
                <w:rFonts w:hint="eastAsia" w:cs="Times New Roman"/>
                <w:b w:val="0"/>
                <w:bCs w:val="0"/>
                <w:sz w:val="24"/>
                <w:highlight w:val="none"/>
                <w:lang w:val="en-US" w:eastAsia="zh-CN"/>
              </w:rPr>
              <w:t>3</w:t>
            </w: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rPr>
              <w:t>施工机械</w:t>
            </w:r>
            <w:r>
              <w:rPr>
                <w:rFonts w:hint="default" w:ascii="Times New Roman" w:hAnsi="Times New Roman" w:eastAsia="宋体" w:cs="Times New Roman"/>
                <w:b w:val="0"/>
                <w:bCs w:val="0"/>
                <w:sz w:val="24"/>
                <w:highlight w:val="none"/>
                <w:lang w:val="en-US" w:eastAsia="zh-CN"/>
              </w:rPr>
              <w:t>与运输车辆</w:t>
            </w:r>
            <w:r>
              <w:rPr>
                <w:rFonts w:hint="default" w:ascii="Times New Roman" w:hAnsi="Times New Roman" w:eastAsia="宋体" w:cs="Times New Roman"/>
                <w:b w:val="0"/>
                <w:bCs w:val="0"/>
                <w:sz w:val="24"/>
                <w:highlight w:val="none"/>
              </w:rPr>
              <w:t>的燃油废气</w:t>
            </w:r>
          </w:p>
          <w:p w14:paraId="6BBA5E27">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lang w:val="en-US" w:eastAsia="zh-CN"/>
              </w:rPr>
            </w:pPr>
            <w:r>
              <w:rPr>
                <w:rFonts w:hint="default" w:ascii="Times New Roman" w:hAnsi="Times New Roman" w:eastAsia="宋体" w:cs="Times New Roman"/>
                <w:b w:val="0"/>
                <w:bCs w:val="0"/>
                <w:kern w:val="0"/>
                <w:sz w:val="24"/>
                <w:highlight w:val="none"/>
                <w:lang w:val="en-US" w:eastAsia="zh-CN"/>
              </w:rPr>
              <w:t>本项目施工过程用到的施工机械主要有装载机、推土机以及各种运输车辆等，以柴油和汽油为主要燃料，间断运行，运行过程中都会产生一定量的废气，主要以NOX、CO和THC为主，为无组织排放，污染物排放量的大小与机械质量、油品质量、车辆运输量、设备类型以及运行的工况有关。本项目施工周期短，施工机械数量有限，且均为间歇性运作，其尾气排放量小，施工场地周边开阔平坦，空气流通顺畅，污染物不会</w:t>
            </w:r>
            <w:r>
              <w:rPr>
                <w:rFonts w:hint="eastAsia" w:cs="Times New Roman"/>
                <w:b w:val="0"/>
                <w:bCs w:val="0"/>
                <w:kern w:val="0"/>
                <w:sz w:val="24"/>
                <w:highlight w:val="none"/>
                <w:lang w:val="en-US" w:eastAsia="zh-CN"/>
              </w:rPr>
              <w:t>聚集。</w:t>
            </w:r>
            <w:r>
              <w:rPr>
                <w:rFonts w:hint="default" w:ascii="Times New Roman" w:hAnsi="Times New Roman" w:eastAsia="宋体" w:cs="Times New Roman"/>
                <w:b w:val="0"/>
                <w:bCs w:val="0"/>
                <w:kern w:val="0"/>
                <w:sz w:val="24"/>
                <w:highlight w:val="none"/>
                <w:lang w:val="en-US" w:eastAsia="zh-CN"/>
              </w:rPr>
              <w:t>施工期</w:t>
            </w:r>
            <w:r>
              <w:rPr>
                <w:rFonts w:hint="eastAsia" w:cs="Times New Roman"/>
                <w:b w:val="0"/>
                <w:bCs w:val="0"/>
                <w:kern w:val="0"/>
                <w:sz w:val="24"/>
                <w:highlight w:val="none"/>
                <w:lang w:val="en-US" w:eastAsia="zh-CN"/>
              </w:rPr>
              <w:t>间，</w:t>
            </w:r>
            <w:r>
              <w:rPr>
                <w:rFonts w:hint="default" w:ascii="Times New Roman" w:hAnsi="Times New Roman" w:eastAsia="宋体" w:cs="Times New Roman"/>
                <w:b w:val="0"/>
                <w:bCs w:val="0"/>
                <w:kern w:val="0"/>
                <w:sz w:val="24"/>
                <w:highlight w:val="none"/>
                <w:lang w:val="en-US" w:eastAsia="zh-CN"/>
              </w:rPr>
              <w:t>各机械设备使用满足标准的油品，在加强施工机械、车辆等运行管理与维护保养</w:t>
            </w:r>
            <w:r>
              <w:rPr>
                <w:rFonts w:hint="eastAsia" w:cs="Times New Roman"/>
                <w:b w:val="0"/>
                <w:bCs w:val="0"/>
                <w:kern w:val="0"/>
                <w:sz w:val="24"/>
                <w:highlight w:val="none"/>
                <w:lang w:val="en-US" w:eastAsia="zh-CN"/>
              </w:rPr>
              <w:t>的</w:t>
            </w:r>
            <w:r>
              <w:rPr>
                <w:rFonts w:hint="default" w:ascii="Times New Roman" w:hAnsi="Times New Roman" w:eastAsia="宋体" w:cs="Times New Roman"/>
                <w:b w:val="0"/>
                <w:bCs w:val="0"/>
                <w:kern w:val="0"/>
                <w:sz w:val="24"/>
                <w:highlight w:val="none"/>
                <w:lang w:val="en-US" w:eastAsia="zh-CN"/>
              </w:rPr>
              <w:t>情况下，可减少尾气排放对环境的污染，经扩散后对环境影响小。</w:t>
            </w:r>
          </w:p>
          <w:p w14:paraId="49A03A31">
            <w:pPr>
              <w:keepNext w:val="0"/>
              <w:keepLines w:val="0"/>
              <w:pageBreakBefore w:val="0"/>
              <w:widowControl w:val="0"/>
              <w:kinsoku/>
              <w:wordWrap/>
              <w:overflowPunct/>
              <w:topLinePunct w:val="0"/>
              <w:autoSpaceDE/>
              <w:autoSpaceDN/>
              <w:bidi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三</w:t>
            </w:r>
            <w:r>
              <w:rPr>
                <w:rFonts w:hint="default" w:ascii="Times New Roman" w:hAnsi="Times New Roman" w:eastAsia="宋体" w:cs="Times New Roman"/>
                <w:b w:val="0"/>
                <w:bCs w:val="0"/>
                <w:sz w:val="24"/>
                <w:highlight w:val="none"/>
              </w:rPr>
              <w:t>、</w:t>
            </w:r>
            <w:r>
              <w:rPr>
                <w:rFonts w:hint="default" w:ascii="Times New Roman" w:hAnsi="Times New Roman" w:eastAsia="宋体" w:cs="Times New Roman"/>
                <w:b w:val="0"/>
                <w:bCs w:val="0"/>
                <w:sz w:val="24"/>
                <w:highlight w:val="none"/>
                <w:lang w:val="en-US" w:eastAsia="zh-CN"/>
              </w:rPr>
              <w:t>水环境影响分析</w:t>
            </w:r>
          </w:p>
          <w:p w14:paraId="7A46032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rPr>
            </w:pPr>
            <w:r>
              <w:rPr>
                <w:rFonts w:hint="default" w:ascii="Times New Roman" w:hAnsi="Times New Roman" w:eastAsia="宋体" w:cs="Times New Roman"/>
                <w:b w:val="0"/>
                <w:bCs w:val="0"/>
                <w:kern w:val="0"/>
                <w:sz w:val="24"/>
                <w:highlight w:val="none"/>
                <w:lang w:val="en-US" w:eastAsia="zh-CN"/>
              </w:rPr>
              <w:t>本项目施工废水主要为施工废水和施工</w:t>
            </w:r>
            <w:r>
              <w:rPr>
                <w:rFonts w:hint="default" w:ascii="Times New Roman" w:hAnsi="Times New Roman" w:eastAsia="宋体" w:cs="Times New Roman"/>
                <w:b w:val="0"/>
                <w:bCs w:val="0"/>
                <w:sz w:val="24"/>
                <w:highlight w:val="none"/>
              </w:rPr>
              <w:t>人员</w:t>
            </w:r>
            <w:r>
              <w:rPr>
                <w:rFonts w:hint="default" w:ascii="Times New Roman" w:hAnsi="Times New Roman" w:eastAsia="宋体" w:cs="Times New Roman"/>
                <w:b w:val="0"/>
                <w:bCs w:val="0"/>
                <w:kern w:val="0"/>
                <w:sz w:val="24"/>
                <w:highlight w:val="none"/>
                <w:lang w:val="en-US" w:eastAsia="zh-CN"/>
              </w:rPr>
              <w:t xml:space="preserve">生活污水。 </w:t>
            </w:r>
          </w:p>
          <w:p w14:paraId="0E981AB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rPr>
            </w:pPr>
            <w:r>
              <w:rPr>
                <w:rFonts w:hint="default" w:ascii="Times New Roman" w:hAnsi="Times New Roman" w:eastAsia="宋体" w:cs="Times New Roman"/>
                <w:b w:val="0"/>
                <w:bCs w:val="0"/>
                <w:kern w:val="0"/>
                <w:sz w:val="24"/>
                <w:highlight w:val="none"/>
                <w:lang w:val="en-US" w:eastAsia="zh-CN"/>
              </w:rPr>
              <w:t xml:space="preserve">（1）生活污水 </w:t>
            </w:r>
          </w:p>
          <w:p w14:paraId="549C01D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rPr>
            </w:pPr>
            <w:r>
              <w:rPr>
                <w:rFonts w:hint="default" w:ascii="Times New Roman" w:hAnsi="Times New Roman" w:eastAsia="宋体" w:cs="Times New Roman"/>
                <w:b w:val="0"/>
                <w:bCs w:val="0"/>
                <w:sz w:val="24"/>
                <w:highlight w:val="none"/>
              </w:rPr>
              <w:t>在项目建设期间施工人员会产生一定量的生活污水</w:t>
            </w:r>
            <w:r>
              <w:rPr>
                <w:rFonts w:hint="eastAsia" w:cs="Times New Roman"/>
                <w:b w:val="0"/>
                <w:bCs w:val="0"/>
                <w:sz w:val="24"/>
                <w:highlight w:val="none"/>
                <w:lang w:eastAsia="zh-CN"/>
              </w:rPr>
              <w:t>。根据</w:t>
            </w:r>
            <w:r>
              <w:rPr>
                <w:rFonts w:hint="default" w:ascii="Times New Roman" w:hAnsi="Times New Roman" w:eastAsia="宋体" w:cs="Times New Roman"/>
                <w:b w:val="0"/>
                <w:bCs w:val="0"/>
                <w:sz w:val="24"/>
                <w:highlight w:val="none"/>
              </w:rPr>
              <w:t>项目施工情况，施工高峰期每天约</w:t>
            </w:r>
            <w:r>
              <w:rPr>
                <w:rFonts w:hint="eastAsia" w:cs="Times New Roman"/>
                <w:b w:val="0"/>
                <w:bCs w:val="0"/>
                <w:sz w:val="24"/>
                <w:highlight w:val="none"/>
                <w:lang w:val="en-US" w:eastAsia="zh-CN"/>
              </w:rPr>
              <w:t>3</w:t>
            </w:r>
            <w:r>
              <w:rPr>
                <w:rFonts w:hint="default" w:ascii="Times New Roman" w:hAnsi="Times New Roman" w:eastAsia="宋体" w:cs="Times New Roman"/>
                <w:b w:val="0"/>
                <w:bCs w:val="0"/>
                <w:sz w:val="24"/>
                <w:highlight w:val="none"/>
                <w:lang w:val="en-US" w:eastAsia="zh-CN"/>
              </w:rPr>
              <w:t>0</w:t>
            </w:r>
            <w:r>
              <w:rPr>
                <w:rFonts w:hint="default" w:ascii="Times New Roman" w:hAnsi="Times New Roman" w:eastAsia="宋体" w:cs="Times New Roman"/>
                <w:b w:val="0"/>
                <w:bCs w:val="0"/>
                <w:sz w:val="24"/>
                <w:highlight w:val="none"/>
              </w:rPr>
              <w:t>人，根据《内蒙古自治区行业用水定额》（DB15/T 385-</w:t>
            </w:r>
            <w:r>
              <w:rPr>
                <w:rFonts w:hint="eastAsia" w:cs="Times New Roman"/>
                <w:b w:val="0"/>
                <w:bCs w:val="0"/>
                <w:sz w:val="24"/>
                <w:highlight w:val="none"/>
                <w:lang w:val="en-US" w:eastAsia="zh-CN"/>
              </w:rPr>
              <w:t>2020</w:t>
            </w:r>
            <w:r>
              <w:rPr>
                <w:rFonts w:hint="default" w:ascii="Times New Roman" w:hAnsi="Times New Roman" w:eastAsia="宋体" w:cs="Times New Roman"/>
                <w:b w:val="0"/>
                <w:bCs w:val="0"/>
                <w:sz w:val="24"/>
                <w:highlight w:val="none"/>
              </w:rPr>
              <w:t>），参考农村居民用水定额60 L/（人·d），产污系数按0.8计，施工人员生活污水产生量为</w:t>
            </w:r>
            <w:r>
              <w:rPr>
                <w:rFonts w:hint="default" w:ascii="Times New Roman" w:hAnsi="Times New Roman" w:eastAsia="宋体" w:cs="Times New Roman"/>
                <w:b w:val="0"/>
                <w:bCs w:val="0"/>
                <w:sz w:val="24"/>
                <w:highlight w:val="none"/>
                <w:lang w:val="en-US" w:eastAsia="zh-CN"/>
              </w:rPr>
              <w:t>1.</w:t>
            </w:r>
            <w:r>
              <w:rPr>
                <w:rFonts w:hint="eastAsia" w:cs="Times New Roman"/>
                <w:b w:val="0"/>
                <w:bCs w:val="0"/>
                <w:sz w:val="24"/>
                <w:highlight w:val="none"/>
                <w:lang w:val="en-US" w:eastAsia="zh-CN"/>
              </w:rPr>
              <w:t>44</w:t>
            </w:r>
            <w:r>
              <w:rPr>
                <w:rFonts w:hint="default" w:ascii="Times New Roman" w:hAnsi="Times New Roman" w:eastAsia="宋体" w:cs="Times New Roman"/>
                <w:b w:val="0"/>
                <w:bCs w:val="0"/>
                <w:sz w:val="24"/>
                <w:highlight w:val="none"/>
              </w:rPr>
              <w:t> m</w:t>
            </w:r>
            <w:r>
              <w:rPr>
                <w:rFonts w:hint="default" w:ascii="Times New Roman" w:hAnsi="Times New Roman" w:eastAsia="宋体" w:cs="Times New Roman"/>
                <w:b w:val="0"/>
                <w:bCs w:val="0"/>
                <w:sz w:val="24"/>
                <w:highlight w:val="none"/>
                <w:vertAlign w:val="superscript"/>
              </w:rPr>
              <w:t>3</w:t>
            </w:r>
            <w:r>
              <w:rPr>
                <w:rFonts w:hint="default" w:ascii="Times New Roman" w:hAnsi="Times New Roman" w:eastAsia="宋体" w:cs="Times New Roman"/>
                <w:b w:val="0"/>
                <w:bCs w:val="0"/>
                <w:sz w:val="24"/>
                <w:highlight w:val="none"/>
              </w:rPr>
              <w:t>/d</w:t>
            </w:r>
            <w:r>
              <w:rPr>
                <w:rFonts w:hint="default" w:ascii="Times New Roman" w:hAnsi="Times New Roman" w:eastAsia="宋体" w:cs="Times New Roman"/>
                <w:b w:val="0"/>
                <w:bCs w:val="0"/>
                <w:sz w:val="24"/>
                <w:highlight w:val="none"/>
                <w:lang w:eastAsia="zh-CN"/>
              </w:rPr>
              <w:t>，施工期共产生生活污水</w:t>
            </w:r>
            <w:r>
              <w:rPr>
                <w:rFonts w:hint="eastAsia" w:cs="Times New Roman"/>
                <w:b w:val="0"/>
                <w:bCs w:val="0"/>
                <w:sz w:val="24"/>
                <w:highlight w:val="none"/>
                <w:lang w:val="en-US" w:eastAsia="zh-CN"/>
              </w:rPr>
              <w:t>388.8</w:t>
            </w:r>
            <w:r>
              <w:rPr>
                <w:rFonts w:hint="default" w:ascii="Times New Roman" w:hAnsi="Times New Roman" w:eastAsia="宋体" w:cs="Times New Roman"/>
                <w:b w:val="0"/>
                <w:bCs w:val="0"/>
                <w:sz w:val="24"/>
                <w:highlight w:val="none"/>
              </w:rPr>
              <w:t>m</w:t>
            </w:r>
            <w:r>
              <w:rPr>
                <w:rFonts w:hint="default" w:ascii="Times New Roman" w:hAnsi="Times New Roman" w:eastAsia="宋体" w:cs="Times New Roman"/>
                <w:b w:val="0"/>
                <w:bCs w:val="0"/>
                <w:sz w:val="24"/>
                <w:highlight w:val="none"/>
                <w:vertAlign w:val="superscript"/>
              </w:rPr>
              <w:t>3</w:t>
            </w:r>
            <w:r>
              <w:rPr>
                <w:rFonts w:hint="default" w:ascii="Times New Roman" w:hAnsi="Times New Roman" w:eastAsia="宋体" w:cs="Times New Roman"/>
                <w:b w:val="0"/>
                <w:bCs w:val="0"/>
                <w:sz w:val="24"/>
                <w:highlight w:val="none"/>
              </w:rPr>
              <w:t>，</w:t>
            </w:r>
            <w:r>
              <w:rPr>
                <w:rFonts w:hint="default" w:ascii="Times New Roman" w:hAnsi="Times New Roman" w:cs="Times New Roman"/>
                <w:color w:val="auto"/>
                <w:sz w:val="24"/>
                <w:szCs w:val="24"/>
                <w:highlight w:val="none"/>
              </w:rPr>
              <w:t>参考典型生活污水水质，主要污染物浓度为COD400mg/L、BOD</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200mg/L、SS220mg/L、NH</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-N35mg/L、TP</w:t>
            </w:r>
            <w:r>
              <w:rPr>
                <w:rFonts w:hint="eastAsia"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rPr>
              <w:t>mg/L</w:t>
            </w: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rPr>
              <w:t>施工人员产生的生活污水</w:t>
            </w:r>
            <w:r>
              <w:rPr>
                <w:rFonts w:hint="eastAsia" w:cs="Times New Roman"/>
                <w:b w:val="0"/>
                <w:bCs w:val="0"/>
                <w:sz w:val="24"/>
                <w:highlight w:val="none"/>
                <w:lang w:eastAsia="zh-CN"/>
              </w:rPr>
              <w:t>设置临时化粪池收集，送至吉日嘎朗图镇生活污水处理厂进行处理。</w:t>
            </w:r>
            <w:r>
              <w:rPr>
                <w:rFonts w:hint="default" w:ascii="Times New Roman" w:hAnsi="Times New Roman" w:eastAsia="宋体" w:cs="Times New Roman"/>
                <w:b w:val="0"/>
                <w:bCs w:val="0"/>
                <w:sz w:val="24"/>
                <w:highlight w:val="none"/>
              </w:rPr>
              <w:t>，</w:t>
            </w:r>
            <w:r>
              <w:rPr>
                <w:rFonts w:hint="eastAsia" w:cs="Times New Roman"/>
                <w:b w:val="0"/>
                <w:bCs w:val="0"/>
                <w:sz w:val="24"/>
                <w:highlight w:val="none"/>
                <w:lang w:eastAsia="zh-CN"/>
              </w:rPr>
              <w:t>这种处理方式</w:t>
            </w:r>
            <w:r>
              <w:rPr>
                <w:rFonts w:hint="default" w:ascii="Times New Roman" w:hAnsi="Times New Roman" w:eastAsia="宋体" w:cs="Times New Roman"/>
                <w:b w:val="0"/>
                <w:bCs w:val="0"/>
                <w:sz w:val="24"/>
                <w:highlight w:val="none"/>
              </w:rPr>
              <w:t>不直接排入环境，对</w:t>
            </w:r>
            <w:r>
              <w:rPr>
                <w:rFonts w:hint="eastAsia" w:cs="Times New Roman"/>
                <w:b w:val="0"/>
                <w:bCs w:val="0"/>
                <w:sz w:val="24"/>
                <w:highlight w:val="none"/>
                <w:lang w:eastAsia="zh-CN"/>
              </w:rPr>
              <w:t>周边</w:t>
            </w:r>
            <w:r>
              <w:rPr>
                <w:rFonts w:hint="default" w:ascii="Times New Roman" w:hAnsi="Times New Roman" w:eastAsia="宋体" w:cs="Times New Roman"/>
                <w:b w:val="0"/>
                <w:bCs w:val="0"/>
                <w:sz w:val="24"/>
                <w:highlight w:val="none"/>
              </w:rPr>
              <w:t>环境影响较小。</w:t>
            </w:r>
          </w:p>
          <w:p w14:paraId="4EEBF45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rPr>
            </w:pPr>
            <w:r>
              <w:rPr>
                <w:rFonts w:hint="default" w:ascii="Times New Roman" w:hAnsi="Times New Roman" w:eastAsia="宋体" w:cs="Times New Roman"/>
                <w:b w:val="0"/>
                <w:bCs w:val="0"/>
                <w:kern w:val="0"/>
                <w:sz w:val="24"/>
                <w:highlight w:val="none"/>
                <w:lang w:val="en-US" w:eastAsia="zh-CN"/>
              </w:rPr>
              <w:t xml:space="preserve">（2）施工废水 </w:t>
            </w:r>
          </w:p>
          <w:p w14:paraId="0255570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lang w:val="en-US" w:eastAsia="zh-CN"/>
              </w:rPr>
            </w:pPr>
            <w:r>
              <w:rPr>
                <w:rFonts w:hint="default" w:ascii="Times New Roman" w:hAnsi="Times New Roman" w:eastAsia="宋体" w:cs="Times New Roman"/>
                <w:b w:val="0"/>
                <w:bCs w:val="0"/>
                <w:kern w:val="0"/>
                <w:sz w:val="24"/>
                <w:highlight w:val="none"/>
                <w:lang w:val="en-US" w:eastAsia="zh-CN"/>
              </w:rPr>
              <w:t>项目施工废水</w:t>
            </w:r>
            <w:r>
              <w:rPr>
                <w:rFonts w:hint="eastAsia" w:cs="Times New Roman"/>
                <w:b w:val="0"/>
                <w:bCs w:val="0"/>
                <w:kern w:val="0"/>
                <w:sz w:val="24"/>
                <w:highlight w:val="none"/>
                <w:lang w:val="en-US" w:eastAsia="zh-CN"/>
              </w:rPr>
              <w:t>主要是</w:t>
            </w:r>
            <w:r>
              <w:rPr>
                <w:rFonts w:hint="eastAsia" w:ascii="宋体" w:hAnsi="宋体" w:eastAsia="宋体" w:cs="宋体"/>
                <w:color w:val="000000"/>
                <w:kern w:val="0"/>
                <w:sz w:val="24"/>
                <w:szCs w:val="24"/>
                <w:highlight w:val="none"/>
                <w:lang w:val="en-US" w:eastAsia="zh-CN" w:bidi="ar"/>
              </w:rPr>
              <w:t>施工作业废水</w:t>
            </w:r>
            <w:r>
              <w:rPr>
                <w:rFonts w:hint="eastAsia" w:ascii="宋体" w:hAnsi="宋体" w:cs="宋体"/>
                <w:color w:val="auto"/>
                <w:kern w:val="0"/>
                <w:sz w:val="24"/>
                <w:highlight w:val="none"/>
                <w:lang w:eastAsia="zh-CN"/>
              </w:rPr>
              <w:t>和</w:t>
            </w:r>
            <w:r>
              <w:rPr>
                <w:rFonts w:hint="eastAsia" w:ascii="宋体" w:hAnsi="宋体" w:eastAsia="宋体" w:cs="宋体"/>
                <w:color w:val="000000"/>
                <w:kern w:val="0"/>
                <w:sz w:val="24"/>
                <w:szCs w:val="24"/>
                <w:highlight w:val="none"/>
                <w:lang w:val="en-US" w:eastAsia="zh-CN" w:bidi="ar"/>
              </w:rPr>
              <w:t>输水管道试压废水</w:t>
            </w:r>
          </w:p>
          <w:p w14:paraId="1520B31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kern w:val="0"/>
                <w:sz w:val="24"/>
                <w:highlight w:val="none"/>
                <w:lang w:val="en-US" w:eastAsia="zh-CN"/>
              </w:rPr>
            </w:pPr>
            <w:r>
              <w:rPr>
                <w:rFonts w:hint="eastAsia" w:ascii="东文宋体" w:hAnsi="东文宋体" w:eastAsia="东文宋体" w:cs="东文宋体"/>
                <w:color w:val="000000"/>
                <w:kern w:val="0"/>
                <w:sz w:val="24"/>
                <w:szCs w:val="24"/>
                <w:highlight w:val="none"/>
                <w:lang w:val="en-US" w:eastAsia="zh-CN" w:bidi="ar"/>
              </w:rPr>
              <w:t>①</w:t>
            </w:r>
            <w:r>
              <w:rPr>
                <w:rFonts w:hint="eastAsia" w:ascii="宋体" w:hAnsi="宋体" w:eastAsia="宋体" w:cs="宋体"/>
                <w:color w:val="000000"/>
                <w:kern w:val="0"/>
                <w:sz w:val="24"/>
                <w:szCs w:val="24"/>
                <w:highlight w:val="none"/>
                <w:lang w:val="en-US" w:eastAsia="zh-CN" w:bidi="ar"/>
              </w:rPr>
              <w:t>施工作业废水：施工作业废水包括</w:t>
            </w:r>
            <w:r>
              <w:rPr>
                <w:rFonts w:hint="eastAsia" w:ascii="宋体" w:hAnsi="宋体"/>
                <w:color w:val="auto"/>
                <w:sz w:val="24"/>
                <w:highlight w:val="none"/>
              </w:rPr>
              <w:t>砂石冲洗</w:t>
            </w:r>
            <w:r>
              <w:rPr>
                <w:rFonts w:hint="eastAsia" w:ascii="宋体" w:hAnsi="宋体"/>
                <w:color w:val="auto"/>
                <w:sz w:val="24"/>
                <w:highlight w:val="none"/>
                <w:lang w:eastAsia="zh-CN"/>
              </w:rPr>
              <w:t>水</w:t>
            </w:r>
            <w:r>
              <w:rPr>
                <w:rFonts w:hint="eastAsia" w:ascii="宋体" w:hAnsi="宋体"/>
                <w:color w:val="auto"/>
                <w:sz w:val="24"/>
                <w:highlight w:val="none"/>
              </w:rPr>
              <w:t>、混凝土养护、</w:t>
            </w:r>
            <w:r>
              <w:rPr>
                <w:rFonts w:hint="default" w:ascii="Times New Roman" w:hAnsi="Times New Roman" w:eastAsia="宋体" w:cs="Times New Roman"/>
                <w:b w:val="0"/>
                <w:bCs w:val="0"/>
                <w:kern w:val="0"/>
                <w:sz w:val="24"/>
                <w:highlight w:val="none"/>
                <w:lang w:val="en-US" w:eastAsia="zh-CN"/>
              </w:rPr>
              <w:t>清洗施工设备以及清洗机械车辆产生的废水，主要污染物为SS，浓度为1500～2500mg/L。施工场地内设置沉淀池，施工废水经沉淀池处理后循环利用，对周围地表水环境质量影响小。</w:t>
            </w:r>
          </w:p>
          <w:p w14:paraId="37E984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highlight w:val="none"/>
              </w:rPr>
            </w:pPr>
            <w:r>
              <w:rPr>
                <w:rFonts w:hint="eastAsia" w:ascii="东文宋体" w:hAnsi="东文宋体" w:eastAsia="东文宋体" w:cs="东文宋体"/>
                <w:color w:val="auto"/>
                <w:kern w:val="0"/>
                <w:sz w:val="24"/>
                <w:highlight w:val="none"/>
                <w:lang w:eastAsia="zh-CN"/>
              </w:rPr>
              <w:t>②</w:t>
            </w:r>
            <w:r>
              <w:rPr>
                <w:rFonts w:hint="default" w:ascii="Times New Roman" w:hAnsi="Times New Roman" w:eastAsia="宋体" w:cs="Times New Roman"/>
                <w:color w:val="000000"/>
                <w:kern w:val="0"/>
                <w:sz w:val="24"/>
                <w:szCs w:val="24"/>
                <w:highlight w:val="none"/>
                <w:lang w:val="en-US" w:eastAsia="zh-CN" w:bidi="ar"/>
              </w:rPr>
              <w:t>输水管道试压废水：输水管道施工期间，管道进行水压试验，会产生试压废水，主要污染物有SS。管道试压采用清洁水，试压作业分段进行，每段试压水排出后进入下一段管线循环使用，可减少水资源消耗。试压废水中主要污染物为悬浮物，试压结束后经沉淀池沉淀后用于施工场地洒水抑尘，对项目区周边水环境没有不良影响。</w:t>
            </w:r>
          </w:p>
          <w:p w14:paraId="77D34EFF">
            <w:pPr>
              <w:keepNext w:val="0"/>
              <w:keepLines w:val="0"/>
              <w:pageBreakBefore w:val="0"/>
              <w:widowControl w:val="0"/>
              <w:kinsoku/>
              <w:wordWrap/>
              <w:overflowPunct/>
              <w:topLinePunct w:val="0"/>
              <w:autoSpaceDE/>
              <w:autoSpaceDN/>
              <w:bidi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lang w:eastAsia="zh-CN"/>
              </w:rPr>
            </w:pPr>
            <w:r>
              <w:rPr>
                <w:rFonts w:hint="eastAsia" w:ascii="Times New Roman" w:hAnsi="Times New Roman" w:eastAsia="宋体" w:cs="Times New Roman"/>
                <w:b w:val="0"/>
                <w:bCs w:val="0"/>
                <w:sz w:val="24"/>
                <w:highlight w:val="none"/>
                <w:lang w:val="en-US" w:eastAsia="zh-CN"/>
              </w:rPr>
              <w:t>四</w:t>
            </w:r>
            <w:r>
              <w:rPr>
                <w:rFonts w:hint="default" w:ascii="Times New Roman" w:hAnsi="Times New Roman" w:eastAsia="宋体" w:cs="Times New Roman"/>
                <w:b w:val="0"/>
                <w:bCs w:val="0"/>
                <w:sz w:val="24"/>
                <w:highlight w:val="none"/>
              </w:rPr>
              <w:t>、声</w:t>
            </w:r>
            <w:r>
              <w:rPr>
                <w:rFonts w:hint="default" w:ascii="Times New Roman" w:hAnsi="Times New Roman" w:eastAsia="宋体" w:cs="Times New Roman"/>
                <w:b w:val="0"/>
                <w:bCs w:val="0"/>
                <w:sz w:val="24"/>
                <w:highlight w:val="none"/>
                <w:lang w:eastAsia="zh-CN"/>
              </w:rPr>
              <w:t>环境影响分析</w:t>
            </w:r>
          </w:p>
          <w:p w14:paraId="6C938A29">
            <w:pPr>
              <w:keepNext w:val="0"/>
              <w:keepLines w:val="0"/>
              <w:pageBreakBefore w:val="0"/>
              <w:widowControl w:val="0"/>
              <w:tabs>
                <w:tab w:val="left" w:pos="624"/>
              </w:tabs>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highlight w:val="none"/>
                <w:lang w:val="en-US" w:eastAsia="zh-CN"/>
              </w:rPr>
            </w:pPr>
            <w:r>
              <w:rPr>
                <w:rFonts w:hint="default" w:ascii="Times New Roman" w:hAnsi="Times New Roman" w:eastAsia="宋体" w:cs="Times New Roman"/>
                <w:b w:val="0"/>
                <w:bCs w:val="0"/>
                <w:sz w:val="24"/>
                <w:highlight w:val="none"/>
                <w:lang w:val="en-US" w:eastAsia="zh-CN"/>
              </w:rPr>
              <w:t>本项目施工期间主要噪声源为挖掘机、推土机、</w:t>
            </w:r>
            <w:r>
              <w:rPr>
                <w:rFonts w:hint="eastAsia" w:cs="Times New Roman"/>
                <w:b w:val="0"/>
                <w:bCs w:val="0"/>
                <w:sz w:val="24"/>
                <w:highlight w:val="none"/>
                <w:lang w:val="en-US" w:eastAsia="zh-CN"/>
              </w:rPr>
              <w:t>振动碾、蛙式夯实机</w:t>
            </w:r>
            <w:r>
              <w:rPr>
                <w:rFonts w:hint="default" w:ascii="Times New Roman" w:hAnsi="Times New Roman" w:eastAsia="宋体" w:cs="Times New Roman"/>
                <w:b w:val="0"/>
                <w:bCs w:val="0"/>
                <w:sz w:val="24"/>
                <w:highlight w:val="none"/>
                <w:lang w:val="en-US" w:eastAsia="zh-CN"/>
              </w:rPr>
              <w:t>等施工机械以及</w:t>
            </w:r>
            <w:r>
              <w:rPr>
                <w:rFonts w:hint="eastAsia" w:cs="Times New Roman"/>
                <w:b w:val="0"/>
                <w:bCs w:val="0"/>
                <w:sz w:val="24"/>
                <w:highlight w:val="none"/>
                <w:lang w:val="en-US" w:eastAsia="zh-CN"/>
              </w:rPr>
              <w:t>施工</w:t>
            </w:r>
            <w:r>
              <w:rPr>
                <w:rFonts w:hint="default" w:ascii="Times New Roman" w:hAnsi="Times New Roman" w:eastAsia="宋体" w:cs="Times New Roman"/>
                <w:b w:val="0"/>
                <w:bCs w:val="0"/>
                <w:sz w:val="24"/>
                <w:highlight w:val="none"/>
                <w:lang w:val="en-US" w:eastAsia="zh-CN"/>
              </w:rPr>
              <w:t>车辆，声压级一般在</w:t>
            </w:r>
            <w:r>
              <w:rPr>
                <w:rFonts w:hint="eastAsia" w:cs="Times New Roman"/>
                <w:b w:val="0"/>
                <w:bCs w:val="0"/>
                <w:sz w:val="24"/>
                <w:highlight w:val="none"/>
                <w:lang w:val="en-US" w:eastAsia="zh-CN"/>
              </w:rPr>
              <w:t>85</w:t>
            </w:r>
            <w:r>
              <w:rPr>
                <w:rFonts w:hint="default" w:ascii="Times New Roman" w:hAnsi="Times New Roman" w:eastAsia="宋体" w:cs="Times New Roman"/>
                <w:b w:val="0"/>
                <w:bCs w:val="0"/>
                <w:sz w:val="24"/>
                <w:highlight w:val="none"/>
                <w:lang w:val="en-US" w:eastAsia="zh-CN"/>
              </w:rPr>
              <w:t>～90dB（A）</w:t>
            </w:r>
            <w:r>
              <w:rPr>
                <w:rFonts w:hint="eastAsia" w:cs="Times New Roman"/>
                <w:b w:val="0"/>
                <w:bCs w:val="0"/>
                <w:sz w:val="24"/>
                <w:highlight w:val="none"/>
                <w:lang w:val="en-US" w:eastAsia="zh-CN"/>
              </w:rPr>
              <w:t>。</w:t>
            </w:r>
            <w:r>
              <w:rPr>
                <w:rFonts w:hint="default" w:ascii="Times New Roman" w:hAnsi="Times New Roman" w:eastAsia="宋体" w:cs="Times New Roman"/>
                <w:b w:val="0"/>
                <w:bCs w:val="0"/>
                <w:sz w:val="24"/>
                <w:highlight w:val="none"/>
                <w:lang w:val="en-US" w:eastAsia="zh-CN"/>
              </w:rPr>
              <w:t>施工期间主要噪声源的特点属于移动声源且分散。</w:t>
            </w:r>
            <w:r>
              <w:rPr>
                <w:rFonts w:hint="default" w:ascii="Times New Roman" w:hAnsi="Times New Roman" w:cs="Times New Roman"/>
                <w:color w:val="auto"/>
                <w:sz w:val="24"/>
                <w:highlight w:val="none"/>
              </w:rPr>
              <w:t>施工机械噪声源强见</w:t>
            </w:r>
            <w:r>
              <w:rPr>
                <w:rFonts w:hint="default" w:ascii="Times New Roman" w:hAnsi="Times New Roman" w:cs="Times New Roman"/>
                <w:color w:val="auto"/>
                <w:sz w:val="24"/>
                <w:highlight w:val="none"/>
                <w:lang w:val="en-US" w:eastAsia="zh-CN"/>
              </w:rPr>
              <w:t>下表</w:t>
            </w:r>
            <w:r>
              <w:rPr>
                <w:rFonts w:hint="eastAsia" w:ascii="Times New Roman" w:hAnsi="Times New Roman" w:cs="Times New Roman"/>
                <w:color w:val="auto"/>
                <w:sz w:val="24"/>
                <w:highlight w:val="none"/>
                <w:lang w:val="en-US" w:eastAsia="zh-CN"/>
              </w:rPr>
              <w:t>。</w:t>
            </w:r>
          </w:p>
          <w:p w14:paraId="21A01755">
            <w:pPr>
              <w:widowControl/>
              <w:tabs>
                <w:tab w:val="left" w:pos="810"/>
              </w:tabs>
              <w:adjustRightInd w:val="0"/>
              <w:snapToGrid w:val="0"/>
              <w:jc w:val="center"/>
              <w:rPr>
                <w:bCs/>
                <w:color w:val="000000"/>
                <w:kern w:val="0"/>
                <w:szCs w:val="21"/>
                <w:highlight w:val="none"/>
              </w:rPr>
            </w:pPr>
            <w:r>
              <w:rPr>
                <w:bCs/>
                <w:color w:val="000000"/>
                <w:kern w:val="0"/>
                <w:szCs w:val="21"/>
                <w:highlight w:val="none"/>
              </w:rPr>
              <w:t>表</w:t>
            </w:r>
            <w:r>
              <w:rPr>
                <w:rFonts w:hint="eastAsia"/>
                <w:bCs/>
                <w:color w:val="000000"/>
                <w:kern w:val="0"/>
                <w:szCs w:val="21"/>
                <w:highlight w:val="none"/>
              </w:rPr>
              <w:t>4-</w:t>
            </w:r>
            <w:r>
              <w:rPr>
                <w:rFonts w:hint="eastAsia"/>
                <w:bCs/>
                <w:color w:val="000000"/>
                <w:kern w:val="0"/>
                <w:szCs w:val="21"/>
                <w:highlight w:val="none"/>
                <w:lang w:val="en-US" w:eastAsia="zh-CN"/>
              </w:rPr>
              <w:t>2</w:t>
            </w:r>
            <w:r>
              <w:rPr>
                <w:bCs/>
                <w:color w:val="000000"/>
                <w:kern w:val="0"/>
                <w:szCs w:val="21"/>
                <w:highlight w:val="none"/>
              </w:rPr>
              <w:t xml:space="preserve"> 施工机械产噪值一览表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2137"/>
              <w:gridCol w:w="2782"/>
            </w:tblGrid>
            <w:tr w14:paraId="0D10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9" w:type="dxa"/>
                  <w:noWrap w:val="0"/>
                  <w:vAlign w:val="center"/>
                </w:tcPr>
                <w:p w14:paraId="475BFE3F">
                  <w:pPr>
                    <w:widowControl/>
                    <w:tabs>
                      <w:tab w:val="left" w:pos="810"/>
                    </w:tabs>
                    <w:adjustRightInd w:val="0"/>
                    <w:snapToGrid w:val="0"/>
                    <w:jc w:val="center"/>
                    <w:rPr>
                      <w:b w:val="0"/>
                      <w:bCs/>
                      <w:color w:val="000000"/>
                      <w:sz w:val="21"/>
                      <w:szCs w:val="21"/>
                      <w:highlight w:val="none"/>
                    </w:rPr>
                  </w:pPr>
                  <w:r>
                    <w:rPr>
                      <w:b w:val="0"/>
                      <w:bCs/>
                      <w:color w:val="000000"/>
                      <w:sz w:val="21"/>
                      <w:szCs w:val="21"/>
                      <w:highlight w:val="none"/>
                    </w:rPr>
                    <w:t>序号</w:t>
                  </w:r>
                </w:p>
              </w:tc>
              <w:tc>
                <w:tcPr>
                  <w:tcW w:w="2137" w:type="dxa"/>
                  <w:noWrap w:val="0"/>
                  <w:vAlign w:val="center"/>
                </w:tcPr>
                <w:p w14:paraId="70D7E048">
                  <w:pPr>
                    <w:widowControl/>
                    <w:tabs>
                      <w:tab w:val="left" w:pos="810"/>
                    </w:tabs>
                    <w:adjustRightInd w:val="0"/>
                    <w:snapToGrid w:val="0"/>
                    <w:jc w:val="center"/>
                    <w:rPr>
                      <w:b w:val="0"/>
                      <w:bCs/>
                      <w:color w:val="000000"/>
                      <w:sz w:val="21"/>
                      <w:szCs w:val="21"/>
                      <w:highlight w:val="none"/>
                    </w:rPr>
                  </w:pPr>
                  <w:r>
                    <w:rPr>
                      <w:b w:val="0"/>
                      <w:bCs/>
                      <w:color w:val="000000"/>
                      <w:kern w:val="0"/>
                      <w:sz w:val="21"/>
                      <w:szCs w:val="21"/>
                      <w:highlight w:val="none"/>
                    </w:rPr>
                    <w:t>设备名称</w:t>
                  </w:r>
                </w:p>
              </w:tc>
              <w:tc>
                <w:tcPr>
                  <w:tcW w:w="2782" w:type="dxa"/>
                  <w:noWrap w:val="0"/>
                  <w:vAlign w:val="center"/>
                </w:tcPr>
                <w:p w14:paraId="57F0702E">
                  <w:pPr>
                    <w:widowControl/>
                    <w:jc w:val="center"/>
                    <w:rPr>
                      <w:b w:val="0"/>
                      <w:bCs/>
                      <w:color w:val="000000"/>
                      <w:sz w:val="21"/>
                      <w:szCs w:val="21"/>
                      <w:highlight w:val="none"/>
                    </w:rPr>
                  </w:pPr>
                  <w:r>
                    <w:rPr>
                      <w:rFonts w:hint="eastAsia" w:ascii="宋体" w:hAnsi="宋体" w:eastAsia="宋体" w:cs="宋体"/>
                      <w:b w:val="0"/>
                      <w:bCs/>
                      <w:color w:val="000000"/>
                      <w:kern w:val="0"/>
                      <w:sz w:val="21"/>
                      <w:szCs w:val="21"/>
                      <w:highlight w:val="none"/>
                      <w:lang w:bidi="ar"/>
                    </w:rPr>
                    <w:t>噪声强度</w:t>
                  </w:r>
                  <w:r>
                    <w:rPr>
                      <w:rFonts w:hint="eastAsia" w:ascii="宋体" w:hAnsi="宋体" w:cs="宋体"/>
                      <w:b w:val="0"/>
                      <w:bCs/>
                      <w:color w:val="000000"/>
                      <w:kern w:val="0"/>
                      <w:sz w:val="21"/>
                      <w:szCs w:val="21"/>
                      <w:highlight w:val="none"/>
                      <w:lang w:eastAsia="zh-CN"/>
                    </w:rPr>
                    <w:t>（</w:t>
                  </w:r>
                  <w:r>
                    <w:rPr>
                      <w:rFonts w:hint="eastAsia" w:ascii="宋体" w:hAnsi="宋体" w:eastAsia="宋体" w:cs="宋体"/>
                      <w:b w:val="0"/>
                      <w:bCs/>
                      <w:color w:val="000000"/>
                      <w:kern w:val="0"/>
                      <w:sz w:val="21"/>
                      <w:szCs w:val="21"/>
                      <w:highlight w:val="none"/>
                    </w:rPr>
                    <w:t>dB(A)</w:t>
                  </w:r>
                  <w:r>
                    <w:rPr>
                      <w:rFonts w:hint="eastAsia" w:ascii="宋体" w:hAnsi="宋体" w:cs="宋体"/>
                      <w:b w:val="0"/>
                      <w:bCs/>
                      <w:color w:val="000000"/>
                      <w:kern w:val="0"/>
                      <w:sz w:val="21"/>
                      <w:szCs w:val="21"/>
                      <w:highlight w:val="none"/>
                      <w:lang w:eastAsia="zh-CN"/>
                    </w:rPr>
                    <w:t>）</w:t>
                  </w:r>
                </w:p>
              </w:tc>
            </w:tr>
            <w:tr w14:paraId="12B1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9" w:type="dxa"/>
                  <w:noWrap w:val="0"/>
                  <w:vAlign w:val="center"/>
                </w:tcPr>
                <w:p w14:paraId="06160EE2">
                  <w:pPr>
                    <w:widowControl/>
                    <w:tabs>
                      <w:tab w:val="left" w:pos="810"/>
                    </w:tabs>
                    <w:adjustRightInd w:val="0"/>
                    <w:snapToGrid w:val="0"/>
                    <w:jc w:val="center"/>
                    <w:rPr>
                      <w:color w:val="000000"/>
                      <w:sz w:val="21"/>
                      <w:szCs w:val="21"/>
                      <w:highlight w:val="none"/>
                    </w:rPr>
                  </w:pPr>
                  <w:r>
                    <w:rPr>
                      <w:color w:val="000000"/>
                      <w:sz w:val="21"/>
                      <w:szCs w:val="21"/>
                      <w:highlight w:val="none"/>
                    </w:rPr>
                    <w:t>1</w:t>
                  </w:r>
                </w:p>
              </w:tc>
              <w:tc>
                <w:tcPr>
                  <w:tcW w:w="2137" w:type="dxa"/>
                  <w:noWrap w:val="0"/>
                  <w:vAlign w:val="center"/>
                </w:tcPr>
                <w:p w14:paraId="09571B6A">
                  <w:pPr>
                    <w:widowControl/>
                    <w:tabs>
                      <w:tab w:val="left" w:pos="810"/>
                    </w:tabs>
                    <w:adjustRightInd w:val="0"/>
                    <w:snapToGrid w:val="0"/>
                    <w:jc w:val="center"/>
                    <w:rPr>
                      <w:color w:val="000000"/>
                      <w:sz w:val="21"/>
                      <w:szCs w:val="21"/>
                      <w:highlight w:val="none"/>
                    </w:rPr>
                  </w:pPr>
                  <w:r>
                    <w:rPr>
                      <w:color w:val="000000"/>
                      <w:kern w:val="0"/>
                      <w:sz w:val="21"/>
                      <w:szCs w:val="21"/>
                      <w:highlight w:val="none"/>
                    </w:rPr>
                    <w:t>挖掘机</w:t>
                  </w:r>
                </w:p>
              </w:tc>
              <w:tc>
                <w:tcPr>
                  <w:tcW w:w="2782" w:type="dxa"/>
                  <w:noWrap w:val="0"/>
                  <w:vAlign w:val="center"/>
                </w:tcPr>
                <w:p w14:paraId="3C2E0D4D">
                  <w:pPr>
                    <w:widowControl/>
                    <w:tabs>
                      <w:tab w:val="left" w:pos="810"/>
                    </w:tabs>
                    <w:adjustRightInd w:val="0"/>
                    <w:snapToGrid w:val="0"/>
                    <w:jc w:val="center"/>
                    <w:rPr>
                      <w:color w:val="000000"/>
                      <w:sz w:val="21"/>
                      <w:szCs w:val="21"/>
                      <w:highlight w:val="none"/>
                    </w:rPr>
                  </w:pPr>
                  <w:r>
                    <w:rPr>
                      <w:rFonts w:hint="eastAsia"/>
                      <w:color w:val="000000"/>
                      <w:kern w:val="0"/>
                      <w:sz w:val="21"/>
                      <w:szCs w:val="21"/>
                      <w:highlight w:val="none"/>
                    </w:rPr>
                    <w:t>90</w:t>
                  </w:r>
                </w:p>
              </w:tc>
            </w:tr>
            <w:tr w14:paraId="1A3D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9" w:type="dxa"/>
                  <w:noWrap w:val="0"/>
                  <w:vAlign w:val="center"/>
                </w:tcPr>
                <w:p w14:paraId="1A7605B1">
                  <w:pPr>
                    <w:widowControl/>
                    <w:tabs>
                      <w:tab w:val="left" w:pos="810"/>
                    </w:tabs>
                    <w:adjustRightInd w:val="0"/>
                    <w:snapToGrid w:val="0"/>
                    <w:jc w:val="center"/>
                    <w:rPr>
                      <w:rFonts w:hint="eastAsia" w:eastAsia="宋体"/>
                      <w:color w:val="000000"/>
                      <w:sz w:val="21"/>
                      <w:szCs w:val="21"/>
                      <w:highlight w:val="none"/>
                      <w:lang w:val="en-US" w:eastAsia="zh-CN"/>
                    </w:rPr>
                  </w:pPr>
                  <w:r>
                    <w:rPr>
                      <w:rFonts w:hint="eastAsia"/>
                      <w:color w:val="000000"/>
                      <w:sz w:val="21"/>
                      <w:szCs w:val="21"/>
                      <w:highlight w:val="none"/>
                      <w:lang w:val="en-US" w:eastAsia="zh-CN"/>
                    </w:rPr>
                    <w:t>2</w:t>
                  </w:r>
                </w:p>
              </w:tc>
              <w:tc>
                <w:tcPr>
                  <w:tcW w:w="2137" w:type="dxa"/>
                  <w:noWrap w:val="0"/>
                  <w:vAlign w:val="center"/>
                </w:tcPr>
                <w:p w14:paraId="7878FAC4">
                  <w:pPr>
                    <w:widowControl/>
                    <w:tabs>
                      <w:tab w:val="left" w:pos="810"/>
                    </w:tabs>
                    <w:adjustRightInd w:val="0"/>
                    <w:snapToGrid w:val="0"/>
                    <w:jc w:val="center"/>
                    <w:rPr>
                      <w:color w:val="000000"/>
                      <w:sz w:val="21"/>
                      <w:szCs w:val="21"/>
                      <w:highlight w:val="none"/>
                    </w:rPr>
                  </w:pPr>
                  <w:r>
                    <w:rPr>
                      <w:color w:val="000000"/>
                      <w:kern w:val="0"/>
                      <w:sz w:val="21"/>
                      <w:szCs w:val="21"/>
                      <w:highlight w:val="none"/>
                    </w:rPr>
                    <w:t>推土机</w:t>
                  </w:r>
                </w:p>
              </w:tc>
              <w:tc>
                <w:tcPr>
                  <w:tcW w:w="2782" w:type="dxa"/>
                  <w:noWrap w:val="0"/>
                  <w:vAlign w:val="center"/>
                </w:tcPr>
                <w:p w14:paraId="55597789">
                  <w:pPr>
                    <w:widowControl/>
                    <w:tabs>
                      <w:tab w:val="left" w:pos="810"/>
                    </w:tabs>
                    <w:adjustRightInd w:val="0"/>
                    <w:snapToGrid w:val="0"/>
                    <w:jc w:val="center"/>
                    <w:rPr>
                      <w:color w:val="000000"/>
                      <w:sz w:val="21"/>
                      <w:szCs w:val="21"/>
                      <w:highlight w:val="none"/>
                    </w:rPr>
                  </w:pPr>
                  <w:r>
                    <w:rPr>
                      <w:rFonts w:hint="eastAsia"/>
                      <w:color w:val="000000"/>
                      <w:kern w:val="0"/>
                      <w:sz w:val="21"/>
                      <w:szCs w:val="21"/>
                      <w:highlight w:val="none"/>
                    </w:rPr>
                    <w:t>90</w:t>
                  </w:r>
                </w:p>
              </w:tc>
            </w:tr>
            <w:tr w14:paraId="1498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9" w:type="dxa"/>
                  <w:noWrap w:val="0"/>
                  <w:vAlign w:val="center"/>
                </w:tcPr>
                <w:p w14:paraId="6F8DD251">
                  <w:pPr>
                    <w:widowControl/>
                    <w:tabs>
                      <w:tab w:val="left" w:pos="810"/>
                    </w:tabs>
                    <w:adjustRightInd w:val="0"/>
                    <w:snapToGrid w:val="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3</w:t>
                  </w:r>
                </w:p>
              </w:tc>
              <w:tc>
                <w:tcPr>
                  <w:tcW w:w="2137" w:type="dxa"/>
                  <w:noWrap w:val="0"/>
                  <w:vAlign w:val="center"/>
                </w:tcPr>
                <w:p w14:paraId="7C4AE499">
                  <w:pPr>
                    <w:widowControl/>
                    <w:tabs>
                      <w:tab w:val="left" w:pos="810"/>
                    </w:tabs>
                    <w:adjustRightInd w:val="0"/>
                    <w:snapToGrid w:val="0"/>
                    <w:jc w:val="center"/>
                    <w:rPr>
                      <w:rFonts w:hint="eastAsia"/>
                      <w:color w:val="000000"/>
                      <w:kern w:val="0"/>
                      <w:sz w:val="21"/>
                      <w:szCs w:val="21"/>
                      <w:highlight w:val="none"/>
                      <w:lang w:val="en-US" w:eastAsia="zh-CN"/>
                    </w:rPr>
                  </w:pPr>
                  <w:r>
                    <w:rPr>
                      <w:rFonts w:hint="eastAsia"/>
                      <w:color w:val="000000"/>
                      <w:kern w:val="0"/>
                      <w:sz w:val="21"/>
                      <w:szCs w:val="21"/>
                      <w:highlight w:val="none"/>
                      <w:lang w:val="en-US" w:eastAsia="zh-CN"/>
                    </w:rPr>
                    <w:t>振动碾</w:t>
                  </w:r>
                </w:p>
              </w:tc>
              <w:tc>
                <w:tcPr>
                  <w:tcW w:w="2782" w:type="dxa"/>
                  <w:noWrap w:val="0"/>
                  <w:vAlign w:val="center"/>
                </w:tcPr>
                <w:p w14:paraId="7BEB6EF1">
                  <w:pPr>
                    <w:widowControl/>
                    <w:tabs>
                      <w:tab w:val="left" w:pos="810"/>
                    </w:tabs>
                    <w:adjustRightInd w:val="0"/>
                    <w:snapToGrid w:val="0"/>
                    <w:jc w:val="center"/>
                    <w:rPr>
                      <w:rFonts w:hint="default" w:eastAsia="宋体"/>
                      <w:color w:val="000000"/>
                      <w:kern w:val="0"/>
                      <w:sz w:val="21"/>
                      <w:szCs w:val="21"/>
                      <w:highlight w:val="none"/>
                      <w:lang w:val="en-US" w:eastAsia="zh-CN"/>
                    </w:rPr>
                  </w:pPr>
                  <w:r>
                    <w:rPr>
                      <w:rFonts w:hint="eastAsia"/>
                      <w:color w:val="000000"/>
                      <w:kern w:val="0"/>
                      <w:sz w:val="21"/>
                      <w:szCs w:val="21"/>
                      <w:highlight w:val="none"/>
                      <w:lang w:val="en-US" w:eastAsia="zh-CN"/>
                    </w:rPr>
                    <w:t>85</w:t>
                  </w:r>
                </w:p>
              </w:tc>
            </w:tr>
            <w:tr w14:paraId="7BF6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9" w:type="dxa"/>
                  <w:noWrap w:val="0"/>
                  <w:vAlign w:val="center"/>
                </w:tcPr>
                <w:p w14:paraId="6EB935AB">
                  <w:pPr>
                    <w:widowControl/>
                    <w:tabs>
                      <w:tab w:val="left" w:pos="810"/>
                    </w:tabs>
                    <w:adjustRightInd w:val="0"/>
                    <w:snapToGrid w:val="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4</w:t>
                  </w:r>
                </w:p>
              </w:tc>
              <w:tc>
                <w:tcPr>
                  <w:tcW w:w="2137" w:type="dxa"/>
                  <w:noWrap w:val="0"/>
                  <w:vAlign w:val="center"/>
                </w:tcPr>
                <w:p w14:paraId="1DE8D4ED">
                  <w:pPr>
                    <w:widowControl/>
                    <w:tabs>
                      <w:tab w:val="left" w:pos="810"/>
                    </w:tabs>
                    <w:adjustRightInd w:val="0"/>
                    <w:snapToGrid w:val="0"/>
                    <w:jc w:val="center"/>
                    <w:rPr>
                      <w:rFonts w:hint="eastAsia"/>
                      <w:color w:val="000000"/>
                      <w:kern w:val="0"/>
                      <w:sz w:val="21"/>
                      <w:szCs w:val="21"/>
                      <w:highlight w:val="none"/>
                      <w:lang w:val="en-US" w:eastAsia="zh-CN"/>
                    </w:rPr>
                  </w:pPr>
                  <w:r>
                    <w:rPr>
                      <w:rFonts w:hint="eastAsia"/>
                      <w:color w:val="000000"/>
                      <w:kern w:val="0"/>
                      <w:sz w:val="21"/>
                      <w:szCs w:val="21"/>
                      <w:highlight w:val="none"/>
                      <w:lang w:val="en-US" w:eastAsia="zh-CN"/>
                    </w:rPr>
                    <w:t>蛙式夯实机</w:t>
                  </w:r>
                </w:p>
              </w:tc>
              <w:tc>
                <w:tcPr>
                  <w:tcW w:w="2782" w:type="dxa"/>
                  <w:noWrap w:val="0"/>
                  <w:vAlign w:val="center"/>
                </w:tcPr>
                <w:p w14:paraId="0BB7B6B5">
                  <w:pPr>
                    <w:widowControl/>
                    <w:tabs>
                      <w:tab w:val="left" w:pos="810"/>
                    </w:tabs>
                    <w:adjustRightInd w:val="0"/>
                    <w:snapToGrid w:val="0"/>
                    <w:jc w:val="center"/>
                    <w:rPr>
                      <w:rFonts w:hint="default" w:eastAsia="宋体"/>
                      <w:color w:val="000000"/>
                      <w:kern w:val="0"/>
                      <w:sz w:val="21"/>
                      <w:szCs w:val="21"/>
                      <w:highlight w:val="none"/>
                      <w:lang w:val="en-US" w:eastAsia="zh-CN"/>
                    </w:rPr>
                  </w:pPr>
                  <w:r>
                    <w:rPr>
                      <w:rFonts w:hint="eastAsia"/>
                      <w:color w:val="000000"/>
                      <w:kern w:val="0"/>
                      <w:sz w:val="21"/>
                      <w:szCs w:val="21"/>
                      <w:highlight w:val="none"/>
                      <w:lang w:val="en-US" w:eastAsia="zh-CN"/>
                    </w:rPr>
                    <w:t>85</w:t>
                  </w:r>
                </w:p>
              </w:tc>
            </w:tr>
          </w:tbl>
          <w:p w14:paraId="27895DDC">
            <w:pPr>
              <w:spacing w:line="360" w:lineRule="auto"/>
              <w:ind w:firstLine="482"/>
              <w:textAlignment w:val="baseline"/>
              <w:rPr>
                <w:color w:val="000000"/>
                <w:sz w:val="24"/>
                <w:highlight w:val="none"/>
              </w:rPr>
            </w:pPr>
            <w:r>
              <w:rPr>
                <w:color w:val="000000"/>
                <w:sz w:val="24"/>
                <w:highlight w:val="none"/>
              </w:rPr>
              <w:t>本次评价采用点源衰减模式，预测计算声源至受声点的几何发散衰减，计算中不考虑声屏障、空气吸收等衰减。预测公式如下：</w:t>
            </w:r>
          </w:p>
          <w:p w14:paraId="4EC6DB64">
            <w:pPr>
              <w:spacing w:line="360" w:lineRule="auto"/>
              <w:ind w:firstLine="1267" w:firstLineChars="528"/>
              <w:textAlignment w:val="baseline"/>
              <w:rPr>
                <w:rFonts w:hint="eastAsia" w:eastAsia="宋体"/>
                <w:color w:val="000000"/>
                <w:sz w:val="24"/>
                <w:highlight w:val="none"/>
                <w:lang w:val="en-US" w:eastAsia="zh-CN"/>
              </w:rPr>
            </w:pPr>
            <w:r>
              <w:rPr>
                <w:color w:val="000000"/>
                <w:sz w:val="24"/>
                <w:highlight w:val="none"/>
              </w:rPr>
              <w:t>L</w:t>
            </w:r>
            <w:r>
              <w:rPr>
                <w:rFonts w:hint="eastAsia"/>
                <w:color w:val="000000"/>
                <w:sz w:val="24"/>
                <w:highlight w:val="none"/>
                <w:vertAlign w:val="subscript"/>
                <w:lang w:val="en-US" w:eastAsia="zh-CN"/>
              </w:rPr>
              <w:t>p</w:t>
            </w:r>
            <w:r>
              <w:rPr>
                <w:rFonts w:hint="eastAsia"/>
                <w:color w:val="000000"/>
                <w:sz w:val="24"/>
                <w:highlight w:val="none"/>
                <w:lang w:val="en-US" w:eastAsia="zh-CN"/>
              </w:rPr>
              <w:t>(</w:t>
            </w:r>
            <w:r>
              <w:rPr>
                <w:color w:val="000000"/>
                <w:sz w:val="24"/>
                <w:highlight w:val="none"/>
              </w:rPr>
              <w:t>r</w:t>
            </w:r>
            <w:r>
              <w:rPr>
                <w:rFonts w:hint="eastAsia"/>
                <w:color w:val="000000"/>
                <w:sz w:val="24"/>
                <w:highlight w:val="none"/>
                <w:lang w:val="en-US" w:eastAsia="zh-CN"/>
              </w:rPr>
              <w:t>)</w:t>
            </w:r>
            <w:r>
              <w:rPr>
                <w:color w:val="000000"/>
                <w:sz w:val="24"/>
                <w:highlight w:val="none"/>
              </w:rPr>
              <w:t>=L</w:t>
            </w:r>
            <w:r>
              <w:rPr>
                <w:rFonts w:hint="eastAsia"/>
                <w:color w:val="000000"/>
                <w:sz w:val="24"/>
                <w:highlight w:val="none"/>
                <w:vertAlign w:val="subscript"/>
                <w:lang w:val="en-US" w:eastAsia="zh-CN"/>
              </w:rPr>
              <w:t>p</w:t>
            </w:r>
            <w:r>
              <w:rPr>
                <w:rFonts w:hint="eastAsia"/>
                <w:color w:val="000000"/>
                <w:sz w:val="24"/>
                <w:highlight w:val="none"/>
                <w:vertAlign w:val="baseline"/>
                <w:lang w:val="en-US" w:eastAsia="zh-CN"/>
              </w:rPr>
              <w:t>(</w:t>
            </w:r>
            <w:r>
              <w:rPr>
                <w:color w:val="000000"/>
                <w:sz w:val="24"/>
                <w:highlight w:val="none"/>
              </w:rPr>
              <w:t>r0</w:t>
            </w:r>
            <w:r>
              <w:rPr>
                <w:rFonts w:hint="eastAsia"/>
                <w:color w:val="000000"/>
                <w:sz w:val="24"/>
                <w:highlight w:val="none"/>
                <w:vertAlign w:val="baseline"/>
                <w:lang w:val="en-US" w:eastAsia="zh-CN"/>
              </w:rPr>
              <w:t>)</w:t>
            </w:r>
            <w:r>
              <w:rPr>
                <w:color w:val="000000"/>
                <w:sz w:val="24"/>
                <w:highlight w:val="none"/>
              </w:rPr>
              <w:t>-20lg(r/r</w:t>
            </w:r>
            <w:r>
              <w:rPr>
                <w:color w:val="000000"/>
                <w:sz w:val="24"/>
                <w:highlight w:val="none"/>
                <w:vertAlign w:val="baseline"/>
              </w:rPr>
              <w:t>0</w:t>
            </w:r>
            <w:r>
              <w:rPr>
                <w:color w:val="000000"/>
                <w:sz w:val="24"/>
                <w:highlight w:val="none"/>
              </w:rPr>
              <w:t>)</w:t>
            </w:r>
          </w:p>
          <w:p w14:paraId="6C1FF469">
            <w:pPr>
              <w:spacing w:line="360" w:lineRule="auto"/>
              <w:ind w:firstLine="482"/>
              <w:textAlignment w:val="baseline"/>
              <w:rPr>
                <w:color w:val="000000"/>
                <w:sz w:val="24"/>
                <w:highlight w:val="none"/>
              </w:rPr>
            </w:pPr>
            <w:r>
              <w:rPr>
                <w:color w:val="000000"/>
                <w:sz w:val="24"/>
                <w:highlight w:val="none"/>
              </w:rPr>
              <w:t>式中：L</w:t>
            </w:r>
            <w:r>
              <w:rPr>
                <w:rFonts w:hint="eastAsia"/>
                <w:color w:val="000000"/>
                <w:sz w:val="24"/>
                <w:highlight w:val="none"/>
                <w:vertAlign w:val="subscript"/>
                <w:lang w:val="en-US" w:eastAsia="zh-CN"/>
              </w:rPr>
              <w:t>p</w:t>
            </w:r>
            <w:r>
              <w:rPr>
                <w:rFonts w:hint="eastAsia"/>
                <w:color w:val="000000"/>
                <w:sz w:val="24"/>
                <w:highlight w:val="none"/>
                <w:lang w:val="en-US" w:eastAsia="zh-CN"/>
              </w:rPr>
              <w:t>(</w:t>
            </w:r>
            <w:r>
              <w:rPr>
                <w:color w:val="000000"/>
                <w:sz w:val="24"/>
                <w:highlight w:val="none"/>
              </w:rPr>
              <w:t>r</w:t>
            </w:r>
            <w:r>
              <w:rPr>
                <w:rFonts w:hint="eastAsia"/>
                <w:color w:val="000000"/>
                <w:sz w:val="24"/>
                <w:highlight w:val="none"/>
                <w:lang w:val="en-US" w:eastAsia="zh-CN"/>
              </w:rPr>
              <w:t>)</w:t>
            </w:r>
            <w:r>
              <w:rPr>
                <w:color w:val="000000"/>
                <w:sz w:val="24"/>
                <w:highlight w:val="none"/>
              </w:rPr>
              <w:t>--</w:t>
            </w:r>
            <w:r>
              <w:rPr>
                <w:rFonts w:hint="default"/>
                <w:color w:val="000000"/>
                <w:sz w:val="24"/>
                <w:highlight w:val="none"/>
              </w:rPr>
              <w:t>预测点</w:t>
            </w:r>
            <w:r>
              <w:rPr>
                <w:rFonts w:hint="eastAsia"/>
                <w:color w:val="000000"/>
                <w:sz w:val="24"/>
                <w:highlight w:val="none"/>
                <w:lang w:eastAsia="zh-CN"/>
              </w:rPr>
              <w:t>处声压级</w:t>
            </w:r>
            <w:r>
              <w:rPr>
                <w:color w:val="000000"/>
                <w:sz w:val="24"/>
                <w:highlight w:val="none"/>
              </w:rPr>
              <w:t>，dB(A)；</w:t>
            </w:r>
          </w:p>
          <w:p w14:paraId="2C46D88A">
            <w:pPr>
              <w:spacing w:line="360" w:lineRule="auto"/>
              <w:ind w:firstLine="482"/>
              <w:textAlignment w:val="baseline"/>
              <w:rPr>
                <w:color w:val="000000"/>
                <w:sz w:val="24"/>
                <w:highlight w:val="none"/>
              </w:rPr>
            </w:pPr>
            <w:r>
              <w:rPr>
                <w:color w:val="000000"/>
                <w:sz w:val="24"/>
                <w:highlight w:val="none"/>
              </w:rPr>
              <w:t>L</w:t>
            </w:r>
            <w:r>
              <w:rPr>
                <w:rFonts w:hint="eastAsia"/>
                <w:color w:val="000000"/>
                <w:sz w:val="24"/>
                <w:highlight w:val="none"/>
                <w:vertAlign w:val="subscript"/>
                <w:lang w:val="en-US" w:eastAsia="zh-CN"/>
              </w:rPr>
              <w:t>p</w:t>
            </w:r>
            <w:r>
              <w:rPr>
                <w:rFonts w:hint="eastAsia"/>
                <w:color w:val="000000"/>
                <w:sz w:val="24"/>
                <w:highlight w:val="none"/>
                <w:vertAlign w:val="baseline"/>
                <w:lang w:val="en-US" w:eastAsia="zh-CN"/>
              </w:rPr>
              <w:t>(</w:t>
            </w:r>
            <w:r>
              <w:rPr>
                <w:color w:val="000000"/>
                <w:sz w:val="24"/>
                <w:highlight w:val="none"/>
              </w:rPr>
              <w:t>r0</w:t>
            </w:r>
            <w:r>
              <w:rPr>
                <w:rFonts w:hint="eastAsia"/>
                <w:color w:val="000000"/>
                <w:sz w:val="24"/>
                <w:highlight w:val="none"/>
                <w:vertAlign w:val="baseline"/>
                <w:lang w:val="en-US" w:eastAsia="zh-CN"/>
              </w:rPr>
              <w:t>)</w:t>
            </w:r>
            <w:r>
              <w:rPr>
                <w:color w:val="000000"/>
                <w:sz w:val="24"/>
                <w:highlight w:val="none"/>
              </w:rPr>
              <w:t>--</w:t>
            </w:r>
            <w:r>
              <w:rPr>
                <w:rFonts w:hint="eastAsia"/>
                <w:color w:val="000000"/>
                <w:sz w:val="24"/>
                <w:highlight w:val="none"/>
                <w:lang w:val="en-US" w:eastAsia="zh-CN"/>
              </w:rPr>
              <w:t>参考位置</w:t>
            </w:r>
            <w:r>
              <w:rPr>
                <w:color w:val="000000"/>
                <w:sz w:val="24"/>
                <w:highlight w:val="none"/>
              </w:rPr>
              <w:t>r0处的声压级，dB(A)；</w:t>
            </w:r>
          </w:p>
          <w:p w14:paraId="0BAD1893">
            <w:pPr>
              <w:spacing w:line="360" w:lineRule="auto"/>
              <w:ind w:firstLine="482"/>
              <w:textAlignment w:val="baseline"/>
              <w:rPr>
                <w:color w:val="000000"/>
                <w:sz w:val="24"/>
                <w:highlight w:val="none"/>
              </w:rPr>
            </w:pPr>
            <w:r>
              <w:rPr>
                <w:color w:val="000000"/>
                <w:sz w:val="24"/>
                <w:highlight w:val="none"/>
              </w:rPr>
              <w:t>r--预测点距声源的距离，m；</w:t>
            </w:r>
          </w:p>
          <w:p w14:paraId="0B149F5F">
            <w:pPr>
              <w:spacing w:line="360" w:lineRule="auto"/>
              <w:ind w:firstLine="482"/>
              <w:textAlignment w:val="baseline"/>
              <w:rPr>
                <w:color w:val="000000"/>
                <w:sz w:val="24"/>
                <w:highlight w:val="none"/>
              </w:rPr>
            </w:pPr>
            <w:r>
              <w:rPr>
                <w:color w:val="000000"/>
                <w:sz w:val="24"/>
                <w:highlight w:val="none"/>
              </w:rPr>
              <w:t>r0--</w:t>
            </w:r>
            <w:r>
              <w:rPr>
                <w:rFonts w:hint="eastAsia"/>
                <w:color w:val="000000"/>
                <w:sz w:val="24"/>
                <w:highlight w:val="none"/>
                <w:lang w:val="en-US" w:eastAsia="zh-CN"/>
              </w:rPr>
              <w:t>参考位置距声源的距离</w:t>
            </w:r>
            <w:r>
              <w:rPr>
                <w:color w:val="000000"/>
                <w:sz w:val="24"/>
                <w:highlight w:val="none"/>
              </w:rPr>
              <w:t>，m。</w:t>
            </w:r>
          </w:p>
          <w:p w14:paraId="6D6B7D07">
            <w:pPr>
              <w:spacing w:line="360" w:lineRule="auto"/>
              <w:ind w:firstLine="482"/>
              <w:textAlignment w:val="baseline"/>
              <w:rPr>
                <w:color w:val="000000"/>
                <w:sz w:val="24"/>
                <w:highlight w:val="none"/>
              </w:rPr>
            </w:pPr>
            <w:r>
              <w:rPr>
                <w:color w:val="000000"/>
                <w:sz w:val="24"/>
                <w:highlight w:val="none"/>
              </w:rPr>
              <w:t>各种施工机械噪声经距离衰减后的预测结果见</w:t>
            </w:r>
            <w:r>
              <w:rPr>
                <w:rFonts w:hint="eastAsia"/>
                <w:color w:val="000000"/>
                <w:sz w:val="24"/>
                <w:highlight w:val="none"/>
              </w:rPr>
              <w:t>下</w:t>
            </w:r>
            <w:r>
              <w:rPr>
                <w:color w:val="000000"/>
                <w:sz w:val="24"/>
                <w:highlight w:val="none"/>
              </w:rPr>
              <w:t>表。</w:t>
            </w:r>
          </w:p>
          <w:p w14:paraId="5EA38552">
            <w:pPr>
              <w:widowControl/>
              <w:tabs>
                <w:tab w:val="left" w:pos="810"/>
              </w:tabs>
              <w:adjustRightInd w:val="0"/>
              <w:snapToGrid w:val="0"/>
              <w:jc w:val="center"/>
              <w:rPr>
                <w:bCs/>
                <w:color w:val="000000"/>
                <w:kern w:val="0"/>
                <w:szCs w:val="21"/>
                <w:highlight w:val="none"/>
              </w:rPr>
            </w:pPr>
            <w:r>
              <w:rPr>
                <w:bCs/>
                <w:color w:val="000000"/>
                <w:kern w:val="0"/>
                <w:szCs w:val="21"/>
                <w:highlight w:val="none"/>
              </w:rPr>
              <w:t>表</w:t>
            </w:r>
            <w:r>
              <w:rPr>
                <w:rFonts w:hint="eastAsia"/>
                <w:bCs/>
                <w:color w:val="000000"/>
                <w:kern w:val="0"/>
                <w:szCs w:val="21"/>
                <w:highlight w:val="none"/>
              </w:rPr>
              <w:t>4-</w:t>
            </w:r>
            <w:r>
              <w:rPr>
                <w:rFonts w:hint="eastAsia"/>
                <w:bCs/>
                <w:color w:val="000000"/>
                <w:kern w:val="0"/>
                <w:szCs w:val="21"/>
                <w:highlight w:val="none"/>
                <w:lang w:val="en-US" w:eastAsia="zh-CN"/>
              </w:rPr>
              <w:t>3</w:t>
            </w:r>
            <w:r>
              <w:rPr>
                <w:bCs/>
                <w:color w:val="000000"/>
                <w:kern w:val="0"/>
                <w:szCs w:val="21"/>
                <w:highlight w:val="none"/>
              </w:rPr>
              <w:t xml:space="preserve"> 施工噪声随距离的衰减情况</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960"/>
              <w:gridCol w:w="960"/>
              <w:gridCol w:w="847"/>
              <w:gridCol w:w="912"/>
              <w:gridCol w:w="923"/>
              <w:gridCol w:w="1003"/>
              <w:gridCol w:w="917"/>
            </w:tblGrid>
            <w:tr w14:paraId="7D7A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6" w:type="dxa"/>
                  <w:vMerge w:val="restart"/>
                  <w:noWrap w:val="0"/>
                  <w:vAlign w:val="center"/>
                </w:tcPr>
                <w:p w14:paraId="676BE224">
                  <w:pPr>
                    <w:jc w:val="center"/>
                    <w:textAlignment w:val="baseline"/>
                    <w:rPr>
                      <w:color w:val="000000"/>
                      <w:sz w:val="21"/>
                      <w:szCs w:val="21"/>
                      <w:highlight w:val="none"/>
                    </w:rPr>
                  </w:pPr>
                  <w:r>
                    <w:rPr>
                      <w:color w:val="000000"/>
                      <w:sz w:val="21"/>
                      <w:szCs w:val="21"/>
                      <w:highlight w:val="none"/>
                    </w:rPr>
                    <w:t>声级设备</w:t>
                  </w:r>
                </w:p>
              </w:tc>
              <w:tc>
                <w:tcPr>
                  <w:tcW w:w="6522" w:type="dxa"/>
                  <w:gridSpan w:val="7"/>
                  <w:noWrap w:val="0"/>
                  <w:vAlign w:val="center"/>
                </w:tcPr>
                <w:p w14:paraId="1DD31952">
                  <w:pPr>
                    <w:jc w:val="center"/>
                    <w:textAlignment w:val="baseline"/>
                    <w:rPr>
                      <w:color w:val="000000"/>
                      <w:sz w:val="21"/>
                      <w:szCs w:val="21"/>
                      <w:highlight w:val="none"/>
                    </w:rPr>
                  </w:pPr>
                  <w:r>
                    <w:rPr>
                      <w:color w:val="000000"/>
                      <w:sz w:val="21"/>
                      <w:szCs w:val="21"/>
                      <w:highlight w:val="none"/>
                    </w:rPr>
                    <w:t>距离声源不同距离处的噪声值（dB（A））</w:t>
                  </w:r>
                </w:p>
              </w:tc>
            </w:tr>
            <w:tr w14:paraId="49F6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6" w:type="dxa"/>
                  <w:vMerge w:val="continue"/>
                  <w:noWrap w:val="0"/>
                  <w:vAlign w:val="center"/>
                </w:tcPr>
                <w:p w14:paraId="04986EE8">
                  <w:pPr>
                    <w:textAlignment w:val="baseline"/>
                    <w:rPr>
                      <w:color w:val="000000"/>
                      <w:sz w:val="21"/>
                      <w:szCs w:val="21"/>
                      <w:highlight w:val="none"/>
                    </w:rPr>
                  </w:pPr>
                </w:p>
              </w:tc>
              <w:tc>
                <w:tcPr>
                  <w:tcW w:w="960" w:type="dxa"/>
                  <w:noWrap w:val="0"/>
                  <w:vAlign w:val="center"/>
                </w:tcPr>
                <w:p w14:paraId="3505EBAF">
                  <w:pPr>
                    <w:textAlignment w:val="baseline"/>
                    <w:rPr>
                      <w:rFonts w:hint="eastAsia"/>
                      <w:color w:val="000000"/>
                      <w:sz w:val="21"/>
                      <w:szCs w:val="21"/>
                      <w:highlight w:val="none"/>
                    </w:rPr>
                  </w:pPr>
                  <w:r>
                    <w:rPr>
                      <w:rFonts w:hint="eastAsia"/>
                      <w:color w:val="000000"/>
                      <w:sz w:val="21"/>
                      <w:szCs w:val="21"/>
                      <w:highlight w:val="none"/>
                    </w:rPr>
                    <w:t>1</w:t>
                  </w:r>
                  <w:r>
                    <w:rPr>
                      <w:color w:val="000000"/>
                      <w:sz w:val="21"/>
                      <w:szCs w:val="21"/>
                      <w:highlight w:val="none"/>
                    </w:rPr>
                    <w:t>0</w:t>
                  </w:r>
                  <w:r>
                    <w:rPr>
                      <w:rFonts w:hint="eastAsia"/>
                      <w:color w:val="000000"/>
                      <w:sz w:val="21"/>
                      <w:szCs w:val="21"/>
                      <w:highlight w:val="none"/>
                    </w:rPr>
                    <w:t>m</w:t>
                  </w:r>
                </w:p>
              </w:tc>
              <w:tc>
                <w:tcPr>
                  <w:tcW w:w="960" w:type="dxa"/>
                  <w:noWrap w:val="0"/>
                  <w:vAlign w:val="center"/>
                </w:tcPr>
                <w:p w14:paraId="4C60F610">
                  <w:pPr>
                    <w:textAlignment w:val="baseline"/>
                    <w:rPr>
                      <w:rFonts w:hint="eastAsia"/>
                      <w:color w:val="000000"/>
                      <w:sz w:val="21"/>
                      <w:szCs w:val="21"/>
                      <w:highlight w:val="none"/>
                    </w:rPr>
                  </w:pPr>
                  <w:r>
                    <w:rPr>
                      <w:rFonts w:hint="eastAsia"/>
                      <w:color w:val="000000"/>
                      <w:sz w:val="21"/>
                      <w:szCs w:val="21"/>
                      <w:highlight w:val="none"/>
                    </w:rPr>
                    <w:t>30m</w:t>
                  </w:r>
                </w:p>
              </w:tc>
              <w:tc>
                <w:tcPr>
                  <w:tcW w:w="847" w:type="dxa"/>
                  <w:noWrap w:val="0"/>
                  <w:vAlign w:val="center"/>
                </w:tcPr>
                <w:p w14:paraId="1C8AB0FA">
                  <w:pPr>
                    <w:textAlignment w:val="baseline"/>
                    <w:rPr>
                      <w:rFonts w:hint="eastAsia"/>
                      <w:color w:val="000000"/>
                      <w:sz w:val="21"/>
                      <w:szCs w:val="21"/>
                      <w:highlight w:val="none"/>
                    </w:rPr>
                  </w:pPr>
                  <w:r>
                    <w:rPr>
                      <w:rFonts w:hint="eastAsia"/>
                      <w:color w:val="000000"/>
                      <w:sz w:val="21"/>
                      <w:szCs w:val="21"/>
                      <w:highlight w:val="none"/>
                    </w:rPr>
                    <w:t>50m</w:t>
                  </w:r>
                </w:p>
              </w:tc>
              <w:tc>
                <w:tcPr>
                  <w:tcW w:w="912" w:type="dxa"/>
                  <w:noWrap w:val="0"/>
                  <w:vAlign w:val="center"/>
                </w:tcPr>
                <w:p w14:paraId="5614E286">
                  <w:pPr>
                    <w:textAlignment w:val="baseline"/>
                    <w:rPr>
                      <w:rFonts w:hint="eastAsia"/>
                      <w:color w:val="000000"/>
                      <w:sz w:val="21"/>
                      <w:szCs w:val="21"/>
                      <w:highlight w:val="none"/>
                    </w:rPr>
                  </w:pPr>
                  <w:r>
                    <w:rPr>
                      <w:rFonts w:hint="eastAsia"/>
                      <w:color w:val="000000"/>
                      <w:sz w:val="21"/>
                      <w:szCs w:val="21"/>
                      <w:highlight w:val="none"/>
                    </w:rPr>
                    <w:t>70m</w:t>
                  </w:r>
                </w:p>
              </w:tc>
              <w:tc>
                <w:tcPr>
                  <w:tcW w:w="923" w:type="dxa"/>
                  <w:noWrap w:val="0"/>
                  <w:vAlign w:val="center"/>
                </w:tcPr>
                <w:p w14:paraId="52B48890">
                  <w:pPr>
                    <w:textAlignment w:val="baseline"/>
                    <w:rPr>
                      <w:rFonts w:hint="eastAsia"/>
                      <w:color w:val="000000"/>
                      <w:sz w:val="21"/>
                      <w:szCs w:val="21"/>
                      <w:highlight w:val="none"/>
                    </w:rPr>
                  </w:pPr>
                  <w:r>
                    <w:rPr>
                      <w:color w:val="000000"/>
                      <w:sz w:val="21"/>
                      <w:szCs w:val="21"/>
                      <w:highlight w:val="none"/>
                    </w:rPr>
                    <w:t>100</w:t>
                  </w:r>
                  <w:r>
                    <w:rPr>
                      <w:rFonts w:hint="eastAsia"/>
                      <w:color w:val="000000"/>
                      <w:sz w:val="21"/>
                      <w:szCs w:val="21"/>
                      <w:highlight w:val="none"/>
                    </w:rPr>
                    <w:t>m</w:t>
                  </w:r>
                </w:p>
              </w:tc>
              <w:tc>
                <w:tcPr>
                  <w:tcW w:w="1003" w:type="dxa"/>
                  <w:noWrap w:val="0"/>
                  <w:vAlign w:val="center"/>
                </w:tcPr>
                <w:p w14:paraId="17084A81">
                  <w:pPr>
                    <w:textAlignment w:val="baseline"/>
                    <w:rPr>
                      <w:rFonts w:hint="eastAsia"/>
                      <w:color w:val="000000"/>
                      <w:sz w:val="21"/>
                      <w:szCs w:val="21"/>
                      <w:highlight w:val="none"/>
                    </w:rPr>
                  </w:pPr>
                  <w:r>
                    <w:rPr>
                      <w:color w:val="000000"/>
                      <w:sz w:val="21"/>
                      <w:szCs w:val="21"/>
                      <w:highlight w:val="none"/>
                    </w:rPr>
                    <w:t>150</w:t>
                  </w:r>
                  <w:r>
                    <w:rPr>
                      <w:rFonts w:hint="eastAsia"/>
                      <w:color w:val="000000"/>
                      <w:sz w:val="21"/>
                      <w:szCs w:val="21"/>
                      <w:highlight w:val="none"/>
                    </w:rPr>
                    <w:t>m</w:t>
                  </w:r>
                </w:p>
              </w:tc>
              <w:tc>
                <w:tcPr>
                  <w:tcW w:w="917" w:type="dxa"/>
                  <w:noWrap w:val="0"/>
                  <w:vAlign w:val="center"/>
                </w:tcPr>
                <w:p w14:paraId="3687BF55">
                  <w:pPr>
                    <w:textAlignment w:val="baseline"/>
                    <w:rPr>
                      <w:rFonts w:hint="eastAsia"/>
                      <w:color w:val="000000"/>
                      <w:sz w:val="21"/>
                      <w:szCs w:val="21"/>
                      <w:highlight w:val="none"/>
                    </w:rPr>
                  </w:pPr>
                  <w:r>
                    <w:rPr>
                      <w:color w:val="000000"/>
                      <w:sz w:val="21"/>
                      <w:szCs w:val="21"/>
                      <w:highlight w:val="none"/>
                    </w:rPr>
                    <w:t>200</w:t>
                  </w:r>
                  <w:r>
                    <w:rPr>
                      <w:rFonts w:hint="eastAsia"/>
                      <w:color w:val="000000"/>
                      <w:sz w:val="21"/>
                      <w:szCs w:val="21"/>
                      <w:highlight w:val="none"/>
                    </w:rPr>
                    <w:t>m</w:t>
                  </w:r>
                </w:p>
              </w:tc>
            </w:tr>
            <w:tr w14:paraId="39AF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6" w:type="dxa"/>
                  <w:noWrap w:val="0"/>
                  <w:vAlign w:val="center"/>
                </w:tcPr>
                <w:p w14:paraId="262BCA11">
                  <w:pPr>
                    <w:widowControl/>
                    <w:tabs>
                      <w:tab w:val="left" w:pos="810"/>
                    </w:tabs>
                    <w:adjustRightInd w:val="0"/>
                    <w:snapToGrid w:val="0"/>
                    <w:jc w:val="center"/>
                    <w:rPr>
                      <w:color w:val="000000"/>
                      <w:sz w:val="21"/>
                      <w:szCs w:val="21"/>
                      <w:highlight w:val="none"/>
                    </w:rPr>
                  </w:pPr>
                  <w:r>
                    <w:rPr>
                      <w:color w:val="000000"/>
                      <w:kern w:val="0"/>
                      <w:sz w:val="21"/>
                      <w:szCs w:val="21"/>
                      <w:highlight w:val="none"/>
                    </w:rPr>
                    <w:t>挖掘机</w:t>
                  </w:r>
                </w:p>
              </w:tc>
              <w:tc>
                <w:tcPr>
                  <w:tcW w:w="960" w:type="dxa"/>
                  <w:noWrap w:val="0"/>
                  <w:vAlign w:val="center"/>
                </w:tcPr>
                <w:p w14:paraId="6967E663">
                  <w:pPr>
                    <w:textAlignment w:val="baseline"/>
                    <w:rPr>
                      <w:color w:val="000000"/>
                      <w:sz w:val="21"/>
                      <w:szCs w:val="21"/>
                      <w:highlight w:val="none"/>
                    </w:rPr>
                  </w:pPr>
                  <w:r>
                    <w:rPr>
                      <w:rFonts w:hint="eastAsia"/>
                      <w:color w:val="000000"/>
                      <w:sz w:val="21"/>
                      <w:szCs w:val="21"/>
                      <w:highlight w:val="none"/>
                    </w:rPr>
                    <w:t>70</w:t>
                  </w:r>
                </w:p>
              </w:tc>
              <w:tc>
                <w:tcPr>
                  <w:tcW w:w="960" w:type="dxa"/>
                  <w:noWrap w:val="0"/>
                  <w:vAlign w:val="center"/>
                </w:tcPr>
                <w:p w14:paraId="16C9C1CA">
                  <w:pPr>
                    <w:textAlignment w:val="baseline"/>
                    <w:rPr>
                      <w:color w:val="000000"/>
                      <w:sz w:val="21"/>
                      <w:szCs w:val="21"/>
                      <w:highlight w:val="none"/>
                    </w:rPr>
                  </w:pPr>
                  <w:r>
                    <w:rPr>
                      <w:rFonts w:hint="eastAsia"/>
                      <w:color w:val="000000"/>
                      <w:sz w:val="21"/>
                      <w:szCs w:val="21"/>
                      <w:highlight w:val="none"/>
                    </w:rPr>
                    <w:t>60.5</w:t>
                  </w:r>
                </w:p>
              </w:tc>
              <w:tc>
                <w:tcPr>
                  <w:tcW w:w="847" w:type="dxa"/>
                  <w:noWrap w:val="0"/>
                  <w:vAlign w:val="center"/>
                </w:tcPr>
                <w:p w14:paraId="121126E4">
                  <w:pPr>
                    <w:textAlignment w:val="baseline"/>
                    <w:rPr>
                      <w:color w:val="000000"/>
                      <w:sz w:val="21"/>
                      <w:szCs w:val="21"/>
                      <w:highlight w:val="none"/>
                    </w:rPr>
                  </w:pPr>
                  <w:r>
                    <w:rPr>
                      <w:rFonts w:hint="eastAsia"/>
                      <w:color w:val="000000"/>
                      <w:sz w:val="21"/>
                      <w:szCs w:val="21"/>
                      <w:highlight w:val="none"/>
                    </w:rPr>
                    <w:t>56</w:t>
                  </w:r>
                </w:p>
              </w:tc>
              <w:tc>
                <w:tcPr>
                  <w:tcW w:w="912" w:type="dxa"/>
                  <w:noWrap w:val="0"/>
                  <w:vAlign w:val="center"/>
                </w:tcPr>
                <w:p w14:paraId="4CF393AD">
                  <w:pPr>
                    <w:textAlignment w:val="baseline"/>
                    <w:rPr>
                      <w:color w:val="000000"/>
                      <w:sz w:val="21"/>
                      <w:szCs w:val="21"/>
                      <w:highlight w:val="none"/>
                    </w:rPr>
                  </w:pPr>
                  <w:r>
                    <w:rPr>
                      <w:rFonts w:hint="eastAsia"/>
                      <w:color w:val="000000"/>
                      <w:sz w:val="21"/>
                      <w:szCs w:val="21"/>
                      <w:highlight w:val="none"/>
                    </w:rPr>
                    <w:t>53.1</w:t>
                  </w:r>
                </w:p>
              </w:tc>
              <w:tc>
                <w:tcPr>
                  <w:tcW w:w="923" w:type="dxa"/>
                  <w:noWrap w:val="0"/>
                  <w:vAlign w:val="center"/>
                </w:tcPr>
                <w:p w14:paraId="422ADCDF">
                  <w:pPr>
                    <w:textAlignment w:val="baseline"/>
                    <w:rPr>
                      <w:color w:val="000000"/>
                      <w:sz w:val="21"/>
                      <w:szCs w:val="21"/>
                      <w:highlight w:val="none"/>
                    </w:rPr>
                  </w:pPr>
                  <w:r>
                    <w:rPr>
                      <w:rFonts w:hint="eastAsia"/>
                      <w:color w:val="000000"/>
                      <w:sz w:val="21"/>
                      <w:szCs w:val="21"/>
                      <w:highlight w:val="none"/>
                    </w:rPr>
                    <w:t>50</w:t>
                  </w:r>
                </w:p>
              </w:tc>
              <w:tc>
                <w:tcPr>
                  <w:tcW w:w="1003" w:type="dxa"/>
                  <w:noWrap w:val="0"/>
                  <w:vAlign w:val="center"/>
                </w:tcPr>
                <w:p w14:paraId="6EC974C2">
                  <w:pPr>
                    <w:textAlignment w:val="baseline"/>
                    <w:rPr>
                      <w:color w:val="000000"/>
                      <w:sz w:val="21"/>
                      <w:szCs w:val="21"/>
                      <w:highlight w:val="none"/>
                    </w:rPr>
                  </w:pPr>
                  <w:r>
                    <w:rPr>
                      <w:rFonts w:hint="eastAsia"/>
                      <w:color w:val="000000"/>
                      <w:sz w:val="21"/>
                      <w:szCs w:val="21"/>
                      <w:highlight w:val="none"/>
                    </w:rPr>
                    <w:t>46.5</w:t>
                  </w:r>
                </w:p>
              </w:tc>
              <w:tc>
                <w:tcPr>
                  <w:tcW w:w="917" w:type="dxa"/>
                  <w:noWrap w:val="0"/>
                  <w:vAlign w:val="center"/>
                </w:tcPr>
                <w:p w14:paraId="7FFEFF10">
                  <w:pPr>
                    <w:textAlignment w:val="baseline"/>
                    <w:rPr>
                      <w:color w:val="000000"/>
                      <w:sz w:val="21"/>
                      <w:szCs w:val="21"/>
                      <w:highlight w:val="none"/>
                    </w:rPr>
                  </w:pPr>
                  <w:r>
                    <w:rPr>
                      <w:rFonts w:hint="eastAsia"/>
                      <w:color w:val="000000"/>
                      <w:sz w:val="21"/>
                      <w:szCs w:val="21"/>
                      <w:highlight w:val="none"/>
                    </w:rPr>
                    <w:t>44</w:t>
                  </w:r>
                </w:p>
              </w:tc>
            </w:tr>
            <w:tr w14:paraId="26A5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6" w:type="dxa"/>
                  <w:noWrap w:val="0"/>
                  <w:vAlign w:val="center"/>
                </w:tcPr>
                <w:p w14:paraId="13BFEB7D">
                  <w:pPr>
                    <w:widowControl/>
                    <w:tabs>
                      <w:tab w:val="left" w:pos="810"/>
                    </w:tabs>
                    <w:adjustRightInd w:val="0"/>
                    <w:snapToGrid w:val="0"/>
                    <w:jc w:val="center"/>
                    <w:rPr>
                      <w:color w:val="000000"/>
                      <w:sz w:val="21"/>
                      <w:szCs w:val="21"/>
                      <w:highlight w:val="none"/>
                    </w:rPr>
                  </w:pPr>
                  <w:r>
                    <w:rPr>
                      <w:color w:val="000000"/>
                      <w:kern w:val="0"/>
                      <w:sz w:val="21"/>
                      <w:szCs w:val="21"/>
                      <w:highlight w:val="none"/>
                    </w:rPr>
                    <w:t>推土机</w:t>
                  </w:r>
                </w:p>
              </w:tc>
              <w:tc>
                <w:tcPr>
                  <w:tcW w:w="960" w:type="dxa"/>
                  <w:noWrap w:val="0"/>
                  <w:vAlign w:val="center"/>
                </w:tcPr>
                <w:p w14:paraId="2C31FAFA">
                  <w:pPr>
                    <w:textAlignment w:val="baseline"/>
                    <w:rPr>
                      <w:color w:val="000000"/>
                      <w:sz w:val="21"/>
                      <w:szCs w:val="21"/>
                      <w:highlight w:val="none"/>
                    </w:rPr>
                  </w:pPr>
                  <w:r>
                    <w:rPr>
                      <w:rFonts w:hint="eastAsia"/>
                      <w:color w:val="000000"/>
                      <w:sz w:val="21"/>
                      <w:szCs w:val="21"/>
                      <w:highlight w:val="none"/>
                    </w:rPr>
                    <w:t>70</w:t>
                  </w:r>
                </w:p>
              </w:tc>
              <w:tc>
                <w:tcPr>
                  <w:tcW w:w="960" w:type="dxa"/>
                  <w:noWrap w:val="0"/>
                  <w:vAlign w:val="center"/>
                </w:tcPr>
                <w:p w14:paraId="29B8DE65">
                  <w:pPr>
                    <w:textAlignment w:val="baseline"/>
                    <w:rPr>
                      <w:color w:val="000000"/>
                      <w:sz w:val="21"/>
                      <w:szCs w:val="21"/>
                      <w:highlight w:val="none"/>
                    </w:rPr>
                  </w:pPr>
                  <w:r>
                    <w:rPr>
                      <w:rFonts w:hint="eastAsia"/>
                      <w:color w:val="000000"/>
                      <w:sz w:val="21"/>
                      <w:szCs w:val="21"/>
                      <w:highlight w:val="none"/>
                    </w:rPr>
                    <w:t>60.5</w:t>
                  </w:r>
                </w:p>
              </w:tc>
              <w:tc>
                <w:tcPr>
                  <w:tcW w:w="847" w:type="dxa"/>
                  <w:noWrap w:val="0"/>
                  <w:vAlign w:val="center"/>
                </w:tcPr>
                <w:p w14:paraId="56D2FFE4">
                  <w:pPr>
                    <w:textAlignment w:val="baseline"/>
                    <w:rPr>
                      <w:color w:val="000000"/>
                      <w:sz w:val="21"/>
                      <w:szCs w:val="21"/>
                      <w:highlight w:val="none"/>
                    </w:rPr>
                  </w:pPr>
                  <w:r>
                    <w:rPr>
                      <w:rFonts w:hint="eastAsia"/>
                      <w:color w:val="000000"/>
                      <w:sz w:val="21"/>
                      <w:szCs w:val="21"/>
                      <w:highlight w:val="none"/>
                    </w:rPr>
                    <w:t>56</w:t>
                  </w:r>
                </w:p>
              </w:tc>
              <w:tc>
                <w:tcPr>
                  <w:tcW w:w="912" w:type="dxa"/>
                  <w:noWrap w:val="0"/>
                  <w:vAlign w:val="center"/>
                </w:tcPr>
                <w:p w14:paraId="0E543BA2">
                  <w:pPr>
                    <w:textAlignment w:val="baseline"/>
                    <w:rPr>
                      <w:color w:val="000000"/>
                      <w:sz w:val="21"/>
                      <w:szCs w:val="21"/>
                      <w:highlight w:val="none"/>
                    </w:rPr>
                  </w:pPr>
                  <w:r>
                    <w:rPr>
                      <w:rFonts w:hint="eastAsia"/>
                      <w:color w:val="000000"/>
                      <w:sz w:val="21"/>
                      <w:szCs w:val="21"/>
                      <w:highlight w:val="none"/>
                    </w:rPr>
                    <w:t>53.1</w:t>
                  </w:r>
                </w:p>
              </w:tc>
              <w:tc>
                <w:tcPr>
                  <w:tcW w:w="923" w:type="dxa"/>
                  <w:noWrap w:val="0"/>
                  <w:vAlign w:val="center"/>
                </w:tcPr>
                <w:p w14:paraId="0D74A7C4">
                  <w:pPr>
                    <w:textAlignment w:val="baseline"/>
                    <w:rPr>
                      <w:color w:val="000000"/>
                      <w:sz w:val="21"/>
                      <w:szCs w:val="21"/>
                      <w:highlight w:val="none"/>
                    </w:rPr>
                  </w:pPr>
                  <w:r>
                    <w:rPr>
                      <w:rFonts w:hint="eastAsia"/>
                      <w:color w:val="000000"/>
                      <w:sz w:val="21"/>
                      <w:szCs w:val="21"/>
                      <w:highlight w:val="none"/>
                    </w:rPr>
                    <w:t>50</w:t>
                  </w:r>
                </w:p>
              </w:tc>
              <w:tc>
                <w:tcPr>
                  <w:tcW w:w="1003" w:type="dxa"/>
                  <w:noWrap w:val="0"/>
                  <w:vAlign w:val="center"/>
                </w:tcPr>
                <w:p w14:paraId="27E3670F">
                  <w:pPr>
                    <w:textAlignment w:val="baseline"/>
                    <w:rPr>
                      <w:color w:val="000000"/>
                      <w:sz w:val="21"/>
                      <w:szCs w:val="21"/>
                      <w:highlight w:val="none"/>
                    </w:rPr>
                  </w:pPr>
                  <w:r>
                    <w:rPr>
                      <w:rFonts w:hint="eastAsia"/>
                      <w:color w:val="000000"/>
                      <w:sz w:val="21"/>
                      <w:szCs w:val="21"/>
                      <w:highlight w:val="none"/>
                    </w:rPr>
                    <w:t>46.5</w:t>
                  </w:r>
                </w:p>
              </w:tc>
              <w:tc>
                <w:tcPr>
                  <w:tcW w:w="917" w:type="dxa"/>
                  <w:noWrap w:val="0"/>
                  <w:vAlign w:val="center"/>
                </w:tcPr>
                <w:p w14:paraId="232CD3AF">
                  <w:pPr>
                    <w:textAlignment w:val="baseline"/>
                    <w:rPr>
                      <w:color w:val="000000"/>
                      <w:sz w:val="21"/>
                      <w:szCs w:val="21"/>
                      <w:highlight w:val="none"/>
                    </w:rPr>
                  </w:pPr>
                  <w:r>
                    <w:rPr>
                      <w:rFonts w:hint="eastAsia"/>
                      <w:color w:val="000000"/>
                      <w:sz w:val="21"/>
                      <w:szCs w:val="21"/>
                      <w:highlight w:val="none"/>
                    </w:rPr>
                    <w:t>44</w:t>
                  </w:r>
                </w:p>
              </w:tc>
            </w:tr>
            <w:tr w14:paraId="405F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6" w:type="dxa"/>
                  <w:noWrap w:val="0"/>
                  <w:vAlign w:val="center"/>
                </w:tcPr>
                <w:p w14:paraId="7BA7D94E">
                  <w:pPr>
                    <w:widowControl/>
                    <w:tabs>
                      <w:tab w:val="left" w:pos="810"/>
                    </w:tabs>
                    <w:adjustRightInd w:val="0"/>
                    <w:snapToGrid w:val="0"/>
                    <w:jc w:val="center"/>
                    <w:rPr>
                      <w:color w:val="000000"/>
                      <w:sz w:val="21"/>
                      <w:szCs w:val="21"/>
                      <w:highlight w:val="none"/>
                    </w:rPr>
                  </w:pPr>
                  <w:r>
                    <w:rPr>
                      <w:rFonts w:hint="eastAsia"/>
                      <w:color w:val="000000"/>
                      <w:kern w:val="0"/>
                      <w:sz w:val="21"/>
                      <w:szCs w:val="21"/>
                      <w:highlight w:val="none"/>
                      <w:lang w:val="en-US" w:eastAsia="zh-CN"/>
                    </w:rPr>
                    <w:t>振动碾</w:t>
                  </w:r>
                </w:p>
              </w:tc>
              <w:tc>
                <w:tcPr>
                  <w:tcW w:w="960" w:type="dxa"/>
                  <w:noWrap w:val="0"/>
                  <w:vAlign w:val="center"/>
                </w:tcPr>
                <w:p w14:paraId="20185566">
                  <w:pPr>
                    <w:textAlignment w:val="baseline"/>
                    <w:rPr>
                      <w:rFonts w:hint="default" w:eastAsia="宋体"/>
                      <w:color w:val="000000"/>
                      <w:sz w:val="21"/>
                      <w:szCs w:val="21"/>
                      <w:highlight w:val="none"/>
                      <w:lang w:val="en-US" w:eastAsia="zh-CN"/>
                    </w:rPr>
                  </w:pPr>
                  <w:r>
                    <w:rPr>
                      <w:rFonts w:hint="eastAsia"/>
                      <w:color w:val="000000"/>
                      <w:sz w:val="21"/>
                      <w:szCs w:val="21"/>
                      <w:highlight w:val="none"/>
                    </w:rPr>
                    <w:t>65</w:t>
                  </w:r>
                </w:p>
              </w:tc>
              <w:tc>
                <w:tcPr>
                  <w:tcW w:w="960" w:type="dxa"/>
                  <w:noWrap w:val="0"/>
                  <w:vAlign w:val="center"/>
                </w:tcPr>
                <w:p w14:paraId="12815592">
                  <w:pPr>
                    <w:textAlignment w:val="baseline"/>
                    <w:rPr>
                      <w:color w:val="000000"/>
                      <w:sz w:val="21"/>
                      <w:szCs w:val="21"/>
                      <w:highlight w:val="none"/>
                    </w:rPr>
                  </w:pPr>
                  <w:r>
                    <w:rPr>
                      <w:rFonts w:hint="eastAsia"/>
                      <w:color w:val="000000"/>
                      <w:sz w:val="21"/>
                      <w:szCs w:val="21"/>
                      <w:highlight w:val="none"/>
                    </w:rPr>
                    <w:t>55.5</w:t>
                  </w:r>
                </w:p>
              </w:tc>
              <w:tc>
                <w:tcPr>
                  <w:tcW w:w="847" w:type="dxa"/>
                  <w:noWrap w:val="0"/>
                  <w:vAlign w:val="center"/>
                </w:tcPr>
                <w:p w14:paraId="6199F7A7">
                  <w:pPr>
                    <w:textAlignment w:val="baseline"/>
                    <w:rPr>
                      <w:color w:val="000000"/>
                      <w:sz w:val="21"/>
                      <w:szCs w:val="21"/>
                      <w:highlight w:val="none"/>
                    </w:rPr>
                  </w:pPr>
                  <w:r>
                    <w:rPr>
                      <w:rFonts w:hint="eastAsia"/>
                      <w:color w:val="000000"/>
                      <w:sz w:val="21"/>
                      <w:szCs w:val="21"/>
                      <w:highlight w:val="none"/>
                    </w:rPr>
                    <w:t>51</w:t>
                  </w:r>
                </w:p>
              </w:tc>
              <w:tc>
                <w:tcPr>
                  <w:tcW w:w="912" w:type="dxa"/>
                  <w:noWrap w:val="0"/>
                  <w:vAlign w:val="center"/>
                </w:tcPr>
                <w:p w14:paraId="49727760">
                  <w:pPr>
                    <w:textAlignment w:val="baseline"/>
                    <w:rPr>
                      <w:color w:val="000000"/>
                      <w:sz w:val="21"/>
                      <w:szCs w:val="21"/>
                      <w:highlight w:val="none"/>
                    </w:rPr>
                  </w:pPr>
                  <w:r>
                    <w:rPr>
                      <w:rFonts w:hint="eastAsia"/>
                      <w:color w:val="000000"/>
                      <w:sz w:val="21"/>
                      <w:szCs w:val="21"/>
                      <w:highlight w:val="none"/>
                    </w:rPr>
                    <w:t>48.1</w:t>
                  </w:r>
                </w:p>
              </w:tc>
              <w:tc>
                <w:tcPr>
                  <w:tcW w:w="923" w:type="dxa"/>
                  <w:noWrap w:val="0"/>
                  <w:vAlign w:val="center"/>
                </w:tcPr>
                <w:p w14:paraId="4AE621EA">
                  <w:pPr>
                    <w:textAlignment w:val="baseline"/>
                    <w:rPr>
                      <w:color w:val="000000"/>
                      <w:sz w:val="21"/>
                      <w:szCs w:val="21"/>
                      <w:highlight w:val="none"/>
                    </w:rPr>
                  </w:pPr>
                  <w:r>
                    <w:rPr>
                      <w:rFonts w:hint="eastAsia"/>
                      <w:color w:val="000000"/>
                      <w:sz w:val="21"/>
                      <w:szCs w:val="21"/>
                      <w:highlight w:val="none"/>
                    </w:rPr>
                    <w:t>45</w:t>
                  </w:r>
                </w:p>
              </w:tc>
              <w:tc>
                <w:tcPr>
                  <w:tcW w:w="1003" w:type="dxa"/>
                  <w:noWrap w:val="0"/>
                  <w:vAlign w:val="center"/>
                </w:tcPr>
                <w:p w14:paraId="56F598D7">
                  <w:pPr>
                    <w:textAlignment w:val="baseline"/>
                    <w:rPr>
                      <w:color w:val="000000"/>
                      <w:sz w:val="21"/>
                      <w:szCs w:val="21"/>
                      <w:highlight w:val="none"/>
                    </w:rPr>
                  </w:pPr>
                  <w:r>
                    <w:rPr>
                      <w:rFonts w:hint="eastAsia"/>
                      <w:color w:val="000000"/>
                      <w:sz w:val="21"/>
                      <w:szCs w:val="21"/>
                      <w:highlight w:val="none"/>
                    </w:rPr>
                    <w:t>41.5</w:t>
                  </w:r>
                </w:p>
              </w:tc>
              <w:tc>
                <w:tcPr>
                  <w:tcW w:w="917" w:type="dxa"/>
                  <w:noWrap w:val="0"/>
                  <w:vAlign w:val="center"/>
                </w:tcPr>
                <w:p w14:paraId="7C237F34">
                  <w:pPr>
                    <w:textAlignment w:val="baseline"/>
                    <w:rPr>
                      <w:color w:val="000000"/>
                      <w:sz w:val="21"/>
                      <w:szCs w:val="21"/>
                      <w:highlight w:val="none"/>
                    </w:rPr>
                  </w:pPr>
                  <w:r>
                    <w:rPr>
                      <w:rFonts w:hint="eastAsia"/>
                      <w:color w:val="000000"/>
                      <w:sz w:val="21"/>
                      <w:szCs w:val="21"/>
                      <w:highlight w:val="none"/>
                    </w:rPr>
                    <w:t>39</w:t>
                  </w:r>
                </w:p>
              </w:tc>
            </w:tr>
            <w:tr w14:paraId="0843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6" w:type="dxa"/>
                  <w:noWrap w:val="0"/>
                  <w:vAlign w:val="center"/>
                </w:tcPr>
                <w:p w14:paraId="6B8BAEE4">
                  <w:pPr>
                    <w:widowControl/>
                    <w:tabs>
                      <w:tab w:val="left" w:pos="810"/>
                    </w:tabs>
                    <w:adjustRightInd w:val="0"/>
                    <w:snapToGrid w:val="0"/>
                    <w:jc w:val="center"/>
                    <w:rPr>
                      <w:color w:val="000000"/>
                      <w:sz w:val="21"/>
                      <w:szCs w:val="21"/>
                      <w:highlight w:val="none"/>
                    </w:rPr>
                  </w:pPr>
                  <w:r>
                    <w:rPr>
                      <w:rFonts w:hint="eastAsia"/>
                      <w:color w:val="000000"/>
                      <w:kern w:val="0"/>
                      <w:sz w:val="21"/>
                      <w:szCs w:val="21"/>
                      <w:highlight w:val="none"/>
                      <w:lang w:val="en-US" w:eastAsia="zh-CN"/>
                    </w:rPr>
                    <w:t>蛙式夯实机</w:t>
                  </w:r>
                </w:p>
              </w:tc>
              <w:tc>
                <w:tcPr>
                  <w:tcW w:w="960" w:type="dxa"/>
                  <w:noWrap w:val="0"/>
                  <w:vAlign w:val="center"/>
                </w:tcPr>
                <w:p w14:paraId="228C7C00">
                  <w:pPr>
                    <w:textAlignment w:val="baseline"/>
                    <w:rPr>
                      <w:color w:val="000000"/>
                      <w:sz w:val="21"/>
                      <w:szCs w:val="21"/>
                      <w:highlight w:val="none"/>
                    </w:rPr>
                  </w:pPr>
                  <w:r>
                    <w:rPr>
                      <w:rFonts w:hint="eastAsia"/>
                      <w:color w:val="000000"/>
                      <w:sz w:val="21"/>
                      <w:szCs w:val="21"/>
                      <w:highlight w:val="none"/>
                    </w:rPr>
                    <w:t>65</w:t>
                  </w:r>
                </w:p>
              </w:tc>
              <w:tc>
                <w:tcPr>
                  <w:tcW w:w="960" w:type="dxa"/>
                  <w:noWrap w:val="0"/>
                  <w:vAlign w:val="center"/>
                </w:tcPr>
                <w:p w14:paraId="1A22A7DA">
                  <w:pPr>
                    <w:textAlignment w:val="baseline"/>
                    <w:rPr>
                      <w:color w:val="000000"/>
                      <w:sz w:val="21"/>
                      <w:szCs w:val="21"/>
                      <w:highlight w:val="none"/>
                    </w:rPr>
                  </w:pPr>
                  <w:r>
                    <w:rPr>
                      <w:rFonts w:hint="eastAsia"/>
                      <w:color w:val="000000"/>
                      <w:sz w:val="21"/>
                      <w:szCs w:val="21"/>
                      <w:highlight w:val="none"/>
                    </w:rPr>
                    <w:t>55.5</w:t>
                  </w:r>
                </w:p>
              </w:tc>
              <w:tc>
                <w:tcPr>
                  <w:tcW w:w="847" w:type="dxa"/>
                  <w:noWrap w:val="0"/>
                  <w:vAlign w:val="center"/>
                </w:tcPr>
                <w:p w14:paraId="6EA37D69">
                  <w:pPr>
                    <w:textAlignment w:val="baseline"/>
                    <w:rPr>
                      <w:color w:val="000000"/>
                      <w:sz w:val="21"/>
                      <w:szCs w:val="21"/>
                      <w:highlight w:val="none"/>
                    </w:rPr>
                  </w:pPr>
                  <w:r>
                    <w:rPr>
                      <w:rFonts w:hint="eastAsia"/>
                      <w:color w:val="000000"/>
                      <w:sz w:val="21"/>
                      <w:szCs w:val="21"/>
                      <w:highlight w:val="none"/>
                    </w:rPr>
                    <w:t>51</w:t>
                  </w:r>
                </w:p>
              </w:tc>
              <w:tc>
                <w:tcPr>
                  <w:tcW w:w="912" w:type="dxa"/>
                  <w:noWrap w:val="0"/>
                  <w:vAlign w:val="center"/>
                </w:tcPr>
                <w:p w14:paraId="27178609">
                  <w:pPr>
                    <w:textAlignment w:val="baseline"/>
                    <w:rPr>
                      <w:color w:val="000000"/>
                      <w:sz w:val="21"/>
                      <w:szCs w:val="21"/>
                      <w:highlight w:val="none"/>
                    </w:rPr>
                  </w:pPr>
                  <w:r>
                    <w:rPr>
                      <w:rFonts w:hint="eastAsia"/>
                      <w:color w:val="000000"/>
                      <w:sz w:val="21"/>
                      <w:szCs w:val="21"/>
                      <w:highlight w:val="none"/>
                    </w:rPr>
                    <w:t>48.1</w:t>
                  </w:r>
                </w:p>
              </w:tc>
              <w:tc>
                <w:tcPr>
                  <w:tcW w:w="923" w:type="dxa"/>
                  <w:noWrap w:val="0"/>
                  <w:vAlign w:val="center"/>
                </w:tcPr>
                <w:p w14:paraId="202D6F66">
                  <w:pPr>
                    <w:textAlignment w:val="baseline"/>
                    <w:rPr>
                      <w:color w:val="000000"/>
                      <w:sz w:val="21"/>
                      <w:szCs w:val="21"/>
                      <w:highlight w:val="none"/>
                    </w:rPr>
                  </w:pPr>
                  <w:r>
                    <w:rPr>
                      <w:rFonts w:hint="eastAsia"/>
                      <w:color w:val="000000"/>
                      <w:sz w:val="21"/>
                      <w:szCs w:val="21"/>
                      <w:highlight w:val="none"/>
                    </w:rPr>
                    <w:t>45</w:t>
                  </w:r>
                </w:p>
              </w:tc>
              <w:tc>
                <w:tcPr>
                  <w:tcW w:w="1003" w:type="dxa"/>
                  <w:noWrap w:val="0"/>
                  <w:vAlign w:val="center"/>
                </w:tcPr>
                <w:p w14:paraId="1A2E2EFF">
                  <w:pPr>
                    <w:textAlignment w:val="baseline"/>
                    <w:rPr>
                      <w:color w:val="000000"/>
                      <w:sz w:val="21"/>
                      <w:szCs w:val="21"/>
                      <w:highlight w:val="none"/>
                    </w:rPr>
                  </w:pPr>
                  <w:r>
                    <w:rPr>
                      <w:rFonts w:hint="eastAsia"/>
                      <w:color w:val="000000"/>
                      <w:sz w:val="21"/>
                      <w:szCs w:val="21"/>
                      <w:highlight w:val="none"/>
                    </w:rPr>
                    <w:t>41.5</w:t>
                  </w:r>
                </w:p>
              </w:tc>
              <w:tc>
                <w:tcPr>
                  <w:tcW w:w="917" w:type="dxa"/>
                  <w:noWrap w:val="0"/>
                  <w:vAlign w:val="center"/>
                </w:tcPr>
                <w:p w14:paraId="095A0718">
                  <w:pPr>
                    <w:textAlignment w:val="baseline"/>
                    <w:rPr>
                      <w:color w:val="000000"/>
                      <w:sz w:val="21"/>
                      <w:szCs w:val="21"/>
                      <w:highlight w:val="none"/>
                    </w:rPr>
                  </w:pPr>
                  <w:r>
                    <w:rPr>
                      <w:rFonts w:hint="eastAsia"/>
                      <w:color w:val="000000"/>
                      <w:sz w:val="21"/>
                      <w:szCs w:val="21"/>
                      <w:highlight w:val="none"/>
                    </w:rPr>
                    <w:t>39</w:t>
                  </w:r>
                </w:p>
              </w:tc>
            </w:tr>
          </w:tbl>
          <w:p w14:paraId="4768C26D">
            <w:pPr>
              <w:keepNext w:val="0"/>
              <w:keepLines w:val="0"/>
              <w:pageBreakBefore w:val="0"/>
              <w:widowControl w:val="0"/>
              <w:tabs>
                <w:tab w:val="left" w:pos="624"/>
              </w:tabs>
              <w:kinsoku/>
              <w:wordWrap/>
              <w:overflowPunct/>
              <w:topLinePunct w:val="0"/>
              <w:autoSpaceDE/>
              <w:autoSpaceDN/>
              <w:bidi w:val="0"/>
              <w:spacing w:line="360" w:lineRule="auto"/>
              <w:ind w:firstLine="480" w:firstLineChars="200"/>
              <w:jc w:val="both"/>
              <w:textAlignment w:val="auto"/>
              <w:rPr>
                <w:color w:val="000000"/>
                <w:sz w:val="24"/>
                <w:highlight w:val="none"/>
              </w:rPr>
            </w:pPr>
            <w:r>
              <w:rPr>
                <w:color w:val="000000"/>
                <w:sz w:val="24"/>
                <w:highlight w:val="none"/>
              </w:rPr>
              <w:t>从计算结果可以看出：主要机械在</w:t>
            </w:r>
            <w:r>
              <w:rPr>
                <w:rFonts w:hint="eastAsia"/>
                <w:color w:val="000000"/>
                <w:sz w:val="24"/>
                <w:highlight w:val="none"/>
              </w:rPr>
              <w:t>1</w:t>
            </w:r>
            <w:r>
              <w:rPr>
                <w:color w:val="000000"/>
                <w:sz w:val="24"/>
                <w:highlight w:val="none"/>
              </w:rPr>
              <w:t>0m以外均不超过《建筑施工场界环境噪声排放标准》(GB12523-2011)中的昼间噪声限值70dB（A），主要机械</w:t>
            </w:r>
            <w:r>
              <w:rPr>
                <w:rFonts w:hint="eastAsia"/>
                <w:color w:val="000000"/>
                <w:sz w:val="24"/>
                <w:highlight w:val="none"/>
                <w:lang w:eastAsia="zh-CN"/>
              </w:rPr>
              <w:t>在</w:t>
            </w:r>
            <w:r>
              <w:rPr>
                <w:rFonts w:hint="eastAsia"/>
                <w:color w:val="000000"/>
                <w:sz w:val="24"/>
                <w:highlight w:val="none"/>
              </w:rPr>
              <w:t>70</w:t>
            </w:r>
            <w:r>
              <w:rPr>
                <w:color w:val="000000"/>
                <w:sz w:val="24"/>
                <w:highlight w:val="none"/>
              </w:rPr>
              <w:t>m以</w:t>
            </w:r>
            <w:r>
              <w:rPr>
                <w:rFonts w:hint="eastAsia"/>
                <w:color w:val="000000"/>
                <w:sz w:val="24"/>
                <w:highlight w:val="none"/>
                <w:lang w:eastAsia="zh-CN"/>
              </w:rPr>
              <w:t>外时</w:t>
            </w:r>
            <w:r>
              <w:rPr>
                <w:color w:val="000000"/>
                <w:sz w:val="24"/>
                <w:highlight w:val="none"/>
              </w:rPr>
              <w:t>不超过夜间55dB（A）的标准。</w:t>
            </w:r>
          </w:p>
          <w:p w14:paraId="4B41CC83">
            <w:pPr>
              <w:keepNext w:val="0"/>
              <w:keepLines w:val="0"/>
              <w:pageBreakBefore w:val="0"/>
              <w:widowControl w:val="0"/>
              <w:tabs>
                <w:tab w:val="left" w:pos="624"/>
              </w:tabs>
              <w:kinsoku/>
              <w:wordWrap/>
              <w:overflowPunct/>
              <w:topLinePunct w:val="0"/>
              <w:autoSpaceDE/>
              <w:autoSpaceDN/>
              <w:bidi w:val="0"/>
              <w:spacing w:line="360" w:lineRule="auto"/>
              <w:ind w:firstLine="480" w:firstLineChars="200"/>
              <w:jc w:val="both"/>
              <w:textAlignment w:val="auto"/>
              <w:rPr>
                <w:sz w:val="24"/>
                <w:szCs w:val="24"/>
                <w:highlight w:val="none"/>
              </w:rPr>
            </w:pPr>
            <w:r>
              <w:rPr>
                <w:color w:val="000000"/>
                <w:sz w:val="24"/>
                <w:highlight w:val="none"/>
              </w:rPr>
              <w:t>采</w:t>
            </w:r>
            <w:r>
              <w:rPr>
                <w:rFonts w:hint="default" w:ascii="Times New Roman" w:hAnsi="Times New Roman" w:eastAsia="宋体" w:cs="Times New Roman"/>
                <w:b w:val="0"/>
                <w:bCs w:val="0"/>
                <w:sz w:val="24"/>
                <w:highlight w:val="none"/>
              </w:rPr>
              <w:t>用低噪声机械设备、合理安排施工时间</w:t>
            </w:r>
            <w:r>
              <w:rPr>
                <w:color w:val="000000"/>
                <w:sz w:val="24"/>
                <w:highlight w:val="none"/>
              </w:rPr>
              <w:t>，</w:t>
            </w:r>
            <w:r>
              <w:rPr>
                <w:rFonts w:hint="eastAsia" w:ascii="宋体" w:hAnsi="宋体" w:eastAsia="宋体" w:cs="宋体"/>
                <w:color w:val="000000"/>
                <w:kern w:val="0"/>
                <w:sz w:val="24"/>
                <w:szCs w:val="24"/>
                <w:highlight w:val="none"/>
                <w:lang w:val="en-US" w:eastAsia="zh-CN" w:bidi="ar"/>
              </w:rPr>
              <w:t>施工一般在白天</w:t>
            </w:r>
            <w:r>
              <w:rPr>
                <w:rFonts w:hint="eastAsia" w:ascii="宋体" w:hAnsi="宋体" w:cs="宋体"/>
                <w:color w:val="000000"/>
                <w:kern w:val="0"/>
                <w:sz w:val="24"/>
                <w:szCs w:val="24"/>
                <w:highlight w:val="none"/>
                <w:lang w:val="en-US" w:eastAsia="zh-CN" w:bidi="ar"/>
              </w:rPr>
              <w:t>进行</w:t>
            </w:r>
            <w:r>
              <w:rPr>
                <w:rFonts w:hint="eastAsia" w:ascii="宋体" w:hAnsi="宋体" w:eastAsia="宋体" w:cs="宋体"/>
                <w:color w:val="000000"/>
                <w:kern w:val="0"/>
                <w:sz w:val="24"/>
                <w:szCs w:val="24"/>
                <w:highlight w:val="none"/>
                <w:lang w:val="en-US" w:eastAsia="zh-CN" w:bidi="ar"/>
              </w:rPr>
              <w:t>，</w:t>
            </w:r>
            <w:r>
              <w:rPr>
                <w:rFonts w:hint="eastAsia"/>
                <w:color w:val="000000"/>
                <w:sz w:val="24"/>
                <w:highlight w:val="none"/>
              </w:rPr>
              <w:t>禁止夜间施工，</w:t>
            </w:r>
            <w:r>
              <w:rPr>
                <w:rFonts w:hint="eastAsia"/>
                <w:color w:val="000000"/>
                <w:sz w:val="24"/>
                <w:highlight w:val="none"/>
                <w:lang w:val="en-US" w:eastAsia="zh-CN"/>
              </w:rPr>
              <w:t>项目周围200m范围内无声环境保护目标，施工噪声影响特点为短期性、暂时性，</w:t>
            </w:r>
            <w:r>
              <w:rPr>
                <w:rFonts w:hint="eastAsia" w:ascii="宋体" w:hAnsi="宋体" w:eastAsia="宋体" w:cs="宋体"/>
                <w:color w:val="000000"/>
                <w:kern w:val="0"/>
                <w:sz w:val="24"/>
                <w:szCs w:val="24"/>
                <w:highlight w:val="none"/>
                <w:lang w:val="en-US" w:eastAsia="zh-CN" w:bidi="ar"/>
              </w:rPr>
              <w:t>随着施工期的结束，影响也</w:t>
            </w:r>
            <w:r>
              <w:rPr>
                <w:rFonts w:hint="eastAsia" w:ascii="宋体" w:hAnsi="宋体" w:cs="宋体"/>
                <w:color w:val="000000"/>
                <w:kern w:val="0"/>
                <w:sz w:val="24"/>
                <w:szCs w:val="24"/>
                <w:highlight w:val="none"/>
                <w:lang w:val="en-US" w:eastAsia="zh-CN" w:bidi="ar"/>
              </w:rPr>
              <w:t>会</w:t>
            </w:r>
            <w:r>
              <w:rPr>
                <w:rFonts w:hint="eastAsia" w:ascii="宋体" w:hAnsi="宋体" w:eastAsia="宋体" w:cs="宋体"/>
                <w:color w:val="000000"/>
                <w:kern w:val="0"/>
                <w:sz w:val="24"/>
                <w:szCs w:val="24"/>
                <w:highlight w:val="none"/>
                <w:lang w:val="en-US" w:eastAsia="zh-CN" w:bidi="ar"/>
              </w:rPr>
              <w:t>随之结束。因此，施工</w:t>
            </w:r>
            <w:r>
              <w:rPr>
                <w:rFonts w:hint="eastAsia" w:ascii="宋体" w:hAnsi="宋体" w:cs="宋体"/>
                <w:color w:val="000000"/>
                <w:kern w:val="0"/>
                <w:sz w:val="24"/>
                <w:szCs w:val="24"/>
                <w:highlight w:val="none"/>
                <w:lang w:val="en-US" w:eastAsia="zh-CN" w:bidi="ar"/>
              </w:rPr>
              <w:t>期间的</w:t>
            </w:r>
            <w:r>
              <w:rPr>
                <w:rFonts w:hint="eastAsia" w:ascii="宋体" w:hAnsi="宋体" w:eastAsia="宋体" w:cs="宋体"/>
                <w:color w:val="000000"/>
                <w:kern w:val="0"/>
                <w:sz w:val="24"/>
                <w:szCs w:val="24"/>
                <w:highlight w:val="none"/>
                <w:lang w:val="en-US" w:eastAsia="zh-CN" w:bidi="ar"/>
              </w:rPr>
              <w:t>噪声影响可以接受。</w:t>
            </w:r>
          </w:p>
          <w:p w14:paraId="4876F41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eastAsia" w:ascii="Times New Roman" w:hAnsi="Times New Roman" w:eastAsia="宋体" w:cs="Times New Roman"/>
                <w:b w:val="0"/>
                <w:bCs w:val="0"/>
                <w:sz w:val="24"/>
                <w:highlight w:val="none"/>
                <w:lang w:val="en-US" w:eastAsia="zh-CN"/>
              </w:rPr>
              <w:t>五</w:t>
            </w:r>
            <w:r>
              <w:rPr>
                <w:rFonts w:hint="default" w:ascii="Times New Roman" w:hAnsi="Times New Roman" w:eastAsia="宋体" w:cs="Times New Roman"/>
                <w:b w:val="0"/>
                <w:bCs w:val="0"/>
                <w:sz w:val="24"/>
                <w:highlight w:val="none"/>
              </w:rPr>
              <w:t>、固体废物</w:t>
            </w:r>
          </w:p>
          <w:p w14:paraId="5363C738">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rPr>
              <w:t>施工期产</w:t>
            </w:r>
            <w:r>
              <w:rPr>
                <w:rFonts w:hint="eastAsia" w:cs="Times New Roman"/>
                <w:b w:val="0"/>
                <w:bCs w:val="0"/>
                <w:sz w:val="24"/>
                <w:highlight w:val="none"/>
                <w:lang w:eastAsia="zh-CN"/>
              </w:rPr>
              <w:t>生的</w:t>
            </w:r>
            <w:r>
              <w:rPr>
                <w:rFonts w:hint="default" w:ascii="Times New Roman" w:hAnsi="Times New Roman" w:eastAsia="宋体" w:cs="Times New Roman"/>
                <w:b w:val="0"/>
                <w:bCs w:val="0"/>
                <w:sz w:val="24"/>
                <w:highlight w:val="none"/>
              </w:rPr>
              <w:t>固体废物主要</w:t>
            </w:r>
            <w:r>
              <w:rPr>
                <w:rFonts w:hint="eastAsia" w:cs="Times New Roman"/>
                <w:b w:val="0"/>
                <w:bCs w:val="0"/>
                <w:sz w:val="24"/>
                <w:highlight w:val="none"/>
                <w:lang w:eastAsia="zh-CN"/>
              </w:rPr>
              <w:t>包括</w:t>
            </w:r>
            <w:r>
              <w:rPr>
                <w:rFonts w:hint="default" w:ascii="Times New Roman" w:hAnsi="Times New Roman" w:eastAsia="宋体" w:cs="Times New Roman"/>
                <w:b w:val="0"/>
                <w:bCs w:val="0"/>
                <w:sz w:val="24"/>
                <w:highlight w:val="none"/>
              </w:rPr>
              <w:t>工程施工过程中产生的施工人员生活垃圾</w:t>
            </w: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lang w:val="en-US" w:eastAsia="zh-CN"/>
              </w:rPr>
              <w:t>建筑垃圾和弃方。</w:t>
            </w:r>
          </w:p>
          <w:p w14:paraId="1DE38A6E">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eastAsia="zh-CN"/>
              </w:rPr>
            </w:pPr>
            <w:r>
              <w:rPr>
                <w:rFonts w:hint="eastAsia" w:ascii="Times New Roman" w:hAnsi="Times New Roman" w:eastAsia="宋体" w:cs="Times New Roman"/>
                <w:b w:val="0"/>
                <w:bCs w:val="0"/>
                <w:sz w:val="24"/>
                <w:highlight w:val="none"/>
                <w:lang w:eastAsia="zh-CN"/>
              </w:rPr>
              <w:t>（</w:t>
            </w:r>
            <w:r>
              <w:rPr>
                <w:rFonts w:hint="eastAsia" w:ascii="Times New Roman" w:hAnsi="Times New Roman" w:eastAsia="宋体" w:cs="Times New Roman"/>
                <w:b w:val="0"/>
                <w:bCs w:val="0"/>
                <w:sz w:val="24"/>
                <w:highlight w:val="none"/>
                <w:lang w:val="en-US" w:eastAsia="zh-CN"/>
              </w:rPr>
              <w:t>1</w:t>
            </w:r>
            <w:r>
              <w:rPr>
                <w:rFonts w:hint="eastAsia" w:ascii="Times New Roman" w:hAnsi="Times New Roman" w:eastAsia="宋体" w:cs="Times New Roman"/>
                <w:b w:val="0"/>
                <w:bCs w:val="0"/>
                <w:sz w:val="24"/>
                <w:highlight w:val="none"/>
                <w:lang w:eastAsia="zh-CN"/>
              </w:rPr>
              <w:t>）</w:t>
            </w:r>
            <w:r>
              <w:rPr>
                <w:rFonts w:hint="default" w:ascii="Times New Roman" w:hAnsi="Times New Roman" w:eastAsia="宋体" w:cs="Times New Roman"/>
                <w:b w:val="0"/>
                <w:bCs w:val="0"/>
                <w:sz w:val="24"/>
                <w:highlight w:val="none"/>
              </w:rPr>
              <w:t>施工人员产生的生活垃圾按0.5kg/人•d计算，</w:t>
            </w:r>
            <w:r>
              <w:rPr>
                <w:rFonts w:hint="default" w:ascii="Times New Roman" w:hAnsi="Times New Roman" w:eastAsia="宋体" w:cs="Times New Roman"/>
                <w:b w:val="0"/>
                <w:bCs w:val="0"/>
                <w:sz w:val="24"/>
                <w:highlight w:val="none"/>
                <w:lang w:val="en-US" w:eastAsia="zh-CN"/>
              </w:rPr>
              <w:t>施工人数最多时为</w:t>
            </w:r>
            <w:r>
              <w:rPr>
                <w:rFonts w:hint="eastAsia" w:ascii="Times New Roman" w:hAnsi="Times New Roman" w:eastAsia="宋体" w:cs="Times New Roman"/>
                <w:b w:val="0"/>
                <w:bCs w:val="0"/>
                <w:sz w:val="24"/>
                <w:highlight w:val="none"/>
                <w:lang w:val="en-US" w:eastAsia="zh-CN"/>
              </w:rPr>
              <w:t>3</w:t>
            </w:r>
            <w:r>
              <w:rPr>
                <w:rFonts w:hint="default" w:ascii="Times New Roman" w:hAnsi="Times New Roman" w:eastAsia="宋体" w:cs="Times New Roman"/>
                <w:b w:val="0"/>
                <w:bCs w:val="0"/>
                <w:sz w:val="24"/>
                <w:highlight w:val="none"/>
                <w:lang w:val="en-US" w:eastAsia="zh-CN"/>
              </w:rPr>
              <w:t>0人，</w:t>
            </w:r>
            <w:r>
              <w:rPr>
                <w:rFonts w:hint="default" w:ascii="Times New Roman" w:hAnsi="Times New Roman" w:eastAsia="宋体" w:cs="Times New Roman"/>
                <w:b w:val="0"/>
                <w:bCs w:val="0"/>
                <w:sz w:val="24"/>
                <w:highlight w:val="none"/>
              </w:rPr>
              <w:t>本工程施工期生活垃圾的产生量为</w:t>
            </w:r>
            <w:r>
              <w:rPr>
                <w:rFonts w:hint="default" w:ascii="Times New Roman" w:hAnsi="Times New Roman" w:eastAsia="宋体" w:cs="Times New Roman"/>
                <w:b w:val="0"/>
                <w:bCs w:val="0"/>
                <w:sz w:val="24"/>
                <w:highlight w:val="none"/>
                <w:lang w:val="en-US" w:eastAsia="zh-CN"/>
              </w:rPr>
              <w:t>1</w:t>
            </w:r>
            <w:r>
              <w:rPr>
                <w:rFonts w:hint="eastAsia" w:ascii="Times New Roman" w:hAnsi="Times New Roman" w:eastAsia="宋体" w:cs="Times New Roman"/>
                <w:b w:val="0"/>
                <w:bCs w:val="0"/>
                <w:sz w:val="24"/>
                <w:highlight w:val="none"/>
                <w:lang w:val="en-US" w:eastAsia="zh-CN"/>
              </w:rPr>
              <w:t>5</w:t>
            </w:r>
            <w:r>
              <w:rPr>
                <w:rFonts w:hint="default" w:ascii="Times New Roman" w:hAnsi="Times New Roman" w:eastAsia="宋体" w:cs="Times New Roman"/>
                <w:b w:val="0"/>
                <w:bCs w:val="0"/>
                <w:sz w:val="24"/>
                <w:highlight w:val="none"/>
              </w:rPr>
              <w:t>kg/d。</w:t>
            </w:r>
            <w:r>
              <w:rPr>
                <w:rFonts w:hint="default" w:ascii="Times New Roman" w:hAnsi="Times New Roman" w:eastAsia="宋体" w:cs="Times New Roman"/>
                <w:b w:val="0"/>
                <w:bCs w:val="0"/>
                <w:sz w:val="24"/>
                <w:highlight w:val="none"/>
                <w:lang w:val="en-US" w:eastAsia="zh-CN"/>
              </w:rPr>
              <w:t>施工人员</w:t>
            </w:r>
            <w:r>
              <w:rPr>
                <w:rFonts w:hint="eastAsia" w:cs="Times New Roman"/>
                <w:b w:val="0"/>
                <w:bCs w:val="0"/>
                <w:sz w:val="24"/>
                <w:highlight w:val="none"/>
                <w:lang w:val="en-US" w:eastAsia="zh-CN"/>
              </w:rPr>
              <w:t>的</w:t>
            </w:r>
            <w:r>
              <w:rPr>
                <w:rFonts w:hint="default" w:ascii="Times New Roman" w:hAnsi="Times New Roman" w:eastAsia="宋体" w:cs="Times New Roman"/>
                <w:b w:val="0"/>
                <w:bCs w:val="0"/>
                <w:sz w:val="24"/>
                <w:highlight w:val="none"/>
                <w:lang w:val="en-US" w:eastAsia="zh-CN"/>
              </w:rPr>
              <w:t>生活垃圾</w:t>
            </w:r>
            <w:r>
              <w:rPr>
                <w:rFonts w:hint="eastAsia" w:cs="Times New Roman"/>
                <w:b w:val="0"/>
                <w:bCs w:val="0"/>
                <w:sz w:val="24"/>
                <w:highlight w:val="none"/>
                <w:lang w:val="en-US" w:eastAsia="zh-CN"/>
              </w:rPr>
              <w:t>将被</w:t>
            </w:r>
            <w:r>
              <w:rPr>
                <w:rFonts w:hint="default" w:ascii="Times New Roman" w:hAnsi="Times New Roman" w:eastAsia="宋体" w:cs="Times New Roman"/>
                <w:b w:val="0"/>
                <w:bCs w:val="0"/>
                <w:sz w:val="24"/>
                <w:highlight w:val="none"/>
                <w:lang w:val="en-US" w:eastAsia="zh-CN"/>
              </w:rPr>
              <w:t>集中收集</w:t>
            </w:r>
            <w:r>
              <w:rPr>
                <w:rFonts w:hint="eastAsia" w:cs="Times New Roman"/>
                <w:b w:val="0"/>
                <w:bCs w:val="0"/>
                <w:sz w:val="24"/>
                <w:highlight w:val="none"/>
                <w:lang w:val="en-US" w:eastAsia="zh-CN"/>
              </w:rPr>
              <w:t>，然</w:t>
            </w:r>
            <w:r>
              <w:rPr>
                <w:rFonts w:hint="default" w:ascii="Times New Roman" w:hAnsi="Times New Roman" w:eastAsia="宋体" w:cs="Times New Roman"/>
                <w:b w:val="0"/>
                <w:bCs w:val="0"/>
                <w:sz w:val="24"/>
                <w:highlight w:val="none"/>
                <w:lang w:val="en-US" w:eastAsia="zh-CN"/>
              </w:rPr>
              <w:t>后交当地环卫部门</w:t>
            </w:r>
            <w:r>
              <w:rPr>
                <w:rFonts w:hint="eastAsia" w:cs="Times New Roman"/>
                <w:b w:val="0"/>
                <w:bCs w:val="0"/>
                <w:sz w:val="24"/>
                <w:highlight w:val="none"/>
                <w:lang w:val="en-US" w:eastAsia="zh-CN"/>
              </w:rPr>
              <w:t>进行</w:t>
            </w:r>
            <w:r>
              <w:rPr>
                <w:rFonts w:hint="default" w:ascii="Times New Roman" w:hAnsi="Times New Roman" w:eastAsia="宋体" w:cs="Times New Roman"/>
                <w:b w:val="0"/>
                <w:bCs w:val="0"/>
                <w:sz w:val="24"/>
                <w:highlight w:val="none"/>
                <w:lang w:val="en-US" w:eastAsia="zh-CN"/>
              </w:rPr>
              <w:t>处置</w:t>
            </w:r>
            <w:r>
              <w:rPr>
                <w:rFonts w:hint="default" w:ascii="Times New Roman" w:hAnsi="Times New Roman" w:eastAsia="宋体" w:cs="Times New Roman"/>
                <w:b w:val="0"/>
                <w:bCs w:val="0"/>
                <w:sz w:val="24"/>
                <w:szCs w:val="24"/>
                <w:highlight w:val="none"/>
                <w:lang w:eastAsia="zh-CN"/>
              </w:rPr>
              <w:t>。</w:t>
            </w:r>
          </w:p>
          <w:p w14:paraId="33E63C9F">
            <w:pPr>
              <w:adjustRightInd w:val="0"/>
              <w:snapToGrid w:val="0"/>
              <w:spacing w:line="360" w:lineRule="auto"/>
              <w:ind w:firstLine="420"/>
              <w:rPr>
                <w:rFonts w:hint="eastAsia" w:ascii="宋体" w:hAnsi="宋体" w:eastAsia="宋体" w:cs="宋体"/>
                <w:bCs/>
                <w:color w:val="auto"/>
                <w:sz w:val="24"/>
                <w:highlight w:val="none"/>
                <w:lang w:eastAsia="zh-CN"/>
              </w:rPr>
            </w:pPr>
            <w:r>
              <w:rPr>
                <w:rFonts w:hint="eastAsia" w:ascii="Times New Roman" w:hAnsi="Times New Roman" w:eastAsia="宋体" w:cs="Times New Roman"/>
                <w:b w:val="0"/>
                <w:bCs w:val="0"/>
                <w:sz w:val="24"/>
                <w:szCs w:val="24"/>
                <w:highlight w:val="none"/>
                <w:lang w:eastAsia="zh-CN"/>
              </w:rPr>
              <w:t>（</w:t>
            </w:r>
            <w:r>
              <w:rPr>
                <w:rFonts w:hint="eastAsia" w:ascii="Times New Roman" w:hAnsi="Times New Roman" w:eastAsia="宋体" w:cs="Times New Roman"/>
                <w:b w:val="0"/>
                <w:bCs w:val="0"/>
                <w:sz w:val="24"/>
                <w:szCs w:val="24"/>
                <w:highlight w:val="none"/>
                <w:lang w:val="en-US" w:eastAsia="zh-CN"/>
              </w:rPr>
              <w:t>2</w:t>
            </w:r>
            <w:r>
              <w:rPr>
                <w:rFonts w:hint="eastAsia" w:ascii="Times New Roman" w:hAnsi="Times New Roman" w:eastAsia="宋体" w:cs="Times New Roman"/>
                <w:b w:val="0"/>
                <w:bCs w:val="0"/>
                <w:sz w:val="24"/>
                <w:szCs w:val="24"/>
                <w:highlight w:val="none"/>
                <w:lang w:eastAsia="zh-CN"/>
              </w:rPr>
              <w:t>）</w:t>
            </w:r>
            <w:r>
              <w:rPr>
                <w:rFonts w:hint="eastAsia" w:ascii="宋体" w:hAnsi="宋体" w:cs="宋体"/>
                <w:bCs/>
                <w:color w:val="auto"/>
                <w:sz w:val="24"/>
                <w:highlight w:val="none"/>
              </w:rPr>
              <w:t>建筑垃圾与</w:t>
            </w:r>
            <w:r>
              <w:rPr>
                <w:rFonts w:hint="eastAsia" w:ascii="宋体" w:hAnsi="宋体" w:cs="宋体"/>
                <w:bCs/>
                <w:color w:val="auto"/>
                <w:sz w:val="24"/>
                <w:highlight w:val="none"/>
                <w:lang w:eastAsia="zh-CN"/>
              </w:rPr>
              <w:t>弃土</w:t>
            </w:r>
          </w:p>
          <w:p w14:paraId="4B71F9E6">
            <w:pPr>
              <w:adjustRightInd w:val="0"/>
              <w:snapToGrid w:val="0"/>
              <w:spacing w:line="360" w:lineRule="auto"/>
              <w:ind w:firstLine="420"/>
              <w:rPr>
                <w:color w:val="auto"/>
                <w:sz w:val="24"/>
                <w:highlight w:val="none"/>
              </w:rPr>
            </w:pPr>
            <w:r>
              <w:rPr>
                <w:rFonts w:hint="eastAsia" w:ascii="宋体" w:hAnsi="宋体" w:cs="宋体"/>
                <w:bCs/>
                <w:color w:val="auto"/>
                <w:sz w:val="24"/>
                <w:highlight w:val="none"/>
              </w:rPr>
              <w:t>施工期会</w:t>
            </w:r>
            <w:r>
              <w:rPr>
                <w:rFonts w:hint="eastAsia" w:ascii="宋体" w:hAnsi="宋体" w:cs="宋体"/>
                <w:bCs/>
                <w:color w:val="auto"/>
                <w:sz w:val="24"/>
                <w:highlight w:val="none"/>
                <w:lang w:eastAsia="zh-CN"/>
              </w:rPr>
              <w:t>产生少量废弃的碎砖、砼块等</w:t>
            </w:r>
            <w:r>
              <w:rPr>
                <w:rFonts w:hint="eastAsia" w:ascii="宋体" w:hAnsi="宋体" w:cs="宋体"/>
                <w:bCs/>
                <w:color w:val="auto"/>
                <w:sz w:val="24"/>
                <w:highlight w:val="none"/>
              </w:rPr>
              <w:t>建筑垃</w:t>
            </w:r>
            <w:r>
              <w:rPr>
                <w:rFonts w:hint="eastAsia"/>
                <w:color w:val="auto"/>
                <w:sz w:val="24"/>
                <w:highlight w:val="none"/>
              </w:rPr>
              <w:t>圾和开挖</w:t>
            </w:r>
            <w:r>
              <w:rPr>
                <w:rFonts w:hint="eastAsia"/>
                <w:color w:val="auto"/>
                <w:sz w:val="24"/>
                <w:highlight w:val="none"/>
                <w:lang w:eastAsia="zh-CN"/>
              </w:rPr>
              <w:t>的</w:t>
            </w:r>
            <w:r>
              <w:rPr>
                <w:rFonts w:hint="eastAsia"/>
                <w:color w:val="auto"/>
                <w:sz w:val="24"/>
                <w:highlight w:val="none"/>
              </w:rPr>
              <w:t>土石方，建筑垃圾及时清理并交由当地环卫部门处置。</w:t>
            </w:r>
            <w:r>
              <w:rPr>
                <w:rFonts w:hint="eastAsia"/>
                <w:color w:val="auto"/>
                <w:sz w:val="24"/>
                <w:highlight w:val="none"/>
                <w:lang w:eastAsia="zh-CN"/>
              </w:rPr>
              <w:t>输水管线工程挖方量63000.00m</w:t>
            </w:r>
            <w:r>
              <w:rPr>
                <w:rFonts w:hint="eastAsia"/>
                <w:color w:val="auto"/>
                <w:sz w:val="24"/>
                <w:highlight w:val="none"/>
                <w:vertAlign w:val="superscript"/>
                <w:lang w:eastAsia="zh-CN"/>
              </w:rPr>
              <w:t>3</w:t>
            </w:r>
            <w:r>
              <w:rPr>
                <w:rFonts w:hint="eastAsia"/>
                <w:color w:val="auto"/>
                <w:sz w:val="24"/>
                <w:highlight w:val="none"/>
                <w:lang w:eastAsia="zh-CN"/>
              </w:rPr>
              <w:t>，填方量63000.00m</w:t>
            </w:r>
            <w:r>
              <w:rPr>
                <w:rFonts w:hint="eastAsia"/>
                <w:color w:val="auto"/>
                <w:sz w:val="24"/>
                <w:highlight w:val="none"/>
                <w:vertAlign w:val="superscript"/>
                <w:lang w:eastAsia="zh-CN"/>
              </w:rPr>
              <w:t>3</w:t>
            </w:r>
            <w:r>
              <w:rPr>
                <w:rFonts w:hint="eastAsia"/>
                <w:color w:val="auto"/>
                <w:sz w:val="24"/>
                <w:highlight w:val="none"/>
                <w:lang w:eastAsia="zh-CN"/>
              </w:rPr>
              <w:t>，挖方用于管沟回填及平整场地，无弃方。蓄水池施工过程中会产生弃土，</w:t>
            </w:r>
            <w:r>
              <w:rPr>
                <w:rFonts w:hint="eastAsia"/>
                <w:color w:val="auto"/>
                <w:sz w:val="24"/>
                <w:highlight w:val="none"/>
              </w:rPr>
              <w:t>开挖土石方</w:t>
            </w:r>
            <w:r>
              <w:rPr>
                <w:rFonts w:hint="eastAsia"/>
                <w:color w:val="auto"/>
                <w:sz w:val="24"/>
                <w:highlight w:val="none"/>
                <w:lang w:eastAsia="zh-CN"/>
              </w:rPr>
              <w:t>产生的弃土总量约731687.72</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color w:val="auto"/>
                <w:sz w:val="24"/>
                <w:highlight w:val="none"/>
                <w:lang w:eastAsia="zh-CN"/>
              </w:rPr>
              <w:t>，送到朔方大基地用于场地平整</w:t>
            </w:r>
            <w:r>
              <w:rPr>
                <w:rFonts w:hint="eastAsia"/>
                <w:color w:val="auto"/>
                <w:sz w:val="24"/>
                <w:highlight w:val="none"/>
              </w:rPr>
              <w:t>。</w:t>
            </w:r>
            <w:r>
              <w:rPr>
                <w:rFonts w:hint="eastAsia" w:ascii="Times New Roman" w:hAnsi="Times New Roman" w:eastAsia="宋体" w:cs="Times New Roman"/>
                <w:b w:val="0"/>
                <w:color w:val="000000"/>
                <w:kern w:val="0"/>
                <w:sz w:val="24"/>
                <w:szCs w:val="24"/>
                <w:highlight w:val="none"/>
                <w:lang w:val="en-US" w:eastAsia="zh-CN" w:bidi="ar"/>
              </w:rPr>
              <w:t>蓄水池工程</w:t>
            </w:r>
            <w:r>
              <w:rPr>
                <w:rFonts w:hint="eastAsia" w:cs="Times New Roman"/>
                <w:b w:val="0"/>
                <w:color w:val="000000"/>
                <w:kern w:val="0"/>
                <w:sz w:val="24"/>
                <w:szCs w:val="24"/>
                <w:highlight w:val="none"/>
                <w:lang w:val="en-US" w:eastAsia="zh-CN" w:bidi="ar"/>
              </w:rPr>
              <w:t>占地类型为</w:t>
            </w:r>
            <w:r>
              <w:rPr>
                <w:rFonts w:hint="eastAsia"/>
                <w:sz w:val="24"/>
                <w:highlight w:val="none"/>
              </w:rPr>
              <w:t>沙地，无表土可剥离</w:t>
            </w:r>
            <w:r>
              <w:rPr>
                <w:rFonts w:hint="eastAsia"/>
                <w:sz w:val="24"/>
                <w:szCs w:val="24"/>
                <w:highlight w:val="none"/>
              </w:rPr>
              <w:t>。</w:t>
            </w:r>
            <w:r>
              <w:rPr>
                <w:rFonts w:hint="eastAsia" w:ascii="Times New Roman" w:hAnsi="Times New Roman" w:eastAsia="宋体" w:cs="Times New Roman"/>
                <w:b w:val="0"/>
                <w:color w:val="000000"/>
                <w:kern w:val="0"/>
                <w:sz w:val="24"/>
                <w:szCs w:val="24"/>
                <w:highlight w:val="none"/>
                <w:lang w:val="en-US" w:eastAsia="zh-CN" w:bidi="ar"/>
              </w:rPr>
              <w:t>管道</w:t>
            </w:r>
            <w:r>
              <w:rPr>
                <w:rFonts w:hint="eastAsia" w:cs="Times New Roman"/>
                <w:b w:val="0"/>
                <w:color w:val="000000"/>
                <w:kern w:val="0"/>
                <w:sz w:val="24"/>
                <w:szCs w:val="24"/>
                <w:highlight w:val="none"/>
                <w:lang w:val="en-US" w:eastAsia="zh-CN" w:bidi="ar"/>
              </w:rPr>
              <w:t>占地类型为沙地和其他草地，沙地</w:t>
            </w:r>
            <w:r>
              <w:rPr>
                <w:rFonts w:hint="eastAsia"/>
                <w:sz w:val="24"/>
                <w:highlight w:val="none"/>
              </w:rPr>
              <w:t>无表土可剥离</w:t>
            </w:r>
            <w:r>
              <w:rPr>
                <w:rFonts w:hint="eastAsia"/>
                <w:sz w:val="24"/>
                <w:szCs w:val="24"/>
                <w:highlight w:val="none"/>
                <w:lang w:eastAsia="zh-CN"/>
              </w:rPr>
              <w:t>，</w:t>
            </w:r>
            <w:r>
              <w:rPr>
                <w:rFonts w:hint="eastAsia" w:cs="Times New Roman"/>
                <w:b w:val="0"/>
                <w:color w:val="000000"/>
                <w:kern w:val="0"/>
                <w:sz w:val="24"/>
                <w:szCs w:val="24"/>
                <w:highlight w:val="none"/>
                <w:lang w:val="en-US" w:eastAsia="zh-CN" w:bidi="ar"/>
              </w:rPr>
              <w:t>其他草地</w:t>
            </w:r>
            <w:r>
              <w:rPr>
                <w:rFonts w:hint="eastAsia" w:ascii="Times New Roman" w:hAnsi="Times New Roman" w:eastAsia="宋体" w:cs="Times New Roman"/>
                <w:b w:val="0"/>
                <w:color w:val="000000"/>
                <w:kern w:val="0"/>
                <w:sz w:val="24"/>
                <w:szCs w:val="24"/>
                <w:highlight w:val="none"/>
                <w:lang w:val="en-US" w:eastAsia="zh-CN" w:bidi="ar"/>
              </w:rPr>
              <w:t>施工前进行表土剥离，根据现状</w:t>
            </w:r>
            <w:r>
              <w:rPr>
                <w:rFonts w:hint="eastAsia" w:cs="Times New Roman"/>
                <w:b w:val="0"/>
                <w:color w:val="000000"/>
                <w:kern w:val="0"/>
                <w:sz w:val="24"/>
                <w:szCs w:val="24"/>
                <w:highlight w:val="none"/>
                <w:lang w:val="en-US" w:eastAsia="zh-CN" w:bidi="ar"/>
              </w:rPr>
              <w:t>生态</w:t>
            </w:r>
            <w:r>
              <w:rPr>
                <w:rFonts w:hint="eastAsia" w:ascii="Times New Roman" w:hAnsi="Times New Roman" w:eastAsia="宋体" w:cs="Times New Roman"/>
                <w:b w:val="0"/>
                <w:color w:val="000000"/>
                <w:kern w:val="0"/>
                <w:sz w:val="24"/>
                <w:szCs w:val="24"/>
                <w:highlight w:val="none"/>
                <w:lang w:val="en-US" w:eastAsia="zh-CN" w:bidi="ar"/>
              </w:rPr>
              <w:t>解译结果其他草地3834.94</w:t>
            </w:r>
            <w:r>
              <w:rPr>
                <w:rFonts w:hint="eastAsia" w:cs="Times New Roman"/>
                <w:b w:val="0"/>
                <w:color w:val="000000"/>
                <w:kern w:val="0"/>
                <w:sz w:val="24"/>
                <w:szCs w:val="24"/>
                <w:highlight w:val="none"/>
                <w:lang w:val="en-US" w:eastAsia="zh-CN" w:bidi="ar"/>
              </w:rPr>
              <w:t>m</w:t>
            </w:r>
            <w:r>
              <w:rPr>
                <w:rFonts w:hint="eastAsia" w:cs="Times New Roman"/>
                <w:b w:val="0"/>
                <w:color w:val="000000"/>
                <w:kern w:val="0"/>
                <w:sz w:val="24"/>
                <w:szCs w:val="24"/>
                <w:highlight w:val="none"/>
                <w:vertAlign w:val="superscript"/>
                <w:lang w:val="en-US" w:eastAsia="zh-CN" w:bidi="ar"/>
              </w:rPr>
              <w:t>2</w:t>
            </w:r>
            <w:r>
              <w:rPr>
                <w:rFonts w:hint="eastAsia" w:ascii="宋体" w:hAnsi="宋体" w:eastAsia="宋体" w:cs="宋体"/>
                <w:b w:val="0"/>
                <w:color w:val="000000"/>
                <w:kern w:val="0"/>
                <w:sz w:val="24"/>
                <w:szCs w:val="24"/>
                <w:highlight w:val="none"/>
                <w:vertAlign w:val="baseline"/>
                <w:lang w:val="en-US" w:eastAsia="zh-CN" w:bidi="ar"/>
              </w:rPr>
              <w:t>，</w:t>
            </w:r>
            <w:r>
              <w:rPr>
                <w:rFonts w:hint="eastAsia" w:ascii="Times New Roman" w:hAnsi="Times New Roman" w:eastAsia="宋体" w:cs="Times New Roman"/>
                <w:b w:val="0"/>
                <w:color w:val="000000"/>
                <w:kern w:val="0"/>
                <w:sz w:val="24"/>
                <w:szCs w:val="24"/>
                <w:highlight w:val="none"/>
                <w:lang w:val="en-US" w:eastAsia="zh-CN" w:bidi="ar"/>
              </w:rPr>
              <w:t>表土剥离深度为0.3m，表土剥离量约</w:t>
            </w:r>
            <w:r>
              <w:rPr>
                <w:rFonts w:hint="eastAsia"/>
                <w:sz w:val="24"/>
                <w:szCs w:val="24"/>
                <w:highlight w:val="none"/>
                <w:lang w:val="en-US" w:eastAsia="zh-CN"/>
              </w:rPr>
              <w:t>1150.482</w:t>
            </w:r>
            <w:r>
              <w:rPr>
                <w:rFonts w:hint="eastAsia" w:ascii="Times New Roman" w:hAnsi="Times New Roman" w:eastAsia="宋体" w:cs="Times New Roman"/>
                <w:b w:val="0"/>
                <w:color w:val="000000"/>
                <w:kern w:val="0"/>
                <w:sz w:val="24"/>
                <w:szCs w:val="24"/>
                <w:highlight w:val="none"/>
                <w:lang w:val="en-US" w:eastAsia="zh-CN" w:bidi="ar"/>
              </w:rPr>
              <w:t>m</w:t>
            </w:r>
            <w:r>
              <w:rPr>
                <w:rFonts w:hint="eastAsia" w:ascii="Times New Roman" w:hAnsi="Times New Roman" w:eastAsia="宋体" w:cs="Times New Roman"/>
                <w:b w:val="0"/>
                <w:color w:val="000000"/>
                <w:kern w:val="0"/>
                <w:sz w:val="24"/>
                <w:szCs w:val="24"/>
                <w:highlight w:val="none"/>
                <w:vertAlign w:val="superscript"/>
                <w:lang w:val="en-US" w:eastAsia="zh-CN" w:bidi="ar"/>
              </w:rPr>
              <w:t>3</w:t>
            </w:r>
            <w:r>
              <w:rPr>
                <w:rFonts w:hint="eastAsia" w:ascii="Times New Roman" w:hAnsi="Times New Roman" w:eastAsia="宋体" w:cs="Times New Roman"/>
                <w:b w:val="0"/>
                <w:color w:val="000000"/>
                <w:kern w:val="0"/>
                <w:sz w:val="24"/>
                <w:szCs w:val="24"/>
                <w:highlight w:val="none"/>
                <w:lang w:val="en-US" w:eastAsia="zh-CN" w:bidi="ar"/>
              </w:rPr>
              <w:t>，剥离表土堆放于管道两侧施工区用于回填，表土堆存采取密目网苫盖防护，</w:t>
            </w:r>
            <w:r>
              <w:rPr>
                <w:rFonts w:hint="eastAsia" w:eastAsia="宋体" w:cs="Times New Roman"/>
                <w:b w:val="0"/>
                <w:color w:val="000000"/>
                <w:kern w:val="0"/>
                <w:sz w:val="24"/>
                <w:szCs w:val="24"/>
                <w:highlight w:val="none"/>
                <w:lang w:val="en-US" w:eastAsia="zh-CN" w:bidi="ar"/>
              </w:rPr>
              <w:t>施工完成后</w:t>
            </w:r>
            <w:r>
              <w:rPr>
                <w:rFonts w:hint="eastAsia" w:cs="Times New Roman"/>
                <w:b w:val="0"/>
                <w:color w:val="000000"/>
                <w:kern w:val="0"/>
                <w:sz w:val="24"/>
                <w:szCs w:val="24"/>
                <w:highlight w:val="none"/>
                <w:lang w:val="en-US" w:eastAsia="zh-CN" w:bidi="ar"/>
              </w:rPr>
              <w:t>进行</w:t>
            </w:r>
            <w:r>
              <w:rPr>
                <w:rFonts w:hint="eastAsia" w:eastAsia="宋体" w:cs="Times New Roman"/>
                <w:b w:val="0"/>
                <w:color w:val="000000"/>
                <w:kern w:val="0"/>
                <w:sz w:val="24"/>
                <w:szCs w:val="24"/>
                <w:highlight w:val="none"/>
                <w:lang w:val="en-US" w:eastAsia="zh-CN" w:bidi="ar"/>
              </w:rPr>
              <w:t>表土回覆</w:t>
            </w:r>
            <w:r>
              <w:rPr>
                <w:rFonts w:hint="default" w:ascii="Times New Roman" w:hAnsi="Times New Roman" w:eastAsia="宋体" w:cs="Times New Roman"/>
                <w:b w:val="0"/>
                <w:color w:val="000000"/>
                <w:kern w:val="0"/>
                <w:sz w:val="24"/>
                <w:szCs w:val="24"/>
                <w:highlight w:val="none"/>
                <w:lang w:val="en-US" w:eastAsia="zh-CN" w:bidi="ar"/>
              </w:rPr>
              <w:t>。</w:t>
            </w:r>
          </w:p>
          <w:p w14:paraId="3B28AE63">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eastAsia="zh-CN"/>
              </w:rPr>
            </w:pPr>
            <w:r>
              <w:rPr>
                <w:rFonts w:hint="eastAsia"/>
                <w:color w:val="auto"/>
                <w:sz w:val="24"/>
                <w:highlight w:val="none"/>
              </w:rPr>
              <w:t>综上所述，项目施工期固废均得到妥善处理，对周边环境</w:t>
            </w:r>
            <w:r>
              <w:rPr>
                <w:rFonts w:hint="eastAsia"/>
                <w:color w:val="auto"/>
                <w:sz w:val="24"/>
                <w:highlight w:val="none"/>
                <w:lang w:eastAsia="zh-CN"/>
              </w:rPr>
              <w:t>的</w:t>
            </w:r>
            <w:r>
              <w:rPr>
                <w:rFonts w:hint="eastAsia"/>
                <w:color w:val="auto"/>
                <w:sz w:val="24"/>
                <w:highlight w:val="none"/>
              </w:rPr>
              <w:t>影响</w:t>
            </w:r>
            <w:r>
              <w:rPr>
                <w:rFonts w:hint="eastAsia"/>
                <w:color w:val="auto"/>
                <w:sz w:val="24"/>
                <w:highlight w:val="none"/>
                <w:lang w:eastAsia="zh-CN"/>
              </w:rPr>
              <w:t>相对</w:t>
            </w:r>
            <w:r>
              <w:rPr>
                <w:rFonts w:hint="eastAsia"/>
                <w:color w:val="auto"/>
                <w:sz w:val="24"/>
                <w:highlight w:val="none"/>
              </w:rPr>
              <w:t>较小。</w:t>
            </w:r>
          </w:p>
          <w:p w14:paraId="05D558EE">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p>
        </w:tc>
      </w:tr>
      <w:tr w14:paraId="45531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9" w:type="dxa"/>
            <w:noWrap w:val="0"/>
            <w:tcMar>
              <w:left w:w="28" w:type="dxa"/>
              <w:right w:w="28" w:type="dxa"/>
            </w:tcMar>
            <w:vAlign w:val="center"/>
          </w:tcPr>
          <w:p w14:paraId="6CC6048C">
            <w:pPr>
              <w:pStyle w:val="17"/>
              <w:adjustRightInd w:val="0"/>
              <w:snapToGrid w:val="0"/>
              <w:spacing w:before="0" w:beforeAutospacing="0" w:after="0" w:afterAutospacing="0"/>
              <w:jc w:val="center"/>
              <w:rPr>
                <w:rFonts w:cs="宋体"/>
                <w:bCs/>
                <w:kern w:val="2"/>
                <w:sz w:val="21"/>
                <w:szCs w:val="21"/>
                <w:highlight w:val="none"/>
              </w:rPr>
            </w:pPr>
            <w:r>
              <w:rPr>
                <w:rFonts w:hint="eastAsia" w:cs="宋体"/>
                <w:bCs/>
                <w:spacing w:val="10"/>
                <w:kern w:val="2"/>
                <w:sz w:val="21"/>
                <w:szCs w:val="21"/>
                <w:highlight w:val="none"/>
              </w:rPr>
              <w:t>运营期生态环境影响分析</w:t>
            </w:r>
          </w:p>
        </w:tc>
        <w:tc>
          <w:tcPr>
            <w:tcW w:w="8363" w:type="dxa"/>
            <w:noWrap w:val="0"/>
            <w:vAlign w:val="top"/>
          </w:tcPr>
          <w:p w14:paraId="531117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sz w:val="24"/>
                <w:szCs w:val="24"/>
                <w:highlight w:val="none"/>
                <w:lang w:val="en-US" w:eastAsia="zh-CN"/>
              </w:rPr>
            </w:pPr>
            <w:r>
              <w:rPr>
                <w:rFonts w:hint="eastAsia" w:cs="Times New Roman"/>
                <w:bCs/>
                <w:sz w:val="24"/>
                <w:szCs w:val="24"/>
                <w:highlight w:val="none"/>
                <w:lang w:val="en-US" w:eastAsia="zh-CN"/>
              </w:rPr>
              <w:t>1.</w:t>
            </w:r>
            <w:r>
              <w:rPr>
                <w:rFonts w:hint="eastAsia" w:ascii="Times New Roman" w:hAnsi="Times New Roman" w:cs="Times New Roman"/>
                <w:bCs/>
                <w:sz w:val="24"/>
                <w:szCs w:val="24"/>
                <w:highlight w:val="none"/>
                <w:lang w:val="en-US" w:eastAsia="zh-CN"/>
              </w:rPr>
              <w:t>水环境影响分析</w:t>
            </w:r>
          </w:p>
          <w:p w14:paraId="637DCA6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sz w:val="24"/>
                <w:highlight w:val="none"/>
              </w:rPr>
            </w:pPr>
            <w:r>
              <w:rPr>
                <w:sz w:val="24"/>
                <w:highlight w:val="none"/>
              </w:rPr>
              <w:t>本项目</w:t>
            </w:r>
            <w:r>
              <w:rPr>
                <w:rFonts w:hint="eastAsia"/>
                <w:sz w:val="24"/>
                <w:highlight w:val="none"/>
                <w:lang w:eastAsia="zh-CN"/>
              </w:rPr>
              <w:t>在</w:t>
            </w:r>
            <w:r>
              <w:rPr>
                <w:rFonts w:hint="eastAsia"/>
                <w:sz w:val="24"/>
                <w:highlight w:val="none"/>
              </w:rPr>
              <w:t>运行期</w:t>
            </w:r>
            <w:r>
              <w:rPr>
                <w:rFonts w:hint="eastAsia"/>
                <w:sz w:val="24"/>
                <w:highlight w:val="none"/>
                <w:lang w:eastAsia="zh-CN"/>
              </w:rPr>
              <w:t>间不产生</w:t>
            </w:r>
            <w:r>
              <w:rPr>
                <w:rFonts w:hint="eastAsia"/>
                <w:sz w:val="24"/>
                <w:highlight w:val="none"/>
              </w:rPr>
              <w:t>生活污水。</w:t>
            </w:r>
          </w:p>
          <w:p w14:paraId="55AF45A8">
            <w:pPr>
              <w:pStyle w:val="4"/>
              <w:keepNext w:val="0"/>
              <w:keepLines w:val="0"/>
              <w:pageBreakBefore w:val="0"/>
              <w:widowControl w:val="0"/>
              <w:kinsoku/>
              <w:wordWrap/>
              <w:overflowPunct/>
              <w:topLinePunct w:val="0"/>
              <w:autoSpaceDE/>
              <w:autoSpaceDN/>
              <w:bidi w:val="0"/>
              <w:spacing w:after="0"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杭锦旗库布其沙漠现代农牧业1500万吨/a供水工程</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sz w:val="24"/>
                <w:highlight w:val="none"/>
                <w:lang w:val="en-US" w:eastAsia="zh-CN"/>
              </w:rPr>
              <w:t>水源在杭锦旗黄河南岸灌区总排干桩号</w:t>
            </w:r>
            <w:r>
              <w:rPr>
                <w:rFonts w:hint="eastAsia"/>
                <w:sz w:val="24"/>
                <w:highlight w:val="none"/>
                <w:lang w:val="en-US" w:eastAsia="zh-CN"/>
              </w:rPr>
              <w:t>148</w:t>
            </w:r>
            <w:r>
              <w:rPr>
                <w:rFonts w:hint="default"/>
                <w:sz w:val="24"/>
                <w:highlight w:val="none"/>
                <w:lang w:val="en-US" w:eastAsia="zh-CN"/>
              </w:rPr>
              <w:t>+900km处，</w:t>
            </w:r>
            <w:r>
              <w:rPr>
                <w:rFonts w:hint="default" w:ascii="Times New Roman" w:hAnsi="Times New Roman" w:eastAsia="宋体" w:cs="Times New Roman"/>
                <w:snapToGrid w:val="0"/>
                <w:color w:val="auto"/>
                <w:sz w:val="24"/>
                <w:szCs w:val="24"/>
                <w:highlight w:val="none"/>
                <w:lang w:val="en-US" w:eastAsia="zh-CN" w:bidi="ar-SA"/>
              </w:rPr>
              <w:t>本工程</w:t>
            </w:r>
            <w:r>
              <w:rPr>
                <w:rFonts w:hint="eastAsia" w:cs="Times New Roman"/>
                <w:snapToGrid w:val="0"/>
                <w:color w:val="auto"/>
                <w:sz w:val="24"/>
                <w:szCs w:val="24"/>
                <w:highlight w:val="none"/>
                <w:lang w:val="en-US" w:eastAsia="zh-CN" w:bidi="ar-SA"/>
              </w:rPr>
              <w:t>以</w:t>
            </w:r>
            <w:r>
              <w:rPr>
                <w:rFonts w:hint="default" w:ascii="Times New Roman" w:hAnsi="Times New Roman" w:eastAsia="宋体" w:cs="Times New Roman"/>
                <w:snapToGrid w:val="0"/>
                <w:color w:val="auto"/>
                <w:sz w:val="24"/>
                <w:szCs w:val="24"/>
                <w:highlight w:val="none"/>
                <w:lang w:val="en-US" w:eastAsia="zh-CN" w:bidi="ar-SA"/>
              </w:rPr>
              <w:t>《</w:t>
            </w:r>
            <w:r>
              <w:rPr>
                <w:rFonts w:hint="eastAsia" w:cs="Times New Roman"/>
                <w:snapToGrid w:val="0"/>
                <w:color w:val="auto"/>
                <w:sz w:val="24"/>
                <w:szCs w:val="24"/>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4"/>
                <w:szCs w:val="24"/>
                <w:highlight w:val="none"/>
                <w:lang w:val="en-US" w:eastAsia="zh-CN" w:bidi="ar-SA"/>
              </w:rPr>
              <w:t>》已建供水工程</w:t>
            </w:r>
            <w:r>
              <w:rPr>
                <w:rFonts w:hint="eastAsia" w:ascii="Times New Roman" w:hAnsi="Times New Roman" w:eastAsia="宋体" w:cs="Times New Roman"/>
                <w:snapToGrid w:val="0"/>
                <w:color w:val="auto"/>
                <w:sz w:val="24"/>
                <w:szCs w:val="24"/>
                <w:highlight w:val="none"/>
                <w:lang w:val="en-US" w:eastAsia="zh-CN" w:bidi="ar-SA"/>
              </w:rPr>
              <w:t>为基础</w:t>
            </w:r>
            <w:r>
              <w:rPr>
                <w:rFonts w:hint="default" w:ascii="Times New Roman" w:hAnsi="Times New Roman" w:eastAsia="宋体" w:cs="Times New Roman"/>
                <w:snapToGrid w:val="0"/>
                <w:color w:val="auto"/>
                <w:sz w:val="24"/>
                <w:szCs w:val="24"/>
                <w:highlight w:val="none"/>
                <w:lang w:val="en-US" w:eastAsia="zh-CN" w:bidi="ar-SA"/>
              </w:rPr>
              <w:t>，该</w:t>
            </w:r>
            <w:r>
              <w:rPr>
                <w:rFonts w:hint="default" w:ascii="Times New Roman" w:hAnsi="Times New Roman" w:eastAsia="宋体" w:cs="Times New Roman"/>
                <w:snapToGrid w:val="0"/>
                <w:color w:val="000000"/>
                <w:sz w:val="24"/>
                <w:szCs w:val="24"/>
                <w:highlight w:val="none"/>
                <w:lang w:val="en-US" w:eastAsia="zh-CN" w:bidi="ar-SA"/>
              </w:rPr>
              <w:t>工程设计取水量1500万m</w:t>
            </w:r>
            <w:r>
              <w:rPr>
                <w:rFonts w:hint="default" w:ascii="Times New Roman" w:hAnsi="Times New Roman" w:eastAsia="宋体" w:cs="Times New Roman"/>
                <w:snapToGrid w:val="0"/>
                <w:color w:val="000000"/>
                <w:sz w:val="24"/>
                <w:szCs w:val="24"/>
                <w:highlight w:val="none"/>
                <w:vertAlign w:val="superscript"/>
                <w:lang w:val="en-US" w:eastAsia="zh-CN" w:bidi="ar-SA"/>
              </w:rPr>
              <w:t>3</w:t>
            </w:r>
            <w:r>
              <w:rPr>
                <w:rFonts w:hint="default" w:ascii="Times New Roman" w:hAnsi="Times New Roman" w:eastAsia="宋体" w:cs="Times New Roman"/>
                <w:snapToGrid w:val="0"/>
                <w:color w:val="000000"/>
                <w:sz w:val="24"/>
                <w:szCs w:val="24"/>
                <w:highlight w:val="none"/>
                <w:lang w:val="en-US" w:eastAsia="zh-CN" w:bidi="ar-SA"/>
              </w:rPr>
              <w:t>/a，包括引蓄水工程、加压泵站工程、输水工程三部分。</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本项目水源引自《</w:t>
            </w:r>
            <w:r>
              <w:rPr>
                <w:rFonts w:hint="eastAsia" w:cs="Times New Roman"/>
                <w:color w:val="000000" w:themeColor="text1"/>
                <w:kern w:val="2"/>
                <w:sz w:val="24"/>
                <w:szCs w:val="24"/>
                <w:highlight w:val="none"/>
                <w:lang w:val="en-US" w:eastAsia="zh-CN" w:bidi="ar-SA"/>
                <w14:textFill>
                  <w14:solidFill>
                    <w14:schemeClr w14:val="tx1"/>
                  </w14:solidFill>
                </w14:textFill>
              </w:rPr>
              <w:t>杭锦旗库布其沙漠现代农牧业1500万吨/a供水工程</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snapToGrid w:val="0"/>
                <w:color w:val="auto"/>
                <w:sz w:val="24"/>
                <w:szCs w:val="24"/>
                <w:highlight w:val="none"/>
                <w:lang w:val="en-US" w:eastAsia="zh-CN" w:bidi="ar-SA"/>
              </w:rPr>
              <w:t>本工程新建输水管道直接与该供水工程的</w:t>
            </w:r>
            <w:r>
              <w:rPr>
                <w:rFonts w:hint="default" w:ascii="Times New Roman" w:hAnsi="Times New Roman" w:eastAsia="宋体" w:cs="Times New Roman"/>
                <w:snapToGrid w:val="0"/>
                <w:color w:val="000000"/>
                <w:sz w:val="24"/>
                <w:szCs w:val="24"/>
                <w:highlight w:val="none"/>
                <w:lang w:val="en-US" w:eastAsia="zh-CN" w:bidi="ar-SA"/>
              </w:rPr>
              <w:t>已建管道</w:t>
            </w:r>
            <w:r>
              <w:rPr>
                <w:rFonts w:hint="default" w:ascii="Times New Roman" w:hAnsi="Times New Roman" w:eastAsia="宋体" w:cs="Times New Roman"/>
                <w:snapToGrid w:val="0"/>
                <w:color w:val="auto"/>
                <w:sz w:val="24"/>
                <w:szCs w:val="24"/>
                <w:highlight w:val="none"/>
                <w:lang w:val="en-US" w:eastAsia="zh-CN" w:bidi="ar-SA"/>
              </w:rPr>
              <w:t>末端连接，</w:t>
            </w:r>
            <w:r>
              <w:rPr>
                <w:rFonts w:hint="default" w:ascii="Times New Roman" w:hAnsi="Times New Roman" w:eastAsia="宋体" w:cs="Times New Roman"/>
                <w:color w:val="auto"/>
                <w:sz w:val="24"/>
                <w:szCs w:val="24"/>
                <w:highlight w:val="none"/>
                <w:lang w:val="en-US" w:eastAsia="zh-CN"/>
              </w:rPr>
              <w:t>将排干水引入</w:t>
            </w:r>
            <w:r>
              <w:rPr>
                <w:rFonts w:hint="default" w:ascii="Times New Roman" w:hAnsi="Times New Roman" w:eastAsia="宋体" w:cs="Times New Roman"/>
                <w:snapToGrid w:val="0"/>
                <w:color w:val="auto"/>
                <w:sz w:val="24"/>
                <w:szCs w:val="24"/>
                <w:highlight w:val="none"/>
                <w:lang w:val="en-US" w:eastAsia="zh-CN" w:bidi="ar-SA"/>
              </w:rPr>
              <w:t>本工程</w:t>
            </w:r>
            <w:r>
              <w:rPr>
                <w:rFonts w:hint="default" w:ascii="Times New Roman" w:hAnsi="Times New Roman" w:eastAsia="宋体" w:cs="Times New Roman"/>
                <w:color w:val="auto"/>
                <w:sz w:val="24"/>
                <w:szCs w:val="24"/>
                <w:highlight w:val="none"/>
                <w:lang w:val="en-US" w:eastAsia="zh-CN"/>
              </w:rPr>
              <w:t>新建蓄水池</w:t>
            </w:r>
            <w:r>
              <w:rPr>
                <w:rFonts w:hint="default" w:ascii="Times New Roman" w:hAnsi="Times New Roman" w:eastAsia="宋体" w:cs="Times New Roman"/>
                <w:snapToGrid w:val="0"/>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rPr>
              <w:t>项目建成后</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可为朔方新能源大基地提供新能源太阳能板清洗用水及朔方新能源大基地</w:t>
            </w:r>
            <w:r>
              <w:rPr>
                <w:rFonts w:hint="eastAsia" w:cs="Times New Roman"/>
                <w:color w:val="auto"/>
                <w:sz w:val="24"/>
                <w:szCs w:val="24"/>
                <w:highlight w:val="none"/>
                <w:lang w:val="en-US" w:eastAsia="zh-CN"/>
              </w:rPr>
              <w:t>生态</w:t>
            </w:r>
            <w:r>
              <w:rPr>
                <w:rFonts w:hint="default" w:ascii="Times New Roman" w:hAnsi="Times New Roman" w:eastAsia="宋体" w:cs="Times New Roman"/>
                <w:color w:val="auto"/>
                <w:sz w:val="24"/>
                <w:szCs w:val="24"/>
                <w:highlight w:val="none"/>
                <w:lang w:val="en-US" w:eastAsia="zh-CN"/>
              </w:rPr>
              <w:t>用水。</w:t>
            </w:r>
          </w:p>
          <w:p w14:paraId="3445C5AB">
            <w:pPr>
              <w:pStyle w:val="4"/>
              <w:keepNext w:val="0"/>
              <w:keepLines w:val="0"/>
              <w:pageBreakBefore w:val="0"/>
              <w:widowControl w:val="0"/>
              <w:kinsoku/>
              <w:wordWrap/>
              <w:overflowPunct/>
              <w:topLinePunct w:val="0"/>
              <w:autoSpaceDE/>
              <w:autoSpaceDN/>
              <w:bidi w:val="0"/>
              <w:spacing w:after="0" w:line="360" w:lineRule="auto"/>
              <w:ind w:left="0" w:leftChars="0" w:firstLine="480" w:firstLineChars="200"/>
              <w:textAlignment w:val="auto"/>
              <w:rPr>
                <w:rFonts w:hint="eastAsia"/>
                <w:sz w:val="24"/>
                <w:szCs w:val="24"/>
                <w:highlight w:val="none"/>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w:t>
            </w:r>
            <w:r>
              <w:rPr>
                <w:rFonts w:hint="eastAsia" w:cs="Times New Roman"/>
                <w:color w:val="000000" w:themeColor="text1"/>
                <w:kern w:val="2"/>
                <w:sz w:val="24"/>
                <w:szCs w:val="24"/>
                <w:highlight w:val="none"/>
                <w:lang w:val="en-US" w:eastAsia="zh-CN" w:bidi="ar-SA"/>
                <w14:textFill>
                  <w14:solidFill>
                    <w14:schemeClr w14:val="tx1"/>
                  </w14:solidFill>
                </w14:textFill>
              </w:rPr>
              <w:t>次</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水源水质监测</w:t>
            </w:r>
            <w:r>
              <w:rPr>
                <w:rFonts w:hint="eastAsia" w:cs="Times New Roman"/>
                <w:color w:val="000000" w:themeColor="text1"/>
                <w:kern w:val="2"/>
                <w:sz w:val="24"/>
                <w:szCs w:val="24"/>
                <w:highlight w:val="none"/>
                <w:lang w:val="en-US" w:eastAsia="zh-CN" w:bidi="ar-SA"/>
                <w14:textFill>
                  <w14:solidFill>
                    <w14:schemeClr w14:val="tx1"/>
                  </w14:solidFill>
                </w14:textFill>
              </w:rPr>
              <w:t>采用了</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内蒙古八思巴环保科技有限责任公司对《</w:t>
            </w:r>
            <w:r>
              <w:rPr>
                <w:rFonts w:hint="eastAsia" w:cs="Times New Roman"/>
                <w:color w:val="000000" w:themeColor="text1"/>
                <w:kern w:val="2"/>
                <w:sz w:val="24"/>
                <w:szCs w:val="24"/>
                <w:highlight w:val="none"/>
                <w:lang w:val="en-US" w:eastAsia="zh-CN" w:bidi="ar-SA"/>
                <w14:textFill>
                  <w14:solidFill>
                    <w14:schemeClr w14:val="tx1"/>
                  </w14:solidFill>
                </w14:textFill>
              </w:rPr>
              <w:t>杭锦旗库布其沙漠现代农牧业1500万吨/a供水工程</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（地表水）》中的地表水现状监测数据，监测点位位于杭锦旗沿黄灌区总排干沟桩号148+900处</w:t>
            </w:r>
            <w:r>
              <w:rPr>
                <w:rFonts w:hint="eastAsia" w:cs="Times New Roman"/>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color w:val="auto"/>
                <w:sz w:val="24"/>
                <w:szCs w:val="24"/>
                <w:highlight w:val="none"/>
                <w:lang w:val="en-US" w:eastAsia="zh-CN"/>
              </w:rPr>
              <w:t>根据现状监测数据，检测项目</w:t>
            </w:r>
            <w:r>
              <w:rPr>
                <w:rFonts w:hint="default" w:ascii="Times New Roman" w:hAnsi="Times New Roman" w:eastAsia="宋体" w:cs="Times New Roman"/>
                <w:color w:val="auto"/>
                <w:sz w:val="24"/>
                <w:szCs w:val="24"/>
                <w:highlight w:val="none"/>
                <w:lang w:val="en-US" w:eastAsia="zh-CN"/>
              </w:rPr>
              <w:t>符合《地表水环境质量标准》GB3838-2002表Ⅲ类，可以满足朔方新能源大基地提供新能源太阳能板清洗用水及</w:t>
            </w:r>
            <w:r>
              <w:rPr>
                <w:rFonts w:hint="eastAsia" w:cs="Times New Roman"/>
                <w:color w:val="auto"/>
                <w:sz w:val="24"/>
                <w:szCs w:val="24"/>
                <w:highlight w:val="none"/>
                <w:lang w:val="en-US" w:eastAsia="zh-CN"/>
              </w:rPr>
              <w:t>生态</w:t>
            </w:r>
            <w:r>
              <w:rPr>
                <w:rFonts w:hint="default" w:ascii="Times New Roman" w:hAnsi="Times New Roman" w:eastAsia="宋体" w:cs="Times New Roman"/>
                <w:color w:val="auto"/>
                <w:sz w:val="24"/>
                <w:szCs w:val="24"/>
                <w:highlight w:val="none"/>
                <w:lang w:val="en-US" w:eastAsia="zh-CN"/>
              </w:rPr>
              <w:t>用水</w:t>
            </w:r>
            <w:r>
              <w:rPr>
                <w:rFonts w:hint="eastAsia" w:cs="Times New Roman"/>
                <w:color w:val="auto"/>
                <w:sz w:val="24"/>
                <w:szCs w:val="24"/>
                <w:highlight w:val="none"/>
                <w:lang w:val="en-US" w:eastAsia="zh-CN"/>
              </w:rPr>
              <w:t>的</w:t>
            </w:r>
            <w:r>
              <w:rPr>
                <w:rFonts w:hint="eastAsia" w:ascii="Times New Roman" w:hAnsi="Times New Roman" w:eastAsia="宋体" w:cs="Times New Roman"/>
                <w:color w:val="auto"/>
                <w:sz w:val="24"/>
                <w:szCs w:val="24"/>
                <w:highlight w:val="none"/>
                <w:lang w:val="en-US" w:eastAsia="zh-CN"/>
              </w:rPr>
              <w:t>水质需求。</w:t>
            </w:r>
            <w:r>
              <w:rPr>
                <w:rFonts w:hint="eastAsia"/>
                <w:sz w:val="24"/>
                <w:szCs w:val="24"/>
                <w:highlight w:val="none"/>
                <w:lang w:eastAsia="zh-CN"/>
              </w:rPr>
              <w:t>本项目为供水工程，不改变输送水体水质。</w:t>
            </w:r>
            <w:r>
              <w:rPr>
                <w:rFonts w:hint="eastAsia" w:ascii="Times New Roman" w:hAnsi="Times New Roman" w:eastAsia="宋体" w:cs="Times New Roman"/>
                <w:color w:val="auto"/>
                <w:sz w:val="24"/>
                <w:szCs w:val="24"/>
                <w:highlight w:val="none"/>
                <w:lang w:val="en-US" w:eastAsia="zh-CN"/>
              </w:rPr>
              <w:t>若用水用户对水质有要求的，</w:t>
            </w:r>
            <w:r>
              <w:rPr>
                <w:rFonts w:hint="default" w:ascii="Times New Roman" w:hAnsi="Times New Roman" w:eastAsia="宋体" w:cs="Times New Roman"/>
                <w:color w:val="auto"/>
                <w:sz w:val="24"/>
                <w:szCs w:val="24"/>
                <w:highlight w:val="none"/>
                <w:lang w:val="en-US" w:eastAsia="zh-CN"/>
              </w:rPr>
              <w:t>用水</w:t>
            </w:r>
            <w:r>
              <w:rPr>
                <w:rFonts w:hint="eastAsia" w:ascii="Times New Roman" w:hAnsi="Times New Roman" w:eastAsia="宋体" w:cs="Times New Roman"/>
                <w:color w:val="auto"/>
                <w:sz w:val="24"/>
                <w:szCs w:val="24"/>
                <w:highlight w:val="none"/>
                <w:lang w:val="en-US" w:eastAsia="zh-CN"/>
              </w:rPr>
              <w:t>用</w:t>
            </w:r>
            <w:r>
              <w:rPr>
                <w:rFonts w:hint="default" w:ascii="Times New Roman" w:hAnsi="Times New Roman" w:eastAsia="宋体" w:cs="Times New Roman"/>
                <w:color w:val="auto"/>
                <w:sz w:val="24"/>
                <w:szCs w:val="24"/>
                <w:highlight w:val="none"/>
                <w:lang w:val="en-US" w:eastAsia="zh-CN"/>
              </w:rPr>
              <w:t>户</w:t>
            </w:r>
            <w:r>
              <w:rPr>
                <w:rFonts w:hint="eastAsia" w:ascii="Times New Roman" w:hAnsi="Times New Roman" w:eastAsia="宋体" w:cs="Times New Roman"/>
                <w:color w:val="auto"/>
                <w:sz w:val="24"/>
                <w:szCs w:val="24"/>
                <w:highlight w:val="none"/>
                <w:lang w:val="en-US" w:eastAsia="zh-CN"/>
              </w:rPr>
              <w:t>可</w:t>
            </w:r>
            <w:r>
              <w:rPr>
                <w:rFonts w:hint="default" w:ascii="Times New Roman" w:hAnsi="Times New Roman" w:eastAsia="宋体" w:cs="Times New Roman"/>
                <w:color w:val="auto"/>
                <w:sz w:val="24"/>
                <w:szCs w:val="24"/>
                <w:highlight w:val="none"/>
                <w:lang w:val="en-US" w:eastAsia="zh-CN"/>
              </w:rPr>
              <w:t>根据自身生产工艺、用水装置或单元对水质</w:t>
            </w:r>
            <w:r>
              <w:rPr>
                <w:rFonts w:hint="eastAsia" w:ascii="Times New Roman" w:hAnsi="Times New Roman" w:eastAsia="宋体" w:cs="Times New Roman"/>
                <w:color w:val="auto"/>
                <w:sz w:val="24"/>
                <w:szCs w:val="24"/>
                <w:highlight w:val="none"/>
                <w:lang w:val="en-US" w:eastAsia="zh-CN"/>
              </w:rPr>
              <w:t>有</w:t>
            </w:r>
            <w:r>
              <w:rPr>
                <w:rFonts w:hint="default" w:ascii="Times New Roman" w:hAnsi="Times New Roman" w:eastAsia="宋体" w:cs="Times New Roman"/>
                <w:color w:val="auto"/>
                <w:sz w:val="24"/>
                <w:szCs w:val="24"/>
                <w:highlight w:val="none"/>
                <w:lang w:val="en-US" w:eastAsia="zh-CN"/>
              </w:rPr>
              <w:t>不同要求，自行建设</w:t>
            </w:r>
            <w:r>
              <w:rPr>
                <w:rFonts w:hint="eastAsia" w:ascii="Times New Roman" w:hAnsi="Times New Roman" w:eastAsia="宋体" w:cs="Times New Roman"/>
                <w:color w:val="auto"/>
                <w:sz w:val="24"/>
                <w:szCs w:val="24"/>
                <w:highlight w:val="none"/>
                <w:lang w:val="en-US" w:eastAsia="zh-CN"/>
              </w:rPr>
              <w:t>水质净化设施来满足用水要求</w:t>
            </w:r>
            <w:r>
              <w:rPr>
                <w:rFonts w:hint="default" w:ascii="Times New Roman" w:hAnsi="Times New Roman" w:eastAsia="宋体" w:cs="Times New Roman"/>
                <w:color w:val="auto"/>
                <w:sz w:val="24"/>
                <w:szCs w:val="24"/>
                <w:highlight w:val="none"/>
                <w:lang w:val="en-US" w:eastAsia="zh-CN"/>
              </w:rPr>
              <w:t>。</w:t>
            </w:r>
          </w:p>
          <w:p w14:paraId="4B9F92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bCs/>
                <w:sz w:val="24"/>
                <w:szCs w:val="24"/>
                <w:highlight w:val="none"/>
                <w:lang w:val="en-US" w:eastAsia="zh-CN"/>
              </w:rPr>
            </w:pPr>
            <w:r>
              <w:rPr>
                <w:rFonts w:hint="eastAsia" w:eastAsia="宋体" w:cs="Times New Roman"/>
                <w:bCs/>
                <w:sz w:val="24"/>
                <w:szCs w:val="24"/>
                <w:highlight w:val="none"/>
                <w:lang w:val="en-US" w:eastAsia="zh-CN"/>
              </w:rPr>
              <w:t>2.固废</w:t>
            </w:r>
            <w:r>
              <w:rPr>
                <w:rFonts w:hint="eastAsia" w:ascii="宋体" w:hAnsi="宋体" w:cs="宋体"/>
                <w:bCs/>
                <w:sz w:val="24"/>
                <w:szCs w:val="24"/>
                <w:highlight w:val="none"/>
                <w:lang w:val="en-US" w:eastAsia="zh-CN"/>
              </w:rPr>
              <w:t>环境影响分析</w:t>
            </w:r>
          </w:p>
          <w:p w14:paraId="3B28255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sz w:val="24"/>
                <w:szCs w:val="24"/>
                <w:highlight w:val="none"/>
                <w:lang w:val="en-US" w:eastAsia="zh-CN"/>
              </w:rPr>
            </w:pPr>
            <w:r>
              <w:rPr>
                <w:rFonts w:hint="eastAsia" w:cs="Times New Roman"/>
                <w:bCs/>
                <w:sz w:val="24"/>
                <w:szCs w:val="24"/>
                <w:highlight w:val="none"/>
                <w:lang w:val="en-US" w:eastAsia="zh-CN"/>
              </w:rPr>
              <w:t>本项目运营期不设置办公区和生活区，无生活垃圾产生。</w:t>
            </w:r>
          </w:p>
          <w:p w14:paraId="31D4A5D6">
            <w:pPr>
              <w:pStyle w:val="2"/>
              <w:rPr>
                <w:rFonts w:hint="eastAsia"/>
                <w:highlight w:val="none"/>
              </w:rPr>
            </w:pPr>
            <w:r>
              <w:rPr>
                <w:sz w:val="24"/>
                <w:szCs w:val="24"/>
                <w:highlight w:val="none"/>
              </w:rPr>
              <w:t>本项目</w:t>
            </w:r>
            <w:r>
              <w:rPr>
                <w:rFonts w:hint="eastAsia"/>
                <w:sz w:val="24"/>
                <w:szCs w:val="24"/>
                <w:highlight w:val="none"/>
              </w:rPr>
              <w:t>运营期产生的固体废物主要是</w:t>
            </w:r>
            <w:r>
              <w:rPr>
                <w:rFonts w:hint="eastAsia"/>
                <w:sz w:val="24"/>
                <w:szCs w:val="24"/>
                <w:highlight w:val="none"/>
                <w:lang w:eastAsia="zh-CN"/>
              </w:rPr>
              <w:t>蓄水池</w:t>
            </w:r>
            <w:r>
              <w:rPr>
                <w:rFonts w:hint="eastAsia"/>
                <w:sz w:val="24"/>
                <w:szCs w:val="24"/>
                <w:highlight w:val="none"/>
              </w:rPr>
              <w:t>产生</w:t>
            </w:r>
            <w:r>
              <w:rPr>
                <w:rFonts w:hint="eastAsia"/>
                <w:sz w:val="24"/>
                <w:szCs w:val="24"/>
                <w:highlight w:val="none"/>
                <w:lang w:eastAsia="zh-CN"/>
              </w:rPr>
              <w:t>的沉淀泥沙。由于</w:t>
            </w:r>
            <w:r>
              <w:rPr>
                <w:rFonts w:hint="eastAsia"/>
                <w:sz w:val="24"/>
                <w:szCs w:val="24"/>
                <w:highlight w:val="none"/>
              </w:rPr>
              <w:t>池底</w:t>
            </w:r>
            <w:r>
              <w:rPr>
                <w:rFonts w:hint="eastAsia"/>
                <w:sz w:val="24"/>
                <w:szCs w:val="24"/>
                <w:highlight w:val="none"/>
                <w:lang w:eastAsia="zh-CN"/>
              </w:rPr>
              <w:t>沉淀</w:t>
            </w:r>
            <w:r>
              <w:rPr>
                <w:rFonts w:hint="eastAsia"/>
                <w:sz w:val="24"/>
                <w:szCs w:val="24"/>
                <w:highlight w:val="none"/>
              </w:rPr>
              <w:t>多为</w:t>
            </w:r>
            <w:r>
              <w:rPr>
                <w:rFonts w:hint="eastAsia"/>
                <w:sz w:val="24"/>
                <w:szCs w:val="24"/>
                <w:highlight w:val="none"/>
                <w:lang w:eastAsia="zh-CN"/>
              </w:rPr>
              <w:t>水中泥沙</w:t>
            </w:r>
            <w:r>
              <w:rPr>
                <w:rFonts w:hint="eastAsia"/>
                <w:color w:val="000000"/>
                <w:sz w:val="24"/>
                <w:szCs w:val="24"/>
                <w:highlight w:val="none"/>
              </w:rPr>
              <w:t>，</w:t>
            </w:r>
            <w:r>
              <w:rPr>
                <w:rFonts w:hint="eastAsia"/>
                <w:color w:val="000000"/>
                <w:sz w:val="24"/>
                <w:szCs w:val="24"/>
                <w:highlight w:val="none"/>
                <w:lang w:eastAsia="zh-CN"/>
              </w:rPr>
              <w:t>清理时需要关闭进水口，</w:t>
            </w:r>
            <w:r>
              <w:rPr>
                <w:rFonts w:hint="eastAsia"/>
                <w:highlight w:val="none"/>
                <w:lang w:eastAsia="zh-CN"/>
              </w:rPr>
              <w:t>池内蓄水全部用于</w:t>
            </w:r>
            <w:r>
              <w:rPr>
                <w:rFonts w:hint="default" w:ascii="Times New Roman" w:hAnsi="Times New Roman" w:eastAsia="宋体" w:cs="Times New Roman"/>
                <w:color w:val="auto"/>
                <w:sz w:val="24"/>
                <w:szCs w:val="24"/>
                <w:highlight w:val="none"/>
                <w:lang w:val="en-US" w:eastAsia="zh-CN"/>
              </w:rPr>
              <w:t>朔方新能源大基地提供新能源太阳能板清洗用水及</w:t>
            </w:r>
            <w:r>
              <w:rPr>
                <w:rFonts w:hint="eastAsia" w:ascii="Times New Roman" w:cs="Times New Roman"/>
                <w:color w:val="auto"/>
                <w:sz w:val="24"/>
                <w:szCs w:val="24"/>
                <w:highlight w:val="none"/>
                <w:lang w:val="en-US" w:eastAsia="zh-CN"/>
              </w:rPr>
              <w:t>生态用水</w:t>
            </w:r>
            <w:r>
              <w:rPr>
                <w:rFonts w:hint="eastAsia" w:cs="Times New Roman"/>
                <w:color w:val="auto"/>
                <w:sz w:val="24"/>
                <w:szCs w:val="24"/>
                <w:highlight w:val="none"/>
                <w:lang w:val="en-US" w:eastAsia="zh-CN"/>
              </w:rPr>
              <w:t>。</w:t>
            </w:r>
            <w:r>
              <w:rPr>
                <w:rFonts w:hint="eastAsia"/>
                <w:sz w:val="24"/>
                <w:szCs w:val="24"/>
                <w:highlight w:val="none"/>
                <w:lang w:eastAsia="zh-CN"/>
              </w:rPr>
              <w:t>沉淀泥沙</w:t>
            </w:r>
            <w:r>
              <w:rPr>
                <w:rFonts w:hint="eastAsia"/>
                <w:sz w:val="24"/>
                <w:szCs w:val="24"/>
                <w:highlight w:val="none"/>
              </w:rPr>
              <w:t>在池内自然晾干后清掏，清理频次建议每年至少清理一次</w:t>
            </w:r>
            <w:r>
              <w:rPr>
                <w:rFonts w:hint="eastAsia"/>
                <w:sz w:val="24"/>
                <w:szCs w:val="24"/>
                <w:highlight w:val="none"/>
                <w:lang w:val="en-US" w:eastAsia="zh-CN"/>
              </w:rPr>
              <w:t>，</w:t>
            </w:r>
            <w:r>
              <w:rPr>
                <w:rFonts w:hint="eastAsia"/>
                <w:sz w:val="24"/>
                <w:szCs w:val="24"/>
                <w:highlight w:val="none"/>
                <w:lang w:eastAsia="zh-CN"/>
              </w:rPr>
              <w:t>清掏泥沙产生量约为</w:t>
            </w:r>
            <w:r>
              <w:rPr>
                <w:rFonts w:hint="eastAsia"/>
                <w:sz w:val="24"/>
                <w:szCs w:val="24"/>
                <w:highlight w:val="none"/>
                <w:lang w:val="en-US" w:eastAsia="zh-CN"/>
              </w:rPr>
              <w:t>19422m</w:t>
            </w:r>
            <w:r>
              <w:rPr>
                <w:rFonts w:hint="eastAsia"/>
                <w:sz w:val="24"/>
                <w:szCs w:val="24"/>
                <w:highlight w:val="none"/>
                <w:vertAlign w:val="superscript"/>
                <w:lang w:val="en-US" w:eastAsia="zh-CN"/>
              </w:rPr>
              <w:t>3</w:t>
            </w:r>
            <w:r>
              <w:rPr>
                <w:rFonts w:hint="eastAsia"/>
                <w:sz w:val="24"/>
                <w:szCs w:val="24"/>
                <w:highlight w:val="none"/>
              </w:rPr>
              <w:t>。采用人工清掏的</w:t>
            </w:r>
            <w:bookmarkStart w:id="11" w:name="_GoBack"/>
            <w:bookmarkEnd w:id="11"/>
            <w:r>
              <w:rPr>
                <w:rFonts w:hint="eastAsia"/>
                <w:sz w:val="24"/>
                <w:szCs w:val="24"/>
                <w:highlight w:val="none"/>
              </w:rPr>
              <w:t>方式将</w:t>
            </w:r>
            <w:r>
              <w:rPr>
                <w:rFonts w:hint="eastAsia"/>
                <w:sz w:val="24"/>
                <w:szCs w:val="24"/>
                <w:highlight w:val="none"/>
                <w:lang w:eastAsia="zh-CN"/>
              </w:rPr>
              <w:t>沉淀泥沙</w:t>
            </w:r>
            <w:r>
              <w:rPr>
                <w:rFonts w:hint="eastAsia"/>
                <w:sz w:val="24"/>
                <w:szCs w:val="24"/>
                <w:highlight w:val="none"/>
              </w:rPr>
              <w:t>收集至封闭的运输车内，送至</w:t>
            </w:r>
            <w:r>
              <w:rPr>
                <w:rFonts w:hint="eastAsia"/>
                <w:sz w:val="24"/>
                <w:szCs w:val="24"/>
                <w:highlight w:val="none"/>
                <w:lang w:eastAsia="zh-CN"/>
              </w:rPr>
              <w:t>当地</w:t>
            </w:r>
            <w:r>
              <w:rPr>
                <w:rFonts w:hint="eastAsia"/>
                <w:sz w:val="24"/>
                <w:szCs w:val="24"/>
                <w:highlight w:val="none"/>
              </w:rPr>
              <w:t>生活垃圾填埋场作为填埋覆土使用。</w:t>
            </w:r>
            <w:r>
              <w:rPr>
                <w:rFonts w:hint="eastAsia"/>
                <w:sz w:val="24"/>
                <w:highlight w:val="none"/>
                <w:lang w:eastAsia="zh-CN"/>
              </w:rPr>
              <w:t>清理蓄水池沉淀泥沙时池底土工膜上铺设有150mm厚砂砾石垫层，</w:t>
            </w:r>
            <w:r>
              <w:rPr>
                <w:rFonts w:hint="eastAsia"/>
                <w:sz w:val="24"/>
                <w:highlight w:val="none"/>
              </w:rPr>
              <w:t>用人工清掏的方式</w:t>
            </w:r>
            <w:r>
              <w:rPr>
                <w:rFonts w:hint="eastAsia"/>
                <w:sz w:val="24"/>
                <w:highlight w:val="none"/>
                <w:lang w:eastAsia="zh-CN"/>
              </w:rPr>
              <w:t>，</w:t>
            </w:r>
            <w:r>
              <w:rPr>
                <w:rFonts w:hint="eastAsia"/>
                <w:highlight w:val="none"/>
              </w:rPr>
              <w:t>不得使用机械挖掘</w:t>
            </w:r>
            <w:r>
              <w:rPr>
                <w:rFonts w:hint="eastAsia"/>
                <w:highlight w:val="none"/>
                <w:lang w:eastAsia="zh-CN"/>
              </w:rPr>
              <w:t>，以防破坏土工膜</w:t>
            </w:r>
            <w:r>
              <w:rPr>
                <w:rFonts w:hint="eastAsia"/>
                <w:highlight w:val="none"/>
              </w:rPr>
              <w:t>。</w:t>
            </w:r>
            <w:r>
              <w:rPr>
                <w:rFonts w:hint="eastAsia"/>
                <w:highlight w:val="none"/>
                <w:lang w:eastAsia="zh-CN"/>
              </w:rPr>
              <w:t>清理</w:t>
            </w:r>
            <w:r>
              <w:rPr>
                <w:rFonts w:hint="eastAsia"/>
                <w:highlight w:val="none"/>
              </w:rPr>
              <w:t>结束后，需要对蓄水池设施进行检查、清理和维修</w:t>
            </w:r>
            <w:r>
              <w:rPr>
                <w:rFonts w:hint="eastAsia"/>
                <w:highlight w:val="none"/>
                <w:lang w:eastAsia="zh-CN"/>
              </w:rPr>
              <w:t>，防止土工膜出现渗漏情况</w:t>
            </w:r>
            <w:r>
              <w:rPr>
                <w:rFonts w:hint="eastAsia"/>
                <w:highlight w:val="none"/>
              </w:rPr>
              <w:t>。</w:t>
            </w:r>
          </w:p>
          <w:p w14:paraId="2F279B25">
            <w:pPr>
              <w:pStyle w:val="12"/>
              <w:spacing w:before="0" w:after="0" w:line="360" w:lineRule="auto"/>
              <w:ind w:right="0" w:firstLine="480" w:firstLineChars="200"/>
              <w:rPr>
                <w:rFonts w:hint="eastAsia"/>
                <w:sz w:val="24"/>
                <w:szCs w:val="24"/>
                <w:highlight w:val="none"/>
              </w:rPr>
            </w:pPr>
          </w:p>
          <w:p w14:paraId="3D70D43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Cs/>
                <w:sz w:val="24"/>
                <w:szCs w:val="24"/>
                <w:highlight w:val="none"/>
                <w:lang w:val="en-US" w:eastAsia="zh-CN"/>
              </w:rPr>
            </w:pPr>
          </w:p>
        </w:tc>
      </w:tr>
      <w:tr w14:paraId="4FAC62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34" w:hRule="atLeast"/>
        </w:trPr>
        <w:tc>
          <w:tcPr>
            <w:tcW w:w="879" w:type="dxa"/>
            <w:noWrap w:val="0"/>
            <w:vAlign w:val="center"/>
          </w:tcPr>
          <w:p w14:paraId="40BF914E">
            <w:pPr>
              <w:pStyle w:val="17"/>
              <w:adjustRightInd w:val="0"/>
              <w:snapToGrid w:val="0"/>
              <w:spacing w:before="0" w:beforeAutospacing="0" w:after="0" w:afterAutospacing="0"/>
              <w:jc w:val="center"/>
              <w:rPr>
                <w:rFonts w:cs="宋体"/>
                <w:bCs/>
                <w:kern w:val="2"/>
                <w:sz w:val="21"/>
                <w:szCs w:val="21"/>
                <w:highlight w:val="none"/>
              </w:rPr>
            </w:pPr>
            <w:r>
              <w:rPr>
                <w:rFonts w:hint="eastAsia" w:cs="宋体"/>
                <w:bCs/>
                <w:kern w:val="2"/>
                <w:sz w:val="21"/>
                <w:szCs w:val="21"/>
                <w:highlight w:val="none"/>
              </w:rPr>
              <w:t>选址选线环境合理性分析</w:t>
            </w:r>
          </w:p>
        </w:tc>
        <w:tc>
          <w:tcPr>
            <w:tcW w:w="8363" w:type="dxa"/>
            <w:noWrap w:val="0"/>
            <w:vAlign w:val="top"/>
          </w:tcPr>
          <w:p w14:paraId="2383024C">
            <w:pPr>
              <w:adjustRightInd w:val="0"/>
              <w:snapToGrid w:val="0"/>
              <w:spacing w:line="360" w:lineRule="auto"/>
              <w:ind w:firstLine="480" w:firstLineChars="200"/>
              <w:rPr>
                <w:rFonts w:hint="eastAsia"/>
                <w:color w:val="000000"/>
                <w:sz w:val="24"/>
                <w:szCs w:val="24"/>
                <w:highlight w:val="none"/>
                <w:lang w:eastAsia="zh-CN"/>
              </w:rPr>
            </w:pPr>
            <w:r>
              <w:rPr>
                <w:rFonts w:hint="eastAsia" w:ascii="宋体" w:hAnsi="宋体" w:cs="宋体"/>
                <w:bCs/>
                <w:sz w:val="24"/>
                <w:highlight w:val="none"/>
              </w:rPr>
              <w:t>本项目位于鄂尔多斯市</w:t>
            </w:r>
            <w:r>
              <w:rPr>
                <w:rFonts w:hint="eastAsia" w:ascii="宋体" w:hAnsi="宋体" w:cs="宋体"/>
                <w:bCs/>
                <w:sz w:val="24"/>
                <w:highlight w:val="none"/>
                <w:lang w:eastAsia="zh-CN"/>
              </w:rPr>
              <w:t>杭锦旗吉日嘎朗图镇，</w:t>
            </w:r>
            <w:r>
              <w:rPr>
                <w:rFonts w:hint="eastAsia" w:ascii="宋体" w:hAnsi="宋体" w:cs="宋体"/>
                <w:bCs/>
                <w:sz w:val="24"/>
                <w:highlight w:val="none"/>
                <w:lang w:val="en-US" w:eastAsia="zh-CN"/>
              </w:rPr>
              <w:t>主要建设输水管线和蓄水池工程。</w:t>
            </w:r>
            <w:r>
              <w:rPr>
                <w:bCs/>
                <w:color w:val="000000"/>
                <w:sz w:val="24"/>
                <w:szCs w:val="24"/>
                <w:highlight w:val="none"/>
              </w:rPr>
              <w:t>本项目</w:t>
            </w:r>
            <w:r>
              <w:rPr>
                <w:rFonts w:hint="eastAsia"/>
                <w:bCs/>
                <w:color w:val="000000"/>
                <w:sz w:val="24"/>
                <w:szCs w:val="24"/>
                <w:highlight w:val="none"/>
                <w:lang w:val="en-US" w:eastAsia="zh-CN"/>
              </w:rPr>
              <w:t>用地</w:t>
            </w:r>
            <w:r>
              <w:rPr>
                <w:bCs/>
                <w:color w:val="000000"/>
                <w:sz w:val="24"/>
                <w:szCs w:val="24"/>
                <w:highlight w:val="none"/>
              </w:rPr>
              <w:t>不涉及风景名胜区、世界文化和自然遗产地、天然林等敏感区。</w:t>
            </w:r>
            <w:r>
              <w:rPr>
                <w:rFonts w:hint="eastAsia" w:ascii="宋体" w:hAnsi="宋体" w:eastAsia="宋体" w:cs="宋体"/>
                <w:color w:val="000000"/>
                <w:kern w:val="0"/>
                <w:sz w:val="24"/>
                <w:szCs w:val="24"/>
                <w:highlight w:val="none"/>
                <w:lang w:val="en-US" w:eastAsia="zh-CN" w:bidi="ar"/>
              </w:rPr>
              <w:t>选址选线不在饮用水源保护区范围内</w:t>
            </w:r>
            <w:r>
              <w:rPr>
                <w:rFonts w:hint="eastAsia" w:ascii="宋体" w:hAnsi="宋体" w:cs="宋体"/>
                <w:color w:val="000000"/>
                <w:kern w:val="0"/>
                <w:sz w:val="24"/>
                <w:szCs w:val="24"/>
                <w:highlight w:val="none"/>
                <w:lang w:val="en-US" w:eastAsia="zh-CN" w:bidi="ar"/>
              </w:rPr>
              <w:t>；</w:t>
            </w:r>
          </w:p>
          <w:p w14:paraId="7A6158AB">
            <w:pPr>
              <w:adjustRightInd w:val="0"/>
              <w:snapToGrid w:val="0"/>
              <w:spacing w:line="360" w:lineRule="auto"/>
              <w:ind w:firstLine="480" w:firstLineChars="200"/>
              <w:rPr>
                <w:rFonts w:hint="eastAsia" w:ascii="宋体" w:hAnsi="宋体" w:cs="宋体"/>
                <w:color w:val="000000"/>
                <w:kern w:val="0"/>
                <w:sz w:val="24"/>
                <w:szCs w:val="24"/>
                <w:highlight w:val="none"/>
                <w:lang w:val="en-US" w:eastAsia="zh-CN" w:bidi="ar"/>
              </w:rPr>
            </w:pPr>
            <w:r>
              <w:rPr>
                <w:rFonts w:hint="eastAsia" w:ascii="宋体" w:hAnsi="宋体" w:cs="宋体"/>
                <w:bCs/>
                <w:sz w:val="24"/>
                <w:highlight w:val="none"/>
                <w:lang w:eastAsia="zh-CN"/>
              </w:rPr>
              <w:t>根据</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关于查询杭锦旗库布齐1500万吨/a</w:t>
            </w:r>
            <w:r>
              <w:rPr>
                <w:rFonts w:hint="eastAsia" w:cs="Times New Roman"/>
                <w:sz w:val="24"/>
                <w:szCs w:val="24"/>
                <w:highlight w:val="none"/>
                <w:lang w:val="en-US" w:eastAsia="zh-CN"/>
              </w:rPr>
              <w:t>（朔方</w:t>
            </w:r>
            <w:r>
              <w:rPr>
                <w:rFonts w:hint="eastAsia" w:ascii="Times New Roman" w:hAnsi="Times New Roman" w:eastAsia="宋体" w:cs="Times New Roman"/>
                <w:sz w:val="24"/>
                <w:szCs w:val="24"/>
                <w:highlight w:val="none"/>
                <w:lang w:val="en-US" w:eastAsia="zh-CN"/>
              </w:rPr>
              <w:t>新能源大基地</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供水工程项目用地地类及压覆重要矿产资源及矿业权核实情况的说明</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附件</w:t>
            </w:r>
            <w:r>
              <w:rPr>
                <w:rFonts w:hint="eastAsia" w:cs="Times New Roman"/>
                <w:sz w:val="24"/>
                <w:szCs w:val="24"/>
                <w:highlight w:val="none"/>
                <w:lang w:val="en-US" w:eastAsia="zh-CN"/>
              </w:rPr>
              <w:t>3），</w:t>
            </w:r>
            <w:r>
              <w:rPr>
                <w:rFonts w:hint="eastAsia" w:ascii="宋体" w:hAnsi="宋体" w:cs="宋体"/>
                <w:bCs/>
                <w:sz w:val="24"/>
                <w:highlight w:val="none"/>
              </w:rPr>
              <w:t>本项目用地范围</w:t>
            </w:r>
            <w:r>
              <w:rPr>
                <w:rFonts w:hint="eastAsia" w:ascii="Times New Roman" w:hAnsi="Times New Roman" w:eastAsia="宋体" w:cs="Times New Roman"/>
                <w:sz w:val="24"/>
                <w:szCs w:val="24"/>
                <w:highlight w:val="none"/>
                <w:lang w:val="en-US" w:eastAsia="zh-CN"/>
              </w:rPr>
              <w:t>未占用永久基本农田</w:t>
            </w:r>
            <w:r>
              <w:rPr>
                <w:rFonts w:hint="eastAsia" w:ascii="宋体" w:hAnsi="宋体" w:cs="宋体"/>
                <w:bCs/>
                <w:sz w:val="24"/>
                <w:highlight w:val="none"/>
              </w:rPr>
              <w:t>，</w:t>
            </w:r>
            <w:r>
              <w:rPr>
                <w:rFonts w:hint="eastAsia" w:ascii="Times New Roman" w:hAnsi="Times New Roman" w:eastAsia="宋体" w:cs="Times New Roman"/>
                <w:sz w:val="24"/>
                <w:szCs w:val="24"/>
                <w:highlight w:val="none"/>
                <w:lang w:val="en-US" w:eastAsia="zh-CN"/>
              </w:rPr>
              <w:t>未占杭锦旗生态保护红线</w:t>
            </w:r>
            <w:r>
              <w:rPr>
                <w:rFonts w:hint="eastAsia" w:cs="Times New Roman"/>
                <w:sz w:val="24"/>
                <w:szCs w:val="24"/>
                <w:highlight w:val="none"/>
                <w:lang w:val="en-US" w:eastAsia="zh-CN"/>
              </w:rPr>
              <w:t>。</w:t>
            </w:r>
          </w:p>
          <w:p w14:paraId="06AD0FC2">
            <w:pPr>
              <w:adjustRightInd w:val="0"/>
              <w:snapToGrid w:val="0"/>
              <w:spacing w:line="360" w:lineRule="auto"/>
              <w:ind w:firstLine="480" w:firstLineChars="200"/>
              <w:rPr>
                <w:rFonts w:hint="eastAsia" w:ascii="宋体" w:hAnsi="宋体" w:cs="宋体"/>
                <w:bCs/>
                <w:sz w:val="24"/>
                <w:highlight w:val="none"/>
              </w:rPr>
            </w:pPr>
            <w:r>
              <w:rPr>
                <w:rFonts w:hint="eastAsia" w:ascii="宋体" w:hAnsi="宋体" w:cs="宋体"/>
                <w:color w:val="000000"/>
                <w:kern w:val="0"/>
                <w:sz w:val="24"/>
                <w:szCs w:val="24"/>
                <w:highlight w:val="none"/>
                <w:lang w:val="en-US" w:eastAsia="zh-CN" w:bidi="ar"/>
              </w:rPr>
              <w:t>根据《</w:t>
            </w:r>
            <w:r>
              <w:rPr>
                <w:rFonts w:hint="eastAsia" w:ascii="Times New Roman" w:hAnsi="Times New Roman" w:eastAsia="宋体" w:cs="Times New Roman"/>
                <w:sz w:val="24"/>
                <w:szCs w:val="24"/>
                <w:highlight w:val="none"/>
                <w:lang w:val="en-US" w:eastAsia="zh-CN"/>
              </w:rPr>
              <w:t>杭锦旗林业和草原局关于</w:t>
            </w:r>
            <w:r>
              <w:rPr>
                <w:rFonts w:hint="eastAsia" w:cs="Times New Roman"/>
                <w:sz w:val="24"/>
                <w:szCs w:val="24"/>
                <w:highlight w:val="none"/>
                <w:lang w:val="en-US" w:eastAsia="zh-CN"/>
              </w:rPr>
              <w:t>杭锦旗库布齐1500万吨/a（朔方新能源大基地）供水工程</w:t>
            </w:r>
            <w:r>
              <w:rPr>
                <w:rFonts w:hint="eastAsia" w:ascii="Times New Roman" w:hAnsi="Times New Roman" w:eastAsia="宋体" w:cs="Times New Roman"/>
                <w:sz w:val="24"/>
                <w:szCs w:val="24"/>
                <w:highlight w:val="none"/>
                <w:lang w:val="en-US" w:eastAsia="zh-CN"/>
              </w:rPr>
              <w:t>项目地类查询的说明</w:t>
            </w:r>
            <w:r>
              <w:rPr>
                <w:rFonts w:hint="eastAsia" w:ascii="宋体" w:hAnsi="宋体" w:cs="宋体"/>
                <w:color w:val="000000"/>
                <w:kern w:val="0"/>
                <w:sz w:val="24"/>
                <w:szCs w:val="24"/>
                <w:highlight w:val="none"/>
                <w:lang w:val="en-US" w:eastAsia="zh-CN" w:bidi="ar"/>
              </w:rPr>
              <w:t>》（</w:t>
            </w:r>
            <w:r>
              <w:rPr>
                <w:rFonts w:hint="default" w:ascii="Times New Roman" w:hAnsi="Times New Roman" w:eastAsia="宋体" w:cs="Times New Roman"/>
                <w:sz w:val="24"/>
                <w:szCs w:val="24"/>
                <w:highlight w:val="none"/>
                <w:lang w:val="en-US" w:eastAsia="zh-CN"/>
              </w:rPr>
              <w:t>附件</w:t>
            </w:r>
            <w:r>
              <w:rPr>
                <w:rFonts w:hint="eastAsia" w:cs="Times New Roman"/>
                <w:sz w:val="24"/>
                <w:szCs w:val="24"/>
                <w:highlight w:val="none"/>
                <w:lang w:val="en-US" w:eastAsia="zh-CN"/>
              </w:rPr>
              <w:t>4</w:t>
            </w:r>
            <w:r>
              <w:rPr>
                <w:rFonts w:hint="eastAsia" w:ascii="宋体" w:hAnsi="宋体" w:cs="宋体"/>
                <w:color w:val="000000"/>
                <w:kern w:val="0"/>
                <w:sz w:val="24"/>
                <w:szCs w:val="24"/>
                <w:highlight w:val="none"/>
                <w:lang w:val="en-US" w:eastAsia="zh-CN" w:bidi="ar"/>
              </w:rPr>
              <w:t>）</w:t>
            </w:r>
            <w:r>
              <w:rPr>
                <w:rFonts w:hint="eastAsia" w:cs="Times New Roman"/>
                <w:sz w:val="24"/>
                <w:szCs w:val="24"/>
                <w:highlight w:val="none"/>
                <w:lang w:val="en-US" w:eastAsia="zh-CN"/>
              </w:rPr>
              <w:t>，</w:t>
            </w:r>
            <w:r>
              <w:rPr>
                <w:rFonts w:hint="eastAsia" w:ascii="宋体" w:hAnsi="宋体" w:cs="宋体"/>
                <w:color w:val="000000"/>
                <w:kern w:val="0"/>
                <w:sz w:val="24"/>
                <w:szCs w:val="24"/>
                <w:highlight w:val="none"/>
                <w:lang w:val="en-US" w:eastAsia="zh-CN" w:bidi="ar"/>
              </w:rPr>
              <w:t>本项目不涉及</w:t>
            </w:r>
            <w:r>
              <w:rPr>
                <w:rFonts w:hint="eastAsia" w:ascii="Times New Roman" w:hAnsi="Times New Roman" w:eastAsia="宋体" w:cs="Times New Roman"/>
                <w:sz w:val="24"/>
                <w:szCs w:val="24"/>
                <w:highlight w:val="none"/>
                <w:lang w:val="en-US" w:eastAsia="zh-CN"/>
              </w:rPr>
              <w:t>基本草原、湿地保护、国家地质公园、沙漠公园、四合木分布区、不在自然保护区范围内</w:t>
            </w:r>
          </w:p>
          <w:p w14:paraId="05F53F4F">
            <w:pPr>
              <w:adjustRightInd w:val="0"/>
              <w:snapToGrid w:val="0"/>
              <w:spacing w:line="360" w:lineRule="auto"/>
              <w:ind w:firstLine="480" w:firstLineChars="200"/>
              <w:rPr>
                <w:rFonts w:hint="eastAsia" w:ascii="宋体" w:hAnsi="宋体" w:cs="宋体"/>
                <w:bCs/>
                <w:sz w:val="24"/>
                <w:highlight w:val="none"/>
              </w:rPr>
            </w:pPr>
            <w:r>
              <w:rPr>
                <w:rFonts w:hint="default" w:ascii="Times New Roman" w:hAnsi="Times New Roman" w:cs="Times New Roman"/>
                <w:color w:val="000000" w:themeColor="text1"/>
                <w:sz w:val="24"/>
                <w:szCs w:val="24"/>
                <w:highlight w:val="none"/>
                <w14:textFill>
                  <w14:solidFill>
                    <w14:schemeClr w14:val="tx1"/>
                  </w14:solidFill>
                </w14:textFill>
              </w:rPr>
              <w:t>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区</w:t>
            </w:r>
            <w:r>
              <w:rPr>
                <w:rFonts w:hint="default" w:ascii="Times New Roman" w:hAnsi="Times New Roman" w:cs="Times New Roman"/>
                <w:color w:val="000000" w:themeColor="text1"/>
                <w:sz w:val="24"/>
                <w:szCs w:val="24"/>
                <w:highlight w:val="none"/>
                <w14:textFill>
                  <w14:solidFill>
                    <w14:schemeClr w14:val="tx1"/>
                  </w14:solidFill>
                </w14:textFill>
              </w:rPr>
              <w:t>周边交通便利，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运距较短，便于施工所用原辅材料的运输；区域生态环境质量在施工结束后基本不变</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本项目施工期的</w:t>
            </w:r>
            <w:r>
              <w:rPr>
                <w:rFonts w:hint="eastAsia" w:cs="Times New Roman"/>
                <w:color w:val="000000" w:themeColor="text1"/>
                <w:sz w:val="24"/>
                <w:szCs w:val="24"/>
                <w:highlight w:val="none"/>
                <w:lang w:val="en-US" w:eastAsia="zh-CN"/>
                <w14:textFill>
                  <w14:solidFill>
                    <w14:schemeClr w14:val="tx1"/>
                  </w14:solidFill>
                </w14:textFill>
              </w:rPr>
              <w:t>废气、废水、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噪声</w:t>
            </w:r>
            <w:r>
              <w:rPr>
                <w:rFonts w:hint="eastAsia" w:cs="Times New Roman"/>
                <w:color w:val="000000" w:themeColor="text1"/>
                <w:sz w:val="24"/>
                <w:szCs w:val="24"/>
                <w:highlight w:val="none"/>
                <w:lang w:val="en-US" w:eastAsia="zh-CN"/>
                <w14:textFill>
                  <w14:solidFill>
                    <w14:schemeClr w14:val="tx1"/>
                  </w14:solidFill>
                </w14:textFill>
              </w:rPr>
              <w:t>和固体废弃物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，采取相应环保措施后，可实现达标排放</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项目运营期固废</w:t>
            </w:r>
            <w:r>
              <w:rPr>
                <w:rFonts w:hint="eastAsia" w:cs="Times New Roman"/>
                <w:color w:val="000000" w:themeColor="text1"/>
                <w:sz w:val="24"/>
                <w:szCs w:val="24"/>
                <w:highlight w:val="none"/>
                <w:lang w:val="en-US" w:eastAsia="zh-CN"/>
                <w14:textFill>
                  <w14:solidFill>
                    <w14:schemeClr w14:val="tx1"/>
                  </w14:solidFill>
                </w14:textFill>
              </w:rPr>
              <w:t>均</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妥善处置</w:t>
            </w:r>
            <w:r>
              <w:rPr>
                <w:rFonts w:hint="eastAsia"/>
                <w:color w:val="000000" w:themeColor="text1"/>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对周边环境影响较小。</w:t>
            </w:r>
            <w:r>
              <w:rPr>
                <w:rFonts w:hint="eastAsia" w:cs="Times New Roman"/>
                <w:color w:val="000000" w:themeColor="text1"/>
                <w:sz w:val="24"/>
                <w:szCs w:val="24"/>
                <w:highlight w:val="none"/>
                <w:lang w:val="en-US" w:eastAsia="zh-CN"/>
                <w14:textFill>
                  <w14:solidFill>
                    <w14:schemeClr w14:val="tx1"/>
                  </w14:solidFill>
                </w14:textFill>
              </w:rPr>
              <w:t>本项目对管线临时占地区域以及蓄水池边坡采取沙柳网格沙障，沙障</w:t>
            </w:r>
            <w:r>
              <w:rPr>
                <w:rFonts w:hint="eastAsia"/>
                <w:sz w:val="24"/>
                <w:highlight w:val="none"/>
              </w:rPr>
              <w:t>内撒播种草</w:t>
            </w:r>
            <w:r>
              <w:rPr>
                <w:rFonts w:hint="eastAsia"/>
                <w:sz w:val="24"/>
                <w:highlight w:val="none"/>
                <w:lang w:eastAsia="zh-CN"/>
              </w:rPr>
              <w:t>，</w:t>
            </w:r>
            <w:r>
              <w:rPr>
                <w:rFonts w:hint="eastAsia"/>
                <w:sz w:val="24"/>
                <w:highlight w:val="none"/>
                <w:lang w:val="en-US" w:eastAsia="zh-CN"/>
              </w:rPr>
              <w:t>坝顶道路一侧进行绿化</w:t>
            </w:r>
            <w:r>
              <w:rPr>
                <w:rFonts w:hint="eastAsia"/>
                <w:sz w:val="24"/>
                <w:highlight w:val="none"/>
                <w:lang w:eastAsia="zh-CN"/>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项目建成后可使该区域的沙地得到有效防治，提高该区域植被覆盖率，修复可治理的沙化土地，恢复林草植被，提高该地区的生态系统功能。</w:t>
            </w:r>
          </w:p>
          <w:p w14:paraId="5504C88F">
            <w:pPr>
              <w:adjustRightInd w:val="0"/>
              <w:snapToGrid w:val="0"/>
              <w:spacing w:line="360" w:lineRule="auto"/>
              <w:ind w:firstLine="480" w:firstLineChars="200"/>
              <w:rPr>
                <w:rFonts w:hint="eastAsia" w:ascii="宋体" w:hAnsi="宋体" w:cs="宋体"/>
                <w:bCs/>
                <w:sz w:val="24"/>
                <w:highlight w:val="none"/>
                <w:lang w:val="en-US" w:eastAsia="zh-CN"/>
              </w:rPr>
            </w:pPr>
            <w:r>
              <w:rPr>
                <w:rFonts w:hint="eastAsia" w:ascii="宋体" w:hAnsi="宋体" w:cs="宋体"/>
                <w:bCs/>
                <w:sz w:val="24"/>
                <w:highlight w:val="none"/>
              </w:rPr>
              <w:t>综上所述，</w:t>
            </w:r>
            <w:r>
              <w:rPr>
                <w:rFonts w:hint="eastAsia" w:ascii="宋体" w:hAnsi="宋体" w:cs="宋体"/>
                <w:bCs/>
                <w:sz w:val="24"/>
                <w:highlight w:val="none"/>
                <w:lang w:val="en-US" w:eastAsia="zh-CN"/>
              </w:rPr>
              <w:t>从环保角度分析，本项目选址选线合理。</w:t>
            </w:r>
          </w:p>
        </w:tc>
      </w:tr>
    </w:tbl>
    <w:p w14:paraId="59E92F0F">
      <w:pPr>
        <w:pStyle w:val="17"/>
        <w:jc w:val="center"/>
        <w:rPr>
          <w:rFonts w:ascii="黑体" w:hAnsi="黑体" w:eastAsia="黑体"/>
          <w:snapToGrid w:val="0"/>
          <w:sz w:val="36"/>
          <w:szCs w:val="36"/>
          <w:highlight w:val="none"/>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309B75EB">
      <w:pPr>
        <w:pStyle w:val="17"/>
        <w:adjustRightInd w:val="0"/>
        <w:snapToGrid w:val="0"/>
        <w:spacing w:before="0" w:beforeAutospacing="0" w:after="0" w:afterAutospacing="0" w:line="14" w:lineRule="auto"/>
        <w:jc w:val="center"/>
        <w:outlineLvl w:val="9"/>
        <w:rPr>
          <w:rFonts w:hint="eastAsia" w:ascii="黑体" w:hAnsi="黑体" w:eastAsia="黑体"/>
          <w:snapToGrid w:val="0"/>
          <w:sz w:val="30"/>
          <w:szCs w:val="30"/>
          <w:highlight w:val="none"/>
        </w:rPr>
      </w:pPr>
    </w:p>
    <w:p w14:paraId="15CA57A6">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五、主要生态环境保护措施</w:t>
      </w:r>
    </w:p>
    <w:tbl>
      <w:tblPr>
        <w:tblStyle w:val="19"/>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457"/>
      </w:tblGrid>
      <w:tr w14:paraId="23EB77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53" w:type="dxa"/>
            <w:noWrap w:val="0"/>
            <w:tcMar>
              <w:left w:w="28" w:type="dxa"/>
              <w:right w:w="28" w:type="dxa"/>
            </w:tcMar>
            <w:vAlign w:val="center"/>
          </w:tcPr>
          <w:p w14:paraId="1846DF51">
            <w:pPr>
              <w:adjustRightInd w:val="0"/>
              <w:snapToGrid w:val="0"/>
              <w:jc w:val="center"/>
              <w:rPr>
                <w:rFonts w:ascii="宋体" w:hAnsi="宋体"/>
                <w:bCs/>
                <w:szCs w:val="21"/>
                <w:highlight w:val="none"/>
              </w:rPr>
            </w:pPr>
            <w:r>
              <w:rPr>
                <w:rFonts w:hint="eastAsia" w:ascii="宋体" w:hAnsi="宋体" w:cs="宋体"/>
                <w:bCs/>
                <w:spacing w:val="10"/>
                <w:szCs w:val="21"/>
                <w:highlight w:val="none"/>
              </w:rPr>
              <w:t>施工期生态环境保护措施</w:t>
            </w:r>
          </w:p>
        </w:tc>
        <w:tc>
          <w:tcPr>
            <w:tcW w:w="8457" w:type="dxa"/>
            <w:noWrap w:val="0"/>
            <w:vAlign w:val="top"/>
          </w:tcPr>
          <w:p w14:paraId="0F5E6C3C">
            <w:pPr>
              <w:keepNext w:val="0"/>
              <w:keepLines w:val="0"/>
              <w:pageBreakBefore w:val="0"/>
              <w:widowControl/>
              <w:suppressLineNumbers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color w:val="000000"/>
                <w:kern w:val="0"/>
                <w:sz w:val="24"/>
                <w:szCs w:val="24"/>
                <w:highlight w:val="none"/>
                <w:lang w:val="en-US" w:eastAsia="zh-CN" w:bidi="ar"/>
              </w:rPr>
              <w:t>一、生态环境保护措施</w:t>
            </w:r>
          </w:p>
          <w:p w14:paraId="144E4B3F">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1</w:t>
            </w:r>
            <w:r>
              <w:rPr>
                <w:rFonts w:hint="eastAsia" w:cs="Times New Roman"/>
                <w:b w:val="0"/>
                <w:bCs w:val="0"/>
                <w:sz w:val="24"/>
                <w:szCs w:val="24"/>
                <w:highlight w:val="none"/>
                <w:lang w:val="en-US" w:eastAsia="zh-CN"/>
              </w:rPr>
              <w:t>.</w:t>
            </w:r>
            <w:r>
              <w:rPr>
                <w:rFonts w:hint="default" w:ascii="Times New Roman" w:hAnsi="Times New Roman" w:eastAsia="宋体" w:cs="Times New Roman"/>
                <w:b w:val="0"/>
                <w:bCs w:val="0"/>
                <w:sz w:val="24"/>
                <w:szCs w:val="24"/>
                <w:highlight w:val="none"/>
                <w:lang w:val="en-US" w:eastAsia="zh-CN"/>
              </w:rPr>
              <w:t>陆生生态保护措施</w:t>
            </w:r>
          </w:p>
          <w:p w14:paraId="607C93D5">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b w:val="0"/>
                <w:bCs w:val="0"/>
                <w:kern w:val="2"/>
                <w:sz w:val="24"/>
                <w:szCs w:val="24"/>
                <w:highlight w:val="none"/>
                <w:lang w:val="en-US" w:eastAsia="zh-CN" w:bidi="ar-SA"/>
              </w:rPr>
              <w:t>（1）植被保护措施</w:t>
            </w:r>
          </w:p>
          <w:p w14:paraId="51405E7F">
            <w:pPr>
              <w:pStyle w:val="28"/>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ascii="Times New Roman" w:hAnsi="Times New Roman" w:eastAsia="宋体" w:cs="Times New Roman"/>
                <w:b w:val="0"/>
                <w:bCs w:val="0"/>
                <w:kern w:val="2"/>
                <w:sz w:val="24"/>
                <w:szCs w:val="24"/>
                <w:highlight w:val="none"/>
                <w:lang w:val="en-US" w:eastAsia="zh-CN" w:bidi="ar-SA"/>
              </w:rPr>
              <w:t>①</w:t>
            </w:r>
            <w:r>
              <w:rPr>
                <w:rFonts w:hint="default" w:ascii="Times New Roman" w:hAnsi="Times New Roman" w:eastAsia="宋体" w:cs="Times New Roman"/>
                <w:b w:val="0"/>
                <w:bCs w:val="0"/>
                <w:kern w:val="2"/>
                <w:sz w:val="24"/>
                <w:szCs w:val="24"/>
                <w:highlight w:val="none"/>
                <w:lang w:val="en-US" w:eastAsia="zh-CN" w:bidi="ar-SA"/>
              </w:rPr>
              <w:t>加强生态环境保护宣传教育。</w:t>
            </w:r>
            <w:r>
              <w:rPr>
                <w:rFonts w:hint="eastAsia" w:cs="Times New Roman"/>
                <w:b w:val="0"/>
                <w:bCs w:val="0"/>
                <w:kern w:val="2"/>
                <w:sz w:val="24"/>
                <w:szCs w:val="24"/>
                <w:highlight w:val="none"/>
                <w:lang w:val="en-US" w:eastAsia="zh-CN" w:bidi="ar-SA"/>
              </w:rPr>
              <w:t>在</w:t>
            </w:r>
            <w:r>
              <w:rPr>
                <w:rFonts w:hint="default" w:ascii="Times New Roman" w:hAnsi="Times New Roman" w:eastAsia="宋体" w:cs="Times New Roman"/>
                <w:b w:val="0"/>
                <w:bCs w:val="0"/>
                <w:kern w:val="2"/>
                <w:sz w:val="24"/>
                <w:szCs w:val="24"/>
                <w:highlight w:val="none"/>
                <w:lang w:val="en-US" w:eastAsia="zh-CN" w:bidi="ar-SA"/>
              </w:rPr>
              <w:t>施工</w:t>
            </w:r>
            <w:r>
              <w:rPr>
                <w:rFonts w:hint="eastAsia" w:cs="Times New Roman"/>
                <w:b w:val="0"/>
                <w:bCs w:val="0"/>
                <w:kern w:val="2"/>
                <w:sz w:val="24"/>
                <w:szCs w:val="24"/>
                <w:highlight w:val="none"/>
                <w:lang w:val="en-US" w:eastAsia="zh-CN" w:bidi="ar-SA"/>
              </w:rPr>
              <w:t>期间</w:t>
            </w:r>
            <w:r>
              <w:rPr>
                <w:rFonts w:hint="default" w:ascii="Times New Roman" w:hAnsi="Times New Roman" w:eastAsia="宋体" w:cs="Times New Roman"/>
                <w:b w:val="0"/>
                <w:bCs w:val="0"/>
                <w:kern w:val="2"/>
                <w:sz w:val="24"/>
                <w:szCs w:val="24"/>
                <w:highlight w:val="none"/>
                <w:lang w:val="en-US" w:eastAsia="zh-CN" w:bidi="ar-SA"/>
              </w:rPr>
              <w:t>，大量施工人员进驻施工场地</w:t>
            </w:r>
            <w:r>
              <w:rPr>
                <w:rFonts w:hint="eastAsia" w:cs="Times New Roman"/>
                <w:b w:val="0"/>
                <w:bCs w:val="0"/>
                <w:kern w:val="2"/>
                <w:sz w:val="24"/>
                <w:szCs w:val="24"/>
                <w:highlight w:val="none"/>
                <w:lang w:val="en-US" w:eastAsia="zh-CN" w:bidi="ar-SA"/>
              </w:rPr>
              <w:t>。在</w:t>
            </w:r>
            <w:r>
              <w:rPr>
                <w:rFonts w:hint="default" w:ascii="Times New Roman" w:hAnsi="Times New Roman" w:eastAsia="宋体" w:cs="Times New Roman"/>
                <w:b w:val="0"/>
                <w:bCs w:val="0"/>
                <w:kern w:val="2"/>
                <w:sz w:val="24"/>
                <w:szCs w:val="24"/>
                <w:highlight w:val="none"/>
                <w:lang w:val="en-US" w:eastAsia="zh-CN" w:bidi="ar-SA"/>
              </w:rPr>
              <w:t>施工前</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对施工</w:t>
            </w:r>
            <w:r>
              <w:rPr>
                <w:rFonts w:hint="default" w:ascii="Times New Roman" w:hAnsi="Times New Roman" w:eastAsia="宋体" w:cs="Times New Roman"/>
                <w:b w:val="0"/>
                <w:bCs w:val="0"/>
                <w:sz w:val="24"/>
                <w:szCs w:val="24"/>
                <w:highlight w:val="none"/>
              </w:rPr>
              <w:t>人员进行环境保护教育培训，让施工人员认识到在施工过程中保护好环境的重要性。主要内容包括在施工过程中不乱丢工程材料、废弃物、弃方等，要注意严格保护好施工用地范围以外的林木植被，禁止乱砍滥伐、肆意践踏</w:t>
            </w:r>
            <w:r>
              <w:rPr>
                <w:rFonts w:hint="default" w:ascii="Times New Roman" w:hAnsi="Times New Roman" w:eastAsia="宋体" w:cs="Times New Roman"/>
                <w:b w:val="0"/>
                <w:bCs w:val="0"/>
                <w:sz w:val="24"/>
                <w:szCs w:val="24"/>
                <w:highlight w:val="none"/>
                <w:lang w:eastAsia="zh-CN"/>
              </w:rPr>
              <w:t>植被</w:t>
            </w:r>
            <w:r>
              <w:rPr>
                <w:rFonts w:hint="default" w:ascii="Times New Roman" w:hAnsi="Times New Roman" w:eastAsia="宋体" w:cs="Times New Roman"/>
                <w:b w:val="0"/>
                <w:bCs w:val="0"/>
                <w:sz w:val="24"/>
                <w:szCs w:val="24"/>
                <w:highlight w:val="none"/>
              </w:rPr>
              <w:t>。</w:t>
            </w:r>
            <w:r>
              <w:rPr>
                <w:rFonts w:hint="default" w:ascii="Times New Roman" w:hAnsi="Times New Roman" w:eastAsia="宋体" w:cs="Times New Roman"/>
                <w:b w:val="0"/>
                <w:bCs w:val="0"/>
                <w:sz w:val="24"/>
                <w:szCs w:val="24"/>
                <w:highlight w:val="none"/>
                <w:lang w:val="en-US" w:eastAsia="zh-CN"/>
              </w:rPr>
              <w:t>施工过程中</w:t>
            </w:r>
            <w:r>
              <w:rPr>
                <w:rFonts w:hint="eastAsia" w:cs="Times New Roman"/>
                <w:b w:val="0"/>
                <w:bCs w:val="0"/>
                <w:sz w:val="24"/>
                <w:szCs w:val="24"/>
                <w:highlight w:val="none"/>
                <w:lang w:val="en-US" w:eastAsia="zh-CN"/>
              </w:rPr>
              <w:t>，必须</w:t>
            </w:r>
            <w:r>
              <w:rPr>
                <w:rFonts w:hint="default" w:ascii="Times New Roman" w:hAnsi="Times New Roman" w:eastAsia="宋体" w:cs="Times New Roman"/>
                <w:b w:val="0"/>
                <w:bCs w:val="0"/>
                <w:sz w:val="24"/>
                <w:szCs w:val="24"/>
                <w:highlight w:val="none"/>
                <w:lang w:val="en-US" w:eastAsia="zh-CN"/>
              </w:rPr>
              <w:t>严格</w:t>
            </w:r>
            <w:r>
              <w:rPr>
                <w:rFonts w:hint="eastAsia" w:cs="Times New Roman"/>
                <w:b w:val="0"/>
                <w:bCs w:val="0"/>
                <w:sz w:val="24"/>
                <w:szCs w:val="24"/>
                <w:highlight w:val="none"/>
                <w:lang w:val="en-US" w:eastAsia="zh-CN"/>
              </w:rPr>
              <w:t>控制</w:t>
            </w:r>
            <w:r>
              <w:rPr>
                <w:rFonts w:hint="default" w:ascii="Times New Roman" w:hAnsi="Times New Roman" w:eastAsia="宋体" w:cs="Times New Roman"/>
                <w:b w:val="0"/>
                <w:bCs w:val="0"/>
                <w:sz w:val="24"/>
                <w:szCs w:val="24"/>
                <w:highlight w:val="none"/>
                <w:lang w:val="en-US" w:eastAsia="zh-CN"/>
              </w:rPr>
              <w:t>各类工作人员的活动范围，使</w:t>
            </w:r>
            <w:r>
              <w:rPr>
                <w:rFonts w:hint="eastAsia" w:cs="Times New Roman"/>
                <w:b w:val="0"/>
                <w:bCs w:val="0"/>
                <w:sz w:val="24"/>
                <w:szCs w:val="24"/>
                <w:highlight w:val="none"/>
                <w:lang w:val="en-US" w:eastAsia="zh-CN"/>
              </w:rPr>
              <w:t>其仅</w:t>
            </w:r>
            <w:r>
              <w:rPr>
                <w:rFonts w:hint="default" w:ascii="Times New Roman" w:hAnsi="Times New Roman" w:eastAsia="宋体" w:cs="Times New Roman"/>
                <w:b w:val="0"/>
                <w:bCs w:val="0"/>
                <w:sz w:val="24"/>
                <w:szCs w:val="24"/>
                <w:highlight w:val="none"/>
                <w:lang w:val="en-US" w:eastAsia="zh-CN"/>
              </w:rPr>
              <w:t>限于在</w:t>
            </w:r>
            <w:r>
              <w:rPr>
                <w:rFonts w:hint="eastAsia" w:cs="Times New Roman"/>
                <w:b w:val="0"/>
                <w:bCs w:val="0"/>
                <w:sz w:val="24"/>
                <w:szCs w:val="24"/>
                <w:highlight w:val="none"/>
                <w:lang w:val="en-US" w:eastAsia="zh-CN"/>
              </w:rPr>
              <w:t>施工</w:t>
            </w:r>
            <w:r>
              <w:rPr>
                <w:rFonts w:hint="default" w:ascii="Times New Roman" w:hAnsi="Times New Roman" w:eastAsia="宋体" w:cs="Times New Roman"/>
                <w:b w:val="0"/>
                <w:bCs w:val="0"/>
                <w:sz w:val="24"/>
                <w:szCs w:val="24"/>
                <w:highlight w:val="none"/>
                <w:lang w:val="en-US" w:eastAsia="zh-CN"/>
              </w:rPr>
              <w:t>范围内活动，</w:t>
            </w:r>
            <w:r>
              <w:rPr>
                <w:rFonts w:hint="eastAsia" w:cs="Times New Roman"/>
                <w:b w:val="0"/>
                <w:bCs w:val="0"/>
                <w:sz w:val="24"/>
                <w:szCs w:val="24"/>
                <w:highlight w:val="none"/>
                <w:lang w:val="en-US" w:eastAsia="zh-CN"/>
              </w:rPr>
              <w:t>以</w:t>
            </w:r>
            <w:r>
              <w:rPr>
                <w:rFonts w:hint="default" w:ascii="Times New Roman" w:hAnsi="Times New Roman" w:eastAsia="宋体" w:cs="Times New Roman"/>
                <w:b w:val="0"/>
                <w:bCs w:val="0"/>
                <w:sz w:val="24"/>
                <w:szCs w:val="24"/>
                <w:highlight w:val="none"/>
                <w:lang w:val="en-US" w:eastAsia="zh-CN"/>
              </w:rPr>
              <w:t>最大限度</w:t>
            </w:r>
            <w:r>
              <w:rPr>
                <w:rFonts w:hint="eastAsia" w:cs="Times New Roman"/>
                <w:b w:val="0"/>
                <w:bCs w:val="0"/>
                <w:sz w:val="24"/>
                <w:szCs w:val="24"/>
                <w:highlight w:val="none"/>
                <w:lang w:val="en-US" w:eastAsia="zh-CN"/>
              </w:rPr>
              <w:t>地</w:t>
            </w:r>
            <w:r>
              <w:rPr>
                <w:rFonts w:hint="default" w:ascii="Times New Roman" w:hAnsi="Times New Roman" w:eastAsia="宋体" w:cs="Times New Roman"/>
                <w:b w:val="0"/>
                <w:bCs w:val="0"/>
                <w:sz w:val="24"/>
                <w:szCs w:val="24"/>
                <w:highlight w:val="none"/>
                <w:lang w:val="en-US" w:eastAsia="zh-CN"/>
              </w:rPr>
              <w:t>减少对沙漠植物生存环境的践踏破坏。</w:t>
            </w:r>
          </w:p>
          <w:p w14:paraId="038967D2">
            <w:pPr>
              <w:pStyle w:val="28"/>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eastAsia="zh-CN"/>
              </w:rPr>
            </w:pPr>
            <w:r>
              <w:rPr>
                <w:rFonts w:hint="eastAsia" w:ascii="东文宋体" w:hAnsi="东文宋体" w:eastAsia="东文宋体" w:cs="东文宋体"/>
                <w:b w:val="0"/>
                <w:bCs w:val="0"/>
                <w:sz w:val="24"/>
                <w:szCs w:val="24"/>
                <w:highlight w:val="none"/>
                <w:lang w:eastAsia="zh-CN"/>
              </w:rPr>
              <w:t>②</w:t>
            </w:r>
            <w:r>
              <w:rPr>
                <w:rFonts w:hint="default" w:ascii="Times New Roman" w:hAnsi="Times New Roman" w:eastAsia="宋体" w:cs="Times New Roman"/>
                <w:b w:val="0"/>
                <w:bCs w:val="0"/>
                <w:sz w:val="24"/>
                <w:szCs w:val="24"/>
                <w:highlight w:val="none"/>
                <w:lang w:val="en-US" w:eastAsia="zh-CN"/>
              </w:rPr>
              <w:t>严格控制占地面积，减少扰动土地面积。施工在开挖地表、平整土地时，临时堆土必须进行拦挡</w:t>
            </w:r>
            <w:r>
              <w:rPr>
                <w:rFonts w:hint="eastAsia" w:cs="Times New Roman"/>
                <w:b w:val="0"/>
                <w:bCs w:val="0"/>
                <w:sz w:val="24"/>
                <w:szCs w:val="24"/>
                <w:highlight w:val="none"/>
                <w:lang w:val="en-US" w:eastAsia="zh-CN"/>
              </w:rPr>
              <w:t>。</w:t>
            </w:r>
            <w:r>
              <w:rPr>
                <w:rFonts w:hint="default" w:ascii="Times New Roman" w:hAnsi="Times New Roman" w:eastAsia="宋体" w:cs="Times New Roman"/>
                <w:b w:val="0"/>
                <w:bCs w:val="0"/>
                <w:sz w:val="24"/>
                <w:szCs w:val="24"/>
                <w:highlight w:val="none"/>
                <w:lang w:val="en-US" w:eastAsia="zh-CN"/>
              </w:rPr>
              <w:t>施工完毕</w:t>
            </w:r>
            <w:r>
              <w:rPr>
                <w:rFonts w:hint="eastAsia" w:cs="Times New Roman"/>
                <w:b w:val="0"/>
                <w:bCs w:val="0"/>
                <w:sz w:val="24"/>
                <w:szCs w:val="24"/>
                <w:highlight w:val="none"/>
                <w:lang w:val="en-US" w:eastAsia="zh-CN"/>
              </w:rPr>
              <w:t>后</w:t>
            </w:r>
            <w:r>
              <w:rPr>
                <w:rFonts w:hint="default" w:ascii="Times New Roman" w:hAnsi="Times New Roman" w:eastAsia="宋体" w:cs="Times New Roman"/>
                <w:b w:val="0"/>
                <w:bCs w:val="0"/>
                <w:sz w:val="24"/>
                <w:szCs w:val="24"/>
                <w:highlight w:val="none"/>
                <w:lang w:val="en-US" w:eastAsia="zh-CN"/>
              </w:rPr>
              <w:t>，应尽快整理施工现场。</w:t>
            </w:r>
          </w:p>
          <w:p w14:paraId="5B426391">
            <w:pPr>
              <w:pStyle w:val="28"/>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ascii="东文宋体" w:hAnsi="东文宋体" w:eastAsia="东文宋体" w:cs="东文宋体"/>
                <w:b w:val="0"/>
                <w:bCs w:val="0"/>
                <w:sz w:val="24"/>
                <w:szCs w:val="24"/>
                <w:highlight w:val="none"/>
                <w:lang w:eastAsia="zh-CN"/>
              </w:rPr>
              <w:t>③</w:t>
            </w:r>
            <w:r>
              <w:rPr>
                <w:rFonts w:hint="default" w:ascii="Times New Roman" w:hAnsi="Times New Roman" w:eastAsia="宋体" w:cs="Times New Roman"/>
                <w:b w:val="0"/>
                <w:bCs w:val="0"/>
                <w:sz w:val="24"/>
                <w:szCs w:val="24"/>
                <w:highlight w:val="none"/>
              </w:rPr>
              <w:t>施工</w:t>
            </w:r>
            <w:r>
              <w:rPr>
                <w:rFonts w:hint="eastAsia" w:cs="Times New Roman"/>
                <w:b w:val="0"/>
                <w:bCs w:val="0"/>
                <w:sz w:val="24"/>
                <w:szCs w:val="24"/>
                <w:highlight w:val="none"/>
                <w:lang w:val="en-US" w:eastAsia="zh-CN"/>
              </w:rPr>
              <w:t>仓库、生产生活区</w:t>
            </w:r>
            <w:r>
              <w:rPr>
                <w:rFonts w:hint="default" w:ascii="Times New Roman" w:hAnsi="Times New Roman" w:eastAsia="宋体" w:cs="Times New Roman"/>
                <w:b w:val="0"/>
                <w:bCs w:val="0"/>
                <w:sz w:val="24"/>
                <w:szCs w:val="24"/>
                <w:highlight w:val="none"/>
              </w:rPr>
              <w:t>等临时用地在</w:t>
            </w:r>
            <w:r>
              <w:rPr>
                <w:rFonts w:hint="eastAsia" w:cs="Times New Roman"/>
                <w:b w:val="0"/>
                <w:bCs w:val="0"/>
                <w:sz w:val="24"/>
                <w:szCs w:val="24"/>
                <w:highlight w:val="none"/>
                <w:lang w:val="en-US" w:eastAsia="zh-CN"/>
              </w:rPr>
              <w:t>永久占地范围</w:t>
            </w:r>
            <w:r>
              <w:rPr>
                <w:rFonts w:hint="default" w:ascii="Times New Roman" w:hAnsi="Times New Roman" w:eastAsia="宋体" w:cs="Times New Roman"/>
                <w:b w:val="0"/>
                <w:bCs w:val="0"/>
                <w:sz w:val="24"/>
                <w:szCs w:val="24"/>
                <w:highlight w:val="none"/>
              </w:rPr>
              <w:t>内设置</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施工前作业带场地清理，应注意土壤的堆放及防护问题，避免雨天施工，造成水土流失危害；临时用地使用完后，实施沙柳网格沙障</w:t>
            </w:r>
            <w:r>
              <w:rPr>
                <w:rFonts w:hint="eastAsia" w:cs="Times New Roman"/>
                <w:b w:val="0"/>
                <w:bCs w:val="0"/>
                <w:sz w:val="24"/>
                <w:szCs w:val="24"/>
                <w:highlight w:val="none"/>
                <w:lang w:val="en-US" w:eastAsia="zh-CN"/>
              </w:rPr>
              <w:t>等防风固沙</w:t>
            </w:r>
            <w:r>
              <w:rPr>
                <w:rFonts w:hint="default" w:ascii="Times New Roman" w:hAnsi="Times New Roman" w:eastAsia="宋体" w:cs="Times New Roman"/>
                <w:b w:val="0"/>
                <w:bCs w:val="0"/>
                <w:sz w:val="24"/>
                <w:szCs w:val="24"/>
                <w:highlight w:val="none"/>
              </w:rPr>
              <w:t>措施；加强临时性工程占地复垦的监督管理工作。</w:t>
            </w:r>
          </w:p>
          <w:p w14:paraId="14570007">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eastAsia"/>
                <w:sz w:val="24"/>
                <w:highlight w:val="none"/>
              </w:rPr>
            </w:pPr>
            <w:r>
              <w:rPr>
                <w:rFonts w:hint="eastAsia" w:ascii="华文中宋" w:hAnsi="华文中宋" w:eastAsia="华文中宋" w:cs="华文中宋"/>
                <w:b w:val="0"/>
                <w:bCs w:val="0"/>
                <w:sz w:val="24"/>
                <w:szCs w:val="24"/>
                <w:highlight w:val="none"/>
                <w:lang w:eastAsia="zh-CN"/>
              </w:rPr>
              <w:t>④</w:t>
            </w:r>
            <w:r>
              <w:rPr>
                <w:rFonts w:hint="default" w:ascii="Times New Roman" w:hAnsi="Times New Roman" w:eastAsia="宋体" w:cs="Times New Roman"/>
                <w:b w:val="0"/>
                <w:bCs w:val="0"/>
                <w:sz w:val="24"/>
                <w:szCs w:val="24"/>
                <w:highlight w:val="none"/>
              </w:rPr>
              <w:t>合理安排施工进度，尽量减少施工区域占地面积，缩短临时占地使用时间，</w:t>
            </w:r>
            <w:r>
              <w:rPr>
                <w:rFonts w:hint="eastAsia"/>
                <w:sz w:val="24"/>
                <w:highlight w:val="none"/>
              </w:rPr>
              <w:t>主体工程施工结束后对</w:t>
            </w:r>
            <w:r>
              <w:rPr>
                <w:rFonts w:hint="eastAsia"/>
                <w:sz w:val="24"/>
                <w:highlight w:val="none"/>
                <w:lang w:val="en-US" w:eastAsia="zh-CN"/>
              </w:rPr>
              <w:t>管线临时占地</w:t>
            </w:r>
            <w:r>
              <w:rPr>
                <w:rFonts w:hint="eastAsia"/>
                <w:sz w:val="24"/>
                <w:highlight w:val="none"/>
              </w:rPr>
              <w:t>进行土地整治，</w:t>
            </w:r>
            <w:r>
              <w:rPr>
                <w:rFonts w:hint="eastAsia"/>
                <w:sz w:val="24"/>
                <w:highlight w:val="none"/>
                <w:lang w:val="en-US" w:eastAsia="zh-CN"/>
              </w:rPr>
              <w:t>管线临时占地</w:t>
            </w:r>
            <w:r>
              <w:rPr>
                <w:rFonts w:hint="eastAsia"/>
                <w:sz w:val="24"/>
                <w:highlight w:val="none"/>
              </w:rPr>
              <w:t>实施沙柳网格沙障，并在沙障内撒播种草</w:t>
            </w:r>
            <w:r>
              <w:rPr>
                <w:rFonts w:hint="eastAsia"/>
                <w:sz w:val="24"/>
                <w:highlight w:val="none"/>
                <w:lang w:eastAsia="zh-CN"/>
              </w:rPr>
              <w:t>，</w:t>
            </w:r>
            <w:r>
              <w:rPr>
                <w:rFonts w:hint="eastAsia"/>
                <w:sz w:val="24"/>
                <w:highlight w:val="none"/>
                <w:lang w:val="en-US" w:eastAsia="zh-CN"/>
              </w:rPr>
              <w:t>草籽可选择种植沙打旺、羊柴，临时占地植物措施种植面积为</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55510.8704</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0"/>
                <w:sz w:val="24"/>
                <w:szCs w:val="24"/>
                <w:highlight w:val="none"/>
                <w:vertAlign w:val="superscript"/>
                <w14:textFill>
                  <w14:solidFill>
                    <w14:schemeClr w14:val="tx1"/>
                  </w14:solidFill>
                </w14:textFill>
              </w:rPr>
              <w:t>2</w:t>
            </w:r>
            <w:r>
              <w:rPr>
                <w:rFonts w:hint="eastAsia"/>
                <w:sz w:val="24"/>
                <w:highlight w:val="none"/>
              </w:rPr>
              <w:t>。本项目</w:t>
            </w:r>
            <w:r>
              <w:rPr>
                <w:rFonts w:hint="eastAsia"/>
                <w:sz w:val="24"/>
                <w:highlight w:val="none"/>
                <w:lang w:eastAsia="zh-CN"/>
              </w:rPr>
              <w:t>大部分用地</w:t>
            </w:r>
            <w:r>
              <w:rPr>
                <w:rFonts w:hint="eastAsia"/>
                <w:sz w:val="24"/>
                <w:highlight w:val="none"/>
              </w:rPr>
              <w:t>占用</w:t>
            </w:r>
            <w:r>
              <w:rPr>
                <w:rFonts w:hint="eastAsia"/>
                <w:sz w:val="24"/>
                <w:highlight w:val="none"/>
                <w:lang w:eastAsia="zh-CN"/>
              </w:rPr>
              <w:t>的是沙地</w:t>
            </w:r>
            <w:r>
              <w:rPr>
                <w:rFonts w:hint="eastAsia"/>
                <w:sz w:val="24"/>
                <w:highlight w:val="none"/>
              </w:rPr>
              <w:t>，</w:t>
            </w:r>
            <w:r>
              <w:rPr>
                <w:rFonts w:hint="eastAsia"/>
                <w:sz w:val="24"/>
                <w:highlight w:val="none"/>
                <w:lang w:eastAsia="zh-CN"/>
              </w:rPr>
              <w:t>仅管线占用少部分其他草地</w:t>
            </w:r>
            <w:r>
              <w:rPr>
                <w:rFonts w:hint="eastAsia"/>
                <w:sz w:val="24"/>
                <w:szCs w:val="24"/>
                <w:highlight w:val="none"/>
              </w:rPr>
              <w:t>。</w:t>
            </w:r>
            <w:r>
              <w:rPr>
                <w:rFonts w:hint="eastAsia"/>
                <w:sz w:val="24"/>
                <w:highlight w:val="none"/>
              </w:rPr>
              <w:t>管槽回填土临时堆放在管槽一侧，堆放期间用密目网进行苫盖；管槽分段施工，尽量减少土方临时堆放时间</w:t>
            </w:r>
            <w:r>
              <w:rPr>
                <w:rFonts w:hint="eastAsia"/>
                <w:sz w:val="24"/>
                <w:highlight w:val="none"/>
                <w:lang w:eastAsia="zh-CN"/>
              </w:rPr>
              <w:t>，以确保施工的顺利进行</w:t>
            </w:r>
            <w:r>
              <w:rPr>
                <w:rFonts w:hint="eastAsia"/>
                <w:sz w:val="24"/>
                <w:highlight w:val="none"/>
              </w:rPr>
              <w:t>。</w:t>
            </w:r>
          </w:p>
          <w:p w14:paraId="797D1549">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kern w:val="2"/>
                <w:sz w:val="24"/>
                <w:szCs w:val="24"/>
                <w:highlight w:val="none"/>
                <w:lang w:val="en-US" w:eastAsia="zh-CN" w:bidi="ar-SA"/>
              </w:rPr>
            </w:pPr>
            <w:r>
              <w:rPr>
                <w:rFonts w:hint="eastAsia" w:ascii="华文中宋" w:hAnsi="华文中宋" w:eastAsia="华文中宋" w:cs="华文中宋"/>
                <w:b w:val="0"/>
                <w:bCs w:val="0"/>
                <w:kern w:val="2"/>
                <w:sz w:val="24"/>
                <w:szCs w:val="24"/>
                <w:highlight w:val="none"/>
                <w:lang w:val="en-US" w:eastAsia="zh-CN" w:bidi="ar-SA"/>
              </w:rPr>
              <w:t>⑤</w:t>
            </w:r>
            <w:r>
              <w:rPr>
                <w:rFonts w:hint="default" w:ascii="Times New Roman" w:hAnsi="Times New Roman" w:eastAsia="宋体" w:cs="Times New Roman"/>
                <w:b w:val="0"/>
                <w:bCs w:val="0"/>
                <w:kern w:val="2"/>
                <w:sz w:val="24"/>
                <w:szCs w:val="24"/>
                <w:highlight w:val="none"/>
                <w:lang w:val="en-US" w:eastAsia="zh-CN" w:bidi="ar-SA"/>
              </w:rPr>
              <w:t>主</w:t>
            </w:r>
            <w:r>
              <w:rPr>
                <w:rFonts w:hint="default" w:ascii="Times New Roman" w:hAnsi="Times New Roman" w:eastAsia="宋体" w:cs="Times New Roman"/>
                <w:kern w:val="2"/>
                <w:sz w:val="24"/>
                <w:szCs w:val="24"/>
                <w:highlight w:val="none"/>
                <w:lang w:val="en-US" w:eastAsia="zh-CN" w:bidi="ar-SA"/>
              </w:rPr>
              <w:t>体工程结束后对坝顶道路一侧进行绿化，绿化面积共计23</w:t>
            </w:r>
            <w:r>
              <w:rPr>
                <w:rFonts w:hint="eastAsia" w:ascii="Times New Roman" w:hAnsi="Times New Roman" w:eastAsia="宋体" w:cs="Times New Roman"/>
                <w:kern w:val="2"/>
                <w:sz w:val="24"/>
                <w:szCs w:val="24"/>
                <w:highlight w:val="none"/>
                <w:lang w:val="en-US" w:eastAsia="zh-CN" w:bidi="ar-SA"/>
              </w:rPr>
              <w:t>00</w:t>
            </w:r>
            <w:r>
              <w:rPr>
                <w:rFonts w:hint="default" w:ascii="Times New Roman" w:hAnsi="Times New Roman" w:eastAsia="宋体" w:cs="Times New Roman"/>
                <w:kern w:val="2"/>
                <w:sz w:val="24"/>
                <w:szCs w:val="24"/>
                <w:highlight w:val="none"/>
                <w:lang w:val="en-US" w:eastAsia="zh-CN" w:bidi="ar-SA"/>
              </w:rPr>
              <w:t>m2，绿化树种选择旱柳，单行种植，株距3m，共栽植旱柳370株。本项目选用旱柳</w:t>
            </w:r>
            <w:r>
              <w:rPr>
                <w:rFonts w:hint="eastAsia" w:ascii="Times New Roman" w:hAnsi="Times New Roman" w:cs="Times New Roman"/>
                <w:kern w:val="2"/>
                <w:sz w:val="24"/>
                <w:szCs w:val="24"/>
                <w:highlight w:val="none"/>
                <w:lang w:val="en-US" w:eastAsia="zh-CN" w:bidi="ar-SA"/>
              </w:rPr>
              <w:t>，其</w:t>
            </w:r>
            <w:r>
              <w:rPr>
                <w:rFonts w:hint="default" w:ascii="Times New Roman" w:hAnsi="Times New Roman" w:eastAsia="宋体" w:cs="Times New Roman"/>
                <w:kern w:val="2"/>
                <w:sz w:val="24"/>
                <w:szCs w:val="24"/>
                <w:highlight w:val="none"/>
                <w:lang w:val="en-US" w:eastAsia="zh-CN" w:bidi="ar-SA"/>
              </w:rPr>
              <w:t>胸径</w:t>
            </w:r>
            <w:r>
              <w:rPr>
                <w:rFonts w:hint="eastAsia" w:ascii="Times New Roman" w:hAnsi="Times New Roman" w:cs="Times New Roman"/>
                <w:kern w:val="2"/>
                <w:sz w:val="24"/>
                <w:szCs w:val="24"/>
                <w:highlight w:val="none"/>
                <w:lang w:val="en-US" w:eastAsia="zh-CN" w:bidi="ar-SA"/>
              </w:rPr>
              <w:t>范围为</w:t>
            </w:r>
            <w:r>
              <w:rPr>
                <w:rFonts w:hint="default" w:ascii="Times New Roman" w:hAnsi="Times New Roman" w:eastAsia="宋体" w:cs="Times New Roman"/>
                <w:kern w:val="2"/>
                <w:sz w:val="24"/>
                <w:szCs w:val="24"/>
                <w:highlight w:val="none"/>
                <w:lang w:val="en-US" w:eastAsia="zh-CN" w:bidi="ar-SA"/>
              </w:rPr>
              <w:t>4cm~5cm。栽植时间选择在春季4、5月份，采用冬贮苗或春挖苗，成活率达不到验收标准的补植在秋</w:t>
            </w:r>
            <w:r>
              <w:rPr>
                <w:rFonts w:hint="eastAsia" w:ascii="Times New Roman" w:hAnsi="Times New Roman" w:eastAsia="宋体" w:cs="Times New Roman"/>
                <w:kern w:val="2"/>
                <w:sz w:val="24"/>
                <w:szCs w:val="24"/>
                <w:highlight w:val="none"/>
                <w:lang w:val="en-US" w:eastAsia="zh-CN" w:bidi="ar-SA"/>
              </w:rPr>
              <w:t>冬</w:t>
            </w:r>
            <w:r>
              <w:rPr>
                <w:rFonts w:hint="default" w:ascii="Times New Roman" w:hAnsi="Times New Roman" w:eastAsia="宋体" w:cs="Times New Roman"/>
                <w:kern w:val="2"/>
                <w:sz w:val="24"/>
                <w:szCs w:val="24"/>
                <w:highlight w:val="none"/>
                <w:lang w:val="en-US" w:eastAsia="zh-CN" w:bidi="ar-SA"/>
              </w:rPr>
              <w:t>季进行，栽植坑规格70cm×70cm×80cm，栽植方法严格按照“三埋二踩一提苗”。造林后要及时浇水。</w:t>
            </w:r>
          </w:p>
          <w:p w14:paraId="4659F0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防护林幼林抚育的任务主要是通过植树行间和行内的锄草松土，促使幼林正常生长。松土除草要做到除早、除小、除了，对幼树而言，第一年应当保</w:t>
            </w:r>
            <w:r>
              <w:rPr>
                <w:rFonts w:hint="default" w:ascii="Times New Roman" w:hAnsi="Times New Roman" w:eastAsia="宋体" w:cs="Times New Roman"/>
                <w:snapToGrid/>
                <w:color w:val="auto"/>
                <w:kern w:val="2"/>
                <w:sz w:val="24"/>
                <w:szCs w:val="24"/>
                <w:highlight w:val="none"/>
                <w:lang w:val="en-US" w:eastAsia="zh-CN" w:bidi="ar-SA"/>
              </w:rPr>
              <w:t>证</w:t>
            </w:r>
            <w:r>
              <w:rPr>
                <w:rFonts w:hint="eastAsia" w:cs="Times New Roman"/>
                <w:snapToGrid/>
                <w:color w:val="auto"/>
                <w:kern w:val="2"/>
                <w:sz w:val="24"/>
                <w:szCs w:val="24"/>
                <w:highlight w:val="none"/>
                <w:lang w:val="en-US" w:eastAsia="zh-CN" w:bidi="ar-SA"/>
              </w:rPr>
              <w:t>除草</w:t>
            </w:r>
            <w:r>
              <w:rPr>
                <w:rFonts w:hint="default" w:ascii="Times New Roman" w:hAnsi="Times New Roman" w:eastAsia="宋体" w:cs="Times New Roman"/>
                <w:snapToGrid/>
                <w:color w:val="auto"/>
                <w:kern w:val="2"/>
                <w:sz w:val="24"/>
                <w:szCs w:val="24"/>
                <w:highlight w:val="none"/>
                <w:lang w:val="en-US" w:eastAsia="zh-CN" w:bidi="ar-SA"/>
              </w:rPr>
              <w:t>3次，第二年</w:t>
            </w:r>
            <w:r>
              <w:rPr>
                <w:rFonts w:hint="eastAsia" w:cs="Times New Roman"/>
                <w:snapToGrid/>
                <w:color w:val="auto"/>
                <w:kern w:val="2"/>
                <w:sz w:val="24"/>
                <w:szCs w:val="24"/>
                <w:highlight w:val="none"/>
                <w:lang w:val="en-US" w:eastAsia="zh-CN" w:bidi="ar-SA"/>
              </w:rPr>
              <w:t>进行</w:t>
            </w:r>
            <w:r>
              <w:rPr>
                <w:rFonts w:hint="default" w:ascii="Times New Roman" w:hAnsi="Times New Roman" w:eastAsia="宋体" w:cs="Times New Roman"/>
                <w:snapToGrid/>
                <w:color w:val="auto"/>
                <w:kern w:val="2"/>
                <w:sz w:val="24"/>
                <w:szCs w:val="24"/>
                <w:highlight w:val="none"/>
                <w:lang w:val="en-US" w:eastAsia="zh-CN" w:bidi="ar-SA"/>
              </w:rPr>
              <w:t>2次，第三年可视情况进行1～2次。本项目区处于半干旱地区，抚育年限应延长到5年～7年。利用规划的灌水设施适时灌水。林带缺苗断条时要及时补植，补植处要细致整地，并选用大苗精心栽植，必要时浇水，保证成活，促其生长。对新建防护林带成活率低于90%的，应于造林后的1～2年内用大苗补充。</w:t>
            </w:r>
          </w:p>
          <w:p w14:paraId="51C3A806">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蓄水池外边坡防护采用1m×1m沙柳枝条扦插成网格防护，沙柳在早春土壤解冻、沙柳芽包未放开前，或秋季落叶后，选择2年生以上的枝条（直径在0.6cm以上），截成60cm长的插条，大头朝下，随剪随栽。沙柳条插入地下40cm，两侧培土，地上部分露20cm，扶正踏实，沙柳条的株距为2cm，形成沙柳沙障</w:t>
            </w:r>
            <w:r>
              <w:rPr>
                <w:rFonts w:hint="eastAsia" w:ascii="Times New Roman" w:hAnsi="Times New Roman"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每公顷网格沙障需沙柳50000kg。沙障内撒播草籽</w:t>
            </w:r>
            <w:r>
              <w:rPr>
                <w:rFonts w:hint="eastAsia" w:ascii="Times New Roman" w:hAnsi="Times New Roman" w:cs="Times New Roman"/>
                <w:snapToGrid/>
                <w:color w:val="auto"/>
                <w:kern w:val="2"/>
                <w:sz w:val="24"/>
                <w:szCs w:val="24"/>
                <w:highlight w:val="none"/>
                <w:lang w:val="en-US" w:eastAsia="zh-CN" w:bidi="ar-SA"/>
              </w:rPr>
              <w:t>，草籽可选择沙打旺、羊柴</w:t>
            </w:r>
            <w:r>
              <w:rPr>
                <w:rFonts w:hint="default" w:ascii="Times New Roman" w:hAnsi="Times New Roman" w:eastAsia="宋体" w:cs="Times New Roman"/>
                <w:snapToGrid/>
                <w:color w:val="auto"/>
                <w:kern w:val="2"/>
                <w:sz w:val="24"/>
                <w:szCs w:val="24"/>
                <w:highlight w:val="none"/>
                <w:lang w:val="en-US" w:eastAsia="zh-CN" w:bidi="ar-SA"/>
              </w:rPr>
              <w:t>。</w:t>
            </w:r>
          </w:p>
          <w:p w14:paraId="1C7523A9">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sz w:val="24"/>
                <w:szCs w:val="24"/>
                <w:highlight w:val="none"/>
                <w:lang w:eastAsia="zh-CN"/>
              </w:rPr>
            </w:pPr>
            <w:r>
              <w:rPr>
                <w:rFonts w:hint="default" w:ascii="Times New Roman" w:hAnsi="Times New Roman" w:eastAsia="宋体" w:cs="Times New Roman"/>
                <w:snapToGrid/>
                <w:color w:val="auto"/>
                <w:kern w:val="2"/>
                <w:sz w:val="24"/>
                <w:szCs w:val="24"/>
                <w:highlight w:val="none"/>
                <w:lang w:val="en-US" w:eastAsia="zh-CN" w:bidi="ar-SA"/>
              </w:rPr>
              <w:t>蓄水池外周边50米设置沙障防护，沙障采用网格式沙障，沙柳枝条</w:t>
            </w:r>
            <w:r>
              <w:rPr>
                <w:rFonts w:hint="eastAsia" w:ascii="Times New Roman" w:hAnsi="Times New Roman" w:cs="Times New Roman"/>
                <w:snapToGrid/>
                <w:color w:val="auto"/>
                <w:kern w:val="2"/>
                <w:sz w:val="24"/>
                <w:szCs w:val="24"/>
                <w:highlight w:val="none"/>
                <w:lang w:val="en-US" w:eastAsia="zh-CN" w:bidi="ar-SA"/>
              </w:rPr>
              <w:t>呈</w:t>
            </w:r>
            <w:r>
              <w:rPr>
                <w:rFonts w:hint="default" w:ascii="Times New Roman" w:hAnsi="Times New Roman" w:eastAsia="宋体" w:cs="Times New Roman"/>
                <w:snapToGrid/>
                <w:color w:val="auto"/>
                <w:kern w:val="2"/>
                <w:sz w:val="24"/>
                <w:szCs w:val="24"/>
                <w:highlight w:val="none"/>
                <w:lang w:val="en-US" w:eastAsia="zh-CN" w:bidi="ar-SA"/>
              </w:rPr>
              <w:t>菱形铺设，规格为2m×2m，交叉处采用草绳及扦插沙柳固定。</w:t>
            </w:r>
          </w:p>
          <w:p w14:paraId="0940D7D7">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（2）陆生动物保护措施</w:t>
            </w:r>
          </w:p>
          <w:p w14:paraId="02087B2D">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ascii="东文宋体" w:hAnsi="东文宋体" w:eastAsia="东文宋体" w:cs="东文宋体"/>
                <w:b w:val="0"/>
                <w:bCs w:val="0"/>
                <w:sz w:val="24"/>
                <w:szCs w:val="24"/>
                <w:highlight w:val="none"/>
                <w:lang w:eastAsia="zh-CN"/>
              </w:rPr>
              <w:t>①</w:t>
            </w:r>
            <w:r>
              <w:rPr>
                <w:rFonts w:hint="default" w:ascii="Times New Roman" w:hAnsi="Times New Roman" w:eastAsia="宋体" w:cs="Times New Roman"/>
                <w:b w:val="0"/>
                <w:bCs w:val="0"/>
                <w:sz w:val="24"/>
                <w:szCs w:val="24"/>
                <w:highlight w:val="none"/>
              </w:rPr>
              <w:t>施工期应加强对施工人员生态环境保护意识的教育，严禁对野生动物的滥捕滥杀。</w:t>
            </w:r>
          </w:p>
          <w:p w14:paraId="35A73A33">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ascii="东文宋体" w:hAnsi="东文宋体" w:eastAsia="东文宋体" w:cs="东文宋体"/>
                <w:b w:val="0"/>
                <w:bCs w:val="0"/>
                <w:sz w:val="24"/>
                <w:szCs w:val="24"/>
                <w:highlight w:val="none"/>
                <w:lang w:eastAsia="zh-CN"/>
              </w:rPr>
              <w:t>②</w:t>
            </w:r>
            <w:r>
              <w:rPr>
                <w:rFonts w:hint="default" w:ascii="Times New Roman" w:hAnsi="Times New Roman" w:eastAsia="宋体" w:cs="Times New Roman"/>
                <w:b w:val="0"/>
                <w:bCs w:val="0"/>
                <w:sz w:val="24"/>
                <w:szCs w:val="24"/>
                <w:highlight w:val="none"/>
              </w:rPr>
              <w:t>工程施工前应划定施工范围，施工必须限制在划定范围内，并且在施工区设置警示牌，禁止施工人员和车辆进入到施工范围以外区域，避免施工人员的非施工活动惊扰影响动物的栖息</w:t>
            </w:r>
          </w:p>
          <w:p w14:paraId="2037F456">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ascii="东文宋体" w:hAnsi="东文宋体" w:eastAsia="东文宋体" w:cs="东文宋体"/>
                <w:b w:val="0"/>
                <w:bCs w:val="0"/>
                <w:sz w:val="24"/>
                <w:szCs w:val="24"/>
                <w:highlight w:val="none"/>
                <w:lang w:eastAsia="zh-CN"/>
              </w:rPr>
              <w:t>③</w:t>
            </w:r>
            <w:r>
              <w:rPr>
                <w:rFonts w:hint="default" w:ascii="Times New Roman" w:hAnsi="Times New Roman" w:eastAsia="宋体" w:cs="Times New Roman"/>
                <w:b w:val="0"/>
                <w:bCs w:val="0"/>
                <w:sz w:val="24"/>
                <w:szCs w:val="24"/>
                <w:highlight w:val="none"/>
              </w:rPr>
              <w:t>项目建设中，各种施工作业，尤其是噪声较高的施工活动等应避开野生动物的栖息地，避免对其产生干扰。</w:t>
            </w:r>
          </w:p>
          <w:p w14:paraId="2CA294E5">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ascii="华文中宋" w:hAnsi="华文中宋" w:eastAsia="华文中宋" w:cs="华文中宋"/>
                <w:b w:val="0"/>
                <w:bCs w:val="0"/>
                <w:sz w:val="24"/>
                <w:szCs w:val="24"/>
                <w:highlight w:val="none"/>
                <w:lang w:eastAsia="zh-CN"/>
              </w:rPr>
              <w:t>④</w:t>
            </w:r>
            <w:r>
              <w:rPr>
                <w:rFonts w:hint="default" w:ascii="Times New Roman" w:hAnsi="Times New Roman" w:eastAsia="宋体" w:cs="Times New Roman"/>
                <w:b w:val="0"/>
                <w:bCs w:val="0"/>
                <w:sz w:val="24"/>
                <w:szCs w:val="24"/>
                <w:highlight w:val="none"/>
              </w:rPr>
              <w:t>优化施工路线，工程物料运输路线以已建道路为主，避免车辆惊扰栖息的动物。</w:t>
            </w:r>
          </w:p>
          <w:p w14:paraId="3483635A">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eastAsia="zh-CN"/>
              </w:rPr>
            </w:pPr>
            <w:r>
              <w:rPr>
                <w:rFonts w:hint="default" w:ascii="Times New Roman" w:hAnsi="Times New Roman" w:eastAsia="宋体" w:cs="Times New Roman"/>
                <w:b w:val="0"/>
                <w:bCs w:val="0"/>
                <w:sz w:val="24"/>
                <w:szCs w:val="24"/>
                <w:highlight w:val="none"/>
                <w:lang w:val="en-US" w:eastAsia="zh-CN"/>
              </w:rPr>
              <w:t>2</w:t>
            </w:r>
            <w:r>
              <w:rPr>
                <w:rFonts w:hint="eastAsia" w:cs="Times New Roman"/>
                <w:b w:val="0"/>
                <w:bCs w:val="0"/>
                <w:sz w:val="24"/>
                <w:szCs w:val="24"/>
                <w:highlight w:val="none"/>
                <w:lang w:val="en-US" w:eastAsia="zh-CN"/>
              </w:rPr>
              <w:t>.</w:t>
            </w:r>
            <w:r>
              <w:rPr>
                <w:rFonts w:hint="default" w:ascii="Times New Roman" w:hAnsi="Times New Roman" w:eastAsia="宋体" w:cs="Times New Roman"/>
                <w:b w:val="0"/>
                <w:bCs w:val="0"/>
                <w:sz w:val="24"/>
                <w:szCs w:val="24"/>
                <w:highlight w:val="none"/>
                <w:lang w:val="en-US" w:eastAsia="zh-CN"/>
              </w:rPr>
              <w:t xml:space="preserve">水土流失防治措施 </w:t>
            </w:r>
          </w:p>
          <w:p w14:paraId="17261E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 xml:space="preserve">本项目水土流失保护措施主要采取以下措施： </w:t>
            </w:r>
          </w:p>
          <w:p w14:paraId="7DF574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主体工程施工结束后在蓄水池围坝坝顶砂石路</w:t>
            </w:r>
            <w:r>
              <w:rPr>
                <w:rFonts w:hint="default" w:ascii="Times New Roman" w:hAnsi="Times New Roman" w:eastAsia="宋体" w:cs="Times New Roman"/>
                <w:snapToGrid/>
                <w:color w:val="auto"/>
                <w:kern w:val="2"/>
                <w:sz w:val="24"/>
                <w:szCs w:val="24"/>
                <w:highlight w:val="none"/>
                <w:lang w:val="en-US" w:eastAsia="zh-CN" w:bidi="ar-SA"/>
              </w:rPr>
              <w:t>一</w:t>
            </w:r>
            <w:r>
              <w:rPr>
                <w:rFonts w:hint="default" w:ascii="Times New Roman" w:hAnsi="Times New Roman" w:eastAsia="宋体" w:cs="Times New Roman"/>
                <w:b w:val="0"/>
                <w:bCs w:val="0"/>
                <w:sz w:val="24"/>
                <w:szCs w:val="24"/>
                <w:highlight w:val="none"/>
                <w:lang w:val="en-US" w:eastAsia="zh-CN"/>
              </w:rPr>
              <w:t>侧</w:t>
            </w:r>
            <w:r>
              <w:rPr>
                <w:rFonts w:hint="eastAsia" w:cs="Times New Roman"/>
                <w:b w:val="0"/>
                <w:bCs w:val="0"/>
                <w:sz w:val="24"/>
                <w:szCs w:val="24"/>
                <w:highlight w:val="none"/>
                <w:lang w:val="en-US" w:eastAsia="zh-CN"/>
              </w:rPr>
              <w:t>进行</w:t>
            </w:r>
            <w:r>
              <w:rPr>
                <w:rFonts w:hint="default" w:ascii="Times New Roman" w:hAnsi="Times New Roman" w:eastAsia="宋体" w:cs="Times New Roman"/>
                <w:b w:val="0"/>
                <w:bCs w:val="0"/>
                <w:sz w:val="24"/>
                <w:szCs w:val="24"/>
                <w:highlight w:val="none"/>
                <w:lang w:val="en-US" w:eastAsia="zh-CN"/>
              </w:rPr>
              <w:t>绿化。</w:t>
            </w:r>
            <w:r>
              <w:rPr>
                <w:rFonts w:hint="default" w:ascii="Times New Roman" w:hAnsi="Times New Roman" w:eastAsia="宋体" w:cs="Times New Roman"/>
                <w:snapToGrid/>
                <w:color w:val="auto"/>
                <w:kern w:val="2"/>
                <w:sz w:val="24"/>
                <w:szCs w:val="24"/>
                <w:highlight w:val="none"/>
                <w:lang w:val="en-US" w:eastAsia="zh-CN" w:bidi="ar-SA"/>
              </w:rPr>
              <w:t>蓄水池外边坡防护</w:t>
            </w:r>
            <w:r>
              <w:rPr>
                <w:rFonts w:hint="eastAsia" w:ascii="Times New Roman" w:hAnsi="Times New Roman" w:cs="Times New Roman"/>
                <w:snapToGrid/>
                <w:color w:val="auto"/>
                <w:kern w:val="2"/>
                <w:sz w:val="24"/>
                <w:szCs w:val="24"/>
                <w:highlight w:val="none"/>
                <w:lang w:val="en-US" w:eastAsia="zh-CN" w:bidi="ar-SA"/>
              </w:rPr>
              <w:t>采用</w:t>
            </w:r>
            <w:r>
              <w:rPr>
                <w:rFonts w:hint="default" w:ascii="Times New Roman" w:hAnsi="Times New Roman" w:eastAsia="宋体" w:cs="Times New Roman"/>
                <w:b w:val="0"/>
                <w:bCs w:val="0"/>
                <w:sz w:val="24"/>
                <w:szCs w:val="24"/>
                <w:highlight w:val="none"/>
                <w:lang w:val="en-US" w:eastAsia="zh-CN"/>
              </w:rPr>
              <w:t>沙柳网格沙障</w:t>
            </w:r>
            <w:r>
              <w:rPr>
                <w:rFonts w:hint="eastAsia" w:ascii="Times New Roman" w:hAnsi="Times New Roman" w:cs="Times New Roman"/>
                <w:b w:val="0"/>
                <w:bCs w:val="0"/>
                <w:sz w:val="24"/>
                <w:szCs w:val="24"/>
                <w:highlight w:val="none"/>
                <w:lang w:val="en-US" w:eastAsia="zh-CN"/>
              </w:rPr>
              <w:t>，</w:t>
            </w:r>
            <w:r>
              <w:rPr>
                <w:rFonts w:hint="default" w:ascii="Times New Roman" w:hAnsi="Times New Roman" w:eastAsia="宋体" w:cs="Times New Roman"/>
                <w:snapToGrid/>
                <w:color w:val="auto"/>
                <w:kern w:val="2"/>
                <w:sz w:val="24"/>
                <w:szCs w:val="24"/>
                <w:highlight w:val="none"/>
                <w:lang w:val="en-US" w:eastAsia="zh-CN" w:bidi="ar-SA"/>
              </w:rPr>
              <w:t>沙障内撒播草籽</w:t>
            </w:r>
            <w:r>
              <w:rPr>
                <w:rFonts w:hint="eastAsia" w:ascii="Times New Roman" w:hAnsi="Times New Roman"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蓄水池外周边50米设置沙障防护，沙障采用网格式沙障，沙柳枝条</w:t>
            </w:r>
            <w:r>
              <w:rPr>
                <w:rFonts w:hint="eastAsia" w:cs="Times New Roman"/>
                <w:snapToGrid/>
                <w:color w:val="auto"/>
                <w:kern w:val="2"/>
                <w:sz w:val="24"/>
                <w:szCs w:val="24"/>
                <w:highlight w:val="none"/>
                <w:lang w:val="en-US" w:eastAsia="zh-CN" w:bidi="ar-SA"/>
              </w:rPr>
              <w:t>呈</w:t>
            </w:r>
            <w:r>
              <w:rPr>
                <w:rFonts w:hint="default" w:ascii="Times New Roman" w:hAnsi="Times New Roman" w:eastAsia="宋体" w:cs="Times New Roman"/>
                <w:snapToGrid/>
                <w:color w:val="auto"/>
                <w:kern w:val="2"/>
                <w:sz w:val="24"/>
                <w:szCs w:val="24"/>
                <w:highlight w:val="none"/>
                <w:lang w:val="en-US" w:eastAsia="zh-CN" w:bidi="ar-SA"/>
              </w:rPr>
              <w:t>菱形铺设，规格为2m×2m，交叉处采用草绳及扦插沙柳固定。</w:t>
            </w:r>
          </w:p>
          <w:p w14:paraId="0709E58B">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主体工程施工结束后</w:t>
            </w:r>
            <w:r>
              <w:rPr>
                <w:rFonts w:hint="eastAsia" w:cs="Times New Roman"/>
                <w:b w:val="0"/>
                <w:bCs w:val="0"/>
                <w:sz w:val="24"/>
                <w:szCs w:val="24"/>
                <w:highlight w:val="none"/>
                <w:lang w:val="en-US" w:eastAsia="zh-CN"/>
              </w:rPr>
              <w:t>，</w:t>
            </w:r>
            <w:r>
              <w:rPr>
                <w:rFonts w:hint="default" w:ascii="Times New Roman" w:hAnsi="Times New Roman" w:eastAsia="宋体" w:cs="Times New Roman"/>
                <w:b w:val="0"/>
                <w:bCs w:val="0"/>
                <w:sz w:val="24"/>
                <w:szCs w:val="24"/>
                <w:highlight w:val="none"/>
                <w:lang w:val="en-US" w:eastAsia="zh-CN"/>
              </w:rPr>
              <w:t>对管道作业带进行土地整治</w:t>
            </w:r>
            <w:r>
              <w:rPr>
                <w:rFonts w:hint="eastAsia" w:cs="Times New Roman"/>
                <w:b w:val="0"/>
                <w:bCs w:val="0"/>
                <w:sz w:val="24"/>
                <w:szCs w:val="24"/>
                <w:highlight w:val="none"/>
                <w:lang w:val="en-US" w:eastAsia="zh-CN"/>
              </w:rPr>
              <w:t>；</w:t>
            </w:r>
            <w:r>
              <w:rPr>
                <w:rFonts w:hint="default" w:ascii="Times New Roman" w:hAnsi="Times New Roman" w:eastAsia="宋体" w:cs="Times New Roman"/>
                <w:b w:val="0"/>
                <w:bCs w:val="0"/>
                <w:sz w:val="24"/>
                <w:szCs w:val="24"/>
                <w:highlight w:val="none"/>
                <w:lang w:val="en-US" w:eastAsia="zh-CN"/>
              </w:rPr>
              <w:t>在管道作业带实施沙柳网格沙障，并在沙障内撒播种草。</w:t>
            </w:r>
          </w:p>
          <w:p w14:paraId="07033904">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sz w:val="24"/>
                <w:highlight w:val="none"/>
              </w:rPr>
            </w:pPr>
            <w:r>
              <w:rPr>
                <w:rFonts w:hint="default" w:ascii="Times New Roman" w:hAnsi="Times New Roman" w:eastAsia="宋体" w:cs="Times New Roman"/>
                <w:b w:val="0"/>
                <w:bCs w:val="0"/>
                <w:sz w:val="24"/>
                <w:szCs w:val="24"/>
                <w:highlight w:val="none"/>
                <w:lang w:val="en-US" w:eastAsia="zh-CN"/>
              </w:rPr>
              <w:t>开挖土方临时堆放期间用密目网进行苫盖，尽量减少土方临时堆放时间。优化单项工程的施工时序，避免暴雨天气进行场地地基开挖；遭遇大风和暴雨时，应在其来临之前分别采取洒水、土袋拦挡和草垫覆盖等临时防护措施，防止风蚀和雨滴溅蚀。</w:t>
            </w:r>
          </w:p>
          <w:p w14:paraId="247EEFD4">
            <w:pPr>
              <w:spacing w:line="360" w:lineRule="auto"/>
              <w:ind w:firstLine="480" w:firstLineChars="200"/>
              <w:rPr>
                <w:rFonts w:hint="eastAsia"/>
                <w:b w:val="0"/>
                <w:bCs w:val="0"/>
                <w:sz w:val="24"/>
                <w:highlight w:val="none"/>
              </w:rPr>
            </w:pPr>
            <w:r>
              <w:rPr>
                <w:rFonts w:hint="eastAsia"/>
                <w:b w:val="0"/>
                <w:bCs w:val="0"/>
                <w:sz w:val="24"/>
                <w:highlight w:val="none"/>
                <w:lang w:val="en-US" w:eastAsia="zh-CN"/>
              </w:rPr>
              <w:t>二</w:t>
            </w:r>
            <w:r>
              <w:rPr>
                <w:rFonts w:hint="eastAsia"/>
                <w:b w:val="0"/>
                <w:bCs w:val="0"/>
                <w:sz w:val="24"/>
                <w:highlight w:val="none"/>
              </w:rPr>
              <w:t>、</w:t>
            </w:r>
            <w:r>
              <w:rPr>
                <w:rFonts w:hint="eastAsia"/>
                <w:b w:val="0"/>
                <w:bCs w:val="0"/>
                <w:sz w:val="24"/>
                <w:highlight w:val="none"/>
                <w:lang w:val="en-US" w:eastAsia="zh-CN"/>
              </w:rPr>
              <w:t>大气环境保护措施</w:t>
            </w:r>
          </w:p>
          <w:p w14:paraId="77191F4D">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（1）施工扬尘治理措施</w:t>
            </w:r>
          </w:p>
          <w:p w14:paraId="03EAF27F">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eastAsia" w:ascii="东文宋体" w:hAnsi="东文宋体" w:eastAsia="东文宋体" w:cs="东文宋体"/>
                <w:sz w:val="24"/>
                <w:szCs w:val="24"/>
                <w:highlight w:val="none"/>
                <w:lang w:val="en-US" w:eastAsia="zh-CN"/>
              </w:rPr>
              <w:t>①</w:t>
            </w:r>
            <w:r>
              <w:rPr>
                <w:rFonts w:hint="default" w:ascii="Times New Roman" w:hAnsi="Times New Roman" w:eastAsia="宋体" w:cs="Times New Roman"/>
                <w:sz w:val="24"/>
                <w:szCs w:val="24"/>
                <w:highlight w:val="none"/>
                <w:lang w:val="en-US" w:eastAsia="zh-CN"/>
              </w:rPr>
              <w:t>作业场地应设置围挡、围护，以减少扬尘扩散，从而减少对环境空气</w:t>
            </w:r>
            <w:r>
              <w:rPr>
                <w:rFonts w:hint="eastAsia" w:cs="Times New Roman"/>
                <w:sz w:val="24"/>
                <w:szCs w:val="24"/>
                <w:highlight w:val="none"/>
                <w:lang w:val="en-US" w:eastAsia="zh-CN"/>
              </w:rPr>
              <w:t>的</w:t>
            </w:r>
            <w:r>
              <w:rPr>
                <w:rFonts w:hint="default" w:ascii="Times New Roman" w:hAnsi="Times New Roman" w:eastAsia="宋体" w:cs="Times New Roman"/>
                <w:sz w:val="24"/>
                <w:szCs w:val="24"/>
                <w:highlight w:val="none"/>
                <w:lang w:val="en-US" w:eastAsia="zh-CN"/>
              </w:rPr>
              <w:t xml:space="preserve">影响。 </w:t>
            </w:r>
          </w:p>
          <w:p w14:paraId="3F7F208A">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eastAsia" w:ascii="东文宋体" w:hAnsi="东文宋体" w:eastAsia="东文宋体" w:cs="东文宋体"/>
                <w:sz w:val="24"/>
                <w:szCs w:val="24"/>
                <w:highlight w:val="none"/>
                <w:lang w:val="en-US" w:eastAsia="zh-CN"/>
              </w:rPr>
              <w:t>②</w:t>
            </w:r>
            <w:r>
              <w:rPr>
                <w:rFonts w:hint="default" w:ascii="Times New Roman" w:hAnsi="Times New Roman" w:eastAsia="宋体" w:cs="Times New Roman"/>
                <w:sz w:val="24"/>
                <w:szCs w:val="24"/>
                <w:highlight w:val="none"/>
                <w:lang w:val="en-US" w:eastAsia="zh-CN"/>
              </w:rPr>
              <w:t xml:space="preserve">施工现场裸露场地采用抑尘网覆盖，并随时洒水抑尘； </w:t>
            </w:r>
          </w:p>
          <w:p w14:paraId="1BC9D4B4">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ascii="东文宋体" w:hAnsi="东文宋体" w:eastAsia="东文宋体" w:cs="东文宋体"/>
                <w:sz w:val="24"/>
                <w:szCs w:val="24"/>
                <w:highlight w:val="none"/>
                <w:lang w:val="en-US" w:eastAsia="zh-CN"/>
              </w:rPr>
              <w:t>③</w:t>
            </w:r>
            <w:r>
              <w:rPr>
                <w:rFonts w:hint="default" w:ascii="Times New Roman" w:hAnsi="Times New Roman" w:eastAsia="宋体" w:cs="Times New Roman"/>
                <w:sz w:val="24"/>
                <w:szCs w:val="24"/>
                <w:highlight w:val="none"/>
                <w:lang w:val="en-US" w:eastAsia="zh-CN"/>
              </w:rPr>
              <w:t>运输建筑材料的车辆</w:t>
            </w:r>
            <w:r>
              <w:rPr>
                <w:rFonts w:hint="eastAsia" w:cs="Times New Roman"/>
                <w:sz w:val="24"/>
                <w:szCs w:val="24"/>
                <w:highlight w:val="none"/>
                <w:lang w:val="en-US" w:eastAsia="zh-CN"/>
              </w:rPr>
              <w:t>必须</w:t>
            </w:r>
            <w:r>
              <w:rPr>
                <w:rFonts w:hint="default" w:ascii="Times New Roman" w:hAnsi="Times New Roman" w:eastAsia="宋体" w:cs="Times New Roman"/>
                <w:sz w:val="24"/>
                <w:szCs w:val="24"/>
                <w:highlight w:val="none"/>
                <w:lang w:val="en-US" w:eastAsia="zh-CN"/>
              </w:rPr>
              <w:t>严禁超载，</w:t>
            </w:r>
            <w:r>
              <w:rPr>
                <w:rFonts w:hint="eastAsia" w:cs="Times New Roman"/>
                <w:sz w:val="24"/>
                <w:szCs w:val="24"/>
                <w:highlight w:val="none"/>
                <w:lang w:val="en-US" w:eastAsia="zh-CN"/>
              </w:rPr>
              <w:t>而</w:t>
            </w:r>
            <w:r>
              <w:rPr>
                <w:rFonts w:hint="default" w:ascii="Times New Roman" w:hAnsi="Times New Roman" w:eastAsia="宋体" w:cs="Times New Roman"/>
                <w:sz w:val="24"/>
                <w:szCs w:val="24"/>
                <w:highlight w:val="none"/>
                <w:lang w:val="en-US" w:eastAsia="zh-CN"/>
              </w:rPr>
              <w:t>运输颗粒物料沙土等车辆</w:t>
            </w:r>
            <w:r>
              <w:rPr>
                <w:rFonts w:hint="eastAsia" w:cs="Times New Roman"/>
                <w:sz w:val="24"/>
                <w:szCs w:val="24"/>
                <w:highlight w:val="none"/>
                <w:lang w:val="en-US" w:eastAsia="zh-CN"/>
              </w:rPr>
              <w:t>则</w:t>
            </w:r>
            <w:r>
              <w:rPr>
                <w:rFonts w:hint="default" w:ascii="Times New Roman" w:hAnsi="Times New Roman" w:eastAsia="宋体" w:cs="Times New Roman"/>
                <w:sz w:val="24"/>
                <w:szCs w:val="24"/>
                <w:highlight w:val="none"/>
                <w:lang w:val="en-US" w:eastAsia="zh-CN"/>
              </w:rPr>
              <w:t>必须采取加盖篷布等防尘措施，</w:t>
            </w:r>
            <w:r>
              <w:rPr>
                <w:rFonts w:hint="eastAsia" w:cs="Times New Roman"/>
                <w:sz w:val="24"/>
                <w:szCs w:val="24"/>
                <w:highlight w:val="none"/>
                <w:lang w:val="en-US" w:eastAsia="zh-CN"/>
              </w:rPr>
              <w:t>以</w:t>
            </w:r>
            <w:r>
              <w:rPr>
                <w:rFonts w:hint="default" w:ascii="Times New Roman" w:hAnsi="Times New Roman" w:eastAsia="宋体" w:cs="Times New Roman"/>
                <w:sz w:val="24"/>
                <w:szCs w:val="24"/>
                <w:highlight w:val="none"/>
                <w:lang w:val="en-US" w:eastAsia="zh-CN"/>
              </w:rPr>
              <w:t>防止物料沿途抛撒导致二次扬尘。车辆应按照批准的路线和时间进行物料等的运输；</w:t>
            </w:r>
            <w:r>
              <w:rPr>
                <w:rFonts w:hint="default" w:ascii="Times New Roman" w:hAnsi="Times New Roman" w:eastAsia="宋体" w:cs="Times New Roman"/>
                <w:sz w:val="24"/>
                <w:szCs w:val="24"/>
                <w:highlight w:val="none"/>
              </w:rPr>
              <w:t>施工现场设置洒水车，对施工现场和进场道路进行定期洒水，保持地面湿度，在无雨日的上下午各洒水两次，减少二次扬尘产生。</w:t>
            </w:r>
            <w:r>
              <w:rPr>
                <w:rFonts w:hint="default" w:ascii="Times New Roman" w:hAnsi="Times New Roman" w:eastAsia="宋体" w:cs="Times New Roman"/>
                <w:sz w:val="24"/>
                <w:szCs w:val="24"/>
                <w:highlight w:val="none"/>
                <w:lang w:val="en-US" w:eastAsia="zh-CN"/>
              </w:rPr>
              <w:t xml:space="preserve"> </w:t>
            </w:r>
          </w:p>
          <w:p w14:paraId="1E251F81">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ascii="华文中宋" w:hAnsi="华文中宋" w:eastAsia="华文中宋" w:cs="华文中宋"/>
                <w:sz w:val="24"/>
                <w:szCs w:val="24"/>
                <w:highlight w:val="none"/>
                <w:lang w:val="en-US" w:eastAsia="zh-CN"/>
              </w:rPr>
              <w:t>④</w:t>
            </w:r>
            <w:r>
              <w:rPr>
                <w:rFonts w:hint="default" w:ascii="Times New Roman" w:hAnsi="Times New Roman" w:eastAsia="宋体" w:cs="Times New Roman"/>
                <w:sz w:val="24"/>
                <w:szCs w:val="24"/>
                <w:highlight w:val="none"/>
                <w:lang w:val="en-US" w:eastAsia="zh-CN"/>
              </w:rPr>
              <w:t>土方作业，采取洒水抑尘措施，缩短起尘操作时间；气象预报风速达到四级以上或者出现重污染天气状况时，应停止土石方作业工程施工；在施工中要加强管理、切实落实好以上措施，施工场地产生的扬尘，经过减少或延缓对其影响较小，同时该环境影响将随施工的结束而消失。</w:t>
            </w:r>
          </w:p>
          <w:p w14:paraId="1E0A75C3">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eastAsia" w:ascii="华文中宋" w:hAnsi="华文中宋" w:eastAsia="华文中宋" w:cs="华文中宋"/>
                <w:sz w:val="24"/>
                <w:szCs w:val="24"/>
                <w:highlight w:val="none"/>
                <w:lang w:eastAsia="zh-CN"/>
              </w:rPr>
              <w:t>⑤</w:t>
            </w:r>
            <w:r>
              <w:rPr>
                <w:rFonts w:hint="default" w:ascii="Times New Roman" w:hAnsi="Times New Roman" w:eastAsia="宋体" w:cs="Times New Roman"/>
                <w:sz w:val="24"/>
                <w:szCs w:val="24"/>
                <w:highlight w:val="none"/>
              </w:rPr>
              <w:t>施工现场各类建材应进料有序，原则上不超过一周的施工用料。建材堆放应设置标牌，实现分类堆放。建材堆放应当整齐有序，无场外和占道（绿地）堆放物料现象，禁止露天敞开堆放易扬尘性建筑施工材料。对于场地内易起尘的物料均采取袋装、覆盖等措施。</w:t>
            </w:r>
          </w:p>
          <w:p w14:paraId="538AD1EF">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ascii="华文中宋" w:hAnsi="华文中宋" w:eastAsia="华文中宋" w:cs="华文中宋"/>
                <w:sz w:val="24"/>
                <w:szCs w:val="24"/>
                <w:highlight w:val="none"/>
                <w:lang w:eastAsia="zh-CN"/>
              </w:rPr>
              <w:t>⑥</w:t>
            </w:r>
            <w:r>
              <w:rPr>
                <w:rFonts w:hint="default" w:ascii="Times New Roman" w:hAnsi="Times New Roman" w:eastAsia="宋体" w:cs="Times New Roman"/>
                <w:sz w:val="24"/>
                <w:szCs w:val="24"/>
                <w:highlight w:val="none"/>
                <w:lang w:val="en-US" w:eastAsia="zh-CN"/>
              </w:rPr>
              <w:t>施工期开挖土方集中堆存，临时堆土进行拦挡、苫盖防护，减少堆存量、减短堆存时间，施工期对表土进行剥离，堆放于</w:t>
            </w:r>
            <w:r>
              <w:rPr>
                <w:rFonts w:hint="eastAsia" w:cs="Times New Roman"/>
                <w:sz w:val="24"/>
                <w:szCs w:val="24"/>
                <w:highlight w:val="none"/>
                <w:lang w:val="en-US" w:eastAsia="zh-CN"/>
              </w:rPr>
              <w:t>管沟一侧</w:t>
            </w:r>
            <w:r>
              <w:rPr>
                <w:rFonts w:hint="default" w:ascii="Times New Roman" w:hAnsi="Times New Roman" w:eastAsia="宋体" w:cs="Times New Roman"/>
                <w:sz w:val="24"/>
                <w:szCs w:val="24"/>
                <w:highlight w:val="none"/>
                <w:lang w:val="en-US" w:eastAsia="zh-CN"/>
              </w:rPr>
              <w:t>，最终用于植被恢复用土。施工结束后及时进行土地平整及植被恢复</w:t>
            </w:r>
            <w:r>
              <w:rPr>
                <w:rFonts w:hint="default" w:ascii="Times New Roman" w:hAnsi="Times New Roman" w:eastAsia="宋体" w:cs="Times New Roman"/>
                <w:sz w:val="24"/>
                <w:szCs w:val="24"/>
                <w:highlight w:val="none"/>
              </w:rPr>
              <w:t>。</w:t>
            </w:r>
          </w:p>
          <w:p w14:paraId="54E745D0">
            <w:pPr>
              <w:pStyle w:val="12"/>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highlight w:val="none"/>
                <w:lang w:val="en-US" w:eastAsia="zh-CN"/>
              </w:rPr>
            </w:pPr>
            <w:r>
              <w:rPr>
                <w:rFonts w:hint="eastAsia" w:cs="Times New Roman"/>
                <w:color w:val="000000"/>
                <w:kern w:val="0"/>
                <w:sz w:val="24"/>
                <w:szCs w:val="24"/>
                <w:highlight w:val="none"/>
                <w:lang w:val="en-US" w:eastAsia="zh-CN" w:bidi="ar"/>
              </w:rPr>
              <w:t>（2）焊接废气：焊接废气的排放具有分散、间断排放特点，自然散逸，对环境影响不大。</w:t>
            </w:r>
          </w:p>
          <w:p w14:paraId="5DCD8F61">
            <w:pPr>
              <w:keepNext w:val="0"/>
              <w:keepLines w:val="0"/>
              <w:pageBreakBefore w:val="0"/>
              <w:widowControl/>
              <w:suppressLineNumbers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）施工机械与运输车辆</w:t>
            </w:r>
            <w:r>
              <w:rPr>
                <w:rFonts w:hint="default" w:ascii="Times New Roman" w:hAnsi="Times New Roman" w:eastAsia="宋体" w:cs="Times New Roman"/>
                <w:sz w:val="24"/>
                <w:szCs w:val="24"/>
                <w:highlight w:val="none"/>
                <w:lang w:val="en-US" w:eastAsia="zh-CN"/>
              </w:rPr>
              <w:t>尾气</w:t>
            </w:r>
          </w:p>
          <w:p w14:paraId="0739E1A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对于施工机械与车辆产生的</w:t>
            </w:r>
            <w:r>
              <w:rPr>
                <w:rFonts w:hint="default" w:ascii="Times New Roman" w:hAnsi="Times New Roman" w:eastAsia="宋体" w:cs="Times New Roman"/>
                <w:sz w:val="24"/>
                <w:szCs w:val="24"/>
                <w:highlight w:val="none"/>
                <w:lang w:val="en-US" w:eastAsia="zh-CN"/>
              </w:rPr>
              <w:t>尾气采取以下措施，</w:t>
            </w:r>
            <w:r>
              <w:rPr>
                <w:rFonts w:hint="default" w:ascii="Times New Roman" w:hAnsi="Times New Roman" w:eastAsia="宋体" w:cs="Times New Roman"/>
                <w:color w:val="000000"/>
                <w:kern w:val="0"/>
                <w:sz w:val="24"/>
                <w:szCs w:val="24"/>
                <w:highlight w:val="none"/>
                <w:lang w:val="en-US" w:eastAsia="zh-CN" w:bidi="ar"/>
              </w:rPr>
              <w:t>施工期各机械设备必须使用满足标准的油品，不得使用低于国家阶段性排放标准的汽油和柴油；在施工过程中采取控制速度，缩短怠速、减速和加速的时间；加强车辆及施工机械的维护保养，保证不排放黑烟；做好车辆疏导，减轻塞车或车速减低带来的尾气污染；在加强施工机械和运输车辆管理和合理安排调度作业的前提下，燃油废气对环境空气质量基本无影响。</w:t>
            </w:r>
          </w:p>
          <w:p w14:paraId="20BCCC38">
            <w:pPr>
              <w:keepNext w:val="0"/>
              <w:keepLines w:val="0"/>
              <w:pageBreakBefore w:val="0"/>
              <w:widowControl/>
              <w:suppressLineNumbers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总之，项目施工期扬尘对周围空气环境有一定的影响，但是由于施工期是暂时的，影响也是短暂的，随着项目的竣工，施工期</w:t>
            </w:r>
            <w:r>
              <w:rPr>
                <w:rFonts w:hint="eastAsia" w:cs="Times New Roman"/>
                <w:sz w:val="24"/>
                <w:szCs w:val="24"/>
                <w:highlight w:val="none"/>
                <w:lang w:eastAsia="zh-CN"/>
              </w:rPr>
              <w:t>对</w:t>
            </w:r>
            <w:r>
              <w:rPr>
                <w:rFonts w:hint="default" w:ascii="Times New Roman" w:hAnsi="Times New Roman" w:eastAsia="宋体" w:cs="Times New Roman"/>
                <w:sz w:val="24"/>
                <w:szCs w:val="24"/>
                <w:highlight w:val="none"/>
              </w:rPr>
              <w:t>大气环境影响也将随之消失。</w:t>
            </w:r>
          </w:p>
          <w:p w14:paraId="1426C2ED">
            <w:pPr>
              <w:pStyle w:val="36"/>
              <w:keepNext w:val="0"/>
              <w:keepLines w:val="0"/>
              <w:pageBreakBefore w:val="0"/>
              <w:tabs>
                <w:tab w:val="left" w:pos="425"/>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lang w:val="en-US" w:eastAsia="zh-CN"/>
              </w:rPr>
              <w:t>三</w:t>
            </w:r>
            <w:r>
              <w:rPr>
                <w:rFonts w:hint="default" w:ascii="Times New Roman" w:hAnsi="Times New Roman" w:eastAsia="宋体" w:cs="Times New Roman"/>
                <w:b w:val="0"/>
                <w:bCs/>
                <w:sz w:val="24"/>
                <w:highlight w:val="none"/>
              </w:rPr>
              <w:t>、</w:t>
            </w:r>
            <w:r>
              <w:rPr>
                <w:rFonts w:hint="default" w:ascii="Times New Roman" w:hAnsi="Times New Roman" w:eastAsia="宋体" w:cs="Times New Roman"/>
                <w:b w:val="0"/>
                <w:bCs/>
                <w:sz w:val="24"/>
                <w:highlight w:val="none"/>
                <w:lang w:val="en-US" w:eastAsia="zh-CN"/>
              </w:rPr>
              <w:t>水环境保护措施</w:t>
            </w:r>
          </w:p>
          <w:p w14:paraId="6BFBC7DA">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lang w:eastAsia="zh-CN"/>
              </w:rPr>
              <w:t>本项目施工期</w:t>
            </w:r>
            <w:r>
              <w:rPr>
                <w:rFonts w:hint="default" w:ascii="Times New Roman" w:hAnsi="Times New Roman" w:eastAsia="宋体" w:cs="Times New Roman"/>
                <w:b w:val="0"/>
                <w:bCs/>
                <w:sz w:val="24"/>
                <w:szCs w:val="24"/>
                <w:highlight w:val="none"/>
                <w:lang w:val="en-US" w:eastAsia="zh-CN"/>
              </w:rPr>
              <w:t>施工人员产生的生活污水</w:t>
            </w:r>
            <w:r>
              <w:rPr>
                <w:rFonts w:hint="eastAsia" w:cs="Times New Roman"/>
                <w:b w:val="0"/>
                <w:bCs/>
                <w:sz w:val="24"/>
                <w:szCs w:val="24"/>
                <w:highlight w:val="none"/>
                <w:lang w:val="en-US" w:eastAsia="zh-CN"/>
              </w:rPr>
              <w:t>设置临时化粪池，收集后送往吉日嘎朗图镇生活污水处理厂</w:t>
            </w:r>
            <w:r>
              <w:rPr>
                <w:rFonts w:hint="default" w:ascii="Times New Roman" w:hAnsi="Times New Roman" w:eastAsia="宋体" w:cs="Times New Roman"/>
                <w:b w:val="0"/>
                <w:bCs/>
                <w:sz w:val="24"/>
                <w:szCs w:val="24"/>
                <w:highlight w:val="none"/>
                <w:lang w:val="en-US" w:eastAsia="zh-CN"/>
              </w:rPr>
              <w:t>，不直接排入环境，对环境影响较小</w:t>
            </w:r>
          </w:p>
          <w:p w14:paraId="737EE176">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val="0"/>
                <w:kern w:val="0"/>
                <w:sz w:val="24"/>
                <w:highlight w:val="none"/>
                <w:lang w:val="en-US" w:eastAsia="zh-CN"/>
              </w:rPr>
              <w:t>项目施工废水</w:t>
            </w:r>
            <w:r>
              <w:rPr>
                <w:rFonts w:hint="eastAsia" w:cs="Times New Roman"/>
                <w:b w:val="0"/>
                <w:bCs w:val="0"/>
                <w:kern w:val="0"/>
                <w:sz w:val="24"/>
                <w:highlight w:val="none"/>
                <w:lang w:val="en-US" w:eastAsia="zh-CN"/>
              </w:rPr>
              <w:t>主要是</w:t>
            </w:r>
            <w:r>
              <w:rPr>
                <w:rFonts w:hint="eastAsia" w:ascii="宋体" w:hAnsi="宋体" w:eastAsia="宋体" w:cs="宋体"/>
                <w:color w:val="000000"/>
                <w:kern w:val="0"/>
                <w:sz w:val="24"/>
                <w:szCs w:val="24"/>
                <w:highlight w:val="none"/>
                <w:lang w:val="en-US" w:eastAsia="zh-CN" w:bidi="ar"/>
              </w:rPr>
              <w:t>施工作业废水</w:t>
            </w:r>
            <w:r>
              <w:rPr>
                <w:rFonts w:hint="eastAsia" w:ascii="宋体" w:hAnsi="宋体" w:cs="宋体"/>
                <w:color w:val="auto"/>
                <w:kern w:val="0"/>
                <w:sz w:val="24"/>
                <w:highlight w:val="none"/>
                <w:lang w:eastAsia="zh-CN"/>
              </w:rPr>
              <w:t>和</w:t>
            </w:r>
            <w:r>
              <w:rPr>
                <w:rFonts w:hint="eastAsia" w:ascii="宋体" w:hAnsi="宋体" w:eastAsia="宋体" w:cs="宋体"/>
                <w:color w:val="000000"/>
                <w:kern w:val="0"/>
                <w:sz w:val="24"/>
                <w:szCs w:val="24"/>
                <w:highlight w:val="none"/>
                <w:lang w:val="en-US" w:eastAsia="zh-CN" w:bidi="ar"/>
              </w:rPr>
              <w:t>输水管道试压废水</w:t>
            </w:r>
            <w:r>
              <w:rPr>
                <w:rFonts w:hint="eastAsia" w:cs="Times New Roman"/>
                <w:b w:val="0"/>
                <w:bCs/>
                <w:sz w:val="24"/>
                <w:szCs w:val="24"/>
                <w:highlight w:val="none"/>
                <w:lang w:val="en-US" w:eastAsia="zh-CN"/>
              </w:rPr>
              <w:t>。</w:t>
            </w:r>
            <w:r>
              <w:rPr>
                <w:rFonts w:hint="default" w:ascii="Times New Roman" w:hAnsi="Times New Roman" w:eastAsia="宋体" w:cs="Times New Roman"/>
                <w:b w:val="0"/>
                <w:bCs/>
                <w:sz w:val="24"/>
                <w:szCs w:val="24"/>
                <w:highlight w:val="none"/>
                <w:lang w:val="en-US" w:eastAsia="zh-CN"/>
              </w:rPr>
              <w:t>施工</w:t>
            </w:r>
            <w:r>
              <w:rPr>
                <w:rFonts w:hint="eastAsia" w:cs="Times New Roman"/>
                <w:b w:val="0"/>
                <w:bCs/>
                <w:sz w:val="24"/>
                <w:szCs w:val="24"/>
                <w:highlight w:val="none"/>
                <w:lang w:val="en-US" w:eastAsia="zh-CN"/>
              </w:rPr>
              <w:t>作业</w:t>
            </w:r>
            <w:r>
              <w:rPr>
                <w:rFonts w:hint="default" w:ascii="Times New Roman" w:hAnsi="Times New Roman" w:eastAsia="宋体" w:cs="Times New Roman"/>
                <w:b w:val="0"/>
                <w:bCs/>
                <w:sz w:val="24"/>
                <w:szCs w:val="24"/>
                <w:highlight w:val="none"/>
                <w:lang w:val="en-US" w:eastAsia="zh-CN"/>
              </w:rPr>
              <w:t>废水主要污染物为SS，施工场地内设置沉淀池，施工生产废水经沉淀池处理后循环利用，不排入河道，对地表水环境影响小。</w:t>
            </w:r>
            <w:r>
              <w:rPr>
                <w:rFonts w:hint="default" w:ascii="Times New Roman" w:hAnsi="Times New Roman" w:eastAsia="宋体" w:cs="Times New Roman"/>
                <w:color w:val="000000"/>
                <w:kern w:val="0"/>
                <w:sz w:val="24"/>
                <w:szCs w:val="24"/>
                <w:highlight w:val="none"/>
                <w:lang w:val="en-US" w:eastAsia="zh-CN" w:bidi="ar"/>
              </w:rPr>
              <w:t>试</w:t>
            </w:r>
            <w:r>
              <w:rPr>
                <w:rFonts w:hint="default" w:ascii="Times New Roman" w:hAnsi="Times New Roman" w:eastAsia="宋体" w:cs="Times New Roman"/>
                <w:b w:val="0"/>
                <w:bCs/>
                <w:sz w:val="24"/>
                <w:highlight w:val="none"/>
                <w:lang w:val="en-US" w:eastAsia="zh-CN"/>
              </w:rPr>
              <w:t>压废水：</w:t>
            </w:r>
            <w:r>
              <w:rPr>
                <w:rFonts w:hint="default" w:ascii="Times New Roman" w:hAnsi="Times New Roman" w:eastAsia="宋体" w:cs="Times New Roman"/>
                <w:color w:val="000000"/>
                <w:kern w:val="0"/>
                <w:sz w:val="24"/>
                <w:szCs w:val="24"/>
                <w:highlight w:val="none"/>
                <w:lang w:val="en-US" w:eastAsia="zh-CN" w:bidi="ar"/>
              </w:rPr>
              <w:t>管道试压采用清洁水</w:t>
            </w:r>
            <w:r>
              <w:rPr>
                <w:rFonts w:hint="default" w:ascii="Times New Roman" w:hAnsi="Times New Roman" w:eastAsia="宋体" w:cs="Times New Roman"/>
                <w:b w:val="0"/>
                <w:bCs/>
                <w:sz w:val="24"/>
                <w:highlight w:val="none"/>
                <w:lang w:val="en-US" w:eastAsia="zh-CN"/>
              </w:rPr>
              <w:t>，管道试压分段进行，输水管线试压</w:t>
            </w:r>
            <w:r>
              <w:rPr>
                <w:rFonts w:hint="eastAsia" w:ascii="Times New Roman" w:hAnsi="Times New Roman" w:eastAsia="宋体" w:cs="Times New Roman"/>
                <w:b w:val="0"/>
                <w:bCs/>
                <w:sz w:val="24"/>
                <w:highlight w:val="none"/>
                <w:lang w:val="en-US" w:eastAsia="zh-CN"/>
              </w:rPr>
              <w:t>废水</w:t>
            </w:r>
            <w:r>
              <w:rPr>
                <w:rFonts w:hint="default" w:ascii="Times New Roman" w:hAnsi="Times New Roman" w:eastAsia="宋体" w:cs="Times New Roman"/>
                <w:b w:val="0"/>
                <w:bCs/>
                <w:sz w:val="24"/>
                <w:highlight w:val="none"/>
                <w:lang w:val="en-US" w:eastAsia="zh-CN"/>
              </w:rPr>
              <w:t>主要污染物为SS，由管内排出后进入下一段管线循环使用，试压结束后经沉淀池沉淀后用于</w:t>
            </w:r>
            <w:r>
              <w:rPr>
                <w:rFonts w:hint="eastAsia" w:ascii="Times New Roman" w:hAnsi="Times New Roman" w:eastAsia="宋体" w:cs="Times New Roman"/>
                <w:b w:val="0"/>
                <w:bCs/>
                <w:sz w:val="24"/>
                <w:highlight w:val="none"/>
                <w:lang w:val="en-US" w:eastAsia="zh-CN"/>
              </w:rPr>
              <w:t>施工场地洒水</w:t>
            </w:r>
            <w:r>
              <w:rPr>
                <w:rFonts w:hint="default" w:ascii="Times New Roman" w:hAnsi="Times New Roman" w:eastAsia="宋体" w:cs="Times New Roman"/>
                <w:b w:val="0"/>
                <w:bCs/>
                <w:sz w:val="24"/>
                <w:highlight w:val="none"/>
                <w:lang w:val="en-US" w:eastAsia="zh-CN"/>
              </w:rPr>
              <w:t>降尘。</w:t>
            </w:r>
          </w:p>
          <w:p w14:paraId="081DF755">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szCs w:val="24"/>
                <w:highlight w:val="none"/>
                <w:lang w:eastAsia="zh-CN"/>
              </w:rPr>
            </w:pPr>
            <w:r>
              <w:rPr>
                <w:rFonts w:hint="default" w:ascii="Times New Roman" w:hAnsi="Times New Roman" w:eastAsia="宋体" w:cs="Times New Roman"/>
                <w:b w:val="0"/>
                <w:bCs/>
                <w:sz w:val="24"/>
                <w:szCs w:val="24"/>
                <w:highlight w:val="none"/>
                <w:lang w:val="en-US" w:eastAsia="zh-CN"/>
              </w:rPr>
              <w:t>经过采取上述措施后，施工期废水对</w:t>
            </w:r>
            <w:r>
              <w:rPr>
                <w:rFonts w:hint="eastAsia" w:cs="Times New Roman"/>
                <w:b w:val="0"/>
                <w:bCs/>
                <w:sz w:val="24"/>
                <w:szCs w:val="24"/>
                <w:highlight w:val="none"/>
                <w:lang w:val="en-US" w:eastAsia="zh-CN"/>
              </w:rPr>
              <w:t>水环境</w:t>
            </w:r>
            <w:r>
              <w:rPr>
                <w:rFonts w:hint="default" w:ascii="Times New Roman" w:hAnsi="Times New Roman" w:eastAsia="宋体" w:cs="Times New Roman"/>
                <w:b w:val="0"/>
                <w:bCs/>
                <w:sz w:val="24"/>
                <w:szCs w:val="24"/>
                <w:highlight w:val="none"/>
                <w:lang w:val="en-US" w:eastAsia="zh-CN"/>
              </w:rPr>
              <w:t>产生影响小。</w:t>
            </w:r>
          </w:p>
          <w:p w14:paraId="3DC06672">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lang w:val="en-US" w:eastAsia="zh-CN"/>
              </w:rPr>
              <w:t>四</w:t>
            </w:r>
            <w:r>
              <w:rPr>
                <w:rFonts w:hint="default" w:ascii="Times New Roman" w:hAnsi="Times New Roman" w:eastAsia="宋体" w:cs="Times New Roman"/>
                <w:b w:val="0"/>
                <w:bCs/>
                <w:sz w:val="24"/>
                <w:highlight w:val="none"/>
              </w:rPr>
              <w:t>、</w:t>
            </w:r>
            <w:r>
              <w:rPr>
                <w:rFonts w:hint="default" w:ascii="Times New Roman" w:hAnsi="Times New Roman" w:eastAsia="宋体" w:cs="Times New Roman"/>
                <w:b w:val="0"/>
                <w:bCs/>
                <w:sz w:val="24"/>
                <w:highlight w:val="none"/>
                <w:lang w:val="en-US" w:eastAsia="zh-CN"/>
              </w:rPr>
              <w:t>声环境保护措施</w:t>
            </w:r>
          </w:p>
          <w:p w14:paraId="5EC25A1A">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eastAsia" w:ascii="东文宋体" w:hAnsi="东文宋体" w:eastAsia="东文宋体" w:cs="东文宋体"/>
                <w:b w:val="0"/>
                <w:bCs/>
                <w:sz w:val="24"/>
                <w:highlight w:val="none"/>
              </w:rPr>
              <w:t>①</w:t>
            </w:r>
            <w:r>
              <w:rPr>
                <w:rFonts w:hint="default" w:ascii="Times New Roman" w:hAnsi="Times New Roman" w:eastAsia="宋体" w:cs="Times New Roman"/>
                <w:b w:val="0"/>
                <w:bCs/>
                <w:sz w:val="24"/>
                <w:highlight w:val="none"/>
              </w:rPr>
              <w:t>施工单位要合理安排施工作业时间，晚间22:00~6:00严禁施工。施工单位应合理安排施工机械的作业位置；</w:t>
            </w:r>
          </w:p>
          <w:p w14:paraId="18B72DEC">
            <w:pPr>
              <w:keepNext w:val="0"/>
              <w:keepLines w:val="0"/>
              <w:pageBreakBefore w:val="0"/>
              <w:kinsoku/>
              <w:wordWrap/>
              <w:overflowPunct/>
              <w:topLinePunct w:val="0"/>
              <w:autoSpaceDE/>
              <w:autoSpaceDN/>
              <w:bidi w:val="0"/>
              <w:spacing w:line="360" w:lineRule="auto"/>
              <w:ind w:firstLine="480" w:firstLineChars="200"/>
              <w:textAlignment w:val="auto"/>
              <w:rPr>
                <w:highlight w:val="none"/>
              </w:rPr>
            </w:pPr>
            <w:r>
              <w:rPr>
                <w:rFonts w:hint="eastAsia" w:ascii="东文宋体" w:hAnsi="东文宋体" w:eastAsia="东文宋体" w:cs="东文宋体"/>
                <w:b w:val="0"/>
                <w:bCs/>
                <w:sz w:val="24"/>
                <w:highlight w:val="none"/>
              </w:rPr>
              <w:t>②</w:t>
            </w:r>
            <w:r>
              <w:rPr>
                <w:rFonts w:hint="default" w:ascii="Times New Roman" w:hAnsi="Times New Roman" w:eastAsia="宋体" w:cs="Times New Roman"/>
                <w:b w:val="0"/>
                <w:bCs/>
                <w:sz w:val="24"/>
                <w:highlight w:val="none"/>
              </w:rPr>
              <w:t>施工机械产生的噪声往往具有突发、无规则、不连续和高强度等特点，施工单位应采取合理安排施工机械操作时间的方法加以缓解，并减少同时作业的高噪声施工机械数量，以减轻声源叠加造成的影响。</w:t>
            </w:r>
          </w:p>
          <w:p w14:paraId="3F638BD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b w:val="0"/>
                <w:bCs/>
                <w:sz w:val="24"/>
                <w:highlight w:val="none"/>
                <w:lang w:val="en-US" w:eastAsia="zh-CN"/>
              </w:rPr>
            </w:pPr>
            <w:r>
              <w:rPr>
                <w:rFonts w:hint="eastAsia" w:ascii="东文宋体" w:hAnsi="东文宋体" w:eastAsia="东文宋体" w:cs="东文宋体"/>
                <w:b w:val="0"/>
                <w:bCs/>
                <w:sz w:val="24"/>
                <w:highlight w:val="none"/>
                <w:lang w:eastAsia="zh-CN"/>
              </w:rPr>
              <w:t>③</w:t>
            </w:r>
            <w:r>
              <w:rPr>
                <w:color w:val="auto"/>
                <w:sz w:val="24"/>
                <w:highlight w:val="none"/>
              </w:rPr>
              <w:t>选择低噪声的施工设备。施工过程中，施工单位应定期对设备进行保养和维护，严格按照操作规程使用各类设备。</w:t>
            </w:r>
          </w:p>
          <w:p w14:paraId="5B68A757">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rPr>
              <w:t>采取以上措施后，施工期噪声对周围环境</w:t>
            </w:r>
            <w:r>
              <w:rPr>
                <w:rFonts w:hint="eastAsia" w:cs="Times New Roman"/>
                <w:b w:val="0"/>
                <w:bCs/>
                <w:sz w:val="24"/>
                <w:highlight w:val="none"/>
                <w:lang w:eastAsia="zh-CN"/>
              </w:rPr>
              <w:t>的影响符合</w:t>
            </w:r>
            <w:r>
              <w:rPr>
                <w:rFonts w:hint="default" w:ascii="Times New Roman" w:hAnsi="Times New Roman" w:eastAsia="宋体" w:cs="Times New Roman"/>
                <w:b w:val="0"/>
                <w:bCs/>
                <w:sz w:val="24"/>
                <w:highlight w:val="none"/>
              </w:rPr>
              <w:t>《建筑施工场界环境噪声排放标准》（GB12523-2011）的要求，对周围环境</w:t>
            </w:r>
            <w:r>
              <w:rPr>
                <w:rFonts w:hint="eastAsia" w:cs="Times New Roman"/>
                <w:b w:val="0"/>
                <w:bCs/>
                <w:sz w:val="24"/>
                <w:highlight w:val="none"/>
                <w:lang w:eastAsia="zh-CN"/>
              </w:rPr>
              <w:t>的</w:t>
            </w:r>
            <w:r>
              <w:rPr>
                <w:rFonts w:hint="default" w:ascii="Times New Roman" w:hAnsi="Times New Roman" w:eastAsia="宋体" w:cs="Times New Roman"/>
                <w:b w:val="0"/>
                <w:bCs/>
                <w:sz w:val="24"/>
                <w:highlight w:val="none"/>
              </w:rPr>
              <w:t>影响</w:t>
            </w:r>
            <w:r>
              <w:rPr>
                <w:rFonts w:hint="eastAsia" w:cs="Times New Roman"/>
                <w:b w:val="0"/>
                <w:bCs/>
                <w:sz w:val="24"/>
                <w:highlight w:val="none"/>
                <w:lang w:eastAsia="zh-CN"/>
              </w:rPr>
              <w:t>较小</w:t>
            </w:r>
            <w:r>
              <w:rPr>
                <w:rFonts w:hint="default" w:ascii="Times New Roman" w:hAnsi="Times New Roman" w:eastAsia="宋体" w:cs="Times New Roman"/>
                <w:b w:val="0"/>
                <w:bCs/>
                <w:sz w:val="24"/>
                <w:highlight w:val="none"/>
              </w:rPr>
              <w:t>。</w:t>
            </w:r>
          </w:p>
          <w:p w14:paraId="1B325F46">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五、</w:t>
            </w:r>
            <w:r>
              <w:rPr>
                <w:rFonts w:hint="default" w:ascii="Times New Roman" w:hAnsi="Times New Roman" w:eastAsia="宋体" w:cs="Times New Roman"/>
                <w:b w:val="0"/>
                <w:bCs/>
                <w:sz w:val="24"/>
                <w:highlight w:val="none"/>
                <w:lang w:val="en-US" w:eastAsia="zh-CN"/>
              </w:rPr>
              <w:t>固体废物</w:t>
            </w:r>
            <w:r>
              <w:rPr>
                <w:rFonts w:hint="eastAsia" w:eastAsia="宋体" w:cs="Times New Roman"/>
                <w:b w:val="0"/>
                <w:bCs/>
                <w:sz w:val="24"/>
                <w:highlight w:val="none"/>
                <w:lang w:val="en-US" w:eastAsia="zh-CN"/>
              </w:rPr>
              <w:t>保护措施</w:t>
            </w:r>
          </w:p>
          <w:p w14:paraId="50998CE7">
            <w:pPr>
              <w:keepNext w:val="0"/>
              <w:keepLines w:val="0"/>
              <w:pageBreakBefore w:val="0"/>
              <w:widowControl w:val="0"/>
              <w:kinsoku/>
              <w:wordWrap/>
              <w:overflowPunct/>
              <w:topLinePunct w:val="0"/>
              <w:autoSpaceDE/>
              <w:autoSpaceDN/>
              <w:bidi w:val="0"/>
              <w:adjustRightInd/>
              <w:snapToGrid/>
              <w:spacing w:line="360" w:lineRule="auto"/>
              <w:ind w:leftChars="0" w:right="0" w:firstLine="480" w:firstLineChars="200"/>
              <w:textAlignment w:val="auto"/>
              <w:rPr>
                <w:rFonts w:hint="default" w:ascii="Times New Roman" w:hAnsi="Times New Roman" w:eastAsia="宋体" w:cs="Times New Roman"/>
                <w:b w:val="0"/>
                <w:bCs/>
                <w:sz w:val="24"/>
                <w:highlight w:val="none"/>
              </w:rPr>
            </w:pPr>
            <w:r>
              <w:rPr>
                <w:rFonts w:hint="eastAsia" w:ascii="Times New Roman" w:hAnsi="Times New Roman" w:eastAsia="宋体" w:cs="Times New Roman"/>
                <w:b w:val="0"/>
                <w:bCs w:val="0"/>
                <w:sz w:val="24"/>
                <w:szCs w:val="24"/>
                <w:highlight w:val="none"/>
                <w:lang w:eastAsia="zh-CN"/>
              </w:rPr>
              <w:t>（</w:t>
            </w:r>
            <w:r>
              <w:rPr>
                <w:rFonts w:hint="eastAsia" w:eastAsia="宋体" w:cs="Times New Roman"/>
                <w:b w:val="0"/>
                <w:bCs w:val="0"/>
                <w:sz w:val="24"/>
                <w:szCs w:val="24"/>
                <w:highlight w:val="none"/>
                <w:lang w:val="en-US" w:eastAsia="zh-CN"/>
              </w:rPr>
              <w:t>1</w:t>
            </w:r>
            <w:r>
              <w:rPr>
                <w:rFonts w:hint="eastAsia"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lang w:val="en-US" w:eastAsia="zh-CN"/>
              </w:rPr>
              <w:t>施工</w:t>
            </w:r>
            <w:r>
              <w:rPr>
                <w:rFonts w:hint="default" w:ascii="Times New Roman" w:hAnsi="Times New Roman" w:eastAsia="宋体" w:cs="Times New Roman"/>
                <w:b w:val="0"/>
                <w:bCs/>
                <w:sz w:val="24"/>
                <w:szCs w:val="24"/>
                <w:highlight w:val="none"/>
                <w:lang w:val="en-US" w:eastAsia="zh-CN"/>
              </w:rPr>
              <w:t>人员</w:t>
            </w:r>
            <w:r>
              <w:rPr>
                <w:rFonts w:hint="eastAsia" w:cs="Times New Roman"/>
                <w:b w:val="0"/>
                <w:bCs/>
                <w:sz w:val="24"/>
                <w:szCs w:val="24"/>
                <w:highlight w:val="none"/>
                <w:lang w:val="en-US" w:eastAsia="zh-CN"/>
              </w:rPr>
              <w:t>的</w:t>
            </w:r>
            <w:r>
              <w:rPr>
                <w:rFonts w:hint="default" w:ascii="Times New Roman" w:hAnsi="Times New Roman" w:eastAsia="宋体" w:cs="Times New Roman"/>
                <w:b w:val="0"/>
                <w:bCs/>
                <w:sz w:val="24"/>
                <w:szCs w:val="24"/>
                <w:highlight w:val="none"/>
                <w:lang w:val="en-US" w:eastAsia="zh-CN"/>
              </w:rPr>
              <w:t>生活垃圾</w:t>
            </w:r>
            <w:r>
              <w:rPr>
                <w:rFonts w:hint="eastAsia" w:cs="Times New Roman"/>
                <w:b w:val="0"/>
                <w:bCs/>
                <w:sz w:val="24"/>
                <w:szCs w:val="24"/>
                <w:highlight w:val="none"/>
                <w:lang w:val="en-US" w:eastAsia="zh-CN"/>
              </w:rPr>
              <w:t>：</w:t>
            </w:r>
            <w:r>
              <w:rPr>
                <w:rFonts w:hint="default" w:ascii="Times New Roman" w:hAnsi="Times New Roman" w:eastAsia="宋体" w:cs="Times New Roman"/>
                <w:b w:val="0"/>
                <w:bCs/>
                <w:sz w:val="24"/>
                <w:szCs w:val="24"/>
                <w:highlight w:val="none"/>
                <w:lang w:val="en-US" w:eastAsia="zh-CN"/>
              </w:rPr>
              <w:t>施工期间产生的生活垃圾量</w:t>
            </w:r>
            <w:r>
              <w:rPr>
                <w:rFonts w:hint="eastAsia" w:cs="Times New Roman"/>
                <w:b w:val="0"/>
                <w:bCs/>
                <w:sz w:val="24"/>
                <w:szCs w:val="24"/>
                <w:highlight w:val="none"/>
                <w:lang w:val="en-US" w:eastAsia="zh-CN"/>
              </w:rPr>
              <w:t>约</w:t>
            </w:r>
            <w:r>
              <w:rPr>
                <w:rFonts w:hint="default" w:ascii="Times New Roman" w:hAnsi="Times New Roman" w:eastAsia="宋体" w:cs="Times New Roman"/>
                <w:b w:val="0"/>
                <w:bCs/>
                <w:sz w:val="24"/>
                <w:szCs w:val="24"/>
                <w:highlight w:val="none"/>
                <w:lang w:val="en-US" w:eastAsia="zh-CN"/>
              </w:rPr>
              <w:t>为</w:t>
            </w:r>
            <w:r>
              <w:rPr>
                <w:rFonts w:hint="eastAsia" w:cs="Times New Roman"/>
                <w:b w:val="0"/>
                <w:bCs/>
                <w:sz w:val="24"/>
                <w:szCs w:val="24"/>
                <w:highlight w:val="none"/>
                <w:lang w:val="en-US" w:eastAsia="zh-CN"/>
              </w:rPr>
              <w:t>15kg/d</w:t>
            </w:r>
            <w:r>
              <w:rPr>
                <w:rFonts w:hint="default" w:ascii="Times New Roman" w:hAnsi="Times New Roman" w:eastAsia="宋体" w:cs="Times New Roman"/>
                <w:b w:val="0"/>
                <w:bCs/>
                <w:sz w:val="24"/>
                <w:szCs w:val="24"/>
                <w:highlight w:val="none"/>
                <w:lang w:val="en-US" w:eastAsia="zh-CN"/>
              </w:rPr>
              <w:t>。</w:t>
            </w:r>
            <w:r>
              <w:rPr>
                <w:rFonts w:hint="default" w:ascii="Times New Roman" w:hAnsi="Times New Roman" w:eastAsia="宋体" w:cs="Times New Roman"/>
                <w:b w:val="0"/>
                <w:bCs/>
                <w:sz w:val="24"/>
                <w:highlight w:val="none"/>
                <w:lang w:eastAsia="zh-CN"/>
              </w:rPr>
              <w:t>设置</w:t>
            </w:r>
            <w:r>
              <w:rPr>
                <w:rFonts w:hint="default" w:ascii="Times New Roman" w:hAnsi="Times New Roman" w:eastAsia="宋体" w:cs="Times New Roman"/>
                <w:b w:val="0"/>
                <w:bCs/>
                <w:sz w:val="24"/>
                <w:highlight w:val="none"/>
              </w:rPr>
              <w:t>垃圾桶</w:t>
            </w:r>
            <w:r>
              <w:rPr>
                <w:rFonts w:hint="default" w:ascii="Times New Roman" w:hAnsi="Times New Roman" w:eastAsia="宋体" w:cs="Times New Roman"/>
                <w:b w:val="0"/>
                <w:bCs/>
                <w:sz w:val="24"/>
                <w:highlight w:val="none"/>
                <w:lang w:eastAsia="zh-CN"/>
              </w:rPr>
              <w:t>收集</w:t>
            </w:r>
            <w:r>
              <w:rPr>
                <w:rFonts w:hint="default" w:ascii="Times New Roman" w:hAnsi="Times New Roman" w:eastAsia="宋体" w:cs="Times New Roman"/>
                <w:b w:val="0"/>
                <w:bCs/>
                <w:sz w:val="24"/>
                <w:highlight w:val="none"/>
              </w:rPr>
              <w:t>，</w:t>
            </w:r>
            <w:r>
              <w:rPr>
                <w:rFonts w:hint="default" w:ascii="Times New Roman" w:hAnsi="Times New Roman" w:eastAsia="宋体" w:cs="Times New Roman"/>
                <w:b w:val="0"/>
                <w:bCs/>
                <w:sz w:val="24"/>
                <w:highlight w:val="none"/>
                <w:lang w:val="en-US" w:eastAsia="zh-CN"/>
              </w:rPr>
              <w:t>施工人员生活垃圾集中收集后运往当地生活垃圾收集点，</w:t>
            </w:r>
            <w:r>
              <w:rPr>
                <w:rFonts w:hint="eastAsia" w:cs="Times New Roman"/>
                <w:b w:val="0"/>
                <w:bCs/>
                <w:sz w:val="24"/>
                <w:highlight w:val="none"/>
                <w:lang w:val="en-US" w:eastAsia="zh-CN"/>
              </w:rPr>
              <w:t>由</w:t>
            </w:r>
            <w:r>
              <w:rPr>
                <w:rFonts w:hint="default" w:ascii="Times New Roman" w:hAnsi="Times New Roman" w:eastAsia="宋体" w:cs="Times New Roman"/>
                <w:b w:val="0"/>
                <w:bCs/>
                <w:sz w:val="24"/>
                <w:highlight w:val="none"/>
                <w:lang w:val="en-US" w:eastAsia="zh-CN"/>
              </w:rPr>
              <w:t>当地环卫部门</w:t>
            </w:r>
            <w:r>
              <w:rPr>
                <w:rFonts w:hint="eastAsia" w:cs="Times New Roman"/>
                <w:b w:val="0"/>
                <w:bCs/>
                <w:sz w:val="24"/>
                <w:highlight w:val="none"/>
                <w:lang w:val="en-US" w:eastAsia="zh-CN"/>
              </w:rPr>
              <w:t>进行</w:t>
            </w:r>
            <w:r>
              <w:rPr>
                <w:rFonts w:hint="default" w:ascii="Times New Roman" w:hAnsi="Times New Roman" w:eastAsia="宋体" w:cs="Times New Roman"/>
                <w:b w:val="0"/>
                <w:bCs/>
                <w:sz w:val="24"/>
                <w:highlight w:val="none"/>
                <w:lang w:val="en-US" w:eastAsia="zh-CN"/>
              </w:rPr>
              <w:t>处置</w:t>
            </w:r>
            <w:r>
              <w:rPr>
                <w:rFonts w:hint="default" w:ascii="Times New Roman" w:hAnsi="Times New Roman" w:eastAsia="宋体" w:cs="Times New Roman"/>
                <w:b w:val="0"/>
                <w:bCs/>
                <w:sz w:val="24"/>
                <w:highlight w:val="none"/>
              </w:rPr>
              <w:t>。</w:t>
            </w:r>
          </w:p>
          <w:p w14:paraId="48411CE8">
            <w:pPr>
              <w:adjustRightInd w:val="0"/>
              <w:snapToGrid w:val="0"/>
              <w:spacing w:line="360" w:lineRule="auto"/>
              <w:ind w:firstLine="420"/>
              <w:rPr>
                <w:rFonts w:hint="eastAsia" w:ascii="宋体" w:hAnsi="宋体" w:eastAsia="宋体" w:cs="宋体"/>
                <w:bCs/>
                <w:color w:val="auto"/>
                <w:sz w:val="24"/>
                <w:highlight w:val="none"/>
                <w:lang w:eastAsia="zh-CN"/>
              </w:rPr>
            </w:pPr>
            <w:r>
              <w:rPr>
                <w:rFonts w:hint="eastAsia" w:ascii="Times New Roman" w:hAnsi="Times New Roman" w:eastAsia="宋体" w:cs="Times New Roman"/>
                <w:b w:val="0"/>
                <w:bCs w:val="0"/>
                <w:sz w:val="24"/>
                <w:szCs w:val="24"/>
                <w:highlight w:val="none"/>
                <w:lang w:eastAsia="zh-CN"/>
              </w:rPr>
              <w:t>（</w:t>
            </w:r>
            <w:r>
              <w:rPr>
                <w:rFonts w:hint="eastAsia" w:ascii="Times New Roman" w:hAnsi="Times New Roman" w:eastAsia="宋体" w:cs="Times New Roman"/>
                <w:b w:val="0"/>
                <w:bCs w:val="0"/>
                <w:sz w:val="24"/>
                <w:szCs w:val="24"/>
                <w:highlight w:val="none"/>
                <w:lang w:val="en-US" w:eastAsia="zh-CN"/>
              </w:rPr>
              <w:t>2</w:t>
            </w:r>
            <w:r>
              <w:rPr>
                <w:rFonts w:hint="eastAsia" w:ascii="Times New Roman" w:hAnsi="Times New Roman" w:eastAsia="宋体" w:cs="Times New Roman"/>
                <w:b w:val="0"/>
                <w:bCs w:val="0"/>
                <w:sz w:val="24"/>
                <w:szCs w:val="24"/>
                <w:highlight w:val="none"/>
                <w:lang w:eastAsia="zh-CN"/>
              </w:rPr>
              <w:t>）</w:t>
            </w:r>
            <w:r>
              <w:rPr>
                <w:rFonts w:hint="eastAsia" w:ascii="宋体" w:hAnsi="宋体" w:cs="宋体"/>
                <w:bCs/>
                <w:color w:val="auto"/>
                <w:sz w:val="24"/>
                <w:highlight w:val="none"/>
              </w:rPr>
              <w:t>建筑垃圾与</w:t>
            </w:r>
            <w:r>
              <w:rPr>
                <w:rFonts w:hint="eastAsia" w:ascii="宋体" w:hAnsi="宋体" w:cs="宋体"/>
                <w:bCs/>
                <w:color w:val="auto"/>
                <w:sz w:val="24"/>
                <w:highlight w:val="none"/>
                <w:lang w:eastAsia="zh-CN"/>
              </w:rPr>
              <w:t>弃土</w:t>
            </w:r>
          </w:p>
          <w:p w14:paraId="28351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sz w:val="24"/>
                <w:highlight w:val="none"/>
              </w:rPr>
            </w:pPr>
            <w:r>
              <w:rPr>
                <w:rFonts w:hint="eastAsia" w:ascii="宋体" w:hAnsi="宋体" w:cs="宋体"/>
                <w:bCs/>
                <w:color w:val="auto"/>
                <w:sz w:val="24"/>
                <w:highlight w:val="none"/>
              </w:rPr>
              <w:t>施工</w:t>
            </w:r>
            <w:r>
              <w:rPr>
                <w:rFonts w:hint="eastAsia" w:ascii="宋体" w:hAnsi="宋体" w:cs="宋体"/>
                <w:bCs/>
                <w:color w:val="auto"/>
                <w:sz w:val="24"/>
                <w:highlight w:val="none"/>
                <w:lang w:eastAsia="zh-CN"/>
              </w:rPr>
              <w:t>期间产生少量的</w:t>
            </w:r>
            <w:r>
              <w:rPr>
                <w:rFonts w:hint="eastAsia"/>
                <w:color w:val="auto"/>
                <w:sz w:val="24"/>
                <w:highlight w:val="none"/>
              </w:rPr>
              <w:t>建筑垃圾</w:t>
            </w:r>
            <w:r>
              <w:rPr>
                <w:rFonts w:hint="eastAsia"/>
                <w:color w:val="auto"/>
                <w:sz w:val="24"/>
                <w:highlight w:val="none"/>
                <w:lang w:eastAsia="zh-CN"/>
              </w:rPr>
              <w:t>，</w:t>
            </w:r>
            <w:r>
              <w:rPr>
                <w:rFonts w:hint="eastAsia"/>
                <w:color w:val="auto"/>
                <w:sz w:val="24"/>
                <w:highlight w:val="none"/>
              </w:rPr>
              <w:t>及时清理并交由当地环卫部门处置。开挖土石方</w:t>
            </w:r>
            <w:r>
              <w:rPr>
                <w:rFonts w:hint="eastAsia"/>
                <w:color w:val="auto"/>
                <w:sz w:val="24"/>
                <w:highlight w:val="none"/>
                <w:lang w:eastAsia="zh-CN"/>
              </w:rPr>
              <w:t>产生的弃土送到朔方大基地用于场地平整</w:t>
            </w:r>
            <w:r>
              <w:rPr>
                <w:rFonts w:hint="eastAsia"/>
                <w:color w:val="auto"/>
                <w:sz w:val="24"/>
                <w:highlight w:val="none"/>
              </w:rPr>
              <w:t>。</w:t>
            </w:r>
            <w:r>
              <w:rPr>
                <w:rFonts w:hint="eastAsia" w:ascii="Times New Roman" w:hAnsi="Times New Roman" w:eastAsia="宋体" w:cs="Times New Roman"/>
                <w:b w:val="0"/>
                <w:color w:val="000000"/>
                <w:kern w:val="0"/>
                <w:sz w:val="24"/>
                <w:szCs w:val="24"/>
                <w:highlight w:val="none"/>
                <w:lang w:val="en-US" w:eastAsia="zh-CN" w:bidi="ar"/>
              </w:rPr>
              <w:t>剥离</w:t>
            </w:r>
            <w:r>
              <w:rPr>
                <w:rFonts w:hint="eastAsia" w:cs="Times New Roman"/>
                <w:b w:val="0"/>
                <w:color w:val="000000"/>
                <w:kern w:val="0"/>
                <w:sz w:val="24"/>
                <w:szCs w:val="24"/>
                <w:highlight w:val="none"/>
                <w:lang w:val="en-US" w:eastAsia="zh-CN" w:bidi="ar"/>
              </w:rPr>
              <w:t>的</w:t>
            </w:r>
            <w:r>
              <w:rPr>
                <w:rFonts w:hint="eastAsia" w:ascii="Times New Roman" w:hAnsi="Times New Roman" w:eastAsia="宋体" w:cs="Times New Roman"/>
                <w:b w:val="0"/>
                <w:color w:val="000000"/>
                <w:kern w:val="0"/>
                <w:sz w:val="24"/>
                <w:szCs w:val="24"/>
                <w:highlight w:val="none"/>
                <w:lang w:val="en-US" w:eastAsia="zh-CN" w:bidi="ar"/>
              </w:rPr>
              <w:t>表土堆放</w:t>
            </w:r>
            <w:r>
              <w:rPr>
                <w:rFonts w:hint="eastAsia" w:cs="Times New Roman"/>
                <w:b w:val="0"/>
                <w:color w:val="000000"/>
                <w:kern w:val="0"/>
                <w:sz w:val="24"/>
                <w:szCs w:val="24"/>
                <w:highlight w:val="none"/>
                <w:lang w:val="en-US" w:eastAsia="zh-CN" w:bidi="ar"/>
              </w:rPr>
              <w:t>在</w:t>
            </w:r>
            <w:r>
              <w:rPr>
                <w:rFonts w:hint="eastAsia" w:ascii="Times New Roman" w:hAnsi="Times New Roman" w:eastAsia="宋体" w:cs="Times New Roman"/>
                <w:b w:val="0"/>
                <w:color w:val="000000"/>
                <w:kern w:val="0"/>
                <w:sz w:val="24"/>
                <w:szCs w:val="24"/>
                <w:highlight w:val="none"/>
                <w:lang w:val="en-US" w:eastAsia="zh-CN" w:bidi="ar"/>
              </w:rPr>
              <w:t>管道两侧施工区用于回填，表土堆存采取密目网苫盖防护，</w:t>
            </w:r>
            <w:r>
              <w:rPr>
                <w:rFonts w:hint="eastAsia" w:eastAsia="宋体" w:cs="Times New Roman"/>
                <w:b w:val="0"/>
                <w:color w:val="000000"/>
                <w:kern w:val="0"/>
                <w:sz w:val="24"/>
                <w:szCs w:val="24"/>
                <w:highlight w:val="none"/>
                <w:lang w:val="en-US" w:eastAsia="zh-CN" w:bidi="ar"/>
              </w:rPr>
              <w:t>施工完成后表土回覆</w:t>
            </w:r>
            <w:r>
              <w:rPr>
                <w:rFonts w:hint="default" w:ascii="Times New Roman" w:hAnsi="Times New Roman" w:eastAsia="宋体" w:cs="Times New Roman"/>
                <w:b w:val="0"/>
                <w:color w:val="000000"/>
                <w:kern w:val="0"/>
                <w:sz w:val="24"/>
                <w:szCs w:val="24"/>
                <w:highlight w:val="none"/>
                <w:lang w:val="en-US" w:eastAsia="zh-CN" w:bidi="ar"/>
              </w:rPr>
              <w:t>。</w:t>
            </w:r>
          </w:p>
          <w:p w14:paraId="4B17CAF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sz w:val="24"/>
                <w:highlight w:val="none"/>
              </w:rPr>
            </w:pPr>
            <w:r>
              <w:rPr>
                <w:rFonts w:hint="default" w:ascii="Times New Roman" w:hAnsi="Times New Roman" w:eastAsia="宋体" w:cs="Times New Roman"/>
                <w:b w:val="0"/>
                <w:bCs/>
                <w:sz w:val="24"/>
                <w:highlight w:val="none"/>
              </w:rPr>
              <w:t>采取以上措施之后，施工期固体废弃物对周围环境的影响</w:t>
            </w:r>
            <w:r>
              <w:rPr>
                <w:rFonts w:hint="eastAsia" w:cs="Times New Roman"/>
                <w:b w:val="0"/>
                <w:bCs/>
                <w:sz w:val="24"/>
                <w:highlight w:val="none"/>
                <w:lang w:eastAsia="zh-CN"/>
              </w:rPr>
              <w:t>较小</w:t>
            </w:r>
            <w:r>
              <w:rPr>
                <w:rFonts w:hint="default" w:ascii="Times New Roman" w:hAnsi="Times New Roman" w:eastAsia="宋体" w:cs="Times New Roman"/>
                <w:b w:val="0"/>
                <w:bCs/>
                <w:sz w:val="24"/>
                <w:highlight w:val="none"/>
              </w:rPr>
              <w:t>。</w:t>
            </w:r>
          </w:p>
        </w:tc>
      </w:tr>
      <w:tr w14:paraId="48D669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93" w:hRule="atLeast"/>
          <w:jc w:val="center"/>
        </w:trPr>
        <w:tc>
          <w:tcPr>
            <w:tcW w:w="753" w:type="dxa"/>
            <w:noWrap w:val="0"/>
            <w:tcMar>
              <w:left w:w="28" w:type="dxa"/>
              <w:right w:w="28" w:type="dxa"/>
            </w:tcMar>
            <w:vAlign w:val="center"/>
          </w:tcPr>
          <w:p w14:paraId="4363E05D">
            <w:pPr>
              <w:adjustRightInd w:val="0"/>
              <w:snapToGrid w:val="0"/>
              <w:jc w:val="center"/>
              <w:rPr>
                <w:rFonts w:ascii="宋体" w:hAnsi="宋体" w:cs="宋体"/>
                <w:bCs/>
                <w:spacing w:val="10"/>
                <w:szCs w:val="21"/>
                <w:highlight w:val="none"/>
              </w:rPr>
            </w:pPr>
            <w:r>
              <w:rPr>
                <w:rFonts w:hint="eastAsia" w:ascii="宋体" w:hAnsi="宋体" w:cs="宋体"/>
                <w:bCs/>
                <w:spacing w:val="10"/>
                <w:szCs w:val="21"/>
                <w:highlight w:val="none"/>
              </w:rPr>
              <w:t>运营期生态环境保护措施</w:t>
            </w:r>
          </w:p>
        </w:tc>
        <w:tc>
          <w:tcPr>
            <w:tcW w:w="8457" w:type="dxa"/>
            <w:noWrap w:val="0"/>
            <w:vAlign w:val="top"/>
          </w:tcPr>
          <w:p w14:paraId="753D6A4D">
            <w:pPr>
              <w:pStyle w:val="3"/>
              <w:numPr>
                <w:ilvl w:val="0"/>
                <w:numId w:val="6"/>
              </w:numPr>
              <w:spacing w:line="360" w:lineRule="auto"/>
              <w:ind w:firstLine="480"/>
              <w:rPr>
                <w:rFonts w:hint="eastAsia"/>
                <w:sz w:val="24"/>
                <w:highlight w:val="none"/>
              </w:rPr>
            </w:pPr>
            <w:r>
              <w:rPr>
                <w:rFonts w:hint="eastAsia"/>
                <w:sz w:val="24"/>
                <w:highlight w:val="none"/>
              </w:rPr>
              <w:t>水环境保护措施</w:t>
            </w:r>
          </w:p>
          <w:p w14:paraId="39B630B9">
            <w:pPr>
              <w:pStyle w:val="4"/>
              <w:wordWrap w:val="0"/>
              <w:spacing w:after="0" w:line="360" w:lineRule="auto"/>
              <w:ind w:left="0" w:leftChars="0" w:firstLine="480"/>
              <w:rPr>
                <w:rFonts w:hint="eastAsia"/>
                <w:sz w:val="24"/>
                <w:highlight w:val="none"/>
              </w:rPr>
            </w:pPr>
            <w:r>
              <w:rPr>
                <w:rFonts w:ascii="宋体" w:hAnsi="宋体" w:eastAsia="宋体" w:cs="宋体"/>
                <w:sz w:val="24"/>
                <w:szCs w:val="24"/>
                <w:highlight w:val="none"/>
              </w:rPr>
              <w:t>本项目营运期</w:t>
            </w:r>
            <w:r>
              <w:rPr>
                <w:rFonts w:hint="eastAsia" w:ascii="宋体" w:hAnsi="宋体" w:eastAsia="宋体" w:cs="宋体"/>
                <w:sz w:val="24"/>
                <w:szCs w:val="24"/>
                <w:highlight w:val="none"/>
                <w:lang w:eastAsia="zh-CN"/>
              </w:rPr>
              <w:t>无生产生活污水产生，</w:t>
            </w:r>
            <w:r>
              <w:rPr>
                <w:rFonts w:hint="default" w:ascii="Times New Roman" w:hAnsi="Times New Roman" w:eastAsia="宋体" w:cs="Times New Roman"/>
                <w:snapToGrid w:val="0"/>
                <w:color w:val="auto"/>
                <w:sz w:val="24"/>
                <w:szCs w:val="24"/>
                <w:highlight w:val="none"/>
                <w:lang w:val="en-US" w:eastAsia="zh-CN" w:bidi="ar-SA"/>
              </w:rPr>
              <w:t>本工程新建输水管道直接与《</w:t>
            </w:r>
            <w:r>
              <w:rPr>
                <w:rFonts w:hint="eastAsia" w:cs="Times New Roman"/>
                <w:snapToGrid w:val="0"/>
                <w:color w:val="auto"/>
                <w:sz w:val="24"/>
                <w:szCs w:val="24"/>
                <w:highlight w:val="none"/>
                <w:lang w:val="en-US" w:eastAsia="zh-CN" w:bidi="ar-SA"/>
              </w:rPr>
              <w:t>杭锦旗库布其沙漠现代农牧业1500万吨/a供水工程</w:t>
            </w:r>
            <w:r>
              <w:rPr>
                <w:rFonts w:hint="default" w:ascii="Times New Roman" w:hAnsi="Times New Roman" w:eastAsia="宋体" w:cs="Times New Roman"/>
                <w:snapToGrid w:val="0"/>
                <w:color w:val="auto"/>
                <w:sz w:val="24"/>
                <w:szCs w:val="24"/>
                <w:highlight w:val="none"/>
                <w:lang w:val="en-US" w:eastAsia="zh-CN" w:bidi="ar-SA"/>
              </w:rPr>
              <w:t>》供水工程的</w:t>
            </w:r>
            <w:r>
              <w:rPr>
                <w:rFonts w:hint="default" w:ascii="Times New Roman" w:hAnsi="Times New Roman" w:eastAsia="宋体" w:cs="Times New Roman"/>
                <w:snapToGrid w:val="0"/>
                <w:color w:val="000000"/>
                <w:sz w:val="24"/>
                <w:szCs w:val="24"/>
                <w:highlight w:val="none"/>
                <w:lang w:val="en-US" w:eastAsia="zh-CN" w:bidi="ar-SA"/>
              </w:rPr>
              <w:t>已建管道</w:t>
            </w:r>
            <w:r>
              <w:rPr>
                <w:rFonts w:hint="default" w:ascii="Times New Roman" w:hAnsi="Times New Roman" w:eastAsia="宋体" w:cs="Times New Roman"/>
                <w:snapToGrid w:val="0"/>
                <w:color w:val="auto"/>
                <w:sz w:val="24"/>
                <w:szCs w:val="24"/>
                <w:highlight w:val="none"/>
                <w:lang w:val="en-US" w:eastAsia="zh-CN" w:bidi="ar-SA"/>
              </w:rPr>
              <w:t>末端连接，</w:t>
            </w:r>
            <w:r>
              <w:rPr>
                <w:rFonts w:hint="default" w:ascii="Times New Roman" w:hAnsi="Times New Roman" w:eastAsia="宋体" w:cs="Times New Roman"/>
                <w:color w:val="auto"/>
                <w:sz w:val="24"/>
                <w:szCs w:val="24"/>
                <w:highlight w:val="none"/>
                <w:lang w:val="en-US" w:eastAsia="zh-CN"/>
              </w:rPr>
              <w:t>将排干水引入</w:t>
            </w:r>
            <w:r>
              <w:rPr>
                <w:rFonts w:hint="default" w:ascii="Times New Roman" w:hAnsi="Times New Roman" w:eastAsia="宋体" w:cs="Times New Roman"/>
                <w:snapToGrid w:val="0"/>
                <w:color w:val="auto"/>
                <w:sz w:val="24"/>
                <w:szCs w:val="24"/>
                <w:highlight w:val="none"/>
                <w:lang w:val="en-US" w:eastAsia="zh-CN" w:bidi="ar-SA"/>
              </w:rPr>
              <w:t>本工程</w:t>
            </w:r>
            <w:r>
              <w:rPr>
                <w:rFonts w:hint="default" w:ascii="Times New Roman" w:hAnsi="Times New Roman" w:eastAsia="宋体" w:cs="Times New Roman"/>
                <w:color w:val="auto"/>
                <w:sz w:val="24"/>
                <w:szCs w:val="24"/>
                <w:highlight w:val="none"/>
                <w:lang w:val="en-US" w:eastAsia="zh-CN"/>
              </w:rPr>
              <w:t>新建蓄水池</w:t>
            </w:r>
            <w:r>
              <w:rPr>
                <w:rFonts w:hint="default" w:ascii="Times New Roman" w:hAnsi="Times New Roman" w:eastAsia="宋体" w:cs="Times New Roman"/>
                <w:snapToGrid w:val="0"/>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rPr>
              <w:t>为朔方新能源大基地提供新能源太阳能板清洗用水及</w:t>
            </w:r>
            <w:r>
              <w:rPr>
                <w:rFonts w:hint="eastAsia" w:cs="Times New Roman"/>
                <w:color w:val="auto"/>
                <w:sz w:val="24"/>
                <w:szCs w:val="24"/>
                <w:highlight w:val="none"/>
                <w:lang w:val="en-US" w:eastAsia="zh-CN"/>
              </w:rPr>
              <w:t>生态</w:t>
            </w:r>
            <w:r>
              <w:rPr>
                <w:rFonts w:hint="default" w:ascii="Times New Roman" w:hAnsi="Times New Roman" w:eastAsia="宋体" w:cs="Times New Roman"/>
                <w:color w:val="auto"/>
                <w:sz w:val="24"/>
                <w:szCs w:val="24"/>
                <w:highlight w:val="none"/>
                <w:lang w:val="en-US" w:eastAsia="zh-CN"/>
              </w:rPr>
              <w:t>用水。</w:t>
            </w:r>
            <w:r>
              <w:rPr>
                <w:rFonts w:ascii="宋体" w:hAnsi="宋体" w:eastAsia="宋体" w:cs="宋体"/>
                <w:sz w:val="24"/>
                <w:szCs w:val="24"/>
                <w:highlight w:val="none"/>
              </w:rPr>
              <w:t>无废水外排。</w:t>
            </w:r>
          </w:p>
          <w:p w14:paraId="482AE03A">
            <w:pPr>
              <w:pStyle w:val="4"/>
              <w:numPr>
                <w:ilvl w:val="0"/>
                <w:numId w:val="6"/>
              </w:numPr>
              <w:spacing w:after="0" w:line="360" w:lineRule="auto"/>
              <w:ind w:left="0" w:leftChars="0" w:firstLine="480"/>
              <w:rPr>
                <w:rFonts w:hint="eastAsia"/>
                <w:sz w:val="24"/>
                <w:highlight w:val="none"/>
              </w:rPr>
            </w:pPr>
            <w:r>
              <w:rPr>
                <w:rFonts w:hint="eastAsia"/>
                <w:sz w:val="24"/>
                <w:highlight w:val="none"/>
              </w:rPr>
              <w:t>固体废物保护措施</w:t>
            </w:r>
          </w:p>
          <w:p w14:paraId="43EDD865">
            <w:pPr>
              <w:adjustRightInd w:val="0"/>
              <w:snapToGrid w:val="0"/>
              <w:spacing w:line="360" w:lineRule="auto"/>
              <w:ind w:firstLine="480" w:firstLineChars="200"/>
              <w:rPr>
                <w:rFonts w:hint="eastAsia"/>
                <w:sz w:val="24"/>
                <w:highlight w:val="none"/>
                <w:lang w:eastAsia="zh-CN"/>
              </w:rPr>
            </w:pPr>
            <w:r>
              <w:rPr>
                <w:rFonts w:hint="eastAsia"/>
                <w:sz w:val="24"/>
                <w:highlight w:val="none"/>
              </w:rPr>
              <w:t>本项目运营期产生的固体废物主要</w:t>
            </w:r>
            <w:r>
              <w:rPr>
                <w:rFonts w:hint="eastAsia"/>
                <w:sz w:val="24"/>
                <w:highlight w:val="none"/>
                <w:lang w:eastAsia="zh-CN"/>
              </w:rPr>
              <w:t>指蓄水池产生的沉淀泥沙</w:t>
            </w:r>
            <w:r>
              <w:rPr>
                <w:rFonts w:hint="eastAsia"/>
                <w:sz w:val="24"/>
                <w:highlight w:val="none"/>
              </w:rPr>
              <w:t>，</w:t>
            </w:r>
            <w:r>
              <w:rPr>
                <w:rFonts w:hint="eastAsia"/>
                <w:sz w:val="24"/>
                <w:highlight w:val="none"/>
                <w:lang w:eastAsia="zh-CN"/>
              </w:rPr>
              <w:t>沉淀泥沙</w:t>
            </w:r>
            <w:r>
              <w:rPr>
                <w:rFonts w:hint="eastAsia"/>
                <w:sz w:val="24"/>
                <w:highlight w:val="none"/>
              </w:rPr>
              <w:t>采用人工清掏的方式将</w:t>
            </w:r>
            <w:r>
              <w:rPr>
                <w:rFonts w:hint="eastAsia"/>
                <w:sz w:val="24"/>
                <w:highlight w:val="none"/>
                <w:lang w:eastAsia="zh-CN"/>
              </w:rPr>
              <w:t>沉淀泥沙</w:t>
            </w:r>
            <w:r>
              <w:rPr>
                <w:rFonts w:hint="eastAsia"/>
                <w:sz w:val="24"/>
                <w:highlight w:val="none"/>
              </w:rPr>
              <w:t>收集至封闭的运输车内，送至</w:t>
            </w:r>
            <w:r>
              <w:rPr>
                <w:rFonts w:hint="eastAsia"/>
                <w:sz w:val="24"/>
                <w:highlight w:val="none"/>
                <w:lang w:eastAsia="zh-CN"/>
              </w:rPr>
              <w:t>当地</w:t>
            </w:r>
            <w:r>
              <w:rPr>
                <w:rFonts w:hint="eastAsia"/>
                <w:sz w:val="24"/>
                <w:highlight w:val="none"/>
              </w:rPr>
              <w:t>生活垃圾填埋场作为填埋覆土使用。</w:t>
            </w:r>
          </w:p>
          <w:p w14:paraId="3E22C61A">
            <w:pPr>
              <w:adjustRightInd w:val="0"/>
              <w:snapToGrid w:val="0"/>
              <w:spacing w:line="360" w:lineRule="auto"/>
              <w:ind w:firstLine="480" w:firstLineChars="200"/>
              <w:rPr>
                <w:rFonts w:hint="eastAsia"/>
                <w:sz w:val="24"/>
                <w:highlight w:val="none"/>
                <w:lang w:val="en-US" w:eastAsia="zh-CN"/>
              </w:rPr>
            </w:pPr>
            <w:r>
              <w:rPr>
                <w:rFonts w:hint="eastAsia"/>
                <w:sz w:val="24"/>
                <w:highlight w:val="none"/>
                <w:lang w:val="en-US" w:eastAsia="zh-CN"/>
              </w:rPr>
              <w:t xml:space="preserve">（3）生态环境保护措施 </w:t>
            </w:r>
          </w:p>
          <w:p w14:paraId="631A09BE">
            <w:pPr>
              <w:adjustRightInd w:val="0"/>
              <w:snapToGrid w:val="0"/>
              <w:spacing w:line="360" w:lineRule="auto"/>
              <w:ind w:firstLine="480" w:firstLineChars="200"/>
              <w:rPr>
                <w:rFonts w:hint="eastAsia"/>
                <w:sz w:val="24"/>
                <w:highlight w:val="none"/>
                <w:lang w:val="en-US" w:eastAsia="zh-CN"/>
              </w:rPr>
            </w:pPr>
            <w:r>
              <w:rPr>
                <w:rFonts w:hint="eastAsia"/>
                <w:sz w:val="24"/>
                <w:highlight w:val="none"/>
                <w:lang w:val="en-US" w:eastAsia="zh-CN"/>
              </w:rPr>
              <w:t>在运行期间，需要加强管理，对管线和蓄水池采取植被措施，并适时进行养护。适时进行定期巡检，以确保各项水土保持设施的正常运行。如发现因防护措施不当等引起水土流失，造成生态环境恶化的区域，应及时采取补救措施，以确保生态环境的良好发展。</w:t>
            </w:r>
          </w:p>
          <w:p w14:paraId="6E1817D6">
            <w:pPr>
              <w:adjustRightInd w:val="0"/>
              <w:snapToGrid w:val="0"/>
              <w:spacing w:line="360" w:lineRule="auto"/>
              <w:ind w:firstLine="480" w:firstLineChars="200"/>
              <w:rPr>
                <w:rFonts w:hint="default" w:eastAsia="宋体"/>
                <w:sz w:val="24"/>
                <w:highlight w:val="none"/>
                <w:lang w:val="en-US" w:eastAsia="zh-CN"/>
              </w:rPr>
            </w:pPr>
          </w:p>
        </w:tc>
      </w:tr>
      <w:tr w14:paraId="36187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45" w:hRule="atLeast"/>
          <w:jc w:val="center"/>
        </w:trPr>
        <w:tc>
          <w:tcPr>
            <w:tcW w:w="753" w:type="dxa"/>
            <w:noWrap w:val="0"/>
            <w:vAlign w:val="center"/>
          </w:tcPr>
          <w:p w14:paraId="64E98442">
            <w:pPr>
              <w:adjustRightInd w:val="0"/>
              <w:snapToGrid w:val="0"/>
              <w:jc w:val="center"/>
              <w:rPr>
                <w:rFonts w:ascii="宋体" w:hAnsi="宋体" w:cs="宋体"/>
                <w:bCs/>
                <w:spacing w:val="10"/>
                <w:szCs w:val="21"/>
                <w:highlight w:val="none"/>
              </w:rPr>
            </w:pPr>
            <w:r>
              <w:rPr>
                <w:rFonts w:hint="eastAsia" w:ascii="宋体" w:hAnsi="宋体"/>
                <w:bCs/>
                <w:szCs w:val="21"/>
                <w:highlight w:val="none"/>
              </w:rPr>
              <w:t>其他</w:t>
            </w:r>
          </w:p>
        </w:tc>
        <w:tc>
          <w:tcPr>
            <w:tcW w:w="8457" w:type="dxa"/>
            <w:noWrap w:val="0"/>
            <w:vAlign w:val="top"/>
          </w:tcPr>
          <w:p w14:paraId="430DE73E">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环境管理 </w:t>
            </w:r>
          </w:p>
          <w:p w14:paraId="7C81FCAA">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工程的建设期会对周边区域环境造成一定的影响。施工期和运行期应加强环境管理，执行环境管理和监测计划，掌握项目工程建设前后、运行前后实际产生的环境影响变化情况，确保各项环保防治措施的有效落实，并根据管理、监测中发现的信息及时解决相关问题，尽可能降低、减少工程建设及工程运行对环境带来的负面影响，力争</w:t>
            </w:r>
            <w:r>
              <w:rPr>
                <w:rFonts w:hint="eastAsia" w:cs="Times New Roman"/>
                <w:color w:val="000000" w:themeColor="text1"/>
                <w:sz w:val="24"/>
                <w:szCs w:val="24"/>
                <w:highlight w:val="none"/>
                <w:lang w:val="en-US" w:eastAsia="zh-CN"/>
                <w14:textFill>
                  <w14:solidFill>
                    <w14:schemeClr w14:val="tx1"/>
                  </w14:solidFill>
                </w14:textFill>
              </w:rPr>
              <w:t>实现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经济、社会、环境效益的统一和可持续发展。 </w:t>
            </w:r>
          </w:p>
          <w:p w14:paraId="7421EF3E">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（1）施工期的环境管理和监督 </w:t>
            </w:r>
          </w:p>
          <w:p w14:paraId="02EB3DF4">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施工招标中对投标单位提出建设期间的环保要求。在施工设计文件中</w:t>
            </w:r>
            <w:r>
              <w:rPr>
                <w:rFonts w:hint="eastAsia" w:cs="Times New Roman"/>
                <w:color w:val="000000" w:themeColor="text1"/>
                <w:sz w:val="24"/>
                <w:szCs w:val="24"/>
                <w:highlight w:val="none"/>
                <w:lang w:val="en-US" w:eastAsia="zh-CN"/>
                <w14:textFill>
                  <w14:solidFill>
                    <w14:schemeClr w14:val="tx1"/>
                  </w14:solidFill>
                </w14:textFill>
              </w:rPr>
              <w:t>，应详</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细说明建设期应注意的环保问题，</w:t>
            </w:r>
            <w:r>
              <w:rPr>
                <w:rFonts w:hint="eastAsia" w:cs="Times New Roman"/>
                <w:color w:val="000000" w:themeColor="text1"/>
                <w:sz w:val="24"/>
                <w:szCs w:val="24"/>
                <w:highlight w:val="none"/>
                <w:lang w:val="en-US" w:eastAsia="zh-CN"/>
                <w14:textFill>
                  <w14:solidFill>
                    <w14:schemeClr w14:val="tx1"/>
                  </w14:solidFill>
                </w14:textFill>
              </w:rPr>
              <w:t>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严格要求施工单位</w:t>
            </w:r>
            <w:r>
              <w:rPr>
                <w:rFonts w:hint="eastAsia" w:cs="Times New Roman"/>
                <w:color w:val="000000" w:themeColor="text1"/>
                <w:sz w:val="24"/>
                <w:szCs w:val="24"/>
                <w:highlight w:val="none"/>
                <w:lang w:val="en-US" w:eastAsia="zh-CN"/>
                <w14:textFill>
                  <w14:solidFill>
                    <w14:schemeClr w14:val="tx1"/>
                  </w14:solidFill>
                </w14:textFill>
              </w:rPr>
              <w:t>按照</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设计文件施工，特别是按环保设计要求施工。建设期环境管理的职责和任务如下：</w:t>
            </w:r>
          </w:p>
          <w:p w14:paraId="7286C64F">
            <w:pPr>
              <w:numPr>
                <w:ilvl w:val="0"/>
                <w:numId w:val="0"/>
              </w:num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东文宋体" w:hAnsi="东文宋体" w:eastAsia="东文宋体" w:cs="东文宋体"/>
                <w:color w:val="000000" w:themeColor="text1"/>
                <w:sz w:val="24"/>
                <w:szCs w:val="24"/>
                <w:highlight w:val="none"/>
                <w:lang w:val="en-US" w:eastAsia="zh-CN"/>
                <w14:textFill>
                  <w14:solidFill>
                    <w14:schemeClr w14:val="tx1"/>
                  </w14:solidFill>
                </w14:textFill>
              </w:rPr>
              <w:t>①</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贯彻执行国家、地方的各项环保方针、政策、法规和各项规章制度。</w:t>
            </w:r>
          </w:p>
          <w:p w14:paraId="6FAA8961">
            <w:pPr>
              <w:numPr>
                <w:ilvl w:val="0"/>
                <w:numId w:val="0"/>
              </w:num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东文宋体" w:hAnsi="东文宋体" w:eastAsia="东文宋体" w:cs="东文宋体"/>
                <w:color w:val="000000" w:themeColor="text1"/>
                <w:sz w:val="24"/>
                <w:szCs w:val="24"/>
                <w:highlight w:val="none"/>
                <w:lang w:val="en-US" w:eastAsia="zh-CN"/>
                <w14:textFill>
                  <w14:solidFill>
                    <w14:schemeClr w14:val="tx1"/>
                  </w14:solidFill>
                </w14:textFill>
              </w:rPr>
              <w:t>②</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制定本工程施工中的环境保护计划，</w:t>
            </w:r>
            <w:r>
              <w:rPr>
                <w:rFonts w:hint="eastAsia" w:cs="Times New Roman"/>
                <w:color w:val="000000" w:themeColor="text1"/>
                <w:sz w:val="24"/>
                <w:szCs w:val="24"/>
                <w:highlight w:val="none"/>
                <w:lang w:val="en-US" w:eastAsia="zh-CN"/>
                <w14:textFill>
                  <w14:solidFill>
                    <w14:schemeClr w14:val="tx1"/>
                  </w14:solidFill>
                </w14:textFill>
              </w:rPr>
              <w:t>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负责工程施工过程中各项环境保护措施实施的监督和日常管理。</w:t>
            </w:r>
          </w:p>
          <w:p w14:paraId="596C78A2">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东文宋体" w:hAnsi="东文宋体" w:eastAsia="东文宋体" w:cs="东文宋体"/>
                <w:color w:val="000000" w:themeColor="text1"/>
                <w:sz w:val="24"/>
                <w:szCs w:val="24"/>
                <w:highlight w:val="none"/>
                <w:lang w:val="en-US" w:eastAsia="zh-CN"/>
                <w14:textFill>
                  <w14:solidFill>
                    <w14:schemeClr w14:val="tx1"/>
                  </w14:solidFill>
                </w14:textFill>
              </w:rPr>
              <w:t>③</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组织和开展对施工人员进行施工活动中应遵循的环保法规</w:t>
            </w:r>
            <w:r>
              <w:rPr>
                <w:rFonts w:hint="eastAsia" w:cs="Times New Roman"/>
                <w:color w:val="000000" w:themeColor="text1"/>
                <w:sz w:val="24"/>
                <w:szCs w:val="24"/>
                <w:highlight w:val="none"/>
                <w:lang w:val="en-US" w:eastAsia="zh-CN"/>
                <w14:textFill>
                  <w14:solidFill>
                    <w14:schemeClr w14:val="tx1"/>
                  </w14:solidFill>
                </w14:textFill>
              </w:rPr>
              <w:t>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知识的培训，</w:t>
            </w:r>
            <w:r>
              <w:rPr>
                <w:rFonts w:hint="eastAsia" w:cs="Times New Roman"/>
                <w:color w:val="000000" w:themeColor="text1"/>
                <w:sz w:val="24"/>
                <w:szCs w:val="24"/>
                <w:highlight w:val="none"/>
                <w:lang w:val="en-US" w:eastAsia="zh-CN"/>
                <w14:textFill>
                  <w14:solidFill>
                    <w14:schemeClr w14:val="tx1"/>
                  </w14:solidFill>
                </w14:textFill>
              </w:rPr>
              <w:t>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提高全体员工</w:t>
            </w:r>
            <w:r>
              <w:rPr>
                <w:rFonts w:hint="eastAsia" w:cs="Times New Roman"/>
                <w:color w:val="000000" w:themeColor="text1"/>
                <w:sz w:val="24"/>
                <w:szCs w:val="24"/>
                <w:highlight w:val="none"/>
                <w:lang w:val="en-US" w:eastAsia="zh-CN"/>
                <w14:textFill>
                  <w14:solidFill>
                    <w14:schemeClr w14:val="tx1"/>
                  </w14:solidFill>
                </w14:textFill>
              </w:rPr>
              <w:t>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文明施工的认识。加强人员教育，严格控制施工范围。施工结束后对施工扰动区及时进行绿化。 </w:t>
            </w:r>
          </w:p>
          <w:p w14:paraId="137C4D10">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华文中宋" w:hAnsi="华文中宋" w:eastAsia="华文中宋" w:cs="华文中宋"/>
                <w:color w:val="000000" w:themeColor="text1"/>
                <w:sz w:val="24"/>
                <w:szCs w:val="24"/>
                <w:highlight w:val="none"/>
                <w:lang w:val="en-US" w:eastAsia="zh-CN"/>
                <w14:textFill>
                  <w14:solidFill>
                    <w14:schemeClr w14:val="tx1"/>
                  </w14:solidFill>
                </w14:textFill>
              </w:rPr>
              <w:t>④</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做好施工中各种环境问题的收集、记录、建档和处理工作。</w:t>
            </w:r>
          </w:p>
          <w:p w14:paraId="6B7350ED">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华文中宋" w:hAnsi="华文中宋" w:eastAsia="华文中宋" w:cs="华文中宋"/>
                <w:color w:val="000000" w:themeColor="text1"/>
                <w:sz w:val="24"/>
                <w:szCs w:val="24"/>
                <w:highlight w:val="none"/>
                <w:lang w:val="en-US" w:eastAsia="zh-CN"/>
                <w14:textFill>
                  <w14:solidFill>
                    <w14:schemeClr w14:val="tx1"/>
                  </w14:solidFill>
                </w14:textFill>
              </w:rPr>
              <w:t>⑤</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监督施工单位，使设计、施工过程的各项环境保护措施与主体工程同步实施。 </w:t>
            </w:r>
          </w:p>
          <w:p w14:paraId="12BFB81A">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华文中宋" w:hAnsi="华文中宋" w:eastAsia="华文中宋" w:cs="华文中宋"/>
                <w:color w:val="000000" w:themeColor="text1"/>
                <w:sz w:val="24"/>
                <w:szCs w:val="24"/>
                <w:highlight w:val="none"/>
                <w:lang w:val="en-US" w:eastAsia="zh-CN"/>
                <w14:textFill>
                  <w14:solidFill>
                    <w14:schemeClr w14:val="tx1"/>
                  </w14:solidFill>
                </w14:textFill>
              </w:rPr>
              <w:t>⑥</w:t>
            </w:r>
            <w:r>
              <w:rPr>
                <w:rFonts w:hint="eastAsia"/>
                <w:color w:val="auto"/>
                <w:sz w:val="24"/>
                <w:szCs w:val="24"/>
                <w:highlight w:val="none"/>
              </w:rPr>
              <w:t>监督施工单位加强施工噪声、施工扬尘及土地占用和植被保护等的管理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25D7E17E">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（2）运行期的环境管理和监督 </w:t>
            </w:r>
          </w:p>
          <w:p w14:paraId="41CCEB1F">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建设单位的人员对工程的建设、生产全过程实行监督管理，其主要工作内容如下：</w:t>
            </w:r>
          </w:p>
          <w:p w14:paraId="0F59E254">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东文宋体" w:hAnsi="东文宋体" w:eastAsia="东文宋体" w:cs="东文宋体"/>
                <w:color w:val="000000" w:themeColor="text1"/>
                <w:sz w:val="24"/>
                <w:szCs w:val="24"/>
                <w:highlight w:val="none"/>
                <w:lang w:val="en-US" w:eastAsia="zh-CN"/>
                <w14:textFill>
                  <w14:solidFill>
                    <w14:schemeClr w14:val="tx1"/>
                  </w14:solidFill>
                </w14:textFill>
              </w:rPr>
              <w:t>①</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参与制定建设项目环保治理方案和竣工验收等工作。</w:t>
            </w:r>
          </w:p>
          <w:p w14:paraId="24A6B5DC">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东文宋体" w:hAnsi="东文宋体" w:eastAsia="东文宋体" w:cs="东文宋体"/>
                <w:color w:val="000000" w:themeColor="text1"/>
                <w:sz w:val="24"/>
                <w:szCs w:val="24"/>
                <w:highlight w:val="none"/>
                <w:lang w:val="en-US" w:eastAsia="zh-CN"/>
                <w14:textFill>
                  <w14:solidFill>
                    <w14:schemeClr w14:val="tx1"/>
                  </w14:solidFill>
                </w14:textFill>
              </w:rPr>
              <w:t>②</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检查、监督项目环保治理措施在建设过程中的落实情况。</w:t>
            </w:r>
          </w:p>
          <w:p w14:paraId="0A7E6775">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东文宋体" w:hAnsi="东文宋体" w:eastAsia="东文宋体" w:cs="东文宋体"/>
                <w:color w:val="000000" w:themeColor="text1"/>
                <w:sz w:val="24"/>
                <w:szCs w:val="24"/>
                <w:highlight w:val="none"/>
                <w:lang w:val="en-US" w:eastAsia="zh-CN"/>
                <w14:textFill>
                  <w14:solidFill>
                    <w14:schemeClr w14:val="tx1"/>
                  </w14:solidFill>
                </w14:textFill>
              </w:rPr>
              <w:t>③</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在建设项目投运后，负责组织实施环境监测计划。</w:t>
            </w:r>
          </w:p>
          <w:p w14:paraId="306FC38D">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环境监测</w:t>
            </w:r>
          </w:p>
          <w:p w14:paraId="3583B5D7">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在本项目的运行期要进行环境监测工作，建议建设单位委托有监测资质的环境保护监测单位执行。本项目监测计划具体见</w:t>
            </w:r>
            <w:r>
              <w:rPr>
                <w:rFonts w:hint="eastAsia" w:cs="Times New Roman"/>
                <w:color w:val="000000" w:themeColor="text1"/>
                <w:sz w:val="24"/>
                <w:szCs w:val="24"/>
                <w:highlight w:val="none"/>
                <w:lang w:val="en-US" w:eastAsia="zh-CN"/>
                <w14:textFill>
                  <w14:solidFill>
                    <w14:schemeClr w14:val="tx1"/>
                  </w14:solidFill>
                </w14:textFill>
              </w:rPr>
              <w:t>下</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p>
          <w:p w14:paraId="09DFC4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表5-1环境监测计划</w:t>
            </w:r>
          </w:p>
          <w:tbl>
            <w:tblPr>
              <w:tblStyle w:val="19"/>
              <w:tblW w:w="81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3314"/>
              <w:gridCol w:w="1110"/>
              <w:gridCol w:w="2237"/>
              <w:gridCol w:w="725"/>
            </w:tblGrid>
            <w:tr w14:paraId="1716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70" w:type="dxa"/>
                  <w:tcBorders>
                    <w:top w:val="single" w:color="auto" w:sz="4" w:space="0"/>
                    <w:left w:val="single" w:color="auto" w:sz="4" w:space="0"/>
                    <w:bottom w:val="single" w:color="auto" w:sz="4" w:space="0"/>
                    <w:right w:val="single" w:color="auto" w:sz="4" w:space="0"/>
                  </w:tcBorders>
                  <w:noWrap w:val="0"/>
                  <w:vAlign w:val="center"/>
                </w:tcPr>
                <w:p w14:paraId="4D98576C">
                  <w:pPr>
                    <w:tabs>
                      <w:tab w:val="left" w:pos="3420"/>
                    </w:tabs>
                    <w:spacing w:line="240" w:lineRule="exact"/>
                    <w:jc w:val="center"/>
                    <w:rPr>
                      <w:rFonts w:hint="eastAsia" w:eastAsia="宋体"/>
                      <w:color w:val="auto"/>
                      <w:szCs w:val="21"/>
                      <w:highlight w:val="none"/>
                      <w:lang w:eastAsia="zh-CN"/>
                    </w:rPr>
                  </w:pPr>
                  <w:r>
                    <w:rPr>
                      <w:rFonts w:hint="eastAsia"/>
                      <w:color w:val="auto"/>
                      <w:szCs w:val="21"/>
                      <w:highlight w:val="none"/>
                      <w:lang w:eastAsia="zh-CN"/>
                    </w:rPr>
                    <w:t>监测内容</w:t>
                  </w:r>
                </w:p>
              </w:tc>
              <w:tc>
                <w:tcPr>
                  <w:tcW w:w="3314" w:type="dxa"/>
                  <w:tcBorders>
                    <w:top w:val="single" w:color="auto" w:sz="4" w:space="0"/>
                    <w:left w:val="single" w:color="auto" w:sz="4" w:space="0"/>
                    <w:bottom w:val="single" w:color="auto" w:sz="4" w:space="0"/>
                    <w:right w:val="single" w:color="auto" w:sz="4" w:space="0"/>
                  </w:tcBorders>
                  <w:noWrap w:val="0"/>
                  <w:vAlign w:val="center"/>
                </w:tcPr>
                <w:p w14:paraId="13A8CAC6">
                  <w:pPr>
                    <w:tabs>
                      <w:tab w:val="left" w:pos="3420"/>
                    </w:tabs>
                    <w:spacing w:line="240" w:lineRule="exact"/>
                    <w:jc w:val="center"/>
                    <w:rPr>
                      <w:rFonts w:hint="eastAsia" w:eastAsia="宋体"/>
                      <w:color w:val="auto"/>
                      <w:szCs w:val="21"/>
                      <w:highlight w:val="none"/>
                      <w:lang w:eastAsia="zh-CN"/>
                    </w:rPr>
                  </w:pPr>
                  <w:r>
                    <w:rPr>
                      <w:rFonts w:hint="eastAsia"/>
                      <w:highlight w:val="none"/>
                    </w:rPr>
                    <w:t>监测</w:t>
                  </w:r>
                  <w:r>
                    <w:rPr>
                      <w:rFonts w:hint="eastAsia"/>
                      <w:highlight w:val="none"/>
                      <w:lang w:eastAsia="zh-CN"/>
                    </w:rPr>
                    <w:t>因子</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C0136C4">
                  <w:pPr>
                    <w:tabs>
                      <w:tab w:val="left" w:pos="3420"/>
                    </w:tabs>
                    <w:spacing w:line="240" w:lineRule="exact"/>
                    <w:jc w:val="center"/>
                    <w:rPr>
                      <w:rFonts w:hint="eastAsia"/>
                      <w:color w:val="auto"/>
                      <w:szCs w:val="21"/>
                      <w:highlight w:val="none"/>
                    </w:rPr>
                  </w:pPr>
                  <w:r>
                    <w:rPr>
                      <w:rFonts w:hint="eastAsia"/>
                      <w:color w:val="auto"/>
                      <w:szCs w:val="21"/>
                      <w:highlight w:val="none"/>
                    </w:rPr>
                    <w:t>监测点位</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05BFBC67">
                  <w:pPr>
                    <w:tabs>
                      <w:tab w:val="left" w:pos="3420"/>
                    </w:tabs>
                    <w:spacing w:line="240" w:lineRule="exact"/>
                    <w:jc w:val="center"/>
                    <w:rPr>
                      <w:color w:val="auto"/>
                      <w:szCs w:val="21"/>
                      <w:highlight w:val="none"/>
                    </w:rPr>
                  </w:pPr>
                  <w:r>
                    <w:rPr>
                      <w:color w:val="auto"/>
                      <w:szCs w:val="21"/>
                      <w:highlight w:val="none"/>
                    </w:rPr>
                    <w:t>监测频率</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32B7B838">
                  <w:pPr>
                    <w:tabs>
                      <w:tab w:val="left" w:pos="3420"/>
                    </w:tabs>
                    <w:spacing w:line="240" w:lineRule="exact"/>
                    <w:jc w:val="center"/>
                    <w:rPr>
                      <w:color w:val="auto"/>
                      <w:szCs w:val="21"/>
                      <w:highlight w:val="none"/>
                    </w:rPr>
                  </w:pPr>
                  <w:r>
                    <w:rPr>
                      <w:rFonts w:hint="default"/>
                      <w:color w:val="auto"/>
                      <w:szCs w:val="21"/>
                      <w:highlight w:val="none"/>
                    </w:rPr>
                    <w:t>监测实施机构</w:t>
                  </w:r>
                </w:p>
              </w:tc>
            </w:tr>
            <w:tr w14:paraId="1EDC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7" w:hRule="atLeast"/>
              </w:trPr>
              <w:tc>
                <w:tcPr>
                  <w:tcW w:w="770" w:type="dxa"/>
                  <w:tcBorders>
                    <w:top w:val="single" w:color="auto" w:sz="4" w:space="0"/>
                    <w:left w:val="single" w:color="auto" w:sz="4" w:space="0"/>
                    <w:bottom w:val="single" w:color="auto" w:sz="4" w:space="0"/>
                    <w:right w:val="single" w:color="auto" w:sz="4" w:space="0"/>
                  </w:tcBorders>
                  <w:noWrap w:val="0"/>
                  <w:vAlign w:val="center"/>
                </w:tcPr>
                <w:p w14:paraId="38E2A9E0">
                  <w:pPr>
                    <w:tabs>
                      <w:tab w:val="left" w:pos="3420"/>
                    </w:tabs>
                    <w:spacing w:line="320" w:lineRule="exact"/>
                    <w:jc w:val="center"/>
                    <w:rPr>
                      <w:rFonts w:hint="eastAsia"/>
                      <w:color w:val="auto"/>
                      <w:szCs w:val="21"/>
                      <w:highlight w:val="none"/>
                    </w:rPr>
                  </w:pPr>
                  <w:r>
                    <w:rPr>
                      <w:rFonts w:hint="eastAsia"/>
                      <w:color w:val="auto"/>
                      <w:szCs w:val="21"/>
                      <w:highlight w:val="none"/>
                    </w:rPr>
                    <w:t>生态环境</w:t>
                  </w:r>
                </w:p>
              </w:tc>
              <w:tc>
                <w:tcPr>
                  <w:tcW w:w="3314" w:type="dxa"/>
                  <w:tcBorders>
                    <w:top w:val="single" w:color="auto" w:sz="4" w:space="0"/>
                    <w:left w:val="single" w:color="auto" w:sz="4" w:space="0"/>
                    <w:bottom w:val="single" w:color="auto" w:sz="4" w:space="0"/>
                    <w:right w:val="single" w:color="auto" w:sz="4" w:space="0"/>
                  </w:tcBorders>
                  <w:noWrap w:val="0"/>
                  <w:vAlign w:val="center"/>
                </w:tcPr>
                <w:p w14:paraId="7E3B0D3F">
                  <w:pPr>
                    <w:tabs>
                      <w:tab w:val="left" w:pos="3420"/>
                    </w:tabs>
                    <w:spacing w:line="320" w:lineRule="exact"/>
                    <w:jc w:val="center"/>
                    <w:rPr>
                      <w:rFonts w:hint="eastAsia" w:eastAsia="宋体"/>
                      <w:color w:val="auto"/>
                      <w:highlight w:val="none"/>
                      <w:lang w:val="en-US" w:eastAsia="zh-CN"/>
                    </w:rPr>
                  </w:pPr>
                  <w:r>
                    <w:rPr>
                      <w:rFonts w:hint="eastAsia"/>
                      <w:color w:val="auto"/>
                      <w:szCs w:val="21"/>
                      <w:highlight w:val="none"/>
                      <w:lang w:eastAsia="zh-CN"/>
                    </w:rPr>
                    <w:t>管线临时占地以及</w:t>
                  </w:r>
                  <w:r>
                    <w:rPr>
                      <w:rFonts w:hint="eastAsia" w:ascii="宋体" w:hAnsi="宋体" w:eastAsia="宋体" w:cs="宋体"/>
                      <w:color w:val="auto"/>
                      <w:sz w:val="21"/>
                      <w:szCs w:val="21"/>
                      <w:highlight w:val="none"/>
                      <w:lang w:eastAsia="zh-CN"/>
                    </w:rPr>
                    <w:t>蓄水池</w:t>
                  </w:r>
                  <w:r>
                    <w:rPr>
                      <w:rFonts w:hint="eastAsia" w:ascii="宋体" w:hAnsi="宋体" w:eastAsia="宋体" w:cs="宋体"/>
                      <w:color w:val="auto"/>
                      <w:sz w:val="21"/>
                      <w:szCs w:val="21"/>
                      <w:highlight w:val="none"/>
                    </w:rPr>
                    <w:t>工程</w:t>
                  </w:r>
                  <w:r>
                    <w:rPr>
                      <w:rFonts w:hint="default" w:ascii="Times New Roman" w:hAnsi="Times New Roman" w:eastAsia="宋体" w:cs="Times New Roman"/>
                      <w:snapToGrid/>
                      <w:color w:val="auto"/>
                      <w:kern w:val="2"/>
                      <w:sz w:val="21"/>
                      <w:szCs w:val="21"/>
                      <w:highlight w:val="none"/>
                      <w:lang w:val="en-US" w:eastAsia="zh-CN" w:bidi="ar-SA"/>
                    </w:rPr>
                    <w:t>绿化带</w:t>
                  </w:r>
                  <w:r>
                    <w:rPr>
                      <w:rFonts w:hint="eastAsia"/>
                      <w:color w:val="auto"/>
                      <w:szCs w:val="21"/>
                      <w:highlight w:val="none"/>
                      <w:lang w:eastAsia="zh-CN"/>
                    </w:rPr>
                    <w:t>的植被成活率、植被覆盖度、植物物种</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D426373">
                  <w:pPr>
                    <w:tabs>
                      <w:tab w:val="left" w:pos="3420"/>
                    </w:tabs>
                    <w:spacing w:line="320" w:lineRule="exact"/>
                    <w:jc w:val="center"/>
                    <w:rPr>
                      <w:rFonts w:hint="eastAsia" w:eastAsia="宋体"/>
                      <w:color w:val="auto"/>
                      <w:highlight w:val="none"/>
                      <w:lang w:eastAsia="zh-CN"/>
                    </w:rPr>
                  </w:pPr>
                  <w:r>
                    <w:rPr>
                      <w:rFonts w:hint="eastAsia" w:eastAsia="宋体"/>
                      <w:color w:val="auto"/>
                      <w:highlight w:val="none"/>
                      <w:lang w:eastAsia="zh-CN"/>
                    </w:rPr>
                    <w:t>临时占地</w:t>
                  </w:r>
                  <w:r>
                    <w:rPr>
                      <w:rFonts w:hint="eastAsia"/>
                      <w:color w:val="auto"/>
                      <w:highlight w:val="none"/>
                      <w:lang w:eastAsia="zh-CN"/>
                    </w:rPr>
                    <w:t>区域、</w:t>
                  </w:r>
                  <w:r>
                    <w:rPr>
                      <w:rFonts w:hint="eastAsia" w:ascii="宋体" w:hAnsi="宋体" w:eastAsia="宋体" w:cs="宋体"/>
                      <w:color w:val="auto"/>
                      <w:sz w:val="21"/>
                      <w:szCs w:val="21"/>
                      <w:highlight w:val="none"/>
                      <w:lang w:eastAsia="zh-CN"/>
                    </w:rPr>
                    <w:t>蓄水池</w:t>
                  </w:r>
                  <w:r>
                    <w:rPr>
                      <w:rFonts w:hint="eastAsia" w:ascii="宋体" w:hAnsi="宋体" w:eastAsia="宋体" w:cs="宋体"/>
                      <w:color w:val="auto"/>
                      <w:sz w:val="21"/>
                      <w:szCs w:val="21"/>
                      <w:highlight w:val="none"/>
                    </w:rPr>
                    <w:t>工程</w:t>
                  </w:r>
                  <w:r>
                    <w:rPr>
                      <w:rFonts w:hint="default" w:ascii="Times New Roman" w:hAnsi="Times New Roman" w:eastAsia="宋体" w:cs="Times New Roman"/>
                      <w:snapToGrid/>
                      <w:color w:val="auto"/>
                      <w:kern w:val="2"/>
                      <w:sz w:val="21"/>
                      <w:szCs w:val="21"/>
                      <w:highlight w:val="none"/>
                      <w:lang w:val="en-US" w:eastAsia="zh-CN" w:bidi="ar-SA"/>
                    </w:rPr>
                    <w:t>绿化带</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2B146BC3">
                  <w:pPr>
                    <w:spacing w:line="320" w:lineRule="exact"/>
                    <w:jc w:val="center"/>
                    <w:rPr>
                      <w:rFonts w:hint="eastAsia"/>
                      <w:color w:val="auto"/>
                      <w:szCs w:val="21"/>
                      <w:highlight w:val="none"/>
                    </w:rPr>
                  </w:pPr>
                  <w:r>
                    <w:rPr>
                      <w:rFonts w:hint="eastAsia"/>
                      <w:color w:val="auto"/>
                      <w:szCs w:val="21"/>
                      <w:highlight w:val="none"/>
                      <w:lang w:val="en-US" w:eastAsia="zh-CN"/>
                    </w:rPr>
                    <w:t>施工结束后的3年内，每年植被生长季节进行1次。</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56C06072">
                  <w:pPr>
                    <w:spacing w:line="320" w:lineRule="exact"/>
                    <w:jc w:val="center"/>
                    <w:rPr>
                      <w:rFonts w:hint="eastAsia" w:eastAsia="宋体"/>
                      <w:color w:val="auto"/>
                      <w:szCs w:val="21"/>
                      <w:highlight w:val="none"/>
                      <w:lang w:eastAsia="zh-CN"/>
                    </w:rPr>
                  </w:pPr>
                  <w:r>
                    <w:rPr>
                      <w:rFonts w:hint="eastAsia"/>
                      <w:color w:val="auto"/>
                      <w:szCs w:val="21"/>
                      <w:highlight w:val="none"/>
                      <w:lang w:eastAsia="zh-CN"/>
                    </w:rPr>
                    <w:t>建设单位</w:t>
                  </w:r>
                </w:p>
              </w:tc>
            </w:tr>
          </w:tbl>
          <w:p w14:paraId="0C768AD2">
            <w:pPr>
              <w:adjustRightInd w:val="0"/>
              <w:snapToGrid w:val="0"/>
              <w:spacing w:line="360" w:lineRule="auto"/>
              <w:ind w:firstLine="460" w:firstLineChars="200"/>
              <w:rPr>
                <w:rFonts w:hint="default" w:ascii="宋体" w:hAnsi="宋体" w:cs="宋体"/>
                <w:bCs/>
                <w:spacing w:val="10"/>
                <w:szCs w:val="21"/>
                <w:highlight w:val="none"/>
                <w:lang w:val="en-US" w:eastAsia="zh-CN"/>
              </w:rPr>
            </w:pPr>
          </w:p>
        </w:tc>
      </w:tr>
      <w:tr w14:paraId="76E95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53" w:type="dxa"/>
            <w:noWrap w:val="0"/>
            <w:vAlign w:val="center"/>
          </w:tcPr>
          <w:p w14:paraId="29FCEE3F">
            <w:pPr>
              <w:adjustRightInd w:val="0"/>
              <w:snapToGrid w:val="0"/>
              <w:jc w:val="center"/>
              <w:rPr>
                <w:rFonts w:ascii="宋体" w:hAnsi="宋体" w:cs="宋体"/>
                <w:bCs/>
                <w:spacing w:val="10"/>
                <w:szCs w:val="21"/>
                <w:highlight w:val="none"/>
              </w:rPr>
            </w:pPr>
            <w:r>
              <w:rPr>
                <w:rFonts w:hint="eastAsia" w:ascii="宋体" w:hAnsi="宋体"/>
                <w:bCs/>
                <w:szCs w:val="21"/>
                <w:highlight w:val="none"/>
              </w:rPr>
              <w:t>环保投资</w:t>
            </w:r>
          </w:p>
        </w:tc>
        <w:tc>
          <w:tcPr>
            <w:tcW w:w="8457" w:type="dxa"/>
            <w:noWrap w:val="0"/>
            <w:vAlign w:val="top"/>
          </w:tcPr>
          <w:p w14:paraId="266BDE1B">
            <w:pPr>
              <w:spacing w:line="360" w:lineRule="auto"/>
              <w:ind w:firstLine="480" w:firstLineChars="200"/>
              <w:jc w:val="left"/>
              <w:rPr>
                <w:rFonts w:hint="default"/>
                <w:b/>
                <w:sz w:val="24"/>
                <w:highlight w:val="none"/>
                <w:lang w:val="en-US"/>
              </w:rPr>
            </w:pPr>
            <w:r>
              <w:rPr>
                <w:rFonts w:hint="eastAsia" w:ascii="Times New Roman" w:hAnsi="Times New Roman" w:cs="Times New Roman"/>
                <w:bCs/>
                <w:sz w:val="24"/>
                <w:szCs w:val="24"/>
                <w:highlight w:val="none"/>
                <w:lang w:eastAsia="zh-CN"/>
              </w:rPr>
              <w:t>本项目</w:t>
            </w:r>
            <w:r>
              <w:rPr>
                <w:rFonts w:hint="default" w:ascii="Times New Roman" w:hAnsi="Times New Roman" w:cs="Times New Roman"/>
                <w:bCs/>
                <w:sz w:val="24"/>
                <w:szCs w:val="24"/>
                <w:highlight w:val="none"/>
              </w:rPr>
              <w:t>总投资为</w:t>
            </w:r>
            <w:r>
              <w:rPr>
                <w:rFonts w:hint="eastAsia" w:cs="Times New Roman"/>
                <w:sz w:val="24"/>
                <w:szCs w:val="24"/>
                <w:highlight w:val="none"/>
                <w:lang w:val="en-US" w:eastAsia="zh-CN"/>
              </w:rPr>
              <w:t>2202.3</w:t>
            </w:r>
            <w:r>
              <w:rPr>
                <w:rFonts w:hint="default" w:ascii="Times New Roman" w:hAnsi="Times New Roman" w:cs="Times New Roman"/>
                <w:bCs/>
                <w:sz w:val="24"/>
                <w:szCs w:val="24"/>
                <w:highlight w:val="none"/>
              </w:rPr>
              <w:t>万元，</w:t>
            </w:r>
            <w:r>
              <w:rPr>
                <w:rFonts w:hint="eastAsia" w:ascii="Times New Roman" w:hAnsi="Times New Roman" w:cs="Times New Roman"/>
                <w:bCs/>
                <w:sz w:val="24"/>
                <w:szCs w:val="24"/>
                <w:highlight w:val="none"/>
                <w:lang w:eastAsia="zh-CN"/>
              </w:rPr>
              <w:t>本项目为</w:t>
            </w:r>
            <w:r>
              <w:rPr>
                <w:rFonts w:hint="eastAsia" w:cs="Times New Roman"/>
                <w:bCs/>
                <w:sz w:val="24"/>
                <w:szCs w:val="24"/>
                <w:highlight w:val="none"/>
                <w:lang w:eastAsia="zh-CN"/>
              </w:rPr>
              <w:t>供水</w:t>
            </w:r>
            <w:r>
              <w:rPr>
                <w:rFonts w:hint="eastAsia" w:ascii="Times New Roman" w:hAnsi="Times New Roman" w:cs="Times New Roman"/>
                <w:bCs/>
                <w:sz w:val="24"/>
                <w:szCs w:val="24"/>
                <w:highlight w:val="none"/>
                <w:lang w:eastAsia="zh-CN"/>
              </w:rPr>
              <w:t>工程，本项目环保投资</w:t>
            </w:r>
            <w:r>
              <w:rPr>
                <w:rFonts w:hint="eastAsia" w:cs="Times New Roman"/>
                <w:bCs/>
                <w:sz w:val="24"/>
                <w:szCs w:val="24"/>
                <w:highlight w:val="none"/>
                <w:lang w:eastAsia="zh-CN"/>
              </w:rPr>
              <w:t>为</w:t>
            </w:r>
            <w:r>
              <w:rPr>
                <w:rFonts w:hint="eastAsia" w:ascii="Times New Roman" w:hAnsi="Times New Roman" w:cs="Times New Roman" w:eastAsiaTheme="minorEastAsia"/>
                <w:color w:val="auto"/>
                <w:sz w:val="24"/>
                <w:szCs w:val="24"/>
                <w:highlight w:val="none"/>
                <w:lang w:val="en-US" w:eastAsia="zh-CN" w:bidi="en-US"/>
              </w:rPr>
              <w:t>4</w:t>
            </w:r>
            <w:r>
              <w:rPr>
                <w:rFonts w:hint="eastAsia" w:cs="Times New Roman" w:eastAsiaTheme="minorEastAsia"/>
                <w:color w:val="auto"/>
                <w:sz w:val="24"/>
                <w:szCs w:val="24"/>
                <w:highlight w:val="none"/>
                <w:lang w:val="en-US" w:eastAsia="zh-CN" w:bidi="en-US"/>
              </w:rPr>
              <w:t>4</w:t>
            </w:r>
            <w:r>
              <w:rPr>
                <w:rFonts w:hint="eastAsia" w:ascii="Times New Roman" w:hAnsi="Times New Roman" w:cs="Times New Roman" w:eastAsiaTheme="minorEastAsia"/>
                <w:color w:val="auto"/>
                <w:sz w:val="24"/>
                <w:szCs w:val="24"/>
                <w:highlight w:val="none"/>
                <w:lang w:val="en-US" w:eastAsia="zh-CN" w:bidi="en-US"/>
              </w:rPr>
              <w:t>.1万元</w:t>
            </w:r>
            <w:r>
              <w:rPr>
                <w:rFonts w:hint="eastAsia" w:ascii="Times New Roman" w:hAnsi="Times New Roman" w:cs="Times New Roman"/>
                <w:bCs/>
                <w:sz w:val="24"/>
                <w:szCs w:val="24"/>
                <w:highlight w:val="none"/>
                <w:lang w:eastAsia="zh-CN"/>
              </w:rPr>
              <w:t>，占总投资的</w:t>
            </w:r>
            <w:r>
              <w:rPr>
                <w:rFonts w:hint="eastAsia" w:cs="Times New Roman"/>
                <w:bCs/>
                <w:sz w:val="24"/>
                <w:szCs w:val="24"/>
                <w:highlight w:val="none"/>
                <w:lang w:val="en-US" w:eastAsia="zh-CN"/>
              </w:rPr>
              <w:t>2</w:t>
            </w:r>
            <w:r>
              <w:rPr>
                <w:rFonts w:hint="eastAsia" w:ascii="Times New Roman" w:hAnsi="Times New Roman" w:cs="Times New Roman"/>
                <w:bCs/>
                <w:sz w:val="24"/>
                <w:szCs w:val="24"/>
                <w:highlight w:val="none"/>
                <w:lang w:val="en-US" w:eastAsia="zh-CN"/>
              </w:rPr>
              <w:t>%。</w:t>
            </w:r>
            <w:r>
              <w:rPr>
                <w:rFonts w:hint="eastAsia" w:cs="Times New Roman"/>
                <w:bCs/>
                <w:sz w:val="24"/>
                <w:szCs w:val="24"/>
                <w:highlight w:val="none"/>
                <w:lang w:val="en-US" w:eastAsia="zh-CN"/>
              </w:rPr>
              <w:t>具体见下表。</w:t>
            </w:r>
          </w:p>
          <w:p w14:paraId="3BF87C25">
            <w:pPr>
              <w:pStyle w:val="40"/>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val="0"/>
                <w:bCs w:val="0"/>
                <w:color w:val="auto"/>
                <w:sz w:val="21"/>
                <w:szCs w:val="21"/>
                <w:highlight w:val="none"/>
              </w:rPr>
              <w:t>表</w:t>
            </w:r>
            <w:r>
              <w:rPr>
                <w:rFonts w:hint="eastAsia" w:eastAsia="宋体" w:cs="Times New Roman"/>
                <w:b w:val="0"/>
                <w:bCs w:val="0"/>
                <w:color w:val="auto"/>
                <w:sz w:val="21"/>
                <w:szCs w:val="21"/>
                <w:highlight w:val="none"/>
                <w:lang w:val="en-US" w:eastAsia="zh-CN"/>
              </w:rPr>
              <w:t>5-2</w:t>
            </w:r>
            <w:r>
              <w:rPr>
                <w:rFonts w:hint="default" w:ascii="Times New Roman" w:hAnsi="Times New Roman" w:eastAsia="宋体" w:cs="Times New Roman"/>
                <w:b w:val="0"/>
                <w:bCs w:val="0"/>
                <w:color w:val="auto"/>
                <w:sz w:val="21"/>
                <w:szCs w:val="21"/>
                <w:highlight w:val="none"/>
              </w:rPr>
              <w:t xml:space="preserve"> 环保措施及投资估算一览表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55"/>
              <w:gridCol w:w="1439"/>
              <w:gridCol w:w="4743"/>
              <w:gridCol w:w="1394"/>
            </w:tblGrid>
            <w:tr w14:paraId="36E5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jc w:val="center"/>
              </w:trPr>
              <w:tc>
                <w:tcPr>
                  <w:tcW w:w="397" w:type="pct"/>
                  <w:noWrap w:val="0"/>
                  <w:vAlign w:val="center"/>
                </w:tcPr>
                <w:p w14:paraId="3F9B97FD">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类型</w:t>
                  </w:r>
                </w:p>
              </w:tc>
              <w:tc>
                <w:tcPr>
                  <w:tcW w:w="874" w:type="pct"/>
                  <w:noWrap w:val="0"/>
                  <w:vAlign w:val="center"/>
                </w:tcPr>
                <w:p w14:paraId="35C1D6F2">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污染工序</w:t>
                  </w:r>
                </w:p>
              </w:tc>
              <w:tc>
                <w:tcPr>
                  <w:tcW w:w="2881" w:type="pct"/>
                  <w:noWrap w:val="0"/>
                  <w:vAlign w:val="center"/>
                </w:tcPr>
                <w:p w14:paraId="5D1DEE00">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环保设施</w:t>
                  </w:r>
                </w:p>
              </w:tc>
              <w:tc>
                <w:tcPr>
                  <w:tcW w:w="846" w:type="pct"/>
                  <w:noWrap w:val="0"/>
                  <w:vAlign w:val="center"/>
                </w:tcPr>
                <w:p w14:paraId="130B7929">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投资（万元）</w:t>
                  </w:r>
                </w:p>
              </w:tc>
            </w:tr>
            <w:tr w14:paraId="7199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9" w:hRule="atLeast"/>
                <w:jc w:val="center"/>
              </w:trPr>
              <w:tc>
                <w:tcPr>
                  <w:tcW w:w="397" w:type="pct"/>
                  <w:vMerge w:val="restart"/>
                  <w:noWrap w:val="0"/>
                  <w:vAlign w:val="center"/>
                </w:tcPr>
                <w:p w14:paraId="5ED27F9A">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废气</w:t>
                  </w:r>
                </w:p>
              </w:tc>
              <w:tc>
                <w:tcPr>
                  <w:tcW w:w="874" w:type="pct"/>
                  <w:noWrap w:val="0"/>
                  <w:vAlign w:val="center"/>
                </w:tcPr>
                <w:p w14:paraId="57109DBC">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扬尘</w:t>
                  </w:r>
                </w:p>
              </w:tc>
              <w:tc>
                <w:tcPr>
                  <w:tcW w:w="2881" w:type="pct"/>
                  <w:noWrap w:val="0"/>
                  <w:vAlign w:val="center"/>
                </w:tcPr>
                <w:p w14:paraId="52AA8238">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施工区域设置硬质围挡；施工区定期洒水；施工场地内易产生扬尘的物料堆置须采取密闭、遮盖、洒水等抑尘措施</w:t>
                  </w:r>
                </w:p>
              </w:tc>
              <w:tc>
                <w:tcPr>
                  <w:tcW w:w="846" w:type="pct"/>
                  <w:noWrap w:val="0"/>
                  <w:vAlign w:val="center"/>
                </w:tcPr>
                <w:p w14:paraId="728FB812">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r>
            <w:tr w14:paraId="4F90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9" w:hRule="atLeast"/>
                <w:jc w:val="center"/>
              </w:trPr>
              <w:tc>
                <w:tcPr>
                  <w:tcW w:w="397" w:type="pct"/>
                  <w:vMerge w:val="continue"/>
                  <w:noWrap w:val="0"/>
                  <w:vAlign w:val="center"/>
                </w:tcPr>
                <w:p w14:paraId="7A4B1607">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sz w:val="21"/>
                      <w:szCs w:val="21"/>
                      <w:highlight w:val="none"/>
                    </w:rPr>
                  </w:pPr>
                </w:p>
              </w:tc>
              <w:tc>
                <w:tcPr>
                  <w:tcW w:w="874" w:type="pct"/>
                  <w:noWrap w:val="0"/>
                  <w:vAlign w:val="center"/>
                </w:tcPr>
                <w:p w14:paraId="072E1585">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施工机械与运输车辆尾气</w:t>
                  </w:r>
                </w:p>
              </w:tc>
              <w:tc>
                <w:tcPr>
                  <w:tcW w:w="2881" w:type="pct"/>
                  <w:noWrap w:val="0"/>
                  <w:vAlign w:val="center"/>
                </w:tcPr>
                <w:p w14:paraId="6AC5E09E">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使用满足标准的施工机械和油品，做好设备的维修和养护。</w:t>
                  </w:r>
                </w:p>
              </w:tc>
              <w:tc>
                <w:tcPr>
                  <w:tcW w:w="846" w:type="pct"/>
                  <w:noWrap w:val="0"/>
                  <w:vAlign w:val="center"/>
                </w:tcPr>
                <w:p w14:paraId="10570FBE">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r>
            <w:tr w14:paraId="4A7B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1" w:hRule="atLeast"/>
                <w:jc w:val="center"/>
              </w:trPr>
              <w:tc>
                <w:tcPr>
                  <w:tcW w:w="397" w:type="pct"/>
                  <w:vMerge w:val="restart"/>
                  <w:noWrap w:val="0"/>
                  <w:vAlign w:val="center"/>
                </w:tcPr>
                <w:p w14:paraId="24FE0496">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废水</w:t>
                  </w:r>
                </w:p>
              </w:tc>
              <w:tc>
                <w:tcPr>
                  <w:tcW w:w="874" w:type="pct"/>
                  <w:noWrap w:val="0"/>
                  <w:vAlign w:val="center"/>
                </w:tcPr>
                <w:p w14:paraId="58FC3F60">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施工废水</w:t>
                  </w:r>
                </w:p>
              </w:tc>
              <w:tc>
                <w:tcPr>
                  <w:tcW w:w="2881" w:type="pct"/>
                  <w:noWrap w:val="0"/>
                  <w:vAlign w:val="center"/>
                </w:tcPr>
                <w:p w14:paraId="4879B712">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施工作业废水经过沉淀池沉淀回用，输水管线试压后，废水从由管内排出，进入下一段管线循环使用，试压结束后，废水经过沉淀池沉淀，然后用于施工场地洒水降尘。</w:t>
                  </w:r>
                </w:p>
              </w:tc>
              <w:tc>
                <w:tcPr>
                  <w:tcW w:w="846" w:type="pct"/>
                  <w:noWrap w:val="0"/>
                  <w:vAlign w:val="center"/>
                </w:tcPr>
                <w:p w14:paraId="62094F2C">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r>
            <w:tr w14:paraId="0D65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1" w:hRule="atLeast"/>
                <w:jc w:val="center"/>
              </w:trPr>
              <w:tc>
                <w:tcPr>
                  <w:tcW w:w="397" w:type="pct"/>
                  <w:vMerge w:val="continue"/>
                  <w:noWrap w:val="0"/>
                  <w:vAlign w:val="center"/>
                </w:tcPr>
                <w:p w14:paraId="53F1E732">
                  <w:pPr>
                    <w:pStyle w:val="41"/>
                    <w:keepNext w:val="0"/>
                    <w:keepLines w:val="0"/>
                    <w:suppressLineNumbers w:val="0"/>
                    <w:adjustRightInd w:val="0"/>
                    <w:snapToGrid w:val="0"/>
                    <w:spacing w:before="0" w:beforeAutospacing="0" w:after="0" w:afterAutospacing="0" w:line="240" w:lineRule="atLeast"/>
                    <w:ind w:left="0" w:right="0"/>
                    <w:jc w:val="center"/>
                    <w:rPr>
                      <w:highlight w:val="none"/>
                    </w:rPr>
                  </w:pPr>
                </w:p>
              </w:tc>
              <w:tc>
                <w:tcPr>
                  <w:tcW w:w="874" w:type="pct"/>
                  <w:noWrap w:val="0"/>
                  <w:vAlign w:val="center"/>
                </w:tcPr>
                <w:p w14:paraId="6ACBE1EB">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施工生活污水</w:t>
                  </w:r>
                </w:p>
              </w:tc>
              <w:tc>
                <w:tcPr>
                  <w:tcW w:w="2881" w:type="pct"/>
                  <w:noWrap w:val="0"/>
                  <w:vAlign w:val="center"/>
                </w:tcPr>
                <w:p w14:paraId="2F358504">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临时化粪池</w:t>
                  </w:r>
                </w:p>
              </w:tc>
              <w:tc>
                <w:tcPr>
                  <w:tcW w:w="846" w:type="pct"/>
                  <w:noWrap w:val="0"/>
                  <w:vAlign w:val="center"/>
                </w:tcPr>
                <w:p w14:paraId="1AA9B369">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r>
            <w:tr w14:paraId="22A7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jc w:val="center"/>
              </w:trPr>
              <w:tc>
                <w:tcPr>
                  <w:tcW w:w="397" w:type="pct"/>
                  <w:noWrap w:val="0"/>
                  <w:vAlign w:val="center"/>
                </w:tcPr>
                <w:p w14:paraId="3104F6A5">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噪声</w:t>
                  </w:r>
                </w:p>
              </w:tc>
              <w:tc>
                <w:tcPr>
                  <w:tcW w:w="874" w:type="pct"/>
                  <w:noWrap w:val="0"/>
                  <w:vAlign w:val="center"/>
                </w:tcPr>
                <w:p w14:paraId="4CA7E08F">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施工噪声</w:t>
                  </w:r>
                </w:p>
              </w:tc>
              <w:tc>
                <w:tcPr>
                  <w:tcW w:w="2881" w:type="pct"/>
                  <w:noWrap w:val="0"/>
                  <w:vAlign w:val="center"/>
                </w:tcPr>
                <w:p w14:paraId="2CBFFD5D">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sz w:val="21"/>
                      <w:szCs w:val="21"/>
                      <w:highlight w:val="none"/>
                    </w:rPr>
                    <w:t>采用合理安排施工作业时间，优先选用高效低噪声设备，减少高噪声设备同时作业，进出车辆合理安排，尽量减少鸣笛</w:t>
                  </w:r>
                </w:p>
              </w:tc>
              <w:tc>
                <w:tcPr>
                  <w:tcW w:w="846" w:type="pct"/>
                  <w:noWrap w:val="0"/>
                  <w:vAlign w:val="center"/>
                </w:tcPr>
                <w:p w14:paraId="69547873">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r>
            <w:tr w14:paraId="6F37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7" w:hRule="atLeast"/>
                <w:jc w:val="center"/>
              </w:trPr>
              <w:tc>
                <w:tcPr>
                  <w:tcW w:w="397" w:type="pct"/>
                  <w:vMerge w:val="restart"/>
                  <w:noWrap w:val="0"/>
                  <w:vAlign w:val="center"/>
                </w:tcPr>
                <w:p w14:paraId="098C631C">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固废</w:t>
                  </w:r>
                </w:p>
              </w:tc>
              <w:tc>
                <w:tcPr>
                  <w:tcW w:w="874" w:type="pct"/>
                  <w:noWrap w:val="0"/>
                  <w:vAlign w:val="center"/>
                </w:tcPr>
                <w:p w14:paraId="66908363">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生活垃圾</w:t>
                  </w:r>
                </w:p>
              </w:tc>
              <w:tc>
                <w:tcPr>
                  <w:tcW w:w="2881" w:type="pct"/>
                  <w:noWrap w:val="0"/>
                  <w:vAlign w:val="center"/>
                </w:tcPr>
                <w:p w14:paraId="74D46F10">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z w:val="21"/>
                      <w:szCs w:val="21"/>
                      <w:highlight w:val="none"/>
                      <w:lang w:val="en-US" w:eastAsia="zh-CN"/>
                    </w:rPr>
                    <w:t>设置垃圾桶，生活垃圾集中收集后交当地环卫部门处置。</w:t>
                  </w:r>
                </w:p>
              </w:tc>
              <w:tc>
                <w:tcPr>
                  <w:tcW w:w="846" w:type="pct"/>
                  <w:noWrap w:val="0"/>
                  <w:vAlign w:val="center"/>
                </w:tcPr>
                <w:p w14:paraId="73F8D478">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0.1</w:t>
                  </w:r>
                </w:p>
              </w:tc>
            </w:tr>
            <w:tr w14:paraId="1CE9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7" w:hRule="atLeast"/>
                <w:jc w:val="center"/>
              </w:trPr>
              <w:tc>
                <w:tcPr>
                  <w:tcW w:w="397" w:type="pct"/>
                  <w:vMerge w:val="continue"/>
                  <w:noWrap w:val="0"/>
                  <w:vAlign w:val="center"/>
                </w:tcPr>
                <w:p w14:paraId="7D3085A3">
                  <w:pPr>
                    <w:pStyle w:val="41"/>
                    <w:keepNext w:val="0"/>
                    <w:keepLines w:val="0"/>
                    <w:suppressLineNumbers w:val="0"/>
                    <w:adjustRightInd w:val="0"/>
                    <w:snapToGrid w:val="0"/>
                    <w:spacing w:before="0" w:beforeAutospacing="0" w:after="0" w:afterAutospacing="0" w:line="240" w:lineRule="atLeast"/>
                    <w:ind w:left="0" w:right="0"/>
                    <w:jc w:val="center"/>
                    <w:rPr>
                      <w:highlight w:val="none"/>
                    </w:rPr>
                  </w:pPr>
                </w:p>
              </w:tc>
              <w:tc>
                <w:tcPr>
                  <w:tcW w:w="874" w:type="pct"/>
                  <w:noWrap w:val="0"/>
                  <w:vAlign w:val="center"/>
                </w:tcPr>
                <w:p w14:paraId="4F478E42">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蓄水池沉淀泥沙</w:t>
                  </w:r>
                </w:p>
              </w:tc>
              <w:tc>
                <w:tcPr>
                  <w:tcW w:w="2881" w:type="pct"/>
                  <w:noWrap w:val="0"/>
                  <w:vAlign w:val="center"/>
                </w:tcPr>
                <w:p w14:paraId="2532522D">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default" w:ascii="Times New Roman" w:hAnsi="Times New Roman" w:eastAsia="宋体" w:cs="Times New Roman"/>
                      <w:sz w:val="21"/>
                      <w:szCs w:val="21"/>
                      <w:highlight w:val="none"/>
                    </w:rPr>
                    <w:t>清理频次建议每年至少清理一次</w:t>
                  </w:r>
                  <w:r>
                    <w:rPr>
                      <w:rFonts w:hint="eastAsia"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eastAsia="zh-CN"/>
                    </w:rPr>
                    <w:t>清掏泥沙产生量约为</w:t>
                  </w:r>
                  <w:r>
                    <w:rPr>
                      <w:rFonts w:hint="default" w:ascii="Times New Roman" w:hAnsi="Times New Roman" w:eastAsia="宋体" w:cs="Times New Roman"/>
                      <w:sz w:val="21"/>
                      <w:szCs w:val="21"/>
                      <w:highlight w:val="none"/>
                      <w:lang w:val="en-US" w:eastAsia="zh-CN"/>
                    </w:rPr>
                    <w:t>19422m</w:t>
                  </w:r>
                  <w:r>
                    <w:rPr>
                      <w:rFonts w:hint="default" w:ascii="Times New Roman" w:hAnsi="Times New Roman" w:eastAsia="宋体" w:cs="Times New Roman"/>
                      <w:sz w:val="21"/>
                      <w:szCs w:val="21"/>
                      <w:highlight w:val="none"/>
                      <w:vertAlign w:val="superscript"/>
                      <w:lang w:val="en-US" w:eastAsia="zh-CN"/>
                    </w:rPr>
                    <w:t>3</w:t>
                  </w:r>
                  <w:r>
                    <w:rPr>
                      <w:rFonts w:hint="eastAsia" w:ascii="Times New Roman" w:hAnsi="Times New Roman" w:eastAsia="宋体" w:cs="Times New Roman"/>
                      <w:sz w:val="21"/>
                      <w:szCs w:val="21"/>
                      <w:highlight w:val="none"/>
                      <w:vertAlign w:val="baseline"/>
                      <w:lang w:val="en-US" w:eastAsia="zh-CN"/>
                    </w:rPr>
                    <w:t>，</w:t>
                  </w:r>
                  <w:r>
                    <w:rPr>
                      <w:rFonts w:hint="eastAsia" w:asciiTheme="minorEastAsia" w:hAnsiTheme="minorEastAsia" w:eastAsiaTheme="minorEastAsia" w:cstheme="minorEastAsia"/>
                      <w:color w:val="auto"/>
                      <w:sz w:val="21"/>
                      <w:szCs w:val="21"/>
                      <w:highlight w:val="none"/>
                    </w:rPr>
                    <w:t>送至</w:t>
                  </w:r>
                  <w:r>
                    <w:rPr>
                      <w:rFonts w:hint="eastAsia" w:asciiTheme="minorEastAsia" w:hAnsiTheme="minorEastAsia" w:eastAsiaTheme="minorEastAsia" w:cstheme="minorEastAsia"/>
                      <w:color w:val="auto"/>
                      <w:sz w:val="21"/>
                      <w:szCs w:val="21"/>
                      <w:highlight w:val="none"/>
                      <w:lang w:eastAsia="zh-CN"/>
                    </w:rPr>
                    <w:t>当地</w:t>
                  </w:r>
                  <w:r>
                    <w:rPr>
                      <w:rFonts w:hint="eastAsia" w:asciiTheme="minorEastAsia" w:hAnsiTheme="minorEastAsia" w:eastAsiaTheme="minorEastAsia" w:cstheme="minorEastAsia"/>
                      <w:color w:val="auto"/>
                      <w:sz w:val="21"/>
                      <w:szCs w:val="21"/>
                      <w:highlight w:val="none"/>
                    </w:rPr>
                    <w:t>生活垃圾填埋场作为填埋覆土使用。</w:t>
                  </w:r>
                </w:p>
              </w:tc>
              <w:tc>
                <w:tcPr>
                  <w:tcW w:w="846" w:type="pct"/>
                  <w:noWrap w:val="0"/>
                  <w:vAlign w:val="center"/>
                </w:tcPr>
                <w:p w14:paraId="493D23B4">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w:t>
                  </w:r>
                </w:p>
              </w:tc>
            </w:tr>
            <w:tr w14:paraId="5047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5" w:hRule="atLeast"/>
                <w:jc w:val="center"/>
              </w:trPr>
              <w:tc>
                <w:tcPr>
                  <w:tcW w:w="397" w:type="pct"/>
                  <w:noWrap w:val="0"/>
                  <w:vAlign w:val="center"/>
                </w:tcPr>
                <w:p w14:paraId="41B1549D">
                  <w:pPr>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生态</w:t>
                  </w:r>
                </w:p>
              </w:tc>
              <w:tc>
                <w:tcPr>
                  <w:tcW w:w="874" w:type="pct"/>
                  <w:noWrap w:val="0"/>
                  <w:vAlign w:val="center"/>
                </w:tcPr>
                <w:p w14:paraId="5BE62140">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水土流失、</w:t>
                  </w:r>
                  <w:r>
                    <w:rPr>
                      <w:rFonts w:hint="eastAsia" w:asciiTheme="minorEastAsia" w:hAnsiTheme="minorEastAsia" w:eastAsiaTheme="minorEastAsia" w:cstheme="minorEastAsia"/>
                      <w:color w:val="auto"/>
                      <w:sz w:val="21"/>
                      <w:szCs w:val="21"/>
                      <w:highlight w:val="none"/>
                    </w:rPr>
                    <w:t>生态</w:t>
                  </w:r>
                  <w:r>
                    <w:rPr>
                      <w:rFonts w:hint="eastAsia" w:asciiTheme="minorEastAsia" w:hAnsiTheme="minorEastAsia" w:eastAsiaTheme="minorEastAsia" w:cstheme="minorEastAsia"/>
                      <w:color w:val="auto"/>
                      <w:sz w:val="21"/>
                      <w:szCs w:val="21"/>
                      <w:highlight w:val="none"/>
                      <w:lang w:eastAsia="zh-CN"/>
                    </w:rPr>
                    <w:t>恢复</w:t>
                  </w:r>
                </w:p>
              </w:tc>
              <w:tc>
                <w:tcPr>
                  <w:tcW w:w="2881" w:type="pct"/>
                  <w:noWrap w:val="0"/>
                  <w:vAlign w:val="center"/>
                </w:tcPr>
                <w:p w14:paraId="3EA32BAA">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Cs/>
                      <w:color w:val="000000" w:themeColor="text1"/>
                      <w:sz w:val="21"/>
                      <w:szCs w:val="21"/>
                      <w:highlight w:val="none"/>
                      <w:lang w:val="en-US" w:eastAsia="zh-CN"/>
                      <w14:textFill>
                        <w14:solidFill>
                          <w14:schemeClr w14:val="tx1"/>
                        </w14:solidFill>
                      </w14:textFill>
                    </w:rPr>
                    <w:t>管线临时占地以及蓄水池工程绿化带种植植被；剥离的表层土用密目网进行苫盖。</w:t>
                  </w:r>
                </w:p>
              </w:tc>
              <w:tc>
                <w:tcPr>
                  <w:tcW w:w="846" w:type="pct"/>
                  <w:noWrap w:val="0"/>
                  <w:vAlign w:val="center"/>
                </w:tcPr>
                <w:p w14:paraId="13000E70">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w:t>
                  </w:r>
                </w:p>
              </w:tc>
            </w:tr>
            <w:tr w14:paraId="247F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3" w:hRule="atLeast"/>
                <w:jc w:val="center"/>
              </w:trPr>
              <w:tc>
                <w:tcPr>
                  <w:tcW w:w="1272" w:type="pct"/>
                  <w:gridSpan w:val="2"/>
                  <w:noWrap w:val="0"/>
                  <w:vAlign w:val="center"/>
                </w:tcPr>
                <w:p w14:paraId="19AAFBCB">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环境监测</w:t>
                  </w:r>
                </w:p>
              </w:tc>
              <w:tc>
                <w:tcPr>
                  <w:tcW w:w="2881" w:type="pct"/>
                  <w:noWrap w:val="0"/>
                  <w:vAlign w:val="center"/>
                </w:tcPr>
                <w:p w14:paraId="74182967">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val="en-US" w:eastAsia="zh-CN"/>
                      <w14:textFill>
                        <w14:solidFill>
                          <w14:schemeClr w14:val="tx1"/>
                        </w14:solidFill>
                      </w14:textFill>
                    </w:rPr>
                    <w:t>生态环境监测</w:t>
                  </w:r>
                </w:p>
              </w:tc>
              <w:tc>
                <w:tcPr>
                  <w:tcW w:w="846" w:type="pct"/>
                  <w:noWrap w:val="0"/>
                  <w:vAlign w:val="center"/>
                </w:tcPr>
                <w:p w14:paraId="1FC2216F">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r>
            <w:tr w14:paraId="7E13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jc w:val="center"/>
              </w:trPr>
              <w:tc>
                <w:tcPr>
                  <w:tcW w:w="4153" w:type="pct"/>
                  <w:gridSpan w:val="3"/>
                  <w:noWrap w:val="0"/>
                  <w:vAlign w:val="center"/>
                </w:tcPr>
                <w:p w14:paraId="665BE485">
                  <w:pPr>
                    <w:pStyle w:val="41"/>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合计（万元）</w:t>
                  </w:r>
                </w:p>
              </w:tc>
              <w:tc>
                <w:tcPr>
                  <w:tcW w:w="846" w:type="pct"/>
                  <w:noWrap w:val="0"/>
                  <w:vAlign w:val="center"/>
                </w:tcPr>
                <w:p w14:paraId="0EE63BE0">
                  <w:pPr>
                    <w:pStyle w:val="41"/>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bidi="en-US"/>
                    </w:rPr>
                  </w:pPr>
                  <w:r>
                    <w:rPr>
                      <w:rFonts w:hint="eastAsia" w:ascii="Times New Roman" w:hAnsi="Times New Roman" w:cs="Times New Roman" w:eastAsiaTheme="minorEastAsia"/>
                      <w:color w:val="auto"/>
                      <w:sz w:val="21"/>
                      <w:szCs w:val="21"/>
                      <w:highlight w:val="none"/>
                      <w:lang w:val="en-US" w:eastAsia="zh-CN" w:bidi="en-US"/>
                    </w:rPr>
                    <w:t>44.1</w:t>
                  </w:r>
                </w:p>
              </w:tc>
            </w:tr>
          </w:tbl>
          <w:p w14:paraId="4D3CD85A">
            <w:pPr>
              <w:adjustRightInd w:val="0"/>
              <w:snapToGrid w:val="0"/>
              <w:rPr>
                <w:rFonts w:ascii="宋体" w:hAnsi="宋体" w:cs="宋体"/>
                <w:bCs/>
                <w:spacing w:val="10"/>
                <w:szCs w:val="21"/>
                <w:highlight w:val="none"/>
              </w:rPr>
            </w:pPr>
          </w:p>
          <w:p w14:paraId="380870DE">
            <w:pPr>
              <w:rPr>
                <w:rFonts w:ascii="宋体" w:hAnsi="宋体" w:cs="宋体"/>
                <w:bCs/>
                <w:spacing w:val="10"/>
                <w:szCs w:val="21"/>
                <w:highlight w:val="none"/>
              </w:rPr>
            </w:pPr>
          </w:p>
          <w:p w14:paraId="6E71CABF">
            <w:pPr>
              <w:pStyle w:val="18"/>
              <w:rPr>
                <w:highlight w:val="none"/>
              </w:rPr>
            </w:pPr>
          </w:p>
        </w:tc>
      </w:tr>
    </w:tbl>
    <w:p w14:paraId="55DA5DD1">
      <w:p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14:paraId="7EB19644">
      <w:pPr>
        <w:pStyle w:val="17"/>
        <w:jc w:val="center"/>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7047"/>
        <w:gridCol w:w="2094"/>
        <w:gridCol w:w="1615"/>
        <w:gridCol w:w="1518"/>
      </w:tblGrid>
      <w:tr w14:paraId="11A900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Merge w:val="restart"/>
            <w:tcBorders>
              <w:tl2br w:val="single" w:color="auto" w:sz="4" w:space="0"/>
            </w:tcBorders>
            <w:noWrap w:val="0"/>
            <w:vAlign w:val="top"/>
          </w:tcPr>
          <w:p w14:paraId="7A8CB7BC">
            <w:pPr>
              <w:pStyle w:val="17"/>
              <w:adjustRightInd w:val="0"/>
              <w:snapToGrid w:val="0"/>
              <w:spacing w:before="72" w:beforeLines="30" w:beforeAutospacing="0" w:after="0" w:afterAutospacing="0"/>
              <w:jc w:val="center"/>
              <w:outlineLvl w:val="0"/>
              <w:rPr>
                <w:rFonts w:hint="eastAsia" w:ascii="黑体" w:hAnsi="黑体" w:eastAsia="黑体" w:cs="宋体"/>
                <w:kern w:val="2"/>
                <w:sz w:val="21"/>
                <w:szCs w:val="21"/>
                <w:highlight w:val="none"/>
              </w:rPr>
            </w:pPr>
            <w:r>
              <w:rPr>
                <w:rFonts w:hint="eastAsia" w:ascii="黑体" w:hAnsi="黑体" w:eastAsia="黑体" w:cs="宋体"/>
                <w:kern w:val="2"/>
                <w:sz w:val="21"/>
                <w:szCs w:val="21"/>
                <w:highlight w:val="none"/>
              </w:rPr>
              <w:t xml:space="preserve">       </w:t>
            </w:r>
          </w:p>
          <w:p w14:paraId="008C4EE5">
            <w:pPr>
              <w:pStyle w:val="17"/>
              <w:adjustRightInd w:val="0"/>
              <w:snapToGrid w:val="0"/>
              <w:spacing w:before="72" w:beforeLines="30" w:beforeAutospacing="0" w:after="0" w:afterAutospacing="0"/>
              <w:jc w:val="center"/>
              <w:outlineLvl w:val="0"/>
              <w:rPr>
                <w:rFonts w:ascii="黑体" w:hAnsi="黑体" w:eastAsia="黑体" w:cs="宋体"/>
                <w:kern w:val="2"/>
                <w:sz w:val="21"/>
                <w:szCs w:val="21"/>
                <w:highlight w:val="none"/>
              </w:rPr>
            </w:pPr>
            <w:r>
              <w:rPr>
                <w:rFonts w:hint="eastAsia" w:ascii="黑体" w:hAnsi="黑体" w:eastAsia="黑体" w:cs="宋体"/>
                <w:kern w:val="2"/>
                <w:sz w:val="21"/>
                <w:szCs w:val="21"/>
                <w:highlight w:val="none"/>
              </w:rPr>
              <w:t xml:space="preserve">       内容</w:t>
            </w:r>
          </w:p>
          <w:p w14:paraId="4EFEF48A">
            <w:pPr>
              <w:pStyle w:val="17"/>
              <w:adjustRightInd w:val="0"/>
              <w:snapToGrid w:val="0"/>
              <w:spacing w:before="0" w:beforeAutospacing="0" w:after="0" w:afterAutospacing="0" w:line="14" w:lineRule="auto"/>
              <w:outlineLvl w:val="0"/>
              <w:rPr>
                <w:rFonts w:hint="eastAsia" w:ascii="黑体" w:hAnsi="黑体" w:eastAsia="黑体" w:cs="宋体"/>
                <w:kern w:val="2"/>
                <w:sz w:val="135"/>
                <w:szCs w:val="21"/>
                <w:highlight w:val="none"/>
              </w:rPr>
            </w:pPr>
            <w:r>
              <w:rPr>
                <w:rFonts w:hint="eastAsia" w:ascii="黑体" w:hAnsi="黑体" w:eastAsia="黑体" w:cs="宋体"/>
                <w:kern w:val="2"/>
                <w:sz w:val="21"/>
                <w:szCs w:val="21"/>
                <w:highlight w:val="none"/>
              </w:rPr>
              <w:t xml:space="preserve"> </w:t>
            </w:r>
            <w:r>
              <w:rPr>
                <w:rFonts w:hint="eastAsia" w:ascii="黑体" w:hAnsi="黑体" w:eastAsia="黑体" w:cs="宋体"/>
                <w:kern w:val="2"/>
                <w:sz w:val="135"/>
                <w:szCs w:val="21"/>
                <w:highlight w:val="none"/>
              </w:rPr>
              <w:t xml:space="preserve"> </w:t>
            </w:r>
          </w:p>
          <w:p w14:paraId="1E5B9AF8">
            <w:pPr>
              <w:pStyle w:val="17"/>
              <w:adjustRightInd w:val="0"/>
              <w:snapToGrid w:val="0"/>
              <w:spacing w:before="0" w:beforeAutospacing="0" w:after="0" w:afterAutospacing="0"/>
              <w:outlineLvl w:val="0"/>
              <w:rPr>
                <w:rFonts w:hint="eastAsia" w:ascii="黑体" w:hAnsi="黑体" w:eastAsia="黑体" w:cs="宋体"/>
                <w:kern w:val="2"/>
                <w:sz w:val="21"/>
                <w:szCs w:val="21"/>
                <w:highlight w:val="none"/>
              </w:rPr>
            </w:pPr>
            <w:r>
              <w:rPr>
                <w:rFonts w:hint="eastAsia" w:ascii="黑体" w:hAnsi="黑体" w:eastAsia="黑体" w:cs="宋体"/>
                <w:kern w:val="2"/>
                <w:sz w:val="21"/>
                <w:szCs w:val="21"/>
                <w:highlight w:val="none"/>
              </w:rPr>
              <w:t>要素</w:t>
            </w:r>
          </w:p>
        </w:tc>
        <w:tc>
          <w:tcPr>
            <w:tcW w:w="3224" w:type="pct"/>
            <w:gridSpan w:val="2"/>
            <w:noWrap w:val="0"/>
            <w:vAlign w:val="center"/>
          </w:tcPr>
          <w:p w14:paraId="6102FEDE">
            <w:pPr>
              <w:pStyle w:val="17"/>
              <w:adjustRightInd w:val="0"/>
              <w:snapToGrid w:val="0"/>
              <w:spacing w:before="0" w:beforeAutospacing="0" w:after="0" w:afterAutospacing="0"/>
              <w:jc w:val="center"/>
              <w:outlineLvl w:val="0"/>
              <w:rPr>
                <w:rFonts w:ascii="黑体" w:hAnsi="黑体" w:eastAsia="黑体" w:cs="宋体"/>
                <w:kern w:val="2"/>
                <w:sz w:val="21"/>
                <w:szCs w:val="21"/>
                <w:highlight w:val="none"/>
              </w:rPr>
            </w:pPr>
            <w:r>
              <w:rPr>
                <w:rFonts w:hint="eastAsia" w:ascii="黑体" w:hAnsi="黑体" w:eastAsia="黑体" w:cs="宋体"/>
                <w:kern w:val="2"/>
                <w:sz w:val="21"/>
                <w:szCs w:val="21"/>
                <w:highlight w:val="none"/>
              </w:rPr>
              <w:t>施工期</w:t>
            </w:r>
          </w:p>
        </w:tc>
        <w:tc>
          <w:tcPr>
            <w:tcW w:w="1105" w:type="pct"/>
            <w:gridSpan w:val="2"/>
            <w:noWrap w:val="0"/>
            <w:vAlign w:val="center"/>
          </w:tcPr>
          <w:p w14:paraId="48AE5D44">
            <w:pPr>
              <w:pStyle w:val="17"/>
              <w:adjustRightInd w:val="0"/>
              <w:snapToGrid w:val="0"/>
              <w:spacing w:before="0" w:beforeAutospacing="0" w:after="0" w:afterAutospacing="0"/>
              <w:jc w:val="center"/>
              <w:outlineLvl w:val="0"/>
              <w:rPr>
                <w:rFonts w:ascii="黑体" w:hAnsi="黑体" w:eastAsia="黑体" w:cs="宋体"/>
                <w:kern w:val="2"/>
                <w:sz w:val="21"/>
                <w:szCs w:val="21"/>
                <w:highlight w:val="none"/>
              </w:rPr>
            </w:pPr>
            <w:r>
              <w:rPr>
                <w:rFonts w:hint="eastAsia" w:ascii="黑体" w:hAnsi="黑体" w:eastAsia="黑体" w:cs="宋体"/>
                <w:kern w:val="2"/>
                <w:sz w:val="21"/>
                <w:szCs w:val="21"/>
                <w:highlight w:val="none"/>
              </w:rPr>
              <w:t>运营期</w:t>
            </w:r>
          </w:p>
        </w:tc>
      </w:tr>
      <w:tr w14:paraId="0FCB6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Merge w:val="continue"/>
            <w:noWrap w:val="0"/>
            <w:vAlign w:val="top"/>
          </w:tcPr>
          <w:p w14:paraId="11834531">
            <w:pPr>
              <w:pStyle w:val="17"/>
              <w:adjustRightInd w:val="0"/>
              <w:snapToGrid w:val="0"/>
              <w:spacing w:before="0" w:beforeAutospacing="0" w:after="0" w:afterAutospacing="0"/>
              <w:ind w:firstLine="840"/>
              <w:jc w:val="center"/>
              <w:outlineLvl w:val="0"/>
              <w:rPr>
                <w:rFonts w:ascii="黑体" w:hAnsi="黑体" w:eastAsia="黑体" w:cs="宋体"/>
                <w:kern w:val="2"/>
                <w:sz w:val="21"/>
                <w:szCs w:val="21"/>
                <w:highlight w:val="none"/>
              </w:rPr>
            </w:pPr>
          </w:p>
        </w:tc>
        <w:tc>
          <w:tcPr>
            <w:tcW w:w="2485" w:type="pct"/>
            <w:noWrap w:val="0"/>
            <w:vAlign w:val="center"/>
          </w:tcPr>
          <w:p w14:paraId="6C7E3D95">
            <w:pPr>
              <w:pStyle w:val="17"/>
              <w:adjustRightInd w:val="0"/>
              <w:snapToGrid w:val="0"/>
              <w:spacing w:before="0" w:beforeAutospacing="0" w:after="0" w:afterAutospacing="0"/>
              <w:jc w:val="center"/>
              <w:outlineLvl w:val="0"/>
              <w:rPr>
                <w:rFonts w:ascii="黑体" w:hAnsi="黑体" w:eastAsia="黑体" w:cs="宋体"/>
                <w:kern w:val="2"/>
                <w:sz w:val="21"/>
                <w:szCs w:val="21"/>
                <w:highlight w:val="none"/>
              </w:rPr>
            </w:pPr>
            <w:r>
              <w:rPr>
                <w:rFonts w:hint="eastAsia" w:ascii="黑体" w:hAnsi="黑体" w:eastAsia="黑体" w:cs="宋体"/>
                <w:kern w:val="2"/>
                <w:sz w:val="21"/>
                <w:szCs w:val="21"/>
                <w:highlight w:val="none"/>
              </w:rPr>
              <w:t>环境保护措施</w:t>
            </w:r>
          </w:p>
        </w:tc>
        <w:tc>
          <w:tcPr>
            <w:tcW w:w="738" w:type="pct"/>
            <w:noWrap w:val="0"/>
            <w:vAlign w:val="center"/>
          </w:tcPr>
          <w:p w14:paraId="02CB70F7">
            <w:pPr>
              <w:pStyle w:val="17"/>
              <w:adjustRightInd w:val="0"/>
              <w:snapToGrid w:val="0"/>
              <w:spacing w:before="0" w:beforeAutospacing="0" w:after="0" w:afterAutospacing="0"/>
              <w:jc w:val="center"/>
              <w:outlineLvl w:val="0"/>
              <w:rPr>
                <w:rFonts w:ascii="黑体" w:hAnsi="黑体" w:eastAsia="黑体" w:cs="宋体"/>
                <w:kern w:val="2"/>
                <w:sz w:val="21"/>
                <w:szCs w:val="21"/>
                <w:highlight w:val="none"/>
              </w:rPr>
            </w:pPr>
            <w:r>
              <w:rPr>
                <w:rFonts w:hint="eastAsia" w:ascii="黑体" w:hAnsi="黑体" w:eastAsia="黑体" w:cs="宋体"/>
                <w:kern w:val="2"/>
                <w:sz w:val="21"/>
                <w:szCs w:val="21"/>
                <w:highlight w:val="none"/>
              </w:rPr>
              <w:t>验收要求</w:t>
            </w:r>
          </w:p>
        </w:tc>
        <w:tc>
          <w:tcPr>
            <w:tcW w:w="569" w:type="pct"/>
            <w:noWrap w:val="0"/>
            <w:vAlign w:val="center"/>
          </w:tcPr>
          <w:p w14:paraId="573CFC31">
            <w:pPr>
              <w:pStyle w:val="17"/>
              <w:adjustRightInd w:val="0"/>
              <w:snapToGrid w:val="0"/>
              <w:spacing w:before="0" w:beforeAutospacing="0" w:after="0" w:afterAutospacing="0"/>
              <w:jc w:val="center"/>
              <w:outlineLvl w:val="0"/>
              <w:rPr>
                <w:rFonts w:ascii="黑体" w:hAnsi="黑体" w:eastAsia="黑体" w:cs="宋体"/>
                <w:kern w:val="2"/>
                <w:sz w:val="21"/>
                <w:szCs w:val="21"/>
                <w:highlight w:val="none"/>
              </w:rPr>
            </w:pPr>
            <w:r>
              <w:rPr>
                <w:rFonts w:hint="eastAsia" w:ascii="黑体" w:hAnsi="黑体" w:eastAsia="黑体" w:cs="宋体"/>
                <w:kern w:val="2"/>
                <w:sz w:val="21"/>
                <w:szCs w:val="21"/>
                <w:highlight w:val="none"/>
              </w:rPr>
              <w:t>环境保护措施</w:t>
            </w:r>
          </w:p>
        </w:tc>
        <w:tc>
          <w:tcPr>
            <w:tcW w:w="535" w:type="pct"/>
            <w:noWrap w:val="0"/>
            <w:vAlign w:val="center"/>
          </w:tcPr>
          <w:p w14:paraId="13106BA8">
            <w:pPr>
              <w:pStyle w:val="17"/>
              <w:adjustRightInd w:val="0"/>
              <w:snapToGrid w:val="0"/>
              <w:spacing w:before="0" w:beforeAutospacing="0" w:after="0" w:afterAutospacing="0"/>
              <w:jc w:val="center"/>
              <w:outlineLvl w:val="0"/>
              <w:rPr>
                <w:rFonts w:ascii="黑体" w:hAnsi="黑体" w:eastAsia="黑体" w:cs="宋体"/>
                <w:kern w:val="2"/>
                <w:sz w:val="21"/>
                <w:szCs w:val="21"/>
                <w:highlight w:val="none"/>
              </w:rPr>
            </w:pPr>
            <w:r>
              <w:rPr>
                <w:rFonts w:hint="eastAsia" w:ascii="黑体" w:hAnsi="黑体" w:eastAsia="黑体" w:cs="宋体"/>
                <w:kern w:val="2"/>
                <w:sz w:val="21"/>
                <w:szCs w:val="21"/>
                <w:highlight w:val="none"/>
              </w:rPr>
              <w:t>验收要求</w:t>
            </w:r>
          </w:p>
        </w:tc>
      </w:tr>
      <w:tr w14:paraId="3DCB88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noWrap w:val="0"/>
            <w:vAlign w:val="center"/>
          </w:tcPr>
          <w:p w14:paraId="6F56101D">
            <w:pPr>
              <w:adjustRightInd w:val="0"/>
              <w:snapToGrid w:val="0"/>
              <w:jc w:val="center"/>
              <w:rPr>
                <w:rFonts w:ascii="宋体" w:hAnsi="宋体" w:cs="宋体"/>
                <w:szCs w:val="21"/>
                <w:highlight w:val="none"/>
              </w:rPr>
            </w:pPr>
            <w:r>
              <w:rPr>
                <w:rFonts w:hint="eastAsia" w:ascii="宋体" w:hAnsi="宋体" w:cs="宋体"/>
                <w:szCs w:val="21"/>
                <w:highlight w:val="none"/>
              </w:rPr>
              <w:t>陆生生态</w:t>
            </w:r>
          </w:p>
        </w:tc>
        <w:tc>
          <w:tcPr>
            <w:tcW w:w="2485" w:type="pct"/>
            <w:noWrap w:val="0"/>
            <w:vAlign w:val="center"/>
          </w:tcPr>
          <w:p w14:paraId="4C2AE14E">
            <w:pPr>
              <w:adjustRightInd w:val="0"/>
              <w:snapToGrid w:val="0"/>
              <w:spacing w:line="240" w:lineRule="auto"/>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加强生态环境保护宣传教育。</w:t>
            </w:r>
            <w:r>
              <w:rPr>
                <w:sz w:val="21"/>
                <w:szCs w:val="21"/>
                <w:highlight w:val="none"/>
              </w:rPr>
              <w:t>工程施工加强管理，必须划定施工范围，各种施工活动应严格控制在施工区域内，</w:t>
            </w:r>
            <w:r>
              <w:rPr>
                <w:rFonts w:hint="default" w:ascii="Times New Roman" w:hAnsi="Times New Roman" w:eastAsia="宋体" w:cs="Times New Roman"/>
                <w:color w:val="000000"/>
                <w:kern w:val="0"/>
                <w:sz w:val="21"/>
                <w:szCs w:val="21"/>
                <w:highlight w:val="none"/>
                <w:lang w:val="en-US" w:eastAsia="zh-CN" w:bidi="ar"/>
              </w:rPr>
              <w:t>管槽回填土</w:t>
            </w:r>
            <w:r>
              <w:rPr>
                <w:rFonts w:hint="eastAsia" w:cs="Times New Roman"/>
                <w:color w:val="000000"/>
                <w:kern w:val="0"/>
                <w:sz w:val="21"/>
                <w:szCs w:val="21"/>
                <w:highlight w:val="none"/>
                <w:lang w:val="en-US" w:eastAsia="zh-CN" w:bidi="ar"/>
              </w:rPr>
              <w:t>应</w:t>
            </w:r>
            <w:r>
              <w:rPr>
                <w:rFonts w:hint="default" w:ascii="Times New Roman" w:hAnsi="Times New Roman" w:eastAsia="宋体" w:cs="Times New Roman"/>
                <w:color w:val="000000"/>
                <w:kern w:val="0"/>
                <w:sz w:val="21"/>
                <w:szCs w:val="21"/>
                <w:highlight w:val="none"/>
                <w:lang w:val="en-US" w:eastAsia="zh-CN" w:bidi="ar"/>
              </w:rPr>
              <w:t>临时堆放在管槽一侧，堆放期间用密目网进行苫盖；管槽</w:t>
            </w:r>
            <w:r>
              <w:rPr>
                <w:rFonts w:hint="eastAsia" w:cs="Times New Roman"/>
                <w:color w:val="000000"/>
                <w:kern w:val="0"/>
                <w:sz w:val="21"/>
                <w:szCs w:val="21"/>
                <w:highlight w:val="none"/>
                <w:lang w:val="en-US" w:eastAsia="zh-CN" w:bidi="ar"/>
              </w:rPr>
              <w:t>应</w:t>
            </w:r>
            <w:r>
              <w:rPr>
                <w:rFonts w:hint="default" w:ascii="Times New Roman" w:hAnsi="Times New Roman" w:eastAsia="宋体" w:cs="Times New Roman"/>
                <w:color w:val="000000"/>
                <w:kern w:val="0"/>
                <w:sz w:val="21"/>
                <w:szCs w:val="21"/>
                <w:highlight w:val="none"/>
                <w:lang w:val="en-US" w:eastAsia="zh-CN" w:bidi="ar"/>
              </w:rPr>
              <w:t>分段施工，尽量减少土方临时堆放时间。</w:t>
            </w:r>
            <w:r>
              <w:rPr>
                <w:rFonts w:ascii="宋体" w:hAnsi="宋体" w:cs="宋体"/>
                <w:sz w:val="21"/>
                <w:szCs w:val="21"/>
                <w:highlight w:val="none"/>
              </w:rPr>
              <w:t>避免雨天施工，造成水土流失危害；</w:t>
            </w:r>
            <w:r>
              <w:rPr>
                <w:rFonts w:hint="default" w:ascii="Times New Roman" w:hAnsi="Times New Roman" w:eastAsia="宋体" w:cs="Times New Roman"/>
                <w:color w:val="000000"/>
                <w:kern w:val="0"/>
                <w:sz w:val="21"/>
                <w:szCs w:val="21"/>
                <w:highlight w:val="none"/>
                <w:lang w:val="en-US" w:eastAsia="zh-CN" w:bidi="ar"/>
              </w:rPr>
              <w:t>施工结束后，管线临时占地实施沙柳网格沙障，并在沙障内撒播种草，草籽可选择种植沙打旺、羊柴。</w:t>
            </w:r>
            <w:r>
              <w:rPr>
                <w:rFonts w:hint="eastAsia" w:cs="Times New Roman"/>
                <w:color w:val="000000"/>
                <w:kern w:val="0"/>
                <w:sz w:val="21"/>
                <w:szCs w:val="21"/>
                <w:highlight w:val="none"/>
                <w:lang w:val="en-US" w:eastAsia="zh-CN" w:bidi="ar"/>
              </w:rPr>
              <w:t>蓄水池</w:t>
            </w:r>
            <w:r>
              <w:rPr>
                <w:rFonts w:hint="default" w:ascii="Times New Roman" w:hAnsi="Times New Roman" w:eastAsia="宋体" w:cs="Times New Roman"/>
                <w:color w:val="000000"/>
                <w:kern w:val="0"/>
                <w:sz w:val="21"/>
                <w:szCs w:val="21"/>
                <w:highlight w:val="none"/>
                <w:lang w:val="en-US" w:eastAsia="zh-CN" w:bidi="ar"/>
              </w:rPr>
              <w:t>主体工程结束后对坝顶道路一侧进行绿化，蓄水池外边坡防护采用沙柳网格沙障。沙障内撒播草籽，草籽可选择沙打旺、羊柴。蓄水池外周边50米设置沙障防护，沙障采用网格式沙障，沙柳枝条</w:t>
            </w:r>
            <w:r>
              <w:rPr>
                <w:rFonts w:hint="eastAsia" w:cs="Times New Roman"/>
                <w:color w:val="000000"/>
                <w:kern w:val="0"/>
                <w:sz w:val="21"/>
                <w:szCs w:val="21"/>
                <w:highlight w:val="none"/>
                <w:lang w:val="en-US" w:eastAsia="zh-CN" w:bidi="ar"/>
              </w:rPr>
              <w:t>呈</w:t>
            </w:r>
            <w:r>
              <w:rPr>
                <w:rFonts w:hint="default" w:ascii="Times New Roman" w:hAnsi="Times New Roman" w:eastAsia="宋体" w:cs="Times New Roman"/>
                <w:color w:val="000000"/>
                <w:kern w:val="0"/>
                <w:sz w:val="21"/>
                <w:szCs w:val="21"/>
                <w:highlight w:val="none"/>
                <w:lang w:val="en-US" w:eastAsia="zh-CN" w:bidi="ar"/>
              </w:rPr>
              <w:t>菱形铺设，规格为2m×2m，交叉处采用草绳及扦插沙柳固定。</w:t>
            </w:r>
          </w:p>
        </w:tc>
        <w:tc>
          <w:tcPr>
            <w:tcW w:w="738" w:type="pct"/>
            <w:noWrap w:val="0"/>
            <w:vAlign w:val="center"/>
          </w:tcPr>
          <w:p w14:paraId="1348C25E">
            <w:pPr>
              <w:adjustRightInd w:val="0"/>
              <w:snapToGrid w:val="0"/>
              <w:spacing w:line="240" w:lineRule="auto"/>
              <w:jc w:val="center"/>
              <w:rPr>
                <w:rFonts w:ascii="宋体" w:hAnsi="宋体" w:cs="宋体"/>
                <w:sz w:val="21"/>
                <w:szCs w:val="21"/>
                <w:highlight w:val="none"/>
              </w:rPr>
            </w:pPr>
            <w:r>
              <w:rPr>
                <w:rFonts w:hint="eastAsia" w:ascii="宋体" w:hAnsi="宋体" w:cs="宋体"/>
                <w:sz w:val="21"/>
                <w:szCs w:val="21"/>
                <w:highlight w:val="none"/>
                <w:lang w:val="en-US" w:eastAsia="zh-CN"/>
              </w:rPr>
              <w:t>植被覆盖度、成活率</w:t>
            </w:r>
          </w:p>
        </w:tc>
        <w:tc>
          <w:tcPr>
            <w:tcW w:w="569" w:type="pct"/>
            <w:noWrap w:val="0"/>
            <w:vAlign w:val="center"/>
          </w:tcPr>
          <w:p w14:paraId="68F8517A">
            <w:pPr>
              <w:adjustRightInd w:val="0"/>
              <w:snapToGrid w:val="0"/>
              <w:jc w:val="center"/>
              <w:rPr>
                <w:highlight w:val="none"/>
              </w:rPr>
            </w:pPr>
            <w:r>
              <w:rPr>
                <w:rFonts w:hint="eastAsia"/>
                <w:highlight w:val="none"/>
                <w:lang w:val="en-US" w:eastAsia="zh-CN"/>
              </w:rPr>
              <w:t>/</w:t>
            </w:r>
          </w:p>
        </w:tc>
        <w:tc>
          <w:tcPr>
            <w:tcW w:w="535" w:type="pct"/>
            <w:noWrap w:val="0"/>
            <w:vAlign w:val="center"/>
          </w:tcPr>
          <w:p w14:paraId="2876EC41">
            <w:pPr>
              <w:adjustRightInd w:val="0"/>
              <w:snapToGrid w:val="0"/>
              <w:jc w:val="center"/>
              <w:rPr>
                <w:rFonts w:hint="eastAsia" w:ascii="宋体" w:hAnsi="宋体" w:eastAsia="宋体" w:cs="宋体"/>
                <w:szCs w:val="21"/>
                <w:highlight w:val="none"/>
                <w:lang w:val="en-US" w:eastAsia="zh-CN"/>
              </w:rPr>
            </w:pPr>
            <w:r>
              <w:rPr>
                <w:rFonts w:hint="eastAsia"/>
                <w:highlight w:val="none"/>
                <w:lang w:val="en-US" w:eastAsia="zh-CN"/>
              </w:rPr>
              <w:t>/</w:t>
            </w:r>
          </w:p>
        </w:tc>
      </w:tr>
      <w:tr w14:paraId="637249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70" w:type="pct"/>
            <w:noWrap w:val="0"/>
            <w:vAlign w:val="center"/>
          </w:tcPr>
          <w:p w14:paraId="019D1A5B">
            <w:pPr>
              <w:adjustRightInd w:val="0"/>
              <w:snapToGrid w:val="0"/>
              <w:jc w:val="center"/>
              <w:rPr>
                <w:rFonts w:ascii="宋体" w:hAnsi="宋体" w:cs="宋体"/>
                <w:szCs w:val="21"/>
                <w:highlight w:val="none"/>
              </w:rPr>
            </w:pPr>
            <w:r>
              <w:rPr>
                <w:rFonts w:hint="eastAsia" w:ascii="宋体" w:hAnsi="宋体" w:cs="宋体"/>
                <w:szCs w:val="21"/>
                <w:highlight w:val="none"/>
              </w:rPr>
              <w:t>水生生态</w:t>
            </w:r>
          </w:p>
        </w:tc>
        <w:tc>
          <w:tcPr>
            <w:tcW w:w="2485" w:type="pct"/>
            <w:noWrap w:val="0"/>
            <w:vAlign w:val="center"/>
          </w:tcPr>
          <w:p w14:paraId="00E491F7">
            <w:pPr>
              <w:adjustRightInd w:val="0"/>
              <w:snapToGrid w:val="0"/>
              <w:spacing w:line="24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738" w:type="pct"/>
            <w:noWrap w:val="0"/>
            <w:vAlign w:val="center"/>
          </w:tcPr>
          <w:p w14:paraId="4D3E5793">
            <w:pPr>
              <w:adjustRightInd w:val="0"/>
              <w:snapToGrid w:val="0"/>
              <w:spacing w:line="24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569" w:type="pct"/>
            <w:noWrap w:val="0"/>
            <w:vAlign w:val="center"/>
          </w:tcPr>
          <w:p w14:paraId="609FBAEA">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535" w:type="pct"/>
            <w:noWrap w:val="0"/>
            <w:vAlign w:val="center"/>
          </w:tcPr>
          <w:p w14:paraId="7871C82D">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2B5764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noWrap w:val="0"/>
            <w:vAlign w:val="center"/>
          </w:tcPr>
          <w:p w14:paraId="37FBCCF9">
            <w:pPr>
              <w:adjustRightInd w:val="0"/>
              <w:snapToGrid w:val="0"/>
              <w:jc w:val="center"/>
              <w:rPr>
                <w:rFonts w:ascii="宋体" w:hAnsi="宋体" w:cs="宋体"/>
                <w:szCs w:val="21"/>
                <w:highlight w:val="none"/>
              </w:rPr>
            </w:pPr>
            <w:r>
              <w:rPr>
                <w:rFonts w:hint="eastAsia" w:ascii="宋体" w:hAnsi="宋体" w:cs="宋体"/>
                <w:szCs w:val="21"/>
                <w:highlight w:val="none"/>
              </w:rPr>
              <w:t>地表水环境</w:t>
            </w:r>
          </w:p>
        </w:tc>
        <w:tc>
          <w:tcPr>
            <w:tcW w:w="2485" w:type="pct"/>
            <w:noWrap w:val="0"/>
            <w:vAlign w:val="center"/>
          </w:tcPr>
          <w:p w14:paraId="191C925F">
            <w:pPr>
              <w:adjustRightInd w:val="0"/>
              <w:snapToGrid w:val="0"/>
              <w:spacing w:line="240" w:lineRule="auto"/>
              <w:jc w:val="center"/>
              <w:rPr>
                <w:rFonts w:ascii="宋体" w:hAnsi="宋体" w:cs="宋体"/>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施工作业废水经过沉淀池沉淀回用，输水管线试压后，废水从管内排出，进入下一段管线循环使用，试压结束后，废水经过沉淀池沉淀，然后用于施工场地洒水降尘。</w:t>
            </w:r>
            <w:r>
              <w:rPr>
                <w:rFonts w:hint="default" w:ascii="宋体" w:hAnsi="宋体" w:cs="宋体"/>
                <w:sz w:val="21"/>
                <w:szCs w:val="21"/>
                <w:highlight w:val="none"/>
                <w:lang w:val="en-US" w:eastAsia="zh-CN"/>
              </w:rPr>
              <w:t>施工人员生活污水</w:t>
            </w:r>
            <w:r>
              <w:rPr>
                <w:rFonts w:hint="eastAsia" w:ascii="宋体" w:hAnsi="宋体" w:cs="宋体"/>
                <w:sz w:val="21"/>
                <w:szCs w:val="21"/>
                <w:highlight w:val="none"/>
                <w:lang w:val="en-US" w:eastAsia="zh-CN"/>
              </w:rPr>
              <w:t>通过设置临时化粪池进行收集，然后送至吉日嘎朗图镇生活污水处理厂</w:t>
            </w:r>
            <w:r>
              <w:rPr>
                <w:rFonts w:hint="default" w:ascii="宋体" w:hAnsi="宋体" w:cs="宋体"/>
                <w:sz w:val="21"/>
                <w:szCs w:val="21"/>
                <w:highlight w:val="none"/>
                <w:lang w:val="en-US" w:eastAsia="zh-CN"/>
              </w:rPr>
              <w:t>，不直接排入环境</w:t>
            </w:r>
            <w:r>
              <w:rPr>
                <w:rFonts w:hint="eastAsia" w:ascii="宋体" w:hAnsi="宋体" w:cs="宋体"/>
                <w:sz w:val="21"/>
                <w:szCs w:val="21"/>
                <w:highlight w:val="none"/>
                <w:lang w:val="en-US" w:eastAsia="zh-CN"/>
              </w:rPr>
              <w:t>；</w:t>
            </w:r>
          </w:p>
        </w:tc>
        <w:tc>
          <w:tcPr>
            <w:tcW w:w="738" w:type="pct"/>
            <w:noWrap w:val="0"/>
            <w:vAlign w:val="center"/>
          </w:tcPr>
          <w:p w14:paraId="02156D1A">
            <w:pPr>
              <w:adjustRightInd w:val="0"/>
              <w:snapToGrid w:val="0"/>
              <w:spacing w:line="240" w:lineRule="auto"/>
              <w:jc w:val="center"/>
              <w:rPr>
                <w:rFonts w:ascii="宋体" w:hAnsi="宋体" w:cs="宋体"/>
                <w:sz w:val="21"/>
                <w:szCs w:val="21"/>
                <w:highlight w:val="none"/>
              </w:rPr>
            </w:pPr>
            <w:r>
              <w:rPr>
                <w:rFonts w:hint="eastAsia" w:ascii="宋体" w:hAnsi="宋体" w:cs="宋体"/>
                <w:sz w:val="21"/>
                <w:szCs w:val="21"/>
                <w:highlight w:val="none"/>
                <w:lang w:val="en-US" w:eastAsia="zh-CN"/>
              </w:rPr>
              <w:t>废水不外排</w:t>
            </w:r>
          </w:p>
        </w:tc>
        <w:tc>
          <w:tcPr>
            <w:tcW w:w="569" w:type="pct"/>
            <w:noWrap w:val="0"/>
            <w:vAlign w:val="center"/>
          </w:tcPr>
          <w:p w14:paraId="038D154F">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535" w:type="pct"/>
            <w:noWrap w:val="0"/>
            <w:vAlign w:val="center"/>
          </w:tcPr>
          <w:p w14:paraId="768DC7DB">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7B9B6F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70" w:type="pct"/>
            <w:noWrap w:val="0"/>
            <w:vAlign w:val="center"/>
          </w:tcPr>
          <w:p w14:paraId="0A9AF08A">
            <w:pPr>
              <w:adjustRightInd w:val="0"/>
              <w:snapToGrid w:val="0"/>
              <w:jc w:val="center"/>
              <w:rPr>
                <w:rFonts w:ascii="宋体" w:hAnsi="宋体" w:cs="宋体"/>
                <w:szCs w:val="21"/>
                <w:highlight w:val="none"/>
              </w:rPr>
            </w:pPr>
            <w:r>
              <w:rPr>
                <w:rFonts w:hint="eastAsia" w:ascii="宋体" w:hAnsi="宋体" w:cs="宋体"/>
                <w:szCs w:val="21"/>
                <w:highlight w:val="none"/>
              </w:rPr>
              <w:t>地下水及土壤环境</w:t>
            </w:r>
          </w:p>
        </w:tc>
        <w:tc>
          <w:tcPr>
            <w:tcW w:w="2485" w:type="pct"/>
            <w:noWrap w:val="0"/>
            <w:vAlign w:val="center"/>
          </w:tcPr>
          <w:p w14:paraId="0F870FDC">
            <w:pPr>
              <w:adjustRightInd w:val="0"/>
              <w:snapToGrid w:val="0"/>
              <w:spacing w:line="24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738" w:type="pct"/>
            <w:noWrap w:val="0"/>
            <w:vAlign w:val="center"/>
          </w:tcPr>
          <w:p w14:paraId="1F5B26CA">
            <w:pPr>
              <w:adjustRightInd w:val="0"/>
              <w:snapToGrid w:val="0"/>
              <w:spacing w:line="24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569" w:type="pct"/>
            <w:noWrap w:val="0"/>
            <w:vAlign w:val="center"/>
          </w:tcPr>
          <w:p w14:paraId="216581A0">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535" w:type="pct"/>
            <w:noWrap w:val="0"/>
            <w:vAlign w:val="center"/>
          </w:tcPr>
          <w:p w14:paraId="7A9592BD">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4BD33D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noWrap w:val="0"/>
            <w:vAlign w:val="center"/>
          </w:tcPr>
          <w:p w14:paraId="4B2D9E78">
            <w:pPr>
              <w:adjustRightInd w:val="0"/>
              <w:snapToGrid w:val="0"/>
              <w:jc w:val="center"/>
              <w:rPr>
                <w:rFonts w:ascii="宋体" w:hAnsi="宋体" w:cs="宋体"/>
                <w:szCs w:val="21"/>
                <w:highlight w:val="none"/>
              </w:rPr>
            </w:pPr>
            <w:r>
              <w:rPr>
                <w:rFonts w:hint="eastAsia" w:ascii="宋体" w:hAnsi="宋体" w:cs="宋体"/>
                <w:szCs w:val="21"/>
                <w:highlight w:val="none"/>
              </w:rPr>
              <w:t>声环境</w:t>
            </w:r>
          </w:p>
        </w:tc>
        <w:tc>
          <w:tcPr>
            <w:tcW w:w="2485" w:type="pct"/>
            <w:noWrap w:val="0"/>
            <w:vAlign w:val="center"/>
          </w:tcPr>
          <w:p w14:paraId="6FBA61A8">
            <w:pPr>
              <w:adjustRightInd w:val="0"/>
              <w:snapToGrid w:val="0"/>
              <w:spacing w:line="240" w:lineRule="auto"/>
              <w:jc w:val="center"/>
              <w:rPr>
                <w:rFonts w:hint="eastAsia" w:ascii="宋体" w:hAnsi="宋体" w:eastAsia="宋体" w:cs="宋体"/>
                <w:sz w:val="21"/>
                <w:szCs w:val="21"/>
                <w:highlight w:val="none"/>
                <w:lang w:eastAsia="zh-CN"/>
              </w:rPr>
            </w:pPr>
            <w:r>
              <w:rPr>
                <w:rFonts w:ascii="Times New Roman" w:hAnsi="Times New Roman" w:cs="Times New Roman"/>
                <w:sz w:val="21"/>
                <w:szCs w:val="21"/>
                <w:highlight w:val="none"/>
              </w:rPr>
              <w:t>采用合理安排施工作业时间，优先选用高效低噪声设备，减少高噪声设备同时作业</w:t>
            </w:r>
            <w:r>
              <w:rPr>
                <w:rFonts w:hint="eastAsia" w:cs="Times New Roman"/>
                <w:sz w:val="21"/>
                <w:szCs w:val="21"/>
                <w:highlight w:val="none"/>
                <w:lang w:eastAsia="zh-CN"/>
              </w:rPr>
              <w:t>；</w:t>
            </w:r>
            <w:r>
              <w:rPr>
                <w:rFonts w:ascii="Times New Roman" w:hAnsi="Times New Roman" w:cs="Times New Roman"/>
                <w:sz w:val="21"/>
                <w:szCs w:val="21"/>
                <w:highlight w:val="none"/>
              </w:rPr>
              <w:t>进出车辆合理安排，尽量减少鸣笛</w:t>
            </w:r>
            <w:r>
              <w:rPr>
                <w:rFonts w:hint="eastAsia" w:cs="Times New Roman"/>
                <w:sz w:val="21"/>
                <w:szCs w:val="21"/>
                <w:highlight w:val="none"/>
                <w:lang w:eastAsia="zh-CN"/>
              </w:rPr>
              <w:t>。</w:t>
            </w:r>
          </w:p>
        </w:tc>
        <w:tc>
          <w:tcPr>
            <w:tcW w:w="738" w:type="pct"/>
            <w:noWrap w:val="0"/>
            <w:vAlign w:val="center"/>
          </w:tcPr>
          <w:p w14:paraId="091121F3">
            <w:pPr>
              <w:adjustRightInd w:val="0"/>
              <w:snapToGrid w:val="0"/>
              <w:spacing w:line="240" w:lineRule="auto"/>
              <w:jc w:val="center"/>
              <w:rPr>
                <w:rFonts w:ascii="宋体" w:hAnsi="宋体" w:cs="宋体"/>
                <w:sz w:val="21"/>
                <w:szCs w:val="21"/>
                <w:highlight w:val="none"/>
              </w:rPr>
            </w:pPr>
            <w:r>
              <w:rPr>
                <w:rFonts w:hint="default" w:ascii="Times New Roman" w:hAnsi="Times New Roman" w:cs="Times New Roman"/>
                <w:sz w:val="21"/>
                <w:szCs w:val="21"/>
                <w:highlight w:val="none"/>
                <w:lang w:val="en-US" w:eastAsia="zh-CN"/>
              </w:rPr>
              <w:t>满足《建筑施工场界环境噪声排放标准》(GB12523-2011)中的标准限值</w:t>
            </w:r>
          </w:p>
        </w:tc>
        <w:tc>
          <w:tcPr>
            <w:tcW w:w="569" w:type="pct"/>
            <w:noWrap w:val="0"/>
            <w:vAlign w:val="center"/>
          </w:tcPr>
          <w:p w14:paraId="26277206">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535" w:type="pct"/>
            <w:noWrap w:val="0"/>
            <w:vAlign w:val="center"/>
          </w:tcPr>
          <w:p w14:paraId="4E756F73">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48E70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70" w:type="pct"/>
            <w:noWrap w:val="0"/>
            <w:vAlign w:val="center"/>
          </w:tcPr>
          <w:p w14:paraId="59682799">
            <w:pPr>
              <w:adjustRightInd w:val="0"/>
              <w:snapToGrid w:val="0"/>
              <w:jc w:val="center"/>
              <w:rPr>
                <w:rFonts w:ascii="宋体" w:hAnsi="宋体" w:cs="宋体"/>
                <w:szCs w:val="21"/>
                <w:highlight w:val="none"/>
              </w:rPr>
            </w:pPr>
            <w:r>
              <w:rPr>
                <w:rFonts w:hint="eastAsia" w:ascii="宋体" w:hAnsi="宋体" w:cs="宋体"/>
                <w:szCs w:val="21"/>
                <w:highlight w:val="none"/>
              </w:rPr>
              <w:t>振动</w:t>
            </w:r>
          </w:p>
        </w:tc>
        <w:tc>
          <w:tcPr>
            <w:tcW w:w="2485" w:type="pct"/>
            <w:noWrap w:val="0"/>
            <w:vAlign w:val="center"/>
          </w:tcPr>
          <w:p w14:paraId="6D7AE979">
            <w:pPr>
              <w:adjustRightInd w:val="0"/>
              <w:snapToGrid w:val="0"/>
              <w:spacing w:line="24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738" w:type="pct"/>
            <w:noWrap w:val="0"/>
            <w:vAlign w:val="center"/>
          </w:tcPr>
          <w:p w14:paraId="4F3FDCAB">
            <w:pPr>
              <w:adjustRightInd w:val="0"/>
              <w:snapToGrid w:val="0"/>
              <w:spacing w:line="24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569" w:type="pct"/>
            <w:noWrap w:val="0"/>
            <w:vAlign w:val="center"/>
          </w:tcPr>
          <w:p w14:paraId="4840A67E">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535" w:type="pct"/>
            <w:noWrap w:val="0"/>
            <w:vAlign w:val="center"/>
          </w:tcPr>
          <w:p w14:paraId="44ED764D">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10F06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670" w:type="pct"/>
            <w:noWrap w:val="0"/>
            <w:vAlign w:val="center"/>
          </w:tcPr>
          <w:p w14:paraId="3EF12F0D">
            <w:pPr>
              <w:adjustRightInd w:val="0"/>
              <w:snapToGrid w:val="0"/>
              <w:jc w:val="center"/>
              <w:rPr>
                <w:rFonts w:ascii="宋体" w:hAnsi="宋体" w:cs="宋体"/>
                <w:szCs w:val="21"/>
                <w:highlight w:val="none"/>
              </w:rPr>
            </w:pPr>
            <w:r>
              <w:rPr>
                <w:rFonts w:hint="eastAsia" w:ascii="宋体" w:hAnsi="宋体" w:cs="宋体"/>
                <w:szCs w:val="21"/>
                <w:highlight w:val="none"/>
              </w:rPr>
              <w:t>大气环境</w:t>
            </w:r>
          </w:p>
        </w:tc>
        <w:tc>
          <w:tcPr>
            <w:tcW w:w="2485" w:type="pct"/>
            <w:noWrap w:val="0"/>
            <w:vAlign w:val="center"/>
          </w:tcPr>
          <w:p w14:paraId="22ADF784">
            <w:pPr>
              <w:adjustRightInd w:val="0"/>
              <w:snapToGrid w:val="0"/>
              <w:spacing w:line="240" w:lineRule="auto"/>
              <w:jc w:val="center"/>
              <w:rPr>
                <w:rFonts w:ascii="宋体" w:hAnsi="宋体" w:cs="宋体"/>
                <w:sz w:val="21"/>
                <w:szCs w:val="21"/>
                <w:highlight w:val="none"/>
              </w:rPr>
            </w:pPr>
            <w:r>
              <w:rPr>
                <w:rFonts w:hint="eastAsia" w:ascii="宋体" w:hAnsi="宋体" w:cs="宋体"/>
                <w:sz w:val="21"/>
                <w:szCs w:val="21"/>
                <w:highlight w:val="none"/>
                <w:lang w:val="en-US" w:eastAsia="zh-CN"/>
              </w:rPr>
              <w:t>施工区域设置硬质围挡；施工区定期洒水；施工场地内易产生扬尘的物料堆置须密闭、遮盖、洒水等抑尘措施，减少露天装卸作业；使用满足标准的施工机械和油品，做好设备的维修和养护工作，减少油耗，降低汽车尾气污染。</w:t>
            </w:r>
          </w:p>
        </w:tc>
        <w:tc>
          <w:tcPr>
            <w:tcW w:w="738" w:type="pct"/>
            <w:noWrap w:val="0"/>
            <w:vAlign w:val="center"/>
          </w:tcPr>
          <w:p w14:paraId="59C88258">
            <w:pPr>
              <w:adjustRightInd w:val="0"/>
              <w:snapToGrid w:val="0"/>
              <w:spacing w:line="240" w:lineRule="auto"/>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施工扬尘执行</w:t>
            </w:r>
            <w:r>
              <w:rPr>
                <w:rFonts w:hint="default" w:ascii="宋体" w:hAnsi="宋体" w:cs="宋体"/>
                <w:sz w:val="21"/>
                <w:szCs w:val="21"/>
                <w:highlight w:val="none"/>
              </w:rPr>
              <w:t>《大气污染物综合排放标准》（GB16297－1996）表2中颗粒物无组织排放浓度限值</w:t>
            </w:r>
          </w:p>
        </w:tc>
        <w:tc>
          <w:tcPr>
            <w:tcW w:w="569" w:type="pct"/>
            <w:noWrap w:val="0"/>
            <w:vAlign w:val="center"/>
          </w:tcPr>
          <w:p w14:paraId="03B27575">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535" w:type="pct"/>
            <w:noWrap w:val="0"/>
            <w:vAlign w:val="center"/>
          </w:tcPr>
          <w:p w14:paraId="11393EB6">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7935D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noWrap w:val="0"/>
            <w:vAlign w:val="center"/>
          </w:tcPr>
          <w:p w14:paraId="2D5BEB92">
            <w:pPr>
              <w:adjustRightInd w:val="0"/>
              <w:snapToGrid w:val="0"/>
              <w:jc w:val="center"/>
              <w:rPr>
                <w:rFonts w:ascii="宋体" w:hAnsi="宋体" w:cs="宋体"/>
                <w:szCs w:val="21"/>
                <w:highlight w:val="none"/>
              </w:rPr>
            </w:pPr>
            <w:r>
              <w:rPr>
                <w:rFonts w:hint="eastAsia" w:ascii="宋体" w:hAnsi="宋体" w:cs="宋体"/>
                <w:szCs w:val="21"/>
                <w:highlight w:val="none"/>
              </w:rPr>
              <w:t>固体废物</w:t>
            </w:r>
          </w:p>
        </w:tc>
        <w:tc>
          <w:tcPr>
            <w:tcW w:w="2485" w:type="pct"/>
            <w:noWrap w:val="0"/>
            <w:vAlign w:val="center"/>
          </w:tcPr>
          <w:p w14:paraId="38C7F148">
            <w:pPr>
              <w:adjustRightInd w:val="0"/>
              <w:snapToGrid w:val="0"/>
              <w:spacing w:line="240" w:lineRule="auto"/>
              <w:jc w:val="center"/>
              <w:rPr>
                <w:rFonts w:ascii="宋体" w:hAnsi="宋体" w:cs="宋体"/>
                <w:sz w:val="21"/>
                <w:szCs w:val="21"/>
                <w:highlight w:val="none"/>
              </w:rPr>
            </w:pPr>
            <w:r>
              <w:rPr>
                <w:rFonts w:hint="eastAsia"/>
                <w:sz w:val="21"/>
                <w:szCs w:val="21"/>
                <w:highlight w:val="none"/>
                <w:lang w:val="en-US" w:eastAsia="zh-CN"/>
              </w:rPr>
              <w:t>施工人员产生的生活垃圾集中收集后交当地环卫部门处置，</w:t>
            </w:r>
            <w:r>
              <w:rPr>
                <w:rFonts w:hint="eastAsia"/>
                <w:color w:val="auto"/>
                <w:sz w:val="21"/>
                <w:szCs w:val="21"/>
                <w:highlight w:val="none"/>
                <w:lang w:val="en-US" w:eastAsia="zh-CN"/>
              </w:rPr>
              <w:t>蓄水池工程产生的弃土送到朔方大基地用于场地平整；输水管线工程挖方用于管沟回填及平整场地，无弃方。剥离表土施工完成后表土回覆。</w:t>
            </w:r>
          </w:p>
        </w:tc>
        <w:tc>
          <w:tcPr>
            <w:tcW w:w="738" w:type="pct"/>
            <w:noWrap w:val="0"/>
            <w:vAlign w:val="center"/>
          </w:tcPr>
          <w:p w14:paraId="1CECB7D8">
            <w:pPr>
              <w:adjustRightInd w:val="0"/>
              <w:snapToGrid w:val="0"/>
              <w:spacing w:line="240" w:lineRule="auto"/>
              <w:jc w:val="center"/>
              <w:rPr>
                <w:rFonts w:ascii="宋体" w:hAnsi="宋体" w:cs="宋体"/>
                <w:sz w:val="21"/>
                <w:szCs w:val="21"/>
                <w:highlight w:val="none"/>
              </w:rPr>
            </w:pPr>
            <w:r>
              <w:rPr>
                <w:rFonts w:hint="eastAsia" w:ascii="宋体" w:hAnsi="宋体" w:cs="宋体"/>
                <w:sz w:val="21"/>
                <w:szCs w:val="21"/>
                <w:highlight w:val="none"/>
                <w:lang w:val="en-US" w:eastAsia="zh-CN"/>
              </w:rPr>
              <w:t>按相关要求合理处置</w:t>
            </w:r>
          </w:p>
        </w:tc>
        <w:tc>
          <w:tcPr>
            <w:tcW w:w="569" w:type="pct"/>
            <w:noWrap w:val="0"/>
            <w:vAlign w:val="center"/>
          </w:tcPr>
          <w:p w14:paraId="02EF9FC2">
            <w:pPr>
              <w:adjustRightInd w:val="0"/>
              <w:snapToGrid w:val="0"/>
              <w:jc w:val="center"/>
              <w:rPr>
                <w:rFonts w:hint="eastAsia" w:ascii="宋体" w:hAnsi="宋体" w:eastAsia="宋体" w:cs="宋体"/>
                <w:szCs w:val="21"/>
                <w:highlight w:val="none"/>
                <w:lang w:val="en-US" w:eastAsia="zh-CN"/>
              </w:rPr>
            </w:pPr>
            <w:r>
              <w:rPr>
                <w:rFonts w:hint="eastAsia"/>
                <w:sz w:val="21"/>
                <w:szCs w:val="21"/>
                <w:highlight w:val="none"/>
                <w:lang w:val="en-US" w:eastAsia="zh-CN"/>
              </w:rPr>
              <w:t>蓄水池沉淀泥沙送至当地生活垃圾填埋场做填埋覆土</w:t>
            </w:r>
          </w:p>
        </w:tc>
        <w:tc>
          <w:tcPr>
            <w:tcW w:w="535" w:type="pct"/>
            <w:noWrap w:val="0"/>
            <w:vAlign w:val="center"/>
          </w:tcPr>
          <w:p w14:paraId="07BADF90">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 w:val="21"/>
                <w:szCs w:val="21"/>
                <w:highlight w:val="none"/>
                <w:lang w:val="en-US" w:eastAsia="zh-CN"/>
              </w:rPr>
              <w:t>按相关要求合理处置</w:t>
            </w:r>
          </w:p>
        </w:tc>
      </w:tr>
      <w:tr w14:paraId="1F712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670" w:type="pct"/>
            <w:noWrap w:val="0"/>
            <w:vAlign w:val="center"/>
          </w:tcPr>
          <w:p w14:paraId="51DCC29A">
            <w:pPr>
              <w:adjustRightInd w:val="0"/>
              <w:snapToGrid w:val="0"/>
              <w:jc w:val="center"/>
              <w:rPr>
                <w:rFonts w:ascii="宋体" w:hAnsi="宋体" w:cs="宋体"/>
                <w:szCs w:val="21"/>
                <w:highlight w:val="none"/>
              </w:rPr>
            </w:pPr>
            <w:r>
              <w:rPr>
                <w:rFonts w:hint="eastAsia" w:ascii="宋体" w:hAnsi="宋体" w:cs="宋体"/>
                <w:szCs w:val="21"/>
                <w:highlight w:val="none"/>
              </w:rPr>
              <w:t>电磁环境</w:t>
            </w:r>
          </w:p>
        </w:tc>
        <w:tc>
          <w:tcPr>
            <w:tcW w:w="2485" w:type="pct"/>
            <w:noWrap w:val="0"/>
            <w:vAlign w:val="center"/>
          </w:tcPr>
          <w:p w14:paraId="33B65BCF">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738" w:type="pct"/>
            <w:noWrap w:val="0"/>
            <w:vAlign w:val="center"/>
          </w:tcPr>
          <w:p w14:paraId="66974777">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569" w:type="pct"/>
            <w:noWrap w:val="0"/>
            <w:vAlign w:val="center"/>
          </w:tcPr>
          <w:p w14:paraId="3D6FA9AD">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535" w:type="pct"/>
            <w:noWrap w:val="0"/>
            <w:vAlign w:val="center"/>
          </w:tcPr>
          <w:p w14:paraId="3F81044A">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6526F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70" w:type="pct"/>
            <w:noWrap w:val="0"/>
            <w:vAlign w:val="center"/>
          </w:tcPr>
          <w:p w14:paraId="2AB99FB1">
            <w:pPr>
              <w:adjustRightInd w:val="0"/>
              <w:snapToGrid w:val="0"/>
              <w:jc w:val="center"/>
              <w:rPr>
                <w:rFonts w:ascii="宋体" w:hAnsi="宋体" w:cs="宋体"/>
                <w:szCs w:val="21"/>
                <w:highlight w:val="none"/>
              </w:rPr>
            </w:pPr>
            <w:r>
              <w:rPr>
                <w:rFonts w:hint="eastAsia" w:ascii="宋体" w:hAnsi="宋体" w:cs="宋体"/>
                <w:szCs w:val="21"/>
                <w:highlight w:val="none"/>
              </w:rPr>
              <w:t>环境风险</w:t>
            </w:r>
          </w:p>
        </w:tc>
        <w:tc>
          <w:tcPr>
            <w:tcW w:w="2485" w:type="pct"/>
            <w:noWrap w:val="0"/>
            <w:vAlign w:val="center"/>
          </w:tcPr>
          <w:p w14:paraId="46621643">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738" w:type="pct"/>
            <w:noWrap w:val="0"/>
            <w:vAlign w:val="center"/>
          </w:tcPr>
          <w:p w14:paraId="2FB4C53D">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569" w:type="pct"/>
            <w:noWrap w:val="0"/>
            <w:vAlign w:val="center"/>
          </w:tcPr>
          <w:p w14:paraId="6B19D670">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535" w:type="pct"/>
            <w:noWrap w:val="0"/>
            <w:vAlign w:val="center"/>
          </w:tcPr>
          <w:p w14:paraId="459C1C48">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r>
      <w:tr w14:paraId="2CB9E4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70" w:type="pct"/>
            <w:noWrap w:val="0"/>
            <w:vAlign w:val="center"/>
          </w:tcPr>
          <w:p w14:paraId="7D86F2C3">
            <w:pPr>
              <w:adjustRightInd w:val="0"/>
              <w:snapToGrid w:val="0"/>
              <w:jc w:val="center"/>
              <w:rPr>
                <w:rFonts w:ascii="宋体" w:hAnsi="宋体" w:cs="宋体"/>
                <w:szCs w:val="21"/>
                <w:highlight w:val="none"/>
              </w:rPr>
            </w:pPr>
            <w:r>
              <w:rPr>
                <w:rFonts w:hint="eastAsia" w:ascii="宋体" w:hAnsi="宋体" w:cs="宋体"/>
                <w:szCs w:val="21"/>
                <w:highlight w:val="none"/>
              </w:rPr>
              <w:t>环境监测</w:t>
            </w:r>
          </w:p>
        </w:tc>
        <w:tc>
          <w:tcPr>
            <w:tcW w:w="2485" w:type="pct"/>
            <w:noWrap w:val="0"/>
            <w:vAlign w:val="center"/>
          </w:tcPr>
          <w:p w14:paraId="4D01D93D">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738" w:type="pct"/>
            <w:noWrap w:val="0"/>
            <w:vAlign w:val="center"/>
          </w:tcPr>
          <w:p w14:paraId="666A53BA">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569" w:type="pct"/>
            <w:noWrap w:val="0"/>
            <w:vAlign w:val="center"/>
          </w:tcPr>
          <w:p w14:paraId="014063EF">
            <w:pPr>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生态监测</w:t>
            </w:r>
          </w:p>
        </w:tc>
        <w:tc>
          <w:tcPr>
            <w:tcW w:w="535" w:type="pct"/>
            <w:noWrap w:val="0"/>
            <w:vAlign w:val="center"/>
          </w:tcPr>
          <w:p w14:paraId="45C254C6">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符合要求</w:t>
            </w:r>
          </w:p>
        </w:tc>
      </w:tr>
      <w:tr w14:paraId="35216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670" w:type="pct"/>
            <w:noWrap w:val="0"/>
            <w:vAlign w:val="center"/>
          </w:tcPr>
          <w:p w14:paraId="6B33B837">
            <w:pPr>
              <w:adjustRightInd w:val="0"/>
              <w:snapToGrid w:val="0"/>
              <w:jc w:val="center"/>
              <w:rPr>
                <w:rFonts w:ascii="宋体" w:hAnsi="宋体" w:cs="宋体"/>
                <w:szCs w:val="21"/>
                <w:highlight w:val="none"/>
              </w:rPr>
            </w:pPr>
            <w:r>
              <w:rPr>
                <w:rFonts w:hint="eastAsia" w:ascii="宋体" w:hAnsi="宋体" w:cs="宋体"/>
                <w:szCs w:val="21"/>
                <w:highlight w:val="none"/>
              </w:rPr>
              <w:t>其他</w:t>
            </w:r>
          </w:p>
        </w:tc>
        <w:tc>
          <w:tcPr>
            <w:tcW w:w="2485" w:type="pct"/>
            <w:noWrap w:val="0"/>
            <w:vAlign w:val="center"/>
          </w:tcPr>
          <w:p w14:paraId="151ECFCD">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738" w:type="pct"/>
            <w:noWrap w:val="0"/>
            <w:vAlign w:val="center"/>
          </w:tcPr>
          <w:p w14:paraId="39F972C3">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569" w:type="pct"/>
            <w:noWrap w:val="0"/>
            <w:vAlign w:val="center"/>
          </w:tcPr>
          <w:p w14:paraId="63B3F905">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535" w:type="pct"/>
            <w:noWrap w:val="0"/>
            <w:vAlign w:val="center"/>
          </w:tcPr>
          <w:p w14:paraId="04D44A06">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r>
    </w:tbl>
    <w:p w14:paraId="523DBF3B">
      <w:pPr>
        <w:pStyle w:val="17"/>
        <w:spacing w:before="192" w:beforeLines="80" w:beforeAutospacing="0"/>
        <w:jc w:val="center"/>
        <w:outlineLvl w:val="0"/>
        <w:rPr>
          <w:rFonts w:hint="eastAsia" w:ascii="黑体" w:hAnsi="黑体" w:eastAsia="黑体"/>
          <w:snapToGrid w:val="0"/>
          <w:sz w:val="30"/>
          <w:szCs w:val="30"/>
        </w:rPr>
        <w:sectPr>
          <w:pgSz w:w="16838" w:h="11906" w:orient="landscape"/>
          <w:pgMar w:top="1800" w:right="1440" w:bottom="1800" w:left="1440" w:header="851" w:footer="1077" w:gutter="0"/>
          <w:pgBorders>
            <w:top w:val="none" w:sz="0" w:space="0"/>
            <w:left w:val="none" w:sz="0" w:space="0"/>
            <w:bottom w:val="none" w:sz="0" w:space="0"/>
            <w:right w:val="none" w:sz="0" w:space="0"/>
          </w:pgBorders>
          <w:pgNumType w:fmt="decimal"/>
          <w:cols w:space="720" w:num="1"/>
          <w:docGrid w:linePitch="312" w:charSpace="0"/>
        </w:sectPr>
      </w:pPr>
    </w:p>
    <w:p w14:paraId="3D2B52AE">
      <w:pPr>
        <w:pStyle w:val="17"/>
        <w:spacing w:before="192" w:beforeLines="80" w:beforeAutospacing="0"/>
        <w:jc w:val="center"/>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19"/>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4220D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349" w:hRule="atLeast"/>
          <w:jc w:val="center"/>
        </w:trPr>
        <w:tc>
          <w:tcPr>
            <w:tcW w:w="9289" w:type="dxa"/>
            <w:noWrap w:val="0"/>
            <w:vAlign w:val="center"/>
          </w:tcPr>
          <w:p w14:paraId="3553C14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项目施工期采取了完善的生态防护措施和污染治理措施，可将施工期环境污染程度降至最低；项目运营期无废气、废水、噪声排放</w:t>
            </w:r>
            <w:r>
              <w:rPr>
                <w:rFonts w:hint="eastAsia" w:ascii="宋体" w:hAnsi="宋体" w:cs="宋体"/>
                <w:color w:val="000000"/>
                <w:kern w:val="0"/>
                <w:sz w:val="24"/>
                <w:szCs w:val="24"/>
                <w:lang w:val="en-US" w:eastAsia="zh-CN" w:bidi="ar"/>
              </w:rPr>
              <w:t>，运营期</w:t>
            </w:r>
            <w:r>
              <w:rPr>
                <w:rFonts w:hint="eastAsia" w:ascii="宋体" w:hAnsi="宋体" w:eastAsia="宋体" w:cs="宋体"/>
                <w:color w:val="000000"/>
                <w:kern w:val="0"/>
                <w:sz w:val="24"/>
                <w:szCs w:val="24"/>
                <w:lang w:val="en-US" w:eastAsia="zh-CN" w:bidi="ar"/>
              </w:rPr>
              <w:t>固废合理处置；因此，从环境保护角度考虑，本项目</w:t>
            </w:r>
            <w:r>
              <w:rPr>
                <w:rFonts w:hint="eastAsia" w:ascii="宋体" w:hAnsi="宋体" w:cs="宋体"/>
                <w:sz w:val="24"/>
                <w:szCs w:val="24"/>
              </w:rPr>
              <w:t>建设</w:t>
            </w:r>
            <w:r>
              <w:rPr>
                <w:rFonts w:hint="eastAsia" w:ascii="宋体" w:hAnsi="宋体" w:eastAsia="宋体" w:cs="宋体"/>
                <w:color w:val="000000"/>
                <w:kern w:val="0"/>
                <w:sz w:val="24"/>
                <w:szCs w:val="24"/>
                <w:lang w:val="en-US" w:eastAsia="zh-CN" w:bidi="ar"/>
              </w:rPr>
              <w:t>可行。</w:t>
            </w:r>
          </w:p>
          <w:p w14:paraId="474A105A">
            <w:pPr>
              <w:adjustRightInd w:val="0"/>
              <w:snapToGrid w:val="0"/>
              <w:spacing w:line="360" w:lineRule="auto"/>
              <w:ind w:firstLine="480" w:firstLineChars="200"/>
              <w:rPr>
                <w:rFonts w:hint="eastAsia" w:ascii="宋体" w:hAnsi="宋体" w:cs="宋体"/>
                <w:sz w:val="24"/>
                <w:szCs w:val="24"/>
              </w:rPr>
            </w:pPr>
          </w:p>
        </w:tc>
      </w:tr>
    </w:tbl>
    <w:p w14:paraId="5546CC77">
      <w:pPr>
        <w:rPr>
          <w:rFonts w:ascii="宋体"/>
        </w:rPr>
      </w:pPr>
    </w:p>
    <w:p w14:paraId="506C0DC6">
      <w:pPr>
        <w:pStyle w:val="17"/>
        <w:adjustRightInd w:val="0"/>
        <w:snapToGrid w:val="0"/>
        <w:spacing w:before="0" w:beforeAutospacing="0" w:after="0" w:afterAutospacing="0" w:line="648" w:lineRule="auto"/>
        <w:outlineLvl w:val="0"/>
        <w:rPr>
          <w:rFonts w:ascii="宋体"/>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r>
        <w:rPr>
          <w:rFonts w:ascii="黑体" w:hAnsi="黑体" w:eastAsia="黑体"/>
          <w:snapToGrid w:val="0"/>
          <w:sz w:val="32"/>
          <w:szCs w:val="32"/>
        </w:rPr>
        <w:br w:type="page"/>
      </w:r>
    </w:p>
    <w:p w14:paraId="39C6956A">
      <w:pPr>
        <w:snapToGrid w:val="0"/>
        <w:spacing w:line="355" w:lineRule="auto"/>
        <w:jc w:val="center"/>
        <w:outlineLvl w:val="9"/>
        <w:rPr>
          <w:rFonts w:hint="eastAsia" w:ascii="Times New Roman" w:hAnsi="Times New Roman" w:eastAsia="宋体" w:cs="Times New Roman"/>
          <w:sz w:val="32"/>
          <w:szCs w:val="32"/>
          <w:lang w:eastAsia="zh-CN"/>
        </w:rPr>
      </w:pPr>
      <w:r>
        <w:rPr>
          <w:sz w:val="32"/>
        </w:rPr>
        <mc:AlternateContent>
          <mc:Choice Requires="wps">
            <w:drawing>
              <wp:anchor distT="0" distB="0" distL="114300" distR="114300" simplePos="0" relativeHeight="251663360" behindDoc="0" locked="0" layoutInCell="1" allowOverlap="1">
                <wp:simplePos x="0" y="0"/>
                <wp:positionH relativeFrom="column">
                  <wp:posOffset>2871470</wp:posOffset>
                </wp:positionH>
                <wp:positionV relativeFrom="paragraph">
                  <wp:posOffset>1028700</wp:posOffset>
                </wp:positionV>
                <wp:extent cx="137795" cy="123825"/>
                <wp:effectExtent l="20320" t="19685" r="24765" b="24130"/>
                <wp:wrapNone/>
                <wp:docPr id="32" name="五角星 32"/>
                <wp:cNvGraphicFramePr/>
                <a:graphic xmlns:a="http://schemas.openxmlformats.org/drawingml/2006/main">
                  <a:graphicData uri="http://schemas.microsoft.com/office/word/2010/wordprocessingShape">
                    <wps:wsp>
                      <wps:cNvSpPr/>
                      <wps:spPr>
                        <a:xfrm>
                          <a:off x="4707255" y="2655570"/>
                          <a:ext cx="137795" cy="123825"/>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26.1pt;margin-top:81pt;height:9.75pt;width:10.85pt;z-index:251663360;v-text-anchor:middle;mso-width-relative:page;mso-height-relative:page;" fillcolor="#FF0000" filled="t" stroked="t" coordsize="137795,123825" o:gfxdata="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IYMrb2AAAAAsBAAAPAAAAAAAAAAEA&#10;IAAAACIAAABkcnMvZG93bnJldi54bWxQSwECFAAUAAAACACHTuJA5cRQFIECAAAFBQAADgAAAAAA&#10;AAABACAAAAAnAQAAZHJzL2Uyb0RvYy54bWxQSwUGAAAAAAYABgBZAQAAGgYAAAAA&#10;" path="m0,47296l52633,47297,68897,0,85161,47297,137794,47296,95213,76527,111478,123824,68897,94593,26316,123824,42581,76527xe">
                <v:path o:connectlocs="68897,0;0,47296;26316,123824;111478,123824;137794,47296" o:connectangles="247,164,82,82,0"/>
                <v:fill on="t" focussize="0,0"/>
                <v:stroke weight="1pt" color="#FF0000 [2404]" miterlimit="8" joinstyle="miter"/>
                <v:imagedata o:title=""/>
                <o:lock v:ext="edit" aspectratio="f"/>
              </v:shap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3668395</wp:posOffset>
                </wp:positionH>
                <wp:positionV relativeFrom="paragraph">
                  <wp:posOffset>1157605</wp:posOffset>
                </wp:positionV>
                <wp:extent cx="937895" cy="287655"/>
                <wp:effectExtent l="706120" t="45720" r="17145" b="17145"/>
                <wp:wrapNone/>
                <wp:docPr id="8" name="矩形标注 8"/>
                <wp:cNvGraphicFramePr/>
                <a:graphic xmlns:a="http://schemas.openxmlformats.org/drawingml/2006/main">
                  <a:graphicData uri="http://schemas.microsoft.com/office/word/2010/wordprocessingShape">
                    <wps:wsp>
                      <wps:cNvSpPr/>
                      <wps:spPr>
                        <a:xfrm>
                          <a:off x="0" y="0"/>
                          <a:ext cx="937895" cy="287655"/>
                        </a:xfrm>
                        <a:prstGeom prst="wedgeRectCallout">
                          <a:avLst>
                            <a:gd name="adj1" fmla="val -121225"/>
                            <a:gd name="adj2" fmla="val -62582"/>
                          </a:avLst>
                        </a:prstGeom>
                        <a:solidFill>
                          <a:srgbClr val="FFFFFF"/>
                        </a:solidFill>
                        <a:ln w="9525" cap="flat" cmpd="sng">
                          <a:solidFill>
                            <a:srgbClr val="000000"/>
                          </a:solidFill>
                          <a:prstDash val="solid"/>
                          <a:miter/>
                          <a:headEnd type="none" w="med" len="med"/>
                          <a:tailEnd type="none" w="med" len="med"/>
                        </a:ln>
                      </wps:spPr>
                      <wps:txbx>
                        <w:txbxContent>
                          <w:p w14:paraId="67141DE3">
                            <w:pPr>
                              <w:rPr>
                                <w:rFonts w:hint="eastAsia" w:eastAsia="宋体"/>
                                <w:sz w:val="21"/>
                                <w:szCs w:val="21"/>
                                <w:lang w:eastAsia="zh-CN"/>
                              </w:rPr>
                            </w:pPr>
                            <w:r>
                              <w:rPr>
                                <w:rFonts w:hint="eastAsia"/>
                                <w:sz w:val="21"/>
                                <w:szCs w:val="21"/>
                                <w:lang w:eastAsia="zh-CN"/>
                              </w:rPr>
                              <w:t>本项目位置</w:t>
                            </w:r>
                          </w:p>
                        </w:txbxContent>
                      </wps:txbx>
                      <wps:bodyPr upright="1"/>
                    </wps:wsp>
                  </a:graphicData>
                </a:graphic>
              </wp:anchor>
            </w:drawing>
          </mc:Choice>
          <mc:Fallback>
            <w:pict>
              <v:shape id="_x0000_s1026" o:spid="_x0000_s1026" o:spt="61" type="#_x0000_t61" style="position:absolute;left:0pt;margin-left:288.85pt;margin-top:91.15pt;height:22.65pt;width:73.85pt;z-index:251660288;mso-width-relative:page;mso-height-relative:page;" fillcolor="#FFFFFF" filled="t" stroked="t" coordsize="21600,21600" o:gfxdata="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Wk1f7aAAAACwEAAA8AAAAAAAAAAQAgAAAAIgAAAGRycy9k&#10;b3ducmV2LnhtbFBLAQIUABQAAAAIAIdO4kBHiGsbOQIAAI4EAAAOAAAAAAAAAAEAIAAAACkBAABk&#10;cnMvZTJvRG9jLnhtbFBLBQYAAAAABgAGAFkBAADUBQAAAAA=&#10;" adj="-15385,-2718">
                <v:fill on="t" focussize="0,0"/>
                <v:stroke color="#000000" joinstyle="miter"/>
                <v:imagedata o:title=""/>
                <o:lock v:ext="edit" aspectratio="f"/>
                <v:textbox>
                  <w:txbxContent>
                    <w:p w14:paraId="67141DE3">
                      <w:pPr>
                        <w:rPr>
                          <w:rFonts w:hint="eastAsia" w:eastAsia="宋体"/>
                          <w:sz w:val="21"/>
                          <w:szCs w:val="21"/>
                          <w:lang w:eastAsia="zh-CN"/>
                        </w:rPr>
                      </w:pPr>
                      <w:r>
                        <w:rPr>
                          <w:rFonts w:hint="eastAsia"/>
                          <w:sz w:val="21"/>
                          <w:szCs w:val="21"/>
                          <w:lang w:eastAsia="zh-CN"/>
                        </w:rPr>
                        <w:t>本项目位置</w:t>
                      </w:r>
                    </w:p>
                  </w:txbxContent>
                </v:textbox>
              </v:shape>
            </w:pict>
          </mc:Fallback>
        </mc:AlternateContent>
      </w:r>
      <w:r>
        <w:rPr>
          <w:sz w:val="32"/>
        </w:rPr>
        <w:drawing>
          <wp:inline distT="0" distB="0" distL="114300" distR="114300">
            <wp:extent cx="8788400" cy="4821555"/>
            <wp:effectExtent l="0" t="0" r="5080" b="9525"/>
            <wp:docPr id="67" name="图片 67" descr="杭锦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杭锦旗"/>
                    <pic:cNvPicPr>
                      <a:picLocks noChangeAspect="1"/>
                    </pic:cNvPicPr>
                  </pic:nvPicPr>
                  <pic:blipFill>
                    <a:blip r:embed="rId13"/>
                    <a:stretch>
                      <a:fillRect/>
                    </a:stretch>
                  </pic:blipFill>
                  <pic:spPr>
                    <a:xfrm>
                      <a:off x="0" y="0"/>
                      <a:ext cx="8788400" cy="4821555"/>
                    </a:xfrm>
                    <a:prstGeom prst="rect">
                      <a:avLst/>
                    </a:prstGeom>
                  </pic:spPr>
                </pic:pic>
              </a:graphicData>
            </a:graphic>
          </wp:inline>
        </w:drawing>
      </w:r>
    </w:p>
    <w:p w14:paraId="568A0112">
      <w:pPr>
        <w:snapToGrid w:val="0"/>
        <w:spacing w:line="355" w:lineRule="auto"/>
        <w:jc w:val="center"/>
        <w:outlineLvl w:val="0"/>
        <w:rPr>
          <w:rFonts w:hint="eastAsia" w:ascii="Times New Roman" w:hAnsi="Times New Roman" w:eastAsia="宋体" w:cs="Times New Roman"/>
          <w:sz w:val="32"/>
          <w:szCs w:val="32"/>
          <w:lang w:eastAsia="zh-CN"/>
        </w:rPr>
        <w:sectPr>
          <w:pgSz w:w="16838" w:h="11906" w:orient="landscape"/>
          <w:pgMar w:top="1800" w:right="1440" w:bottom="1800" w:left="1440" w:header="851" w:footer="1077"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sz w:val="24"/>
          <w:szCs w:val="24"/>
          <w:lang w:eastAsia="zh-CN"/>
        </w:rPr>
        <w:t>附图</w:t>
      </w:r>
      <w:r>
        <w:rPr>
          <w:rFonts w:hint="eastAsia"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eastAsia="zh-CN"/>
        </w:rPr>
        <w:t>项目地理位置图</w:t>
      </w:r>
    </w:p>
    <w:p w14:paraId="133E24CA">
      <w:pPr>
        <w:snapToGrid w:val="0"/>
        <w:spacing w:line="355" w:lineRule="auto"/>
        <w:jc w:val="both"/>
        <w:outlineLvl w:val="9"/>
        <w:rPr>
          <w:rFonts w:hint="eastAsia" w:ascii="Times New Roman" w:hAnsi="Times New Roman" w:eastAsia="宋体" w:cs="Times New Roman"/>
          <w:sz w:val="32"/>
          <w:szCs w:val="32"/>
          <w:lang w:eastAsia="zh-CN"/>
        </w:rPr>
      </w:pPr>
      <w:r>
        <w:rPr>
          <w:sz w:val="32"/>
        </w:rPr>
        <mc:AlternateContent>
          <mc:Choice Requires="wps">
            <w:drawing>
              <wp:anchor distT="0" distB="0" distL="114300" distR="114300" simplePos="0" relativeHeight="251667456" behindDoc="0" locked="0" layoutInCell="1" allowOverlap="1">
                <wp:simplePos x="0" y="0"/>
                <wp:positionH relativeFrom="column">
                  <wp:posOffset>96520</wp:posOffset>
                </wp:positionH>
                <wp:positionV relativeFrom="paragraph">
                  <wp:posOffset>3954145</wp:posOffset>
                </wp:positionV>
                <wp:extent cx="372745" cy="0"/>
                <wp:effectExtent l="0" t="9525" r="8255" b="13335"/>
                <wp:wrapNone/>
                <wp:docPr id="63" name="直接连接符 63"/>
                <wp:cNvGraphicFramePr/>
                <a:graphic xmlns:a="http://schemas.openxmlformats.org/drawingml/2006/main">
                  <a:graphicData uri="http://schemas.microsoft.com/office/word/2010/wordprocessingShape">
                    <wps:wsp>
                      <wps:cNvCnPr/>
                      <wps:spPr>
                        <a:xfrm>
                          <a:off x="1024255" y="5814695"/>
                          <a:ext cx="372745" cy="0"/>
                        </a:xfrm>
                        <a:prstGeom prst="line">
                          <a:avLst/>
                        </a:prstGeom>
                        <a:ln w="1905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6pt;margin-top:311.35pt;height:0pt;width:29.35pt;z-index:251667456;mso-width-relative:page;mso-height-relative:page;" filled="f" stroked="t" coordsize="21600,21600" o:gfxdata="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I/+YfUAAAACQEAAA8AAAAAAAAAAQAgAAAAIgAAAGRycy9kb3ducmV2LnhtbFBLAQIU&#10;ABQAAAAIAIdO4kCkT3ja9wEAAL8DAAAOAAAAAAAAAAEAIAAAACMBAABkcnMvZTJvRG9jLnhtbFBL&#10;BQYAAAAABgAGAFkBAACMBQAAAAA=&#10;">
                <v:fill on="f" focussize="0,0"/>
                <v:stroke weight="1.5pt" color="#FF0000 [3204]" miterlimit="8" joinstyle="miter"/>
                <v:imagedata o:title=""/>
                <o:lock v:ext="edit" aspectratio="f"/>
              </v:line>
            </w:pict>
          </mc:Fallback>
        </mc:AlternateContent>
      </w:r>
      <w:r>
        <w:rPr>
          <w:sz w:val="32"/>
        </w:rPr>
        <mc:AlternateContent>
          <mc:Choice Requires="wps">
            <w:drawing>
              <wp:anchor distT="0" distB="0" distL="114300" distR="114300" simplePos="0" relativeHeight="251666432" behindDoc="0" locked="0" layoutInCell="1" allowOverlap="1">
                <wp:simplePos x="0" y="0"/>
                <wp:positionH relativeFrom="column">
                  <wp:posOffset>9525</wp:posOffset>
                </wp:positionH>
                <wp:positionV relativeFrom="paragraph">
                  <wp:posOffset>3627755</wp:posOffset>
                </wp:positionV>
                <wp:extent cx="1718310" cy="1108075"/>
                <wp:effectExtent l="4445" t="5080" r="14605" b="14605"/>
                <wp:wrapNone/>
                <wp:docPr id="62" name="文本框 62"/>
                <wp:cNvGraphicFramePr/>
                <a:graphic xmlns:a="http://schemas.openxmlformats.org/drawingml/2006/main">
                  <a:graphicData uri="http://schemas.microsoft.com/office/word/2010/wordprocessingShape">
                    <wps:wsp>
                      <wps:cNvSpPr txBox="1"/>
                      <wps:spPr>
                        <a:xfrm>
                          <a:off x="906145" y="5001895"/>
                          <a:ext cx="1718310" cy="1108075"/>
                        </a:xfrm>
                        <a:prstGeom prst="rect">
                          <a:avLst/>
                        </a:prstGeom>
                        <a:solidFill>
                          <a:srgbClr val="FFFFFF">
                            <a:alpha val="50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C961A04">
                            <w:pPr>
                              <w:jc w:val="center"/>
                              <w:rPr>
                                <w:rFonts w:hint="eastAsia"/>
                                <w:sz w:val="24"/>
                                <w:szCs w:val="24"/>
                                <w:lang w:eastAsia="zh-CN"/>
                              </w:rPr>
                            </w:pPr>
                            <w:r>
                              <w:rPr>
                                <w:rFonts w:hint="eastAsia"/>
                                <w:sz w:val="24"/>
                                <w:szCs w:val="24"/>
                                <w:lang w:eastAsia="zh-CN"/>
                              </w:rPr>
                              <w:t>图例</w:t>
                            </w:r>
                          </w:p>
                          <w:p w14:paraId="65407712">
                            <w:pPr>
                              <w:pStyle w:val="12"/>
                              <w:keepNext w:val="0"/>
                              <w:keepLines w:val="0"/>
                              <w:pageBreakBefore w:val="0"/>
                              <w:kinsoku/>
                              <w:wordWrap/>
                              <w:overflowPunct/>
                              <w:topLinePunct w:val="0"/>
                              <w:bidi w:val="0"/>
                              <w:adjustRightInd/>
                              <w:spacing w:before="0" w:after="0" w:line="240" w:lineRule="auto"/>
                              <w:ind w:right="0" w:firstLine="630" w:firstLineChars="300"/>
                              <w:jc w:val="left"/>
                              <w:textAlignment w:val="auto"/>
                              <w:rPr>
                                <w:rFonts w:hint="eastAsia"/>
                                <w:sz w:val="21"/>
                                <w:szCs w:val="21"/>
                                <w:lang w:eastAsia="zh-CN"/>
                              </w:rPr>
                            </w:pPr>
                            <w:r>
                              <w:rPr>
                                <w:rFonts w:hint="eastAsia"/>
                                <w:sz w:val="21"/>
                                <w:szCs w:val="21"/>
                                <w:lang w:eastAsia="zh-CN"/>
                              </w:rPr>
                              <w:t>本项目位置</w:t>
                            </w:r>
                          </w:p>
                          <w:p w14:paraId="5D9DA7AC">
                            <w:pPr>
                              <w:keepNext w:val="0"/>
                              <w:keepLines w:val="0"/>
                              <w:pageBreakBefore w:val="0"/>
                              <w:kinsoku/>
                              <w:wordWrap/>
                              <w:overflowPunct/>
                              <w:topLinePunct w:val="0"/>
                              <w:bidi w:val="0"/>
                              <w:adjustRightInd/>
                              <w:spacing w:line="240" w:lineRule="auto"/>
                              <w:ind w:right="0" w:firstLine="0" w:firstLineChars="0"/>
                              <w:textAlignment w:val="auto"/>
                              <w:rPr>
                                <w:rFonts w:hint="default"/>
                                <w:sz w:val="21"/>
                                <w:szCs w:val="21"/>
                                <w:lang w:val="en-US" w:eastAsia="zh-CN"/>
                              </w:rPr>
                            </w:pPr>
                            <w:r>
                              <w:rPr>
                                <w:rFonts w:hint="eastAsia"/>
                                <w:sz w:val="21"/>
                                <w:szCs w:val="21"/>
                                <w:lang w:val="en-US" w:eastAsia="zh-CN"/>
                              </w:rPr>
                              <w:drawing>
                                <wp:inline distT="0" distB="0" distL="114300" distR="114300">
                                  <wp:extent cx="124460" cy="159385"/>
                                  <wp:effectExtent l="0" t="0" r="12700" b="8255"/>
                                  <wp:docPr id="77" name="图片 77" descr="171757767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1717577670845"/>
                                          <pic:cNvPicPr>
                                            <a:picLocks noChangeAspect="1"/>
                                          </pic:cNvPicPr>
                                        </pic:nvPicPr>
                                        <pic:blipFill>
                                          <a:blip r:embed="rId14"/>
                                          <a:srcRect l="22973" t="926" r="15541" b="1389"/>
                                          <a:stretch>
                                            <a:fillRect/>
                                          </a:stretch>
                                        </pic:blipFill>
                                        <pic:spPr>
                                          <a:xfrm>
                                            <a:off x="0" y="0"/>
                                            <a:ext cx="124460" cy="159385"/>
                                          </a:xfrm>
                                          <a:prstGeom prst="rect">
                                            <a:avLst/>
                                          </a:prstGeom>
                                        </pic:spPr>
                                      </pic:pic>
                                    </a:graphicData>
                                  </a:graphic>
                                </wp:inline>
                              </w:drawing>
                            </w:r>
                            <w:r>
                              <w:rPr>
                                <w:rFonts w:hint="eastAsia"/>
                                <w:sz w:val="21"/>
                                <w:szCs w:val="21"/>
                                <w:lang w:val="en-US" w:eastAsia="zh-CN"/>
                              </w:rPr>
                              <w:t xml:space="preserve">  排气井</w:t>
                            </w:r>
                          </w:p>
                          <w:p w14:paraId="7AB4F2CB">
                            <w:pPr>
                              <w:pStyle w:val="2"/>
                              <w:keepNext w:val="0"/>
                              <w:keepLines w:val="0"/>
                              <w:pageBreakBefore w:val="0"/>
                              <w:kinsoku/>
                              <w:wordWrap/>
                              <w:overflowPunct/>
                              <w:topLinePunct w:val="0"/>
                              <w:bidi w:val="0"/>
                              <w:adjustRightInd/>
                              <w:spacing w:line="240" w:lineRule="auto"/>
                              <w:ind w:right="0" w:firstLine="0" w:firstLineChars="0"/>
                              <w:textAlignment w:val="auto"/>
                              <w:rPr>
                                <w:rFonts w:hint="default"/>
                                <w:sz w:val="21"/>
                                <w:szCs w:val="21"/>
                                <w:lang w:val="en-US" w:eastAsia="zh-CN"/>
                              </w:rPr>
                            </w:pPr>
                            <w:r>
                              <w:rPr>
                                <w:rFonts w:hint="eastAsia"/>
                                <w:sz w:val="21"/>
                                <w:szCs w:val="21"/>
                                <w:lang w:val="en-US" w:eastAsia="zh-CN"/>
                              </w:rPr>
                              <w:drawing>
                                <wp:inline distT="0" distB="0" distL="114300" distR="114300">
                                  <wp:extent cx="121920" cy="151130"/>
                                  <wp:effectExtent l="0" t="0" r="0" b="1270"/>
                                  <wp:docPr id="78" name="图片 78" descr="171757767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1717577670891"/>
                                          <pic:cNvPicPr>
                                            <a:picLocks noChangeAspect="1"/>
                                          </pic:cNvPicPr>
                                        </pic:nvPicPr>
                                        <pic:blipFill>
                                          <a:blip r:embed="rId15"/>
                                          <a:stretch>
                                            <a:fillRect/>
                                          </a:stretch>
                                        </pic:blipFill>
                                        <pic:spPr>
                                          <a:xfrm>
                                            <a:off x="0" y="0"/>
                                            <a:ext cx="121920" cy="151130"/>
                                          </a:xfrm>
                                          <a:prstGeom prst="rect">
                                            <a:avLst/>
                                          </a:prstGeom>
                                        </pic:spPr>
                                      </pic:pic>
                                    </a:graphicData>
                                  </a:graphic>
                                </wp:inline>
                              </w:drawing>
                            </w:r>
                            <w:r>
                              <w:rPr>
                                <w:rFonts w:hint="eastAsia"/>
                                <w:sz w:val="21"/>
                                <w:szCs w:val="21"/>
                                <w:lang w:val="en-US" w:eastAsia="zh-CN"/>
                              </w:rPr>
                              <w:t xml:space="preserve">  阀门井</w:t>
                            </w:r>
                          </w:p>
                          <w:p w14:paraId="00F79453">
                            <w:pPr>
                              <w:pStyle w:val="2"/>
                              <w:keepNext w:val="0"/>
                              <w:keepLines w:val="0"/>
                              <w:pageBreakBefore w:val="0"/>
                              <w:kinsoku/>
                              <w:wordWrap/>
                              <w:overflowPunct/>
                              <w:topLinePunct w:val="0"/>
                              <w:bidi w:val="0"/>
                              <w:adjustRightInd/>
                              <w:spacing w:line="240" w:lineRule="auto"/>
                              <w:ind w:right="0" w:firstLine="0" w:firstLineChars="0"/>
                              <w:textAlignment w:val="auto"/>
                              <w:rPr>
                                <w:rFonts w:hint="default"/>
                                <w:sz w:val="21"/>
                                <w:szCs w:val="21"/>
                                <w:lang w:val="en-US" w:eastAsia="zh-CN"/>
                              </w:rPr>
                            </w:pPr>
                            <w:r>
                              <w:rPr>
                                <w:rFonts w:hint="eastAsia"/>
                                <w:sz w:val="21"/>
                                <w:szCs w:val="21"/>
                                <w:lang w:val="en-US" w:eastAsia="zh-CN"/>
                              </w:rPr>
                              <w:drawing>
                                <wp:inline distT="0" distB="0" distL="114300" distR="114300">
                                  <wp:extent cx="128270" cy="134620"/>
                                  <wp:effectExtent l="0" t="0" r="8890" b="2540"/>
                                  <wp:docPr id="79" name="图片 79" descr="171757767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1717577670895"/>
                                          <pic:cNvPicPr>
                                            <a:picLocks noChangeAspect="1"/>
                                          </pic:cNvPicPr>
                                        </pic:nvPicPr>
                                        <pic:blipFill>
                                          <a:blip r:embed="rId16"/>
                                          <a:stretch>
                                            <a:fillRect/>
                                          </a:stretch>
                                        </pic:blipFill>
                                        <pic:spPr>
                                          <a:xfrm>
                                            <a:off x="0" y="0"/>
                                            <a:ext cx="128270" cy="134620"/>
                                          </a:xfrm>
                                          <a:prstGeom prst="rect">
                                            <a:avLst/>
                                          </a:prstGeom>
                                        </pic:spPr>
                                      </pic:pic>
                                    </a:graphicData>
                                  </a:graphic>
                                </wp:inline>
                              </w:drawing>
                            </w:r>
                            <w:r>
                              <w:rPr>
                                <w:rFonts w:hint="eastAsia"/>
                                <w:sz w:val="21"/>
                                <w:szCs w:val="21"/>
                                <w:lang w:val="en-US" w:eastAsia="zh-CN"/>
                              </w:rPr>
                              <w:t xml:space="preserve">  排泥井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285.65pt;height:87.25pt;width:135.3pt;z-index:251666432;mso-width-relative:page;mso-height-relative:page;" fillcolor="#FFFFFF" filled="t" stroked="t" coordsize="21600,21600" o:gfxdata="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KjYf/XAAAACQEAAA8AAAAAAAAAAQAgAAAAIgAAAGRy&#10;cy9kb3ducmV2LnhtbFBLAQIUABQAAAAIAIdO4kDmMJkLeAIAAOYEAAAOAAAAAAAAAAEAIAAAACYB&#10;AABkcnMvZTJvRG9jLnhtbFBLBQYAAAAABgAGAFkBAAAQBgAAAAA=&#10;">
                <v:fill on="t" opacity="32768f" focussize="0,0"/>
                <v:stroke weight="0.5pt" color="#000000 [3204]" joinstyle="round"/>
                <v:imagedata o:title=""/>
                <o:lock v:ext="edit" aspectratio="f"/>
                <v:textbox>
                  <w:txbxContent>
                    <w:p w14:paraId="3C961A04">
                      <w:pPr>
                        <w:jc w:val="center"/>
                        <w:rPr>
                          <w:rFonts w:hint="eastAsia"/>
                          <w:sz w:val="24"/>
                          <w:szCs w:val="24"/>
                          <w:lang w:eastAsia="zh-CN"/>
                        </w:rPr>
                      </w:pPr>
                      <w:r>
                        <w:rPr>
                          <w:rFonts w:hint="eastAsia"/>
                          <w:sz w:val="24"/>
                          <w:szCs w:val="24"/>
                          <w:lang w:eastAsia="zh-CN"/>
                        </w:rPr>
                        <w:t>图例</w:t>
                      </w:r>
                    </w:p>
                    <w:p w14:paraId="65407712">
                      <w:pPr>
                        <w:pStyle w:val="12"/>
                        <w:keepNext w:val="0"/>
                        <w:keepLines w:val="0"/>
                        <w:pageBreakBefore w:val="0"/>
                        <w:kinsoku/>
                        <w:wordWrap/>
                        <w:overflowPunct/>
                        <w:topLinePunct w:val="0"/>
                        <w:bidi w:val="0"/>
                        <w:adjustRightInd/>
                        <w:spacing w:before="0" w:after="0" w:line="240" w:lineRule="auto"/>
                        <w:ind w:right="0" w:firstLine="630" w:firstLineChars="300"/>
                        <w:jc w:val="left"/>
                        <w:textAlignment w:val="auto"/>
                        <w:rPr>
                          <w:rFonts w:hint="eastAsia"/>
                          <w:sz w:val="21"/>
                          <w:szCs w:val="21"/>
                          <w:lang w:eastAsia="zh-CN"/>
                        </w:rPr>
                      </w:pPr>
                      <w:r>
                        <w:rPr>
                          <w:rFonts w:hint="eastAsia"/>
                          <w:sz w:val="21"/>
                          <w:szCs w:val="21"/>
                          <w:lang w:eastAsia="zh-CN"/>
                        </w:rPr>
                        <w:t>本项目位置</w:t>
                      </w:r>
                    </w:p>
                    <w:p w14:paraId="5D9DA7AC">
                      <w:pPr>
                        <w:keepNext w:val="0"/>
                        <w:keepLines w:val="0"/>
                        <w:pageBreakBefore w:val="0"/>
                        <w:kinsoku/>
                        <w:wordWrap/>
                        <w:overflowPunct/>
                        <w:topLinePunct w:val="0"/>
                        <w:bidi w:val="0"/>
                        <w:adjustRightInd/>
                        <w:spacing w:line="240" w:lineRule="auto"/>
                        <w:ind w:right="0" w:firstLine="0" w:firstLineChars="0"/>
                        <w:textAlignment w:val="auto"/>
                        <w:rPr>
                          <w:rFonts w:hint="default"/>
                          <w:sz w:val="21"/>
                          <w:szCs w:val="21"/>
                          <w:lang w:val="en-US" w:eastAsia="zh-CN"/>
                        </w:rPr>
                      </w:pPr>
                      <w:r>
                        <w:rPr>
                          <w:rFonts w:hint="eastAsia"/>
                          <w:sz w:val="21"/>
                          <w:szCs w:val="21"/>
                          <w:lang w:val="en-US" w:eastAsia="zh-CN"/>
                        </w:rPr>
                        <w:drawing>
                          <wp:inline distT="0" distB="0" distL="114300" distR="114300">
                            <wp:extent cx="124460" cy="159385"/>
                            <wp:effectExtent l="0" t="0" r="12700" b="8255"/>
                            <wp:docPr id="77" name="图片 77" descr="171757767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1717577670845"/>
                                    <pic:cNvPicPr>
                                      <a:picLocks noChangeAspect="1"/>
                                    </pic:cNvPicPr>
                                  </pic:nvPicPr>
                                  <pic:blipFill>
                                    <a:blip r:embed="rId14"/>
                                    <a:srcRect l="22973" t="926" r="15541" b="1389"/>
                                    <a:stretch>
                                      <a:fillRect/>
                                    </a:stretch>
                                  </pic:blipFill>
                                  <pic:spPr>
                                    <a:xfrm>
                                      <a:off x="0" y="0"/>
                                      <a:ext cx="124460" cy="159385"/>
                                    </a:xfrm>
                                    <a:prstGeom prst="rect">
                                      <a:avLst/>
                                    </a:prstGeom>
                                  </pic:spPr>
                                </pic:pic>
                              </a:graphicData>
                            </a:graphic>
                          </wp:inline>
                        </w:drawing>
                      </w:r>
                      <w:r>
                        <w:rPr>
                          <w:rFonts w:hint="eastAsia"/>
                          <w:sz w:val="21"/>
                          <w:szCs w:val="21"/>
                          <w:lang w:val="en-US" w:eastAsia="zh-CN"/>
                        </w:rPr>
                        <w:t xml:space="preserve">  排气井</w:t>
                      </w:r>
                    </w:p>
                    <w:p w14:paraId="7AB4F2CB">
                      <w:pPr>
                        <w:pStyle w:val="2"/>
                        <w:keepNext w:val="0"/>
                        <w:keepLines w:val="0"/>
                        <w:pageBreakBefore w:val="0"/>
                        <w:kinsoku/>
                        <w:wordWrap/>
                        <w:overflowPunct/>
                        <w:topLinePunct w:val="0"/>
                        <w:bidi w:val="0"/>
                        <w:adjustRightInd/>
                        <w:spacing w:line="240" w:lineRule="auto"/>
                        <w:ind w:right="0" w:firstLine="0" w:firstLineChars="0"/>
                        <w:textAlignment w:val="auto"/>
                        <w:rPr>
                          <w:rFonts w:hint="default"/>
                          <w:sz w:val="21"/>
                          <w:szCs w:val="21"/>
                          <w:lang w:val="en-US" w:eastAsia="zh-CN"/>
                        </w:rPr>
                      </w:pPr>
                      <w:r>
                        <w:rPr>
                          <w:rFonts w:hint="eastAsia"/>
                          <w:sz w:val="21"/>
                          <w:szCs w:val="21"/>
                          <w:lang w:val="en-US" w:eastAsia="zh-CN"/>
                        </w:rPr>
                        <w:drawing>
                          <wp:inline distT="0" distB="0" distL="114300" distR="114300">
                            <wp:extent cx="121920" cy="151130"/>
                            <wp:effectExtent l="0" t="0" r="0" b="1270"/>
                            <wp:docPr id="78" name="图片 78" descr="171757767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1717577670891"/>
                                    <pic:cNvPicPr>
                                      <a:picLocks noChangeAspect="1"/>
                                    </pic:cNvPicPr>
                                  </pic:nvPicPr>
                                  <pic:blipFill>
                                    <a:blip r:embed="rId15"/>
                                    <a:stretch>
                                      <a:fillRect/>
                                    </a:stretch>
                                  </pic:blipFill>
                                  <pic:spPr>
                                    <a:xfrm>
                                      <a:off x="0" y="0"/>
                                      <a:ext cx="121920" cy="151130"/>
                                    </a:xfrm>
                                    <a:prstGeom prst="rect">
                                      <a:avLst/>
                                    </a:prstGeom>
                                  </pic:spPr>
                                </pic:pic>
                              </a:graphicData>
                            </a:graphic>
                          </wp:inline>
                        </w:drawing>
                      </w:r>
                      <w:r>
                        <w:rPr>
                          <w:rFonts w:hint="eastAsia"/>
                          <w:sz w:val="21"/>
                          <w:szCs w:val="21"/>
                          <w:lang w:val="en-US" w:eastAsia="zh-CN"/>
                        </w:rPr>
                        <w:t xml:space="preserve">  阀门井</w:t>
                      </w:r>
                    </w:p>
                    <w:p w14:paraId="00F79453">
                      <w:pPr>
                        <w:pStyle w:val="2"/>
                        <w:keepNext w:val="0"/>
                        <w:keepLines w:val="0"/>
                        <w:pageBreakBefore w:val="0"/>
                        <w:kinsoku/>
                        <w:wordWrap/>
                        <w:overflowPunct/>
                        <w:topLinePunct w:val="0"/>
                        <w:bidi w:val="0"/>
                        <w:adjustRightInd/>
                        <w:spacing w:line="240" w:lineRule="auto"/>
                        <w:ind w:right="0" w:firstLine="0" w:firstLineChars="0"/>
                        <w:textAlignment w:val="auto"/>
                        <w:rPr>
                          <w:rFonts w:hint="default"/>
                          <w:sz w:val="21"/>
                          <w:szCs w:val="21"/>
                          <w:lang w:val="en-US" w:eastAsia="zh-CN"/>
                        </w:rPr>
                      </w:pPr>
                      <w:r>
                        <w:rPr>
                          <w:rFonts w:hint="eastAsia"/>
                          <w:sz w:val="21"/>
                          <w:szCs w:val="21"/>
                          <w:lang w:val="en-US" w:eastAsia="zh-CN"/>
                        </w:rPr>
                        <w:drawing>
                          <wp:inline distT="0" distB="0" distL="114300" distR="114300">
                            <wp:extent cx="128270" cy="134620"/>
                            <wp:effectExtent l="0" t="0" r="8890" b="2540"/>
                            <wp:docPr id="79" name="图片 79" descr="171757767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1717577670895"/>
                                    <pic:cNvPicPr>
                                      <a:picLocks noChangeAspect="1"/>
                                    </pic:cNvPicPr>
                                  </pic:nvPicPr>
                                  <pic:blipFill>
                                    <a:blip r:embed="rId16"/>
                                    <a:stretch>
                                      <a:fillRect/>
                                    </a:stretch>
                                  </pic:blipFill>
                                  <pic:spPr>
                                    <a:xfrm>
                                      <a:off x="0" y="0"/>
                                      <a:ext cx="128270" cy="134620"/>
                                    </a:xfrm>
                                    <a:prstGeom prst="rect">
                                      <a:avLst/>
                                    </a:prstGeom>
                                  </pic:spPr>
                                </pic:pic>
                              </a:graphicData>
                            </a:graphic>
                          </wp:inline>
                        </w:drawing>
                      </w:r>
                      <w:r>
                        <w:rPr>
                          <w:rFonts w:hint="eastAsia"/>
                          <w:sz w:val="21"/>
                          <w:szCs w:val="21"/>
                          <w:lang w:val="en-US" w:eastAsia="zh-CN"/>
                        </w:rPr>
                        <w:t xml:space="preserve">  排泥井</w:t>
                      </w:r>
                    </w:p>
                  </w:txbxContent>
                </v:textbox>
              </v:shape>
            </w:pict>
          </mc:Fallback>
        </mc:AlternateContent>
      </w:r>
      <w:r>
        <w:rPr>
          <w:sz w:val="32"/>
        </w:rPr>
        <mc:AlternateContent>
          <mc:Choice Requires="wps">
            <w:drawing>
              <wp:anchor distT="0" distB="0" distL="114300" distR="114300" simplePos="0" relativeHeight="251669504" behindDoc="0" locked="0" layoutInCell="1" allowOverlap="1">
                <wp:simplePos x="0" y="0"/>
                <wp:positionH relativeFrom="column">
                  <wp:posOffset>6127115</wp:posOffset>
                </wp:positionH>
                <wp:positionV relativeFrom="paragraph">
                  <wp:posOffset>3943350</wp:posOffset>
                </wp:positionV>
                <wp:extent cx="737870" cy="287655"/>
                <wp:effectExtent l="646430" t="4445" r="17780" b="12700"/>
                <wp:wrapNone/>
                <wp:docPr id="65" name="矩形标注 65"/>
                <wp:cNvGraphicFramePr/>
                <a:graphic xmlns:a="http://schemas.openxmlformats.org/drawingml/2006/main">
                  <a:graphicData uri="http://schemas.microsoft.com/office/word/2010/wordprocessingShape">
                    <wps:wsp>
                      <wps:cNvSpPr/>
                      <wps:spPr>
                        <a:xfrm>
                          <a:off x="0" y="0"/>
                          <a:ext cx="737870" cy="287655"/>
                        </a:xfrm>
                        <a:prstGeom prst="wedgeRectCallout">
                          <a:avLst>
                            <a:gd name="adj1" fmla="val -132444"/>
                            <a:gd name="adj2" fmla="val 17875"/>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6B3FA69">
                            <w:pPr>
                              <w:jc w:val="center"/>
                              <w:rPr>
                                <w:rFonts w:hint="eastAsia" w:eastAsia="宋体"/>
                                <w:lang w:eastAsia="zh-CN"/>
                              </w:rPr>
                            </w:pPr>
                            <w:r>
                              <w:rPr>
                                <w:rFonts w:hint="eastAsia"/>
                                <w:lang w:eastAsia="zh-CN"/>
                              </w:rPr>
                              <w:t>蓄水池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82.45pt;margin-top:310.5pt;height:22.65pt;width:58.1pt;z-index:251669504;v-text-anchor:middle;mso-width-relative:page;mso-height-relative:page;" filled="f" stroked="t" coordsize="21600,21600" o:gfxdata="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BYF8dr2AAAAAwBAAAPAAAAAAAAAAEAIAAAACIAAABkcnMvZG93bnJldi54&#10;bWxQSwECFAAUAAAACACHTuJAIL23/6UCAAA7BQAADgAAAAAAAAABACAAAAAnAQAAZHJzL2Uyb0Rv&#10;Yy54bWxQSwUGAAAAAAYABgBZAQAAPgYAAAAA&#10;" adj="-17808,14661">
                <v:fill on="f" focussize="0,0"/>
                <v:stroke color="#000000 [3213]" miterlimit="8" joinstyle="miter"/>
                <v:imagedata o:title=""/>
                <o:lock v:ext="edit" aspectratio="f"/>
                <v:textbox>
                  <w:txbxContent>
                    <w:p w14:paraId="16B3FA69">
                      <w:pPr>
                        <w:jc w:val="center"/>
                        <w:rPr>
                          <w:rFonts w:hint="eastAsia" w:eastAsia="宋体"/>
                          <w:lang w:eastAsia="zh-CN"/>
                        </w:rPr>
                      </w:pPr>
                      <w:r>
                        <w:rPr>
                          <w:rFonts w:hint="eastAsia"/>
                          <w:lang w:eastAsia="zh-CN"/>
                        </w:rPr>
                        <w:t>蓄水池</w:t>
                      </w:r>
                    </w:p>
                  </w:txbxContent>
                </v:textbox>
              </v:shape>
            </w:pict>
          </mc:Fallback>
        </mc:AlternateContent>
      </w:r>
      <w:r>
        <w:rPr>
          <w:sz w:val="32"/>
        </w:rPr>
        <mc:AlternateContent>
          <mc:Choice Requires="wps">
            <w:drawing>
              <wp:anchor distT="0" distB="0" distL="114300" distR="114300" simplePos="0" relativeHeight="251668480" behindDoc="0" locked="0" layoutInCell="1" allowOverlap="1">
                <wp:simplePos x="0" y="0"/>
                <wp:positionH relativeFrom="column">
                  <wp:posOffset>4935220</wp:posOffset>
                </wp:positionH>
                <wp:positionV relativeFrom="paragraph">
                  <wp:posOffset>1259205</wp:posOffset>
                </wp:positionV>
                <wp:extent cx="737870" cy="262890"/>
                <wp:effectExtent l="240030" t="4445" r="12700" b="372745"/>
                <wp:wrapNone/>
                <wp:docPr id="64" name="矩形标注 64"/>
                <wp:cNvGraphicFramePr/>
                <a:graphic xmlns:a="http://schemas.openxmlformats.org/drawingml/2006/main">
                  <a:graphicData uri="http://schemas.microsoft.com/office/word/2010/wordprocessingShape">
                    <wps:wsp>
                      <wps:cNvSpPr/>
                      <wps:spPr>
                        <a:xfrm>
                          <a:off x="5575300" y="2684780"/>
                          <a:ext cx="737870" cy="262890"/>
                        </a:xfrm>
                        <a:prstGeom prst="wedgeRectCallout">
                          <a:avLst>
                            <a:gd name="adj1" fmla="val -78485"/>
                            <a:gd name="adj2" fmla="val 178743"/>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36DFE79">
                            <w:pPr>
                              <w:jc w:val="center"/>
                              <w:rPr>
                                <w:rFonts w:hint="eastAsia" w:eastAsia="宋体"/>
                                <w:lang w:eastAsia="zh-CN"/>
                              </w:rPr>
                            </w:pPr>
                            <w:r>
                              <w:rPr>
                                <w:rFonts w:hint="eastAsia"/>
                                <w:lang w:eastAsia="zh-CN"/>
                              </w:rPr>
                              <w:t>输水管道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88.6pt;margin-top:99.15pt;height:20.7pt;width:58.1pt;z-index:251668480;v-text-anchor:middle;mso-width-relative:page;mso-height-relative:page;" filled="f" stroked="t" coordsize="21600,21600" o:gfxdata="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BCFGiLdAAAACwEAAA8AAAAAAAAAAQAgAAAA&#10;IgAAAGRycy9kb3ducmV2LnhtbFBLAQIUABQAAAAIAIdO4kBEP8QFsQIAAEcFAAAOAAAAAAAAAAEA&#10;IAAAACwBAABkcnMvZTJvRG9jLnhtbFBLBQYAAAAABgAGAFkBAABPBgAAAAA=&#10;" adj="-6153,49408">
                <v:fill on="f" focussize="0,0"/>
                <v:stroke color="#000000 [3213]" miterlimit="8" joinstyle="miter"/>
                <v:imagedata o:title=""/>
                <o:lock v:ext="edit" aspectratio="f"/>
                <v:textbox>
                  <w:txbxContent>
                    <w:p w14:paraId="336DFE79">
                      <w:pPr>
                        <w:jc w:val="center"/>
                        <w:rPr>
                          <w:rFonts w:hint="eastAsia" w:eastAsia="宋体"/>
                          <w:lang w:eastAsia="zh-CN"/>
                        </w:rPr>
                      </w:pPr>
                      <w:r>
                        <w:rPr>
                          <w:rFonts w:hint="eastAsia"/>
                          <w:lang w:eastAsia="zh-CN"/>
                        </w:rPr>
                        <w:t>输水管道</w:t>
                      </w:r>
                    </w:p>
                  </w:txbxContent>
                </v:textbox>
              </v:shape>
            </w:pict>
          </mc:Fallback>
        </mc:AlternateContent>
      </w:r>
      <w:r>
        <w:rPr>
          <w:rFonts w:hint="eastAsia" w:ascii="Times New Roman" w:hAnsi="Times New Roman" w:eastAsia="宋体" w:cs="Times New Roman"/>
          <w:sz w:val="32"/>
          <w:szCs w:val="32"/>
          <w:lang w:eastAsia="zh-CN"/>
        </w:rPr>
        <w:drawing>
          <wp:anchor distT="0" distB="0" distL="114300" distR="114300" simplePos="0" relativeHeight="251670528" behindDoc="0" locked="0" layoutInCell="1" allowOverlap="1">
            <wp:simplePos x="0" y="0"/>
            <wp:positionH relativeFrom="column">
              <wp:posOffset>8212455</wp:posOffset>
            </wp:positionH>
            <wp:positionV relativeFrom="paragraph">
              <wp:posOffset>0</wp:posOffset>
            </wp:positionV>
            <wp:extent cx="589280" cy="589280"/>
            <wp:effectExtent l="0" t="0" r="5080" b="5080"/>
            <wp:wrapNone/>
            <wp:docPr id="66" name="图片 66" descr="独贵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独贵风玫瑰图"/>
                    <pic:cNvPicPr>
                      <a:picLocks noChangeAspect="1"/>
                    </pic:cNvPicPr>
                  </pic:nvPicPr>
                  <pic:blipFill>
                    <a:blip r:embed="rId17"/>
                    <a:stretch>
                      <a:fillRect/>
                    </a:stretch>
                  </pic:blipFill>
                  <pic:spPr>
                    <a:xfrm>
                      <a:off x="0" y="0"/>
                      <a:ext cx="589280" cy="589280"/>
                    </a:xfrm>
                    <a:prstGeom prst="rect">
                      <a:avLst/>
                    </a:prstGeom>
                  </pic:spPr>
                </pic:pic>
              </a:graphicData>
            </a:graphic>
          </wp:anchor>
        </w:drawing>
      </w:r>
      <w:r>
        <w:rPr>
          <w:rFonts w:hint="eastAsia" w:ascii="Times New Roman" w:hAnsi="Times New Roman" w:eastAsia="宋体" w:cs="Times New Roman"/>
          <w:sz w:val="32"/>
          <w:szCs w:val="32"/>
          <w:lang w:eastAsia="zh-CN"/>
        </w:rPr>
        <w:drawing>
          <wp:inline distT="0" distB="0" distL="114300" distR="114300">
            <wp:extent cx="8783955" cy="4736465"/>
            <wp:effectExtent l="12700" t="12700" r="27305" b="20955"/>
            <wp:docPr id="76" name="图片 76" descr="1717577467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1717577467579"/>
                    <pic:cNvPicPr>
                      <a:picLocks noChangeAspect="1"/>
                    </pic:cNvPicPr>
                  </pic:nvPicPr>
                  <pic:blipFill>
                    <a:blip r:embed="rId18"/>
                    <a:stretch>
                      <a:fillRect/>
                    </a:stretch>
                  </pic:blipFill>
                  <pic:spPr>
                    <a:xfrm>
                      <a:off x="0" y="0"/>
                      <a:ext cx="8783955" cy="4736465"/>
                    </a:xfrm>
                    <a:prstGeom prst="rect">
                      <a:avLst/>
                    </a:prstGeom>
                    <a:ln w="12700" cmpd="sng">
                      <a:solidFill>
                        <a:schemeClr val="tx1"/>
                      </a:solidFill>
                      <a:prstDash val="solid"/>
                    </a:ln>
                  </pic:spPr>
                </pic:pic>
              </a:graphicData>
            </a:graphic>
          </wp:inline>
        </w:drawing>
      </w:r>
    </w:p>
    <w:p w14:paraId="31F14036">
      <w:pPr>
        <w:snapToGrid w:val="0"/>
        <w:spacing w:line="355" w:lineRule="auto"/>
        <w:jc w:val="center"/>
        <w:outlineLvl w:val="0"/>
        <w:rPr>
          <w:sz w:val="24"/>
          <w:szCs w:val="24"/>
        </w:rPr>
        <w:sectPr>
          <w:pgSz w:w="16838" w:h="11906" w:orient="landscape"/>
          <w:pgMar w:top="1800" w:right="1440" w:bottom="1800" w:left="1440" w:header="851" w:footer="1077"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sz w:val="24"/>
          <w:szCs w:val="24"/>
          <w:lang w:eastAsia="zh-CN"/>
        </w:rPr>
        <w:t>附图</w:t>
      </w:r>
      <w:r>
        <w:rPr>
          <w:rFonts w:hint="eastAsia" w:ascii="Times New Roman" w:hAnsi="Times New Roman" w:eastAsia="宋体" w:cs="Times New Roman"/>
          <w:sz w:val="24"/>
          <w:szCs w:val="24"/>
          <w:lang w:val="en-US" w:eastAsia="zh-CN"/>
        </w:rPr>
        <w:t>2平面布置图</w:t>
      </w:r>
    </w:p>
    <w:p w14:paraId="72EFFC66">
      <w:pPr>
        <w:rPr>
          <w:rFonts w:hint="eastAsia" w:eastAsia="宋体"/>
          <w:lang w:eastAsia="zh-CN"/>
        </w:rPr>
      </w:pPr>
      <w:r>
        <w:rPr>
          <w:rFonts w:hint="eastAsia" w:eastAsia="宋体"/>
          <w:lang w:eastAsia="zh-CN"/>
        </w:rPr>
        <w:drawing>
          <wp:anchor distT="0" distB="0" distL="114300" distR="114300" simplePos="0" relativeHeight="251683840" behindDoc="0" locked="0" layoutInCell="1" allowOverlap="1">
            <wp:simplePos x="0" y="0"/>
            <wp:positionH relativeFrom="column">
              <wp:posOffset>8465185</wp:posOffset>
            </wp:positionH>
            <wp:positionV relativeFrom="paragraph">
              <wp:posOffset>15240</wp:posOffset>
            </wp:positionV>
            <wp:extent cx="303530" cy="403860"/>
            <wp:effectExtent l="0" t="0" r="1270" b="7620"/>
            <wp:wrapNone/>
            <wp:docPr id="87" name="图片 87"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指北针"/>
                    <pic:cNvPicPr>
                      <a:picLocks noChangeAspect="1"/>
                    </pic:cNvPicPr>
                  </pic:nvPicPr>
                  <pic:blipFill>
                    <a:blip r:embed="rId19"/>
                    <a:stretch>
                      <a:fillRect/>
                    </a:stretch>
                  </pic:blipFill>
                  <pic:spPr>
                    <a:xfrm>
                      <a:off x="0" y="0"/>
                      <a:ext cx="303530" cy="403860"/>
                    </a:xfrm>
                    <a:prstGeom prst="rect">
                      <a:avLst/>
                    </a:prstGeom>
                  </pic:spPr>
                </pic:pic>
              </a:graphicData>
            </a:graphic>
          </wp:anchor>
        </w:drawing>
      </w:r>
      <w:r>
        <w:rPr>
          <w:sz w:val="32"/>
        </w:rPr>
        <mc:AlternateContent>
          <mc:Choice Requires="wps">
            <w:drawing>
              <wp:anchor distT="0" distB="0" distL="114300" distR="114300" simplePos="0" relativeHeight="251682816" behindDoc="0" locked="0" layoutInCell="1" allowOverlap="1">
                <wp:simplePos x="0" y="0"/>
                <wp:positionH relativeFrom="column">
                  <wp:posOffset>7164070</wp:posOffset>
                </wp:positionH>
                <wp:positionV relativeFrom="paragraph">
                  <wp:posOffset>4751070</wp:posOffset>
                </wp:positionV>
                <wp:extent cx="342900" cy="0"/>
                <wp:effectExtent l="0" t="6350" r="0" b="6350"/>
                <wp:wrapNone/>
                <wp:docPr id="85" name="直接连接符 85"/>
                <wp:cNvGraphicFramePr/>
                <a:graphic xmlns:a="http://schemas.openxmlformats.org/drawingml/2006/main">
                  <a:graphicData uri="http://schemas.microsoft.com/office/word/2010/wordprocessingShape">
                    <wps:wsp>
                      <wps:cNvCnPr/>
                      <wps:spPr>
                        <a:xfrm>
                          <a:off x="7804150" y="5901690"/>
                          <a:ext cx="342900" cy="0"/>
                        </a:xfrm>
                        <a:prstGeom prst="line">
                          <a:avLst/>
                        </a:prstGeom>
                        <a:ln>
                          <a:solidFill>
                            <a:srgbClr val="92D05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64.1pt;margin-top:374.1pt;height:0pt;width:27pt;z-index:251682816;mso-width-relative:page;mso-height-relative:page;" filled="f" stroked="t" coordsize="21600,21600" o:gfxdata="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TryhHWAAAADQEAAA8AAAAAAAAAAQAgAAAAIgAAAGRycy9kb3ducmV2LnhtbFBLAQIU&#10;ABQAAAAIAIdO4kDVzFF79QEAAL8DAAAOAAAAAAAAAAEAIAAAACUBAABkcnMvZTJvRG9jLnhtbFBL&#10;BQYAAAAABgAGAFkBAACMBQAAAAA=&#10;">
                <v:fill on="f" focussize="0,0"/>
                <v:stroke weight="1pt" color="#92D050 [3204]" miterlimit="8" joinstyle="miter"/>
                <v:imagedata o:title=""/>
                <o:lock v:ext="edit" aspectratio="f"/>
              </v:line>
            </w:pict>
          </mc:Fallback>
        </mc:AlternateContent>
      </w:r>
      <w:r>
        <w:rPr>
          <w:sz w:val="32"/>
        </w:rPr>
        <mc:AlternateContent>
          <mc:Choice Requires="wps">
            <w:drawing>
              <wp:anchor distT="0" distB="0" distL="114300" distR="114300" simplePos="0" relativeHeight="251676672" behindDoc="0" locked="0" layoutInCell="1" allowOverlap="1">
                <wp:simplePos x="0" y="0"/>
                <wp:positionH relativeFrom="column">
                  <wp:posOffset>7156450</wp:posOffset>
                </wp:positionH>
                <wp:positionV relativeFrom="paragraph">
                  <wp:posOffset>4540250</wp:posOffset>
                </wp:positionV>
                <wp:extent cx="358140" cy="7620"/>
                <wp:effectExtent l="0" t="0" r="0" b="0"/>
                <wp:wrapNone/>
                <wp:docPr id="74" name="直接连接符 74"/>
                <wp:cNvGraphicFramePr/>
                <a:graphic xmlns:a="http://schemas.openxmlformats.org/drawingml/2006/main">
                  <a:graphicData uri="http://schemas.microsoft.com/office/word/2010/wordprocessingShape">
                    <wps:wsp>
                      <wps:cNvCnPr/>
                      <wps:spPr>
                        <a:xfrm>
                          <a:off x="1075690" y="5652770"/>
                          <a:ext cx="358140" cy="762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63.5pt;margin-top:357.5pt;height:0.6pt;width:28.2pt;z-index:251676672;mso-width-relative:page;mso-height-relative:page;" filled="f" stroked="t" coordsize="21600,21600" o:gfxdata="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YbIiF2wAAAA0BAAAPAAAAAAAAAAEAIAAAACIAAABkcnMvZG93bnJldi54&#10;bWxQSwECFAAUAAAACACHTuJAN4WLsPcBAADCAwAADgAAAAAAAAABACAAAAAqAQAAZHJzL2Uyb0Rv&#10;Yy54bWxQSwUGAAAAAAYABgBZAQAAkwUAAAAA&#10;">
                <v:fill on="f" focussize="0,0"/>
                <v:stroke weight="1pt" color="#FF0000 [3204]" miterlimit="8" joinstyle="miter"/>
                <v:imagedata o:title=""/>
                <o:lock v:ext="edit" aspectratio="f"/>
              </v:line>
            </w:pict>
          </mc:Fallback>
        </mc:AlternateContent>
      </w:r>
      <w:r>
        <w:rPr>
          <w:sz w:val="32"/>
        </w:rPr>
        <mc:AlternateContent>
          <mc:Choice Requires="wps">
            <w:drawing>
              <wp:anchor distT="0" distB="0" distL="114300" distR="114300" simplePos="0" relativeHeight="251675648" behindDoc="0" locked="0" layoutInCell="1" allowOverlap="1">
                <wp:simplePos x="0" y="0"/>
                <wp:positionH relativeFrom="column">
                  <wp:posOffset>7050405</wp:posOffset>
                </wp:positionH>
                <wp:positionV relativeFrom="paragraph">
                  <wp:posOffset>4197985</wp:posOffset>
                </wp:positionV>
                <wp:extent cx="1718310" cy="728345"/>
                <wp:effectExtent l="4445" t="5080" r="14605" b="13335"/>
                <wp:wrapNone/>
                <wp:docPr id="73" name="文本框 73"/>
                <wp:cNvGraphicFramePr/>
                <a:graphic xmlns:a="http://schemas.openxmlformats.org/drawingml/2006/main">
                  <a:graphicData uri="http://schemas.microsoft.com/office/word/2010/wordprocessingShape">
                    <wps:wsp>
                      <wps:cNvSpPr txBox="1"/>
                      <wps:spPr>
                        <a:xfrm>
                          <a:off x="0" y="0"/>
                          <a:ext cx="1718310" cy="728345"/>
                        </a:xfrm>
                        <a:prstGeom prst="rect">
                          <a:avLst/>
                        </a:prstGeom>
                        <a:solidFill>
                          <a:srgbClr val="FFFFFF">
                            <a:alpha val="50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C895DD">
                            <w:pPr>
                              <w:jc w:val="center"/>
                              <w:rPr>
                                <w:rFonts w:hint="eastAsia"/>
                                <w:sz w:val="24"/>
                                <w:szCs w:val="24"/>
                                <w:lang w:eastAsia="zh-CN"/>
                              </w:rPr>
                            </w:pPr>
                            <w:r>
                              <w:rPr>
                                <w:rFonts w:hint="eastAsia"/>
                                <w:sz w:val="24"/>
                                <w:szCs w:val="24"/>
                                <w:lang w:eastAsia="zh-CN"/>
                              </w:rPr>
                              <w:t>图例</w:t>
                            </w:r>
                          </w:p>
                          <w:p w14:paraId="5A57265D">
                            <w:pPr>
                              <w:pStyle w:val="12"/>
                              <w:keepNext w:val="0"/>
                              <w:keepLines w:val="0"/>
                              <w:pageBreakBefore w:val="0"/>
                              <w:kinsoku/>
                              <w:wordWrap/>
                              <w:overflowPunct/>
                              <w:topLinePunct w:val="0"/>
                              <w:bidi w:val="0"/>
                              <w:adjustRightInd/>
                              <w:spacing w:before="0" w:after="0" w:line="240" w:lineRule="auto"/>
                              <w:ind w:right="0" w:firstLine="720" w:firstLineChars="300"/>
                              <w:jc w:val="left"/>
                              <w:textAlignment w:val="auto"/>
                              <w:rPr>
                                <w:rFonts w:hint="eastAsia"/>
                                <w:sz w:val="24"/>
                                <w:szCs w:val="24"/>
                                <w:lang w:eastAsia="zh-CN"/>
                              </w:rPr>
                            </w:pPr>
                            <w:r>
                              <w:rPr>
                                <w:rFonts w:hint="eastAsia"/>
                                <w:sz w:val="24"/>
                                <w:szCs w:val="24"/>
                                <w:lang w:eastAsia="zh-CN"/>
                              </w:rPr>
                              <w:t>本项目位置</w:t>
                            </w:r>
                          </w:p>
                          <w:p w14:paraId="6EA076FE">
                            <w:pPr>
                              <w:keepNext w:val="0"/>
                              <w:keepLines w:val="0"/>
                              <w:pageBreakBefore w:val="0"/>
                              <w:kinsoku/>
                              <w:wordWrap/>
                              <w:overflowPunct/>
                              <w:topLinePunct w:val="0"/>
                              <w:bidi w:val="0"/>
                              <w:adjustRightInd/>
                              <w:spacing w:line="240" w:lineRule="auto"/>
                              <w:ind w:right="0" w:firstLine="720" w:firstLineChars="300"/>
                              <w:textAlignment w:val="auto"/>
                              <w:rPr>
                                <w:rFonts w:hint="eastAsia"/>
                                <w:lang w:eastAsia="zh-CN"/>
                              </w:rPr>
                            </w:pPr>
                            <w:r>
                              <w:rPr>
                                <w:rFonts w:hint="eastAsia"/>
                                <w:sz w:val="24"/>
                                <w:szCs w:val="24"/>
                                <w:lang w:eastAsia="zh-CN"/>
                              </w:rPr>
                              <w:t>保护范围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5.15pt;margin-top:330.55pt;height:57.35pt;width:135.3pt;z-index:251675648;mso-width-relative:page;mso-height-relative:page;" fillcolor="#FFFFFF" filled="t" stroked="t" coordsize="21600,21600" o:gfxdata="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bNZWnaAAAADQEAAA8AAAAAAAAAAQAgAAAAIgAAAGRycy9kb3ducmV2Lnht&#10;bFBLAQIUABQAAAAIAIdO4kAGgQZ0aQIAANoEAAAOAAAAAAAAAAEAIAAAACkBAABkcnMvZTJvRG9j&#10;LnhtbFBLBQYAAAAABgAGAFkBAAAEBgAAAAA=&#10;">
                <v:fill on="t" opacity="32768f" focussize="0,0"/>
                <v:stroke weight="0.5pt" color="#000000 [3204]" joinstyle="round"/>
                <v:imagedata o:title=""/>
                <o:lock v:ext="edit" aspectratio="f"/>
                <v:textbox>
                  <w:txbxContent>
                    <w:p w14:paraId="1BC895DD">
                      <w:pPr>
                        <w:jc w:val="center"/>
                        <w:rPr>
                          <w:rFonts w:hint="eastAsia"/>
                          <w:sz w:val="24"/>
                          <w:szCs w:val="24"/>
                          <w:lang w:eastAsia="zh-CN"/>
                        </w:rPr>
                      </w:pPr>
                      <w:r>
                        <w:rPr>
                          <w:rFonts w:hint="eastAsia"/>
                          <w:sz w:val="24"/>
                          <w:szCs w:val="24"/>
                          <w:lang w:eastAsia="zh-CN"/>
                        </w:rPr>
                        <w:t>图例</w:t>
                      </w:r>
                    </w:p>
                    <w:p w14:paraId="5A57265D">
                      <w:pPr>
                        <w:pStyle w:val="12"/>
                        <w:keepNext w:val="0"/>
                        <w:keepLines w:val="0"/>
                        <w:pageBreakBefore w:val="0"/>
                        <w:kinsoku/>
                        <w:wordWrap/>
                        <w:overflowPunct/>
                        <w:topLinePunct w:val="0"/>
                        <w:bidi w:val="0"/>
                        <w:adjustRightInd/>
                        <w:spacing w:before="0" w:after="0" w:line="240" w:lineRule="auto"/>
                        <w:ind w:right="0" w:firstLine="720" w:firstLineChars="300"/>
                        <w:jc w:val="left"/>
                        <w:textAlignment w:val="auto"/>
                        <w:rPr>
                          <w:rFonts w:hint="eastAsia"/>
                          <w:sz w:val="24"/>
                          <w:szCs w:val="24"/>
                          <w:lang w:eastAsia="zh-CN"/>
                        </w:rPr>
                      </w:pPr>
                      <w:r>
                        <w:rPr>
                          <w:rFonts w:hint="eastAsia"/>
                          <w:sz w:val="24"/>
                          <w:szCs w:val="24"/>
                          <w:lang w:eastAsia="zh-CN"/>
                        </w:rPr>
                        <w:t>本项目位置</w:t>
                      </w:r>
                    </w:p>
                    <w:p w14:paraId="6EA076FE">
                      <w:pPr>
                        <w:keepNext w:val="0"/>
                        <w:keepLines w:val="0"/>
                        <w:pageBreakBefore w:val="0"/>
                        <w:kinsoku/>
                        <w:wordWrap/>
                        <w:overflowPunct/>
                        <w:topLinePunct w:val="0"/>
                        <w:bidi w:val="0"/>
                        <w:adjustRightInd/>
                        <w:spacing w:line="240" w:lineRule="auto"/>
                        <w:ind w:right="0" w:firstLine="720" w:firstLineChars="300"/>
                        <w:textAlignment w:val="auto"/>
                        <w:rPr>
                          <w:rFonts w:hint="eastAsia"/>
                          <w:lang w:eastAsia="zh-CN"/>
                        </w:rPr>
                      </w:pPr>
                      <w:r>
                        <w:rPr>
                          <w:rFonts w:hint="eastAsia"/>
                          <w:sz w:val="24"/>
                          <w:szCs w:val="24"/>
                          <w:lang w:eastAsia="zh-CN"/>
                        </w:rPr>
                        <w:t>保护范围</w:t>
                      </w:r>
                    </w:p>
                  </w:txbxContent>
                </v:textbox>
              </v:shape>
            </w:pict>
          </mc:Fallback>
        </mc:AlternateContent>
      </w:r>
      <w:r>
        <w:rPr>
          <w:sz w:val="32"/>
        </w:rPr>
        <w:drawing>
          <wp:inline distT="0" distB="0" distL="114300" distR="114300">
            <wp:extent cx="8787130" cy="4930140"/>
            <wp:effectExtent l="9525" t="9525" r="12065" b="13335"/>
            <wp:docPr id="72" name="图片 72" descr="171772981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1717729817673"/>
                    <pic:cNvPicPr>
                      <a:picLocks noChangeAspect="1"/>
                    </pic:cNvPicPr>
                  </pic:nvPicPr>
                  <pic:blipFill>
                    <a:blip r:embed="rId20"/>
                    <a:stretch>
                      <a:fillRect/>
                    </a:stretch>
                  </pic:blipFill>
                  <pic:spPr>
                    <a:xfrm>
                      <a:off x="0" y="0"/>
                      <a:ext cx="8787130" cy="4930140"/>
                    </a:xfrm>
                    <a:prstGeom prst="rect">
                      <a:avLst/>
                    </a:prstGeom>
                    <a:ln>
                      <a:solidFill>
                        <a:schemeClr val="tx1"/>
                      </a:solidFill>
                    </a:ln>
                  </pic:spPr>
                </pic:pic>
              </a:graphicData>
            </a:graphic>
          </wp:inline>
        </w:drawing>
      </w:r>
    </w:p>
    <w:p w14:paraId="4891D6EF">
      <w:pPr>
        <w:snapToGrid w:val="0"/>
        <w:spacing w:line="355" w:lineRule="auto"/>
        <w:jc w:val="center"/>
        <w:outlineLvl w:val="0"/>
        <w:rPr>
          <w:rFonts w:hint="eastAsia" w:cs="Times New Roman"/>
          <w:sz w:val="24"/>
          <w:szCs w:val="24"/>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sz w:val="24"/>
          <w:szCs w:val="24"/>
          <w:lang w:eastAsia="zh-CN"/>
        </w:rPr>
        <w:t>附图</w:t>
      </w:r>
      <w:r>
        <w:rPr>
          <w:rFonts w:hint="eastAsia" w:ascii="Times New Roman" w:hAnsi="Times New Roman" w:eastAsia="宋体" w:cs="Times New Roman"/>
          <w:sz w:val="24"/>
          <w:szCs w:val="24"/>
          <w:lang w:val="en-US" w:eastAsia="zh-CN"/>
        </w:rPr>
        <w:t>3</w:t>
      </w:r>
      <w:r>
        <w:rPr>
          <w:rFonts w:hint="eastAsia" w:cs="Times New Roman"/>
          <w:sz w:val="24"/>
          <w:szCs w:val="24"/>
          <w:lang w:val="en-US" w:eastAsia="zh-CN"/>
        </w:rPr>
        <w:t>敏感目标及周边关系图</w:t>
      </w:r>
    </w:p>
    <w:p w14:paraId="171A62FF">
      <w:pPr>
        <w:pStyle w:val="4"/>
        <w:keepNext w:val="0"/>
        <w:keepLines w:val="0"/>
        <w:pageBreakBefore w:val="0"/>
        <w:kinsoku/>
        <w:wordWrap/>
        <w:overflowPunct/>
        <w:topLinePunct w:val="0"/>
        <w:autoSpaceDE/>
        <w:autoSpaceDN/>
        <w:bidi w:val="0"/>
        <w:adjustRightInd/>
        <w:spacing w:after="0"/>
        <w:ind w:left="0" w:leftChars="0" w:firstLine="0" w:firstLineChars="0"/>
        <w:textAlignment w:val="auto"/>
        <w:rPr>
          <w:rFonts w:hint="eastAsia" w:eastAsia="宋体"/>
          <w:lang w:eastAsia="zh-CN"/>
        </w:rPr>
      </w:pPr>
      <w:r>
        <w:rPr>
          <w:sz w:val="21"/>
        </w:rPr>
        <mc:AlternateContent>
          <mc:Choice Requires="wps">
            <w:drawing>
              <wp:anchor distT="0" distB="0" distL="114300" distR="114300" simplePos="0" relativeHeight="251673600" behindDoc="0" locked="0" layoutInCell="1" allowOverlap="1">
                <wp:simplePos x="0" y="0"/>
                <wp:positionH relativeFrom="column">
                  <wp:posOffset>115570</wp:posOffset>
                </wp:positionH>
                <wp:positionV relativeFrom="paragraph">
                  <wp:posOffset>4682490</wp:posOffset>
                </wp:positionV>
                <wp:extent cx="311785" cy="0"/>
                <wp:effectExtent l="0" t="9525" r="8255" b="13335"/>
                <wp:wrapNone/>
                <wp:docPr id="71" name="直接连接符 71"/>
                <wp:cNvGraphicFramePr/>
                <a:graphic xmlns:a="http://schemas.openxmlformats.org/drawingml/2006/main">
                  <a:graphicData uri="http://schemas.microsoft.com/office/word/2010/wordprocessingShape">
                    <wps:wsp>
                      <wps:cNvCnPr/>
                      <wps:spPr>
                        <a:xfrm>
                          <a:off x="1090930" y="5850890"/>
                          <a:ext cx="311785" cy="0"/>
                        </a:xfrm>
                        <a:prstGeom prst="line">
                          <a:avLst/>
                        </a:prstGeom>
                        <a:ln w="19050">
                          <a:solidFill>
                            <a:srgbClr val="92D05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1pt;margin-top:368.7pt;height:0pt;width:24.55pt;z-index:251673600;mso-width-relative:page;mso-height-relative:page;" filled="f" stroked="t" coordsize="21600,21600" o:gfxdata="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3M7g71wAAAAkBAAAPAAAAAAAAAAEAIAAAACIAAABkcnMvZG93bnJldi54bWxQSwEC&#10;FAAUAAAACACHTuJAnEe8gPUBAAC/AwAADgAAAAAAAAABACAAAAAmAQAAZHJzL2Uyb0RvYy54bWxQ&#10;SwUGAAAAAAYABgBZAQAAjQUAAAAA&#10;">
                <v:fill on="f" focussize="0,0"/>
                <v:stroke weight="1.5pt" color="#92D050 [3204]" miterlimit="8" joinstyle="miter"/>
                <v:imagedata o:title=""/>
                <o:lock v:ext="edit" aspectratio="f"/>
              </v:lin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90170</wp:posOffset>
                </wp:positionH>
                <wp:positionV relativeFrom="paragraph">
                  <wp:posOffset>4404360</wp:posOffset>
                </wp:positionV>
                <wp:extent cx="354330" cy="635"/>
                <wp:effectExtent l="0" t="9525" r="11430" b="12700"/>
                <wp:wrapNone/>
                <wp:docPr id="70" name="直接连接符 70"/>
                <wp:cNvGraphicFramePr/>
                <a:graphic xmlns:a="http://schemas.openxmlformats.org/drawingml/2006/main">
                  <a:graphicData uri="http://schemas.microsoft.com/office/word/2010/wordprocessingShape">
                    <wps:wsp>
                      <wps:cNvCnPr/>
                      <wps:spPr>
                        <a:xfrm flipV="1">
                          <a:off x="1064895" y="5565140"/>
                          <a:ext cx="354330" cy="635"/>
                        </a:xfrm>
                        <a:prstGeom prst="line">
                          <a:avLst/>
                        </a:prstGeom>
                        <a:ln w="1905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7.1pt;margin-top:346.8pt;height:0.05pt;width:27.9pt;z-index:251672576;mso-width-relative:page;mso-height-relative:page;" filled="f" stroked="t" coordsize="21600,21600" o:gfxdata="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27hR2AAAAAkBAAAPAAAAAAAAAAEAIAAAACIAAABkcnMvZG93bnJl&#10;di54bWxQSwECFAAUAAAACACHTuJAwJE9qv0BAADLAwAADgAAAAAAAAABACAAAAAnAQAAZHJzL2Uy&#10;b0RvYy54bWxQSwUGAAAAAAYABgBZAQAAlgUAAAAA&#10;">
                <v:fill on="f" focussize="0,0"/>
                <v:stroke weight="1.5pt" color="#FF0000 [3204]" miterlimit="8" joinstyle="miter"/>
                <v:imagedata o:title=""/>
                <o:lock v:ext="edit" aspectratio="f"/>
              </v:lin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29210</wp:posOffset>
                </wp:positionH>
                <wp:positionV relativeFrom="paragraph">
                  <wp:posOffset>4041140</wp:posOffset>
                </wp:positionV>
                <wp:extent cx="1758315" cy="865505"/>
                <wp:effectExtent l="4445" t="4445" r="5080" b="13970"/>
                <wp:wrapNone/>
                <wp:docPr id="69" name="文本框 69"/>
                <wp:cNvGraphicFramePr/>
                <a:graphic xmlns:a="http://schemas.openxmlformats.org/drawingml/2006/main">
                  <a:graphicData uri="http://schemas.microsoft.com/office/word/2010/wordprocessingShape">
                    <wps:wsp>
                      <wps:cNvSpPr txBox="1"/>
                      <wps:spPr>
                        <a:xfrm>
                          <a:off x="943610" y="5184140"/>
                          <a:ext cx="1758315" cy="865505"/>
                        </a:xfrm>
                        <a:prstGeom prst="rect">
                          <a:avLst/>
                        </a:prstGeom>
                        <a:solidFill>
                          <a:srgbClr val="FFFFFF">
                            <a:alpha val="50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C9BF6AB">
                            <w:pPr>
                              <w:jc w:val="center"/>
                              <w:rPr>
                                <w:rFonts w:hint="eastAsia"/>
                                <w:sz w:val="21"/>
                                <w:szCs w:val="21"/>
                                <w:lang w:eastAsia="zh-CN"/>
                              </w:rPr>
                            </w:pPr>
                            <w:r>
                              <w:rPr>
                                <w:rFonts w:hint="eastAsia"/>
                                <w:sz w:val="21"/>
                                <w:szCs w:val="21"/>
                                <w:lang w:eastAsia="zh-CN"/>
                              </w:rPr>
                              <w:t>图例</w:t>
                            </w:r>
                          </w:p>
                          <w:p w14:paraId="69D33307">
                            <w:pPr>
                              <w:pStyle w:val="12"/>
                              <w:ind w:firstLine="630" w:firstLineChars="300"/>
                              <w:rPr>
                                <w:rFonts w:hint="eastAsia"/>
                                <w:sz w:val="21"/>
                                <w:szCs w:val="21"/>
                                <w:lang w:eastAsia="zh-CN"/>
                              </w:rPr>
                            </w:pPr>
                            <w:r>
                              <w:rPr>
                                <w:rFonts w:hint="eastAsia"/>
                                <w:sz w:val="21"/>
                                <w:szCs w:val="21"/>
                                <w:lang w:eastAsia="zh-CN"/>
                              </w:rPr>
                              <w:t>本项目位置</w:t>
                            </w:r>
                          </w:p>
                          <w:p w14:paraId="027FDB8E">
                            <w:pPr>
                              <w:ind w:firstLine="630" w:firstLineChars="300"/>
                              <w:rPr>
                                <w:rFonts w:hint="eastAsia"/>
                                <w:sz w:val="21"/>
                                <w:szCs w:val="21"/>
                                <w:lang w:eastAsia="zh-CN"/>
                              </w:rPr>
                            </w:pPr>
                            <w:r>
                              <w:rPr>
                                <w:rFonts w:hint="eastAsia"/>
                                <w:sz w:val="21"/>
                                <w:szCs w:val="21"/>
                                <w:lang w:eastAsia="zh-CN"/>
                              </w:rPr>
                              <w:t>朔方新能源大基地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318.2pt;height:68.15pt;width:138.45pt;z-index:251671552;mso-width-relative:page;mso-height-relative:page;" fillcolor="#FFFFFF" filled="t" stroked="t" coordsize="21600,21600" o:gfxdata="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muRp22AAAAAkBAAAPAAAAAAAAAAEAIAAAACIAAABkcnMv&#10;ZG93bnJldi54bWxQSwECFAAUAAAACACHTuJAD6qxVnUCAADlBAAADgAAAAAAAAABACAAAAAnAQAA&#10;ZHJzL2Uyb0RvYy54bWxQSwUGAAAAAAYABgBZAQAADgYAAAAA&#10;">
                <v:fill on="t" opacity="32768f" focussize="0,0"/>
                <v:stroke weight="0.5pt" color="#000000 [3204]" joinstyle="round"/>
                <v:imagedata o:title=""/>
                <o:lock v:ext="edit" aspectratio="f"/>
                <v:textbox>
                  <w:txbxContent>
                    <w:p w14:paraId="4C9BF6AB">
                      <w:pPr>
                        <w:jc w:val="center"/>
                        <w:rPr>
                          <w:rFonts w:hint="eastAsia"/>
                          <w:sz w:val="21"/>
                          <w:szCs w:val="21"/>
                          <w:lang w:eastAsia="zh-CN"/>
                        </w:rPr>
                      </w:pPr>
                      <w:r>
                        <w:rPr>
                          <w:rFonts w:hint="eastAsia"/>
                          <w:sz w:val="21"/>
                          <w:szCs w:val="21"/>
                          <w:lang w:eastAsia="zh-CN"/>
                        </w:rPr>
                        <w:t>图例</w:t>
                      </w:r>
                    </w:p>
                    <w:p w14:paraId="69D33307">
                      <w:pPr>
                        <w:pStyle w:val="12"/>
                        <w:ind w:firstLine="630" w:firstLineChars="300"/>
                        <w:rPr>
                          <w:rFonts w:hint="eastAsia"/>
                          <w:sz w:val="21"/>
                          <w:szCs w:val="21"/>
                          <w:lang w:eastAsia="zh-CN"/>
                        </w:rPr>
                      </w:pPr>
                      <w:r>
                        <w:rPr>
                          <w:rFonts w:hint="eastAsia"/>
                          <w:sz w:val="21"/>
                          <w:szCs w:val="21"/>
                          <w:lang w:eastAsia="zh-CN"/>
                        </w:rPr>
                        <w:t>本项目位置</w:t>
                      </w:r>
                    </w:p>
                    <w:p w14:paraId="027FDB8E">
                      <w:pPr>
                        <w:ind w:firstLine="630" w:firstLineChars="300"/>
                        <w:rPr>
                          <w:rFonts w:hint="eastAsia"/>
                          <w:sz w:val="21"/>
                          <w:szCs w:val="21"/>
                          <w:lang w:eastAsia="zh-CN"/>
                        </w:rPr>
                      </w:pPr>
                      <w:r>
                        <w:rPr>
                          <w:rFonts w:hint="eastAsia"/>
                          <w:sz w:val="21"/>
                          <w:szCs w:val="21"/>
                          <w:lang w:eastAsia="zh-CN"/>
                        </w:rPr>
                        <w:t>朔方新能源大基地</w:t>
                      </w:r>
                    </w:p>
                  </w:txbxContent>
                </v:textbox>
              </v:shape>
            </w:pict>
          </mc:Fallback>
        </mc:AlternateContent>
      </w:r>
      <w:r>
        <w:rPr>
          <w:rFonts w:hint="eastAsia" w:eastAsia="宋体"/>
          <w:lang w:eastAsia="zh-CN"/>
        </w:rPr>
        <w:drawing>
          <wp:inline distT="0" distB="0" distL="114300" distR="114300">
            <wp:extent cx="8427085" cy="4950460"/>
            <wp:effectExtent l="0" t="0" r="12065" b="2540"/>
            <wp:docPr id="68" name="图片 68" descr="171542198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5421982410"/>
                    <pic:cNvPicPr>
                      <a:picLocks noChangeAspect="1"/>
                    </pic:cNvPicPr>
                  </pic:nvPicPr>
                  <pic:blipFill>
                    <a:blip r:embed="rId21"/>
                    <a:stretch>
                      <a:fillRect/>
                    </a:stretch>
                  </pic:blipFill>
                  <pic:spPr>
                    <a:xfrm>
                      <a:off x="0" y="0"/>
                      <a:ext cx="8427085" cy="4950460"/>
                    </a:xfrm>
                    <a:prstGeom prst="rect">
                      <a:avLst/>
                    </a:prstGeom>
                  </pic:spPr>
                </pic:pic>
              </a:graphicData>
            </a:graphic>
          </wp:inline>
        </w:drawing>
      </w:r>
    </w:p>
    <w:p w14:paraId="593D6DFF">
      <w:pPr>
        <w:jc w:val="center"/>
        <w:rPr>
          <w:rFonts w:hint="eastAsia"/>
          <w:sz w:val="24"/>
          <w:szCs w:val="24"/>
          <w:highlight w:val="green"/>
          <w:lang w:val="en-US" w:eastAsia="zh-CN"/>
        </w:rPr>
      </w:pPr>
      <w:r>
        <w:rPr>
          <w:rFonts w:hint="eastAsia" w:ascii="Times New Roman" w:hAnsi="Times New Roman" w:eastAsia="宋体" w:cs="Times New Roman"/>
          <w:sz w:val="24"/>
          <w:szCs w:val="24"/>
          <w:lang w:eastAsia="zh-CN"/>
        </w:rPr>
        <w:t>附图</w:t>
      </w:r>
      <w:r>
        <w:rPr>
          <w:rFonts w:hint="eastAsia" w:ascii="Times New Roman" w:hAnsi="Times New Roman" w:eastAsia="宋体" w:cs="Times New Roman"/>
          <w:sz w:val="24"/>
          <w:szCs w:val="24"/>
          <w:lang w:val="en-US" w:eastAsia="zh-CN"/>
        </w:rPr>
        <w:t>4</w:t>
      </w:r>
      <w:r>
        <w:rPr>
          <w:rFonts w:hint="eastAsia" w:cs="Times New Roman"/>
          <w:sz w:val="24"/>
          <w:szCs w:val="24"/>
          <w:lang w:val="en-US" w:eastAsia="zh-CN"/>
        </w:rPr>
        <w:t>本项目与朔方新能源大基地位置关系图</w:t>
      </w:r>
    </w:p>
    <w:p w14:paraId="666171A7">
      <w:pPr>
        <w:pStyle w:val="18"/>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both"/>
        <w:textAlignment w:val="auto"/>
        <w:rPr>
          <w:rFonts w:hint="default"/>
          <w:sz w:val="21"/>
          <w:szCs w:val="21"/>
          <w:highlight w:val="none"/>
          <w:lang w:val="en-US" w:eastAsia="zh-CN"/>
        </w:rPr>
      </w:pPr>
      <w:r>
        <w:rPr>
          <w:sz w:val="32"/>
        </w:rPr>
        <mc:AlternateContent>
          <mc:Choice Requires="wps">
            <w:drawing>
              <wp:anchor distT="0" distB="0" distL="114300" distR="114300" simplePos="0" relativeHeight="251681792" behindDoc="0" locked="0" layoutInCell="1" allowOverlap="1">
                <wp:simplePos x="0" y="0"/>
                <wp:positionH relativeFrom="column">
                  <wp:posOffset>763270</wp:posOffset>
                </wp:positionH>
                <wp:positionV relativeFrom="paragraph">
                  <wp:posOffset>1970405</wp:posOffset>
                </wp:positionV>
                <wp:extent cx="2773680" cy="1470660"/>
                <wp:effectExtent l="6350" t="6350" r="969010" b="16510"/>
                <wp:wrapNone/>
                <wp:docPr id="84" name="线形标注 2 84"/>
                <wp:cNvGraphicFramePr/>
                <a:graphic xmlns:a="http://schemas.openxmlformats.org/drawingml/2006/main">
                  <a:graphicData uri="http://schemas.microsoft.com/office/word/2010/wordprocessingShape">
                    <wps:wsp>
                      <wps:cNvSpPr/>
                      <wps:spPr>
                        <a:xfrm>
                          <a:off x="2942590" y="2990850"/>
                          <a:ext cx="2773680" cy="1470660"/>
                        </a:xfrm>
                        <a:prstGeom prst="borderCallout2">
                          <a:avLst>
                            <a:gd name="adj1" fmla="val 54201"/>
                            <a:gd name="adj2" fmla="val 99748"/>
                            <a:gd name="adj3" fmla="val 55209"/>
                            <a:gd name="adj4" fmla="val 109005"/>
                            <a:gd name="adj5" fmla="val 100518"/>
                            <a:gd name="adj6" fmla="val 134569"/>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198E3282">
                            <w:pPr>
                              <w:keepNext w:val="0"/>
                              <w:keepLines w:val="0"/>
                              <w:pageBreakBefore w:val="0"/>
                              <w:widowControl w:val="0"/>
                              <w:kinsoku/>
                              <w:wordWrap/>
                              <w:overflowPunct/>
                              <w:topLinePunct w:val="0"/>
                              <w:bidi w:val="0"/>
                              <w:adjustRightInd/>
                              <w:snapToGrid/>
                              <w:textAlignment w:val="auto"/>
                              <w:rPr>
                                <w:sz w:val="18"/>
                                <w:szCs w:val="18"/>
                              </w:rPr>
                            </w:pPr>
                            <w:r>
                              <w:rPr>
                                <w:rFonts w:hint="default" w:ascii="Times New Roman" w:hAnsi="Times New Roman" w:eastAsia="宋体" w:cs="Times New Roman"/>
                                <w:snapToGrid/>
                                <w:color w:val="auto"/>
                                <w:kern w:val="2"/>
                                <w:sz w:val="18"/>
                                <w:szCs w:val="18"/>
                                <w:highlight w:val="none"/>
                                <w:lang w:val="en-US" w:eastAsia="zh-CN" w:bidi="ar-SA"/>
                              </w:rPr>
                              <w:t>对</w:t>
                            </w:r>
                            <w:r>
                              <w:rPr>
                                <w:rFonts w:hint="eastAsia" w:ascii="Times New Roman" w:hAnsi="Times New Roman" w:eastAsia="宋体" w:cs="Times New Roman"/>
                                <w:snapToGrid/>
                                <w:color w:val="auto"/>
                                <w:kern w:val="2"/>
                                <w:sz w:val="18"/>
                                <w:szCs w:val="18"/>
                                <w:highlight w:val="none"/>
                                <w:lang w:val="en-US" w:eastAsia="zh-CN" w:bidi="ar-SA"/>
                              </w:rPr>
                              <w:t>蓄水池</w:t>
                            </w:r>
                            <w:r>
                              <w:rPr>
                                <w:rFonts w:hint="default" w:ascii="Times New Roman" w:hAnsi="Times New Roman" w:eastAsia="宋体" w:cs="Times New Roman"/>
                                <w:snapToGrid/>
                                <w:color w:val="auto"/>
                                <w:kern w:val="2"/>
                                <w:sz w:val="18"/>
                                <w:szCs w:val="18"/>
                                <w:highlight w:val="none"/>
                                <w:lang w:val="en-US" w:eastAsia="zh-CN" w:bidi="ar-SA"/>
                              </w:rPr>
                              <w:t>坝顶道路一侧进行绿化，绿化面积共计23</w:t>
                            </w:r>
                            <w:r>
                              <w:rPr>
                                <w:rFonts w:hint="eastAsia" w:ascii="Times New Roman" w:hAnsi="Times New Roman" w:cs="Times New Roman"/>
                                <w:snapToGrid/>
                                <w:color w:val="auto"/>
                                <w:kern w:val="2"/>
                                <w:sz w:val="18"/>
                                <w:szCs w:val="18"/>
                                <w:highlight w:val="none"/>
                                <w:lang w:val="en-US" w:eastAsia="zh-CN" w:bidi="ar-SA"/>
                              </w:rPr>
                              <w:t>00</w:t>
                            </w:r>
                            <w:r>
                              <w:rPr>
                                <w:rFonts w:hint="default" w:ascii="Times New Roman" w:hAnsi="Times New Roman" w:eastAsia="宋体" w:cs="Times New Roman"/>
                                <w:snapToGrid/>
                                <w:color w:val="auto"/>
                                <w:kern w:val="2"/>
                                <w:sz w:val="18"/>
                                <w:szCs w:val="18"/>
                                <w:highlight w:val="none"/>
                                <w:lang w:val="en-US" w:eastAsia="zh-CN" w:bidi="ar-SA"/>
                              </w:rPr>
                              <w:t>m</w:t>
                            </w:r>
                            <w:r>
                              <w:rPr>
                                <w:rFonts w:hint="default" w:ascii="Times New Roman" w:hAnsi="Times New Roman" w:eastAsia="宋体" w:cs="Times New Roman"/>
                                <w:snapToGrid/>
                                <w:color w:val="auto"/>
                                <w:kern w:val="2"/>
                                <w:sz w:val="18"/>
                                <w:szCs w:val="18"/>
                                <w:highlight w:val="none"/>
                                <w:vertAlign w:val="superscript"/>
                                <w:lang w:val="en-US" w:eastAsia="zh-CN" w:bidi="ar-SA"/>
                              </w:rPr>
                              <w:t>2</w:t>
                            </w:r>
                            <w:r>
                              <w:rPr>
                                <w:rFonts w:hint="default" w:ascii="Times New Roman" w:hAnsi="Times New Roman" w:eastAsia="宋体" w:cs="Times New Roman"/>
                                <w:snapToGrid/>
                                <w:color w:val="auto"/>
                                <w:kern w:val="2"/>
                                <w:sz w:val="18"/>
                                <w:szCs w:val="18"/>
                                <w:highlight w:val="none"/>
                                <w:lang w:val="en-US" w:eastAsia="zh-CN" w:bidi="ar-SA"/>
                              </w:rPr>
                              <w:t>，绿化树种选择旱柳。蓄水池外边坡防护采用1m×1m沙柳枝条扦插成网格防护，形成沙柳沙障内撒播草籽</w:t>
                            </w:r>
                            <w:r>
                              <w:rPr>
                                <w:rFonts w:hint="eastAsia" w:ascii="Times New Roman" w:hAnsi="Times New Roman" w:cs="Times New Roman"/>
                                <w:snapToGrid/>
                                <w:color w:val="auto"/>
                                <w:kern w:val="2"/>
                                <w:sz w:val="18"/>
                                <w:szCs w:val="18"/>
                                <w:highlight w:val="none"/>
                                <w:lang w:val="en-US" w:eastAsia="zh-CN" w:bidi="ar-SA"/>
                              </w:rPr>
                              <w:t>，草籽可选择沙打旺、羊柴</w:t>
                            </w:r>
                            <w:r>
                              <w:rPr>
                                <w:rFonts w:hint="default" w:ascii="Times New Roman" w:hAnsi="Times New Roman" w:eastAsia="宋体" w:cs="Times New Roman"/>
                                <w:snapToGrid/>
                                <w:color w:val="auto"/>
                                <w:kern w:val="2"/>
                                <w:sz w:val="18"/>
                                <w:szCs w:val="18"/>
                                <w:highlight w:val="none"/>
                                <w:lang w:val="en-US" w:eastAsia="zh-CN" w:bidi="ar-SA"/>
                              </w:rPr>
                              <w:t>。蓄水池外周边50米设置沙障防护，沙障采用网格式沙障，沙柳枝条菱形铺设，规格为2m×2m，交叉处采用草绳及扦插沙柳固定。</w:t>
                            </w:r>
                          </w:p>
                          <w:p w14:paraId="20AD81EF">
                            <w:pPr>
                              <w:jc w:val="center"/>
                              <w:rPr>
                                <w:sz w:val="18"/>
                                <w:szCs w:val="18"/>
                              </w:rPr>
                            </w:pPr>
                          </w:p>
                          <w:p w14:paraId="3E29CC97">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60" w:firstLineChars="200"/>
                              <w:jc w:val="both"/>
                              <w:textAlignment w:val="auto"/>
                              <w:outlineLvl w:val="9"/>
                              <w:rPr>
                                <w:rFonts w:hint="default" w:ascii="Times New Roman" w:hAnsi="Times New Roman" w:eastAsia="宋体" w:cs="Times New Roman"/>
                                <w:snapToGrid/>
                                <w:color w:val="auto"/>
                                <w:kern w:val="2"/>
                                <w:sz w:val="18"/>
                                <w:szCs w:val="18"/>
                                <w:highlight w:val="none"/>
                                <w:lang w:val="en-US" w:eastAsia="zh-CN" w:bidi="ar-SA"/>
                              </w:rPr>
                            </w:pPr>
                          </w:p>
                          <w:p w14:paraId="57F5F5D4">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60" w:firstLineChars="200"/>
                              <w:jc w:val="both"/>
                              <w:textAlignment w:val="auto"/>
                              <w:outlineLvl w:val="9"/>
                              <w:rPr>
                                <w:rFonts w:hint="default" w:ascii="Times New Roman" w:hAnsi="Times New Roman" w:eastAsia="宋体" w:cs="Times New Roman"/>
                                <w:snapToGrid/>
                                <w:color w:val="auto"/>
                                <w:kern w:val="2"/>
                                <w:sz w:val="18"/>
                                <w:szCs w:val="18"/>
                                <w:highlight w:val="none"/>
                                <w:lang w:val="en-US" w:eastAsia="zh-CN" w:bidi="ar-SA"/>
                              </w:rPr>
                            </w:pPr>
                          </w:p>
                          <w:p w14:paraId="2E87337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8" type="#_x0000_t48" style="position:absolute;left:0pt;margin-left:60.1pt;margin-top:155.15pt;height:115.8pt;width:218.4pt;z-index:251681792;v-text-anchor:middle;mso-width-relative:page;mso-height-relative:page;" filled="f" stroked="t" coordsize="21600,21600" o:gfxdata="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NCCYDzVAAAACwEAAA8AAAAAAAAAAQAgAAAAIgAAAGRy&#10;cy9kb3ducmV2LnhtbFBLAQIUABQAAAAIAIdO4kB59vT77AIAAP0FAAAOAAAAAAAAAAEAIAAAACQB&#10;AABkcnMvZTJvRG9jLnhtbFBLBQYAAAAABgAGAFkBAACCBgAAAAA=&#10;" adj="29067,21712,23545,11925,21546,11707">
                <v:fill on="f" focussize="0,0"/>
                <v:stroke weight="1pt" color="#2E75B6 [2404]" miterlimit="8" joinstyle="miter"/>
                <v:imagedata o:title=""/>
                <o:lock v:ext="edit" aspectratio="f"/>
                <v:textbox>
                  <w:txbxContent>
                    <w:p w14:paraId="198E3282">
                      <w:pPr>
                        <w:keepNext w:val="0"/>
                        <w:keepLines w:val="0"/>
                        <w:pageBreakBefore w:val="0"/>
                        <w:widowControl w:val="0"/>
                        <w:kinsoku/>
                        <w:wordWrap/>
                        <w:overflowPunct/>
                        <w:topLinePunct w:val="0"/>
                        <w:bidi w:val="0"/>
                        <w:adjustRightInd/>
                        <w:snapToGrid/>
                        <w:textAlignment w:val="auto"/>
                        <w:rPr>
                          <w:sz w:val="18"/>
                          <w:szCs w:val="18"/>
                        </w:rPr>
                      </w:pPr>
                      <w:r>
                        <w:rPr>
                          <w:rFonts w:hint="default" w:ascii="Times New Roman" w:hAnsi="Times New Roman" w:eastAsia="宋体" w:cs="Times New Roman"/>
                          <w:snapToGrid/>
                          <w:color w:val="auto"/>
                          <w:kern w:val="2"/>
                          <w:sz w:val="18"/>
                          <w:szCs w:val="18"/>
                          <w:highlight w:val="none"/>
                          <w:lang w:val="en-US" w:eastAsia="zh-CN" w:bidi="ar-SA"/>
                        </w:rPr>
                        <w:t>对</w:t>
                      </w:r>
                      <w:r>
                        <w:rPr>
                          <w:rFonts w:hint="eastAsia" w:ascii="Times New Roman" w:hAnsi="Times New Roman" w:eastAsia="宋体" w:cs="Times New Roman"/>
                          <w:snapToGrid/>
                          <w:color w:val="auto"/>
                          <w:kern w:val="2"/>
                          <w:sz w:val="18"/>
                          <w:szCs w:val="18"/>
                          <w:highlight w:val="none"/>
                          <w:lang w:val="en-US" w:eastAsia="zh-CN" w:bidi="ar-SA"/>
                        </w:rPr>
                        <w:t>蓄水池</w:t>
                      </w:r>
                      <w:r>
                        <w:rPr>
                          <w:rFonts w:hint="default" w:ascii="Times New Roman" w:hAnsi="Times New Roman" w:eastAsia="宋体" w:cs="Times New Roman"/>
                          <w:snapToGrid/>
                          <w:color w:val="auto"/>
                          <w:kern w:val="2"/>
                          <w:sz w:val="18"/>
                          <w:szCs w:val="18"/>
                          <w:highlight w:val="none"/>
                          <w:lang w:val="en-US" w:eastAsia="zh-CN" w:bidi="ar-SA"/>
                        </w:rPr>
                        <w:t>坝顶道路一侧进行绿化，绿化面积共计23</w:t>
                      </w:r>
                      <w:r>
                        <w:rPr>
                          <w:rFonts w:hint="eastAsia" w:ascii="Times New Roman" w:hAnsi="Times New Roman" w:cs="Times New Roman"/>
                          <w:snapToGrid/>
                          <w:color w:val="auto"/>
                          <w:kern w:val="2"/>
                          <w:sz w:val="18"/>
                          <w:szCs w:val="18"/>
                          <w:highlight w:val="none"/>
                          <w:lang w:val="en-US" w:eastAsia="zh-CN" w:bidi="ar-SA"/>
                        </w:rPr>
                        <w:t>00</w:t>
                      </w:r>
                      <w:r>
                        <w:rPr>
                          <w:rFonts w:hint="default" w:ascii="Times New Roman" w:hAnsi="Times New Roman" w:eastAsia="宋体" w:cs="Times New Roman"/>
                          <w:snapToGrid/>
                          <w:color w:val="auto"/>
                          <w:kern w:val="2"/>
                          <w:sz w:val="18"/>
                          <w:szCs w:val="18"/>
                          <w:highlight w:val="none"/>
                          <w:lang w:val="en-US" w:eastAsia="zh-CN" w:bidi="ar-SA"/>
                        </w:rPr>
                        <w:t>m</w:t>
                      </w:r>
                      <w:r>
                        <w:rPr>
                          <w:rFonts w:hint="default" w:ascii="Times New Roman" w:hAnsi="Times New Roman" w:eastAsia="宋体" w:cs="Times New Roman"/>
                          <w:snapToGrid/>
                          <w:color w:val="auto"/>
                          <w:kern w:val="2"/>
                          <w:sz w:val="18"/>
                          <w:szCs w:val="18"/>
                          <w:highlight w:val="none"/>
                          <w:vertAlign w:val="superscript"/>
                          <w:lang w:val="en-US" w:eastAsia="zh-CN" w:bidi="ar-SA"/>
                        </w:rPr>
                        <w:t>2</w:t>
                      </w:r>
                      <w:r>
                        <w:rPr>
                          <w:rFonts w:hint="default" w:ascii="Times New Roman" w:hAnsi="Times New Roman" w:eastAsia="宋体" w:cs="Times New Roman"/>
                          <w:snapToGrid/>
                          <w:color w:val="auto"/>
                          <w:kern w:val="2"/>
                          <w:sz w:val="18"/>
                          <w:szCs w:val="18"/>
                          <w:highlight w:val="none"/>
                          <w:lang w:val="en-US" w:eastAsia="zh-CN" w:bidi="ar-SA"/>
                        </w:rPr>
                        <w:t>，绿化树种选择旱柳。蓄水池外边坡防护采用1m×1m沙柳枝条扦插成网格防护，形成沙柳沙障内撒播草籽</w:t>
                      </w:r>
                      <w:r>
                        <w:rPr>
                          <w:rFonts w:hint="eastAsia" w:ascii="Times New Roman" w:hAnsi="Times New Roman" w:cs="Times New Roman"/>
                          <w:snapToGrid/>
                          <w:color w:val="auto"/>
                          <w:kern w:val="2"/>
                          <w:sz w:val="18"/>
                          <w:szCs w:val="18"/>
                          <w:highlight w:val="none"/>
                          <w:lang w:val="en-US" w:eastAsia="zh-CN" w:bidi="ar-SA"/>
                        </w:rPr>
                        <w:t>，草籽可选择沙打旺、羊柴</w:t>
                      </w:r>
                      <w:r>
                        <w:rPr>
                          <w:rFonts w:hint="default" w:ascii="Times New Roman" w:hAnsi="Times New Roman" w:eastAsia="宋体" w:cs="Times New Roman"/>
                          <w:snapToGrid/>
                          <w:color w:val="auto"/>
                          <w:kern w:val="2"/>
                          <w:sz w:val="18"/>
                          <w:szCs w:val="18"/>
                          <w:highlight w:val="none"/>
                          <w:lang w:val="en-US" w:eastAsia="zh-CN" w:bidi="ar-SA"/>
                        </w:rPr>
                        <w:t>。蓄水池外周边50米设置沙障防护，沙障采用网格式沙障，沙柳枝条菱形铺设，规格为2m×2m，交叉处采用草绳及扦插沙柳固定。</w:t>
                      </w:r>
                    </w:p>
                    <w:p w14:paraId="20AD81EF">
                      <w:pPr>
                        <w:jc w:val="center"/>
                        <w:rPr>
                          <w:sz w:val="18"/>
                          <w:szCs w:val="18"/>
                        </w:rPr>
                      </w:pPr>
                    </w:p>
                    <w:p w14:paraId="3E29CC97">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60" w:firstLineChars="200"/>
                        <w:jc w:val="both"/>
                        <w:textAlignment w:val="auto"/>
                        <w:outlineLvl w:val="9"/>
                        <w:rPr>
                          <w:rFonts w:hint="default" w:ascii="Times New Roman" w:hAnsi="Times New Roman" w:eastAsia="宋体" w:cs="Times New Roman"/>
                          <w:snapToGrid/>
                          <w:color w:val="auto"/>
                          <w:kern w:val="2"/>
                          <w:sz w:val="18"/>
                          <w:szCs w:val="18"/>
                          <w:highlight w:val="none"/>
                          <w:lang w:val="en-US" w:eastAsia="zh-CN" w:bidi="ar-SA"/>
                        </w:rPr>
                      </w:pPr>
                    </w:p>
                    <w:p w14:paraId="57F5F5D4">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60" w:firstLineChars="200"/>
                        <w:jc w:val="both"/>
                        <w:textAlignment w:val="auto"/>
                        <w:outlineLvl w:val="9"/>
                        <w:rPr>
                          <w:rFonts w:hint="default" w:ascii="Times New Roman" w:hAnsi="Times New Roman" w:eastAsia="宋体" w:cs="Times New Roman"/>
                          <w:snapToGrid/>
                          <w:color w:val="auto"/>
                          <w:kern w:val="2"/>
                          <w:sz w:val="18"/>
                          <w:szCs w:val="18"/>
                          <w:highlight w:val="none"/>
                          <w:lang w:val="en-US" w:eastAsia="zh-CN" w:bidi="ar-SA"/>
                        </w:rPr>
                      </w:pPr>
                    </w:p>
                    <w:p w14:paraId="2E873372">
                      <w:pPr>
                        <w:jc w:val="center"/>
                      </w:pPr>
                    </w:p>
                  </w:txbxContent>
                </v:textbox>
              </v:shape>
            </w:pict>
          </mc:Fallback>
        </mc:AlternateContent>
      </w:r>
      <w:r>
        <w:rPr>
          <w:sz w:val="32"/>
        </w:rPr>
        <mc:AlternateContent>
          <mc:Choice Requires="wps">
            <w:drawing>
              <wp:anchor distT="0" distB="0" distL="114300" distR="114300" simplePos="0" relativeHeight="251680768" behindDoc="0" locked="0" layoutInCell="1" allowOverlap="1">
                <wp:simplePos x="0" y="0"/>
                <wp:positionH relativeFrom="column">
                  <wp:posOffset>5914390</wp:posOffset>
                </wp:positionH>
                <wp:positionV relativeFrom="paragraph">
                  <wp:posOffset>727710</wp:posOffset>
                </wp:positionV>
                <wp:extent cx="2393315" cy="1499870"/>
                <wp:effectExtent l="1433830" t="6350" r="13335" b="17780"/>
                <wp:wrapNone/>
                <wp:docPr id="83" name="线形标注 2 83"/>
                <wp:cNvGraphicFramePr/>
                <a:graphic xmlns:a="http://schemas.openxmlformats.org/drawingml/2006/main">
                  <a:graphicData uri="http://schemas.microsoft.com/office/word/2010/wordprocessingShape">
                    <wps:wsp>
                      <wps:cNvSpPr/>
                      <wps:spPr>
                        <a:xfrm>
                          <a:off x="5487670" y="2007870"/>
                          <a:ext cx="2393315" cy="1499870"/>
                        </a:xfrm>
                        <a:prstGeom prst="borderCallout2">
                          <a:avLst>
                            <a:gd name="adj1" fmla="val 18750"/>
                            <a:gd name="adj2" fmla="val -8333"/>
                            <a:gd name="adj3" fmla="val 18750"/>
                            <a:gd name="adj4" fmla="val -16667"/>
                            <a:gd name="adj5" fmla="val 88103"/>
                            <a:gd name="adj6" fmla="val -59724"/>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5671C2C0">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eastAsia"/>
                                <w:sz w:val="18"/>
                                <w:szCs w:val="18"/>
                                <w:highlight w:val="none"/>
                              </w:rPr>
                            </w:pPr>
                            <w:r>
                              <w:rPr>
                                <w:rFonts w:hint="eastAsia"/>
                                <w:sz w:val="18"/>
                                <w:szCs w:val="18"/>
                                <w:highlight w:val="none"/>
                              </w:rPr>
                              <w:t>主体工程施工结束后对</w:t>
                            </w:r>
                            <w:r>
                              <w:rPr>
                                <w:rFonts w:hint="eastAsia"/>
                                <w:sz w:val="18"/>
                                <w:szCs w:val="18"/>
                                <w:highlight w:val="none"/>
                                <w:lang w:val="en-US" w:eastAsia="zh-CN"/>
                              </w:rPr>
                              <w:t>管线临时占地</w:t>
                            </w:r>
                            <w:r>
                              <w:rPr>
                                <w:rFonts w:hint="eastAsia"/>
                                <w:sz w:val="18"/>
                                <w:szCs w:val="18"/>
                                <w:highlight w:val="none"/>
                              </w:rPr>
                              <w:t>进行土地整治，</w:t>
                            </w:r>
                            <w:r>
                              <w:rPr>
                                <w:rFonts w:hint="eastAsia"/>
                                <w:sz w:val="18"/>
                                <w:szCs w:val="18"/>
                                <w:highlight w:val="none"/>
                                <w:lang w:val="en-US" w:eastAsia="zh-CN"/>
                              </w:rPr>
                              <w:t>管线临时占地</w:t>
                            </w:r>
                            <w:r>
                              <w:rPr>
                                <w:rFonts w:hint="eastAsia"/>
                                <w:sz w:val="18"/>
                                <w:szCs w:val="18"/>
                                <w:highlight w:val="none"/>
                              </w:rPr>
                              <w:t>实施沙柳网格沙障，并在沙障内撒播种草</w:t>
                            </w:r>
                            <w:r>
                              <w:rPr>
                                <w:rFonts w:hint="eastAsia"/>
                                <w:sz w:val="18"/>
                                <w:szCs w:val="18"/>
                                <w:highlight w:val="none"/>
                                <w:lang w:eastAsia="zh-CN"/>
                              </w:rPr>
                              <w:t>，</w:t>
                            </w:r>
                            <w:r>
                              <w:rPr>
                                <w:rFonts w:hint="eastAsia"/>
                                <w:sz w:val="18"/>
                                <w:szCs w:val="18"/>
                                <w:highlight w:val="none"/>
                                <w:lang w:val="en-US" w:eastAsia="zh-CN"/>
                              </w:rPr>
                              <w:t>草籽可选择种植沙打旺、羊柴，临时占地植物措施种植面积为</w:t>
                            </w:r>
                            <w:r>
                              <w:rPr>
                                <w:rFonts w:hint="default" w:ascii="Times New Roman" w:hAnsi="Times New Roman" w:eastAsia="宋体" w:cs="Times New Roman"/>
                                <w:color w:val="FFFFFF" w:themeColor="background1"/>
                                <w:spacing w:val="0"/>
                                <w:sz w:val="18"/>
                                <w:szCs w:val="18"/>
                                <w:highlight w:val="none"/>
                                <w:lang w:val="en-US" w:eastAsia="zh-CN"/>
                                <w14:textFill>
                                  <w14:solidFill>
                                    <w14:schemeClr w14:val="bg1"/>
                                  </w14:solidFill>
                                </w14:textFill>
                              </w:rPr>
                              <w:t>55571.24</w:t>
                            </w:r>
                            <w:r>
                              <w:rPr>
                                <w:rFonts w:hint="default" w:ascii="Times New Roman" w:hAnsi="Times New Roman" w:eastAsia="宋体" w:cs="Times New Roman"/>
                                <w:color w:val="FFFFFF" w:themeColor="background1"/>
                                <w:spacing w:val="0"/>
                                <w:sz w:val="18"/>
                                <w:szCs w:val="18"/>
                                <w:highlight w:val="none"/>
                                <w14:textFill>
                                  <w14:solidFill>
                                    <w14:schemeClr w14:val="bg1"/>
                                  </w14:solidFill>
                                </w14:textFill>
                              </w:rPr>
                              <w:t>m</w:t>
                            </w:r>
                            <w:r>
                              <w:rPr>
                                <w:rFonts w:hint="default" w:ascii="Times New Roman" w:hAnsi="Times New Roman" w:eastAsia="宋体" w:cs="Times New Roman"/>
                                <w:color w:val="FFFFFF" w:themeColor="background1"/>
                                <w:spacing w:val="0"/>
                                <w:sz w:val="18"/>
                                <w:szCs w:val="18"/>
                                <w:highlight w:val="none"/>
                                <w:vertAlign w:val="superscript"/>
                                <w14:textFill>
                                  <w14:solidFill>
                                    <w14:schemeClr w14:val="bg1"/>
                                  </w14:solidFill>
                                </w14:textFill>
                              </w:rPr>
                              <w:t>2</w:t>
                            </w:r>
                            <w:r>
                              <w:rPr>
                                <w:rFonts w:hint="eastAsia"/>
                                <w:color w:val="FFFFFF" w:themeColor="background1"/>
                                <w:sz w:val="18"/>
                                <w:szCs w:val="18"/>
                                <w:highlight w:val="none"/>
                                <w14:textFill>
                                  <w14:solidFill>
                                    <w14:schemeClr w14:val="bg1"/>
                                  </w14:solidFill>
                                </w14:textFill>
                              </w:rPr>
                              <w:t>。</w:t>
                            </w:r>
                            <w:r>
                              <w:rPr>
                                <w:rFonts w:hint="eastAsia"/>
                                <w:sz w:val="18"/>
                                <w:szCs w:val="18"/>
                                <w:highlight w:val="none"/>
                              </w:rPr>
                              <w:t>管槽回填土临时堆放在管槽一侧，堆放期间用密目网进行苫盖；管槽分段施工，尽量减少土方临时堆放时间。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8" type="#_x0000_t48" style="position:absolute;left:0pt;margin-left:465.7pt;margin-top:57.3pt;height:118.1pt;width:188.45pt;z-index:251680768;v-text-anchor:middle;mso-width-relative:page;mso-height-relative:page;" filled="f" stroked="t" coordsize="21600,21600" o:gfxdata="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Cl3PLM3QAAAAwBAAAPAAAAAAAAAAEA&#10;IAAAACIAAABkcnMvZG93bnJldi54bWxQSwECFAAUAAAACACHTuJAdrvXRe4CAAD8BQAADgAAAAAA&#10;AAABACAAAAAsAQAAZHJzL2Uyb0RvYy54bWxQSwUGAAAAAAYABgBZAQAAjAYAAAAA&#10;" adj="-12900,19030,-3600,4050,-1800,4050">
                <v:fill on="f" focussize="0,0"/>
                <v:stroke weight="1pt" color="#2E75B6 [2404]" miterlimit="8" joinstyle="miter"/>
                <v:imagedata o:title=""/>
                <o:lock v:ext="edit" aspectratio="f"/>
                <v:textbox>
                  <w:txbxContent>
                    <w:p w14:paraId="5671C2C0">
                      <w:pPr>
                        <w:keepNext w:val="0"/>
                        <w:keepLines w:val="0"/>
                        <w:pageBreakBefore w:val="0"/>
                        <w:widowControl w:val="0"/>
                        <w:kinsoku/>
                        <w:wordWrap/>
                        <w:overflowPunct/>
                        <w:topLinePunct w:val="0"/>
                        <w:autoSpaceDE/>
                        <w:autoSpaceDN/>
                        <w:bidi w:val="0"/>
                        <w:adjustRightInd/>
                        <w:snapToGrid/>
                        <w:spacing w:line="240" w:lineRule="auto"/>
                        <w:ind w:firstLine="360" w:firstLineChars="200"/>
                        <w:jc w:val="both"/>
                        <w:textAlignment w:val="auto"/>
                        <w:rPr>
                          <w:rFonts w:hint="eastAsia"/>
                          <w:sz w:val="18"/>
                          <w:szCs w:val="18"/>
                          <w:highlight w:val="none"/>
                        </w:rPr>
                      </w:pPr>
                      <w:r>
                        <w:rPr>
                          <w:rFonts w:hint="eastAsia"/>
                          <w:sz w:val="18"/>
                          <w:szCs w:val="18"/>
                          <w:highlight w:val="none"/>
                        </w:rPr>
                        <w:t>主体工程施工结束后对</w:t>
                      </w:r>
                      <w:r>
                        <w:rPr>
                          <w:rFonts w:hint="eastAsia"/>
                          <w:sz w:val="18"/>
                          <w:szCs w:val="18"/>
                          <w:highlight w:val="none"/>
                          <w:lang w:val="en-US" w:eastAsia="zh-CN"/>
                        </w:rPr>
                        <w:t>管线临时占地</w:t>
                      </w:r>
                      <w:r>
                        <w:rPr>
                          <w:rFonts w:hint="eastAsia"/>
                          <w:sz w:val="18"/>
                          <w:szCs w:val="18"/>
                          <w:highlight w:val="none"/>
                        </w:rPr>
                        <w:t>进行土地整治，</w:t>
                      </w:r>
                      <w:r>
                        <w:rPr>
                          <w:rFonts w:hint="eastAsia"/>
                          <w:sz w:val="18"/>
                          <w:szCs w:val="18"/>
                          <w:highlight w:val="none"/>
                          <w:lang w:val="en-US" w:eastAsia="zh-CN"/>
                        </w:rPr>
                        <w:t>管线临时占地</w:t>
                      </w:r>
                      <w:r>
                        <w:rPr>
                          <w:rFonts w:hint="eastAsia"/>
                          <w:sz w:val="18"/>
                          <w:szCs w:val="18"/>
                          <w:highlight w:val="none"/>
                        </w:rPr>
                        <w:t>实施沙柳网格沙障，并在沙障内撒播种草</w:t>
                      </w:r>
                      <w:r>
                        <w:rPr>
                          <w:rFonts w:hint="eastAsia"/>
                          <w:sz w:val="18"/>
                          <w:szCs w:val="18"/>
                          <w:highlight w:val="none"/>
                          <w:lang w:eastAsia="zh-CN"/>
                        </w:rPr>
                        <w:t>，</w:t>
                      </w:r>
                      <w:r>
                        <w:rPr>
                          <w:rFonts w:hint="eastAsia"/>
                          <w:sz w:val="18"/>
                          <w:szCs w:val="18"/>
                          <w:highlight w:val="none"/>
                          <w:lang w:val="en-US" w:eastAsia="zh-CN"/>
                        </w:rPr>
                        <w:t>草籽可选择种植沙打旺、羊柴，临时占地植物措施种植面积为</w:t>
                      </w:r>
                      <w:r>
                        <w:rPr>
                          <w:rFonts w:hint="default" w:ascii="Times New Roman" w:hAnsi="Times New Roman" w:eastAsia="宋体" w:cs="Times New Roman"/>
                          <w:color w:val="FFFFFF" w:themeColor="background1"/>
                          <w:spacing w:val="0"/>
                          <w:sz w:val="18"/>
                          <w:szCs w:val="18"/>
                          <w:highlight w:val="none"/>
                          <w:lang w:val="en-US" w:eastAsia="zh-CN"/>
                          <w14:textFill>
                            <w14:solidFill>
                              <w14:schemeClr w14:val="bg1"/>
                            </w14:solidFill>
                          </w14:textFill>
                        </w:rPr>
                        <w:t>55571.24</w:t>
                      </w:r>
                      <w:r>
                        <w:rPr>
                          <w:rFonts w:hint="default" w:ascii="Times New Roman" w:hAnsi="Times New Roman" w:eastAsia="宋体" w:cs="Times New Roman"/>
                          <w:color w:val="FFFFFF" w:themeColor="background1"/>
                          <w:spacing w:val="0"/>
                          <w:sz w:val="18"/>
                          <w:szCs w:val="18"/>
                          <w:highlight w:val="none"/>
                          <w14:textFill>
                            <w14:solidFill>
                              <w14:schemeClr w14:val="bg1"/>
                            </w14:solidFill>
                          </w14:textFill>
                        </w:rPr>
                        <w:t>m</w:t>
                      </w:r>
                      <w:r>
                        <w:rPr>
                          <w:rFonts w:hint="default" w:ascii="Times New Roman" w:hAnsi="Times New Roman" w:eastAsia="宋体" w:cs="Times New Roman"/>
                          <w:color w:val="FFFFFF" w:themeColor="background1"/>
                          <w:spacing w:val="0"/>
                          <w:sz w:val="18"/>
                          <w:szCs w:val="18"/>
                          <w:highlight w:val="none"/>
                          <w:vertAlign w:val="superscript"/>
                          <w14:textFill>
                            <w14:solidFill>
                              <w14:schemeClr w14:val="bg1"/>
                            </w14:solidFill>
                          </w14:textFill>
                        </w:rPr>
                        <w:t>2</w:t>
                      </w:r>
                      <w:r>
                        <w:rPr>
                          <w:rFonts w:hint="eastAsia"/>
                          <w:color w:val="FFFFFF" w:themeColor="background1"/>
                          <w:sz w:val="18"/>
                          <w:szCs w:val="18"/>
                          <w:highlight w:val="none"/>
                          <w14:textFill>
                            <w14:solidFill>
                              <w14:schemeClr w14:val="bg1"/>
                            </w14:solidFill>
                          </w14:textFill>
                        </w:rPr>
                        <w:t>。</w:t>
                      </w:r>
                      <w:r>
                        <w:rPr>
                          <w:rFonts w:hint="eastAsia"/>
                          <w:sz w:val="18"/>
                          <w:szCs w:val="18"/>
                          <w:highlight w:val="none"/>
                        </w:rPr>
                        <w:t>管槽回填土临时堆放在管槽一侧，堆放期间用密目网进行苫盖；管槽分段施工，尽量减少土方临时堆放时间。</w:t>
                      </w:r>
                    </w:p>
                  </w:txbxContent>
                </v:textbox>
              </v:shape>
            </w:pict>
          </mc:Fallback>
        </mc:AlternateContent>
      </w:r>
      <w:r>
        <w:rPr>
          <w:sz w:val="32"/>
        </w:rPr>
        <mc:AlternateContent>
          <mc:Choice Requires="wps">
            <w:drawing>
              <wp:anchor distT="0" distB="0" distL="114300" distR="114300" simplePos="0" relativeHeight="251679744" behindDoc="0" locked="0" layoutInCell="1" allowOverlap="1">
                <wp:simplePos x="0" y="0"/>
                <wp:positionH relativeFrom="column">
                  <wp:posOffset>161290</wp:posOffset>
                </wp:positionH>
                <wp:positionV relativeFrom="paragraph">
                  <wp:posOffset>4535170</wp:posOffset>
                </wp:positionV>
                <wp:extent cx="312420" cy="0"/>
                <wp:effectExtent l="0" t="6350" r="0" b="6350"/>
                <wp:wrapNone/>
                <wp:docPr id="82" name="直接连接符 82"/>
                <wp:cNvGraphicFramePr/>
                <a:graphic xmlns:a="http://schemas.openxmlformats.org/drawingml/2006/main">
                  <a:graphicData uri="http://schemas.microsoft.com/office/word/2010/wordprocessingShape">
                    <wps:wsp>
                      <wps:cNvCnPr/>
                      <wps:spPr>
                        <a:xfrm>
                          <a:off x="1052830" y="5647690"/>
                          <a:ext cx="312420"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7pt;margin-top:357.1pt;height:0pt;width:24.6pt;z-index:251679744;mso-width-relative:page;mso-height-relative:page;" filled="f" stroked="t" coordsize="21600,21600" o:gfxdata="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4ZkfX2AAAAAkBAAAPAAAAAAAAAAEAIAAAACIAAABkcnMvZG93bnJldi54bWxQSwEC&#10;FAAUAAAACACHTuJAUylfZ/QBAAC/AwAADgAAAAAAAAABACAAAAAnAQAAZHJzL2Uyb0RvYy54bWxQ&#10;SwUGAAAAAAYABgBZAQAAjQUAAAAA&#10;">
                <v:fill on="f" focussize="0,0"/>
                <v:stroke weight="1pt" color="#FF0000 [3204]" miterlimit="8" joinstyle="miter"/>
                <v:imagedata o:title=""/>
                <o:lock v:ext="edit" aspectratio="f"/>
              </v:line>
            </w:pict>
          </mc:Fallback>
        </mc:AlternateContent>
      </w:r>
      <w:r>
        <w:rPr>
          <w:rFonts w:hint="eastAsia" w:ascii="Times New Roman" w:hAnsi="Times New Roman" w:eastAsia="宋体" w:cs="Times New Roman"/>
          <w:sz w:val="32"/>
          <w:szCs w:val="32"/>
          <w:lang w:eastAsia="zh-CN"/>
        </w:rPr>
        <w:drawing>
          <wp:inline distT="0" distB="0" distL="114300" distR="114300">
            <wp:extent cx="8760460" cy="4722495"/>
            <wp:effectExtent l="12700" t="12700" r="20320" b="19685"/>
            <wp:docPr id="80" name="图片 80" descr="171542109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1715421095815"/>
                    <pic:cNvPicPr>
                      <a:picLocks noChangeAspect="1"/>
                    </pic:cNvPicPr>
                  </pic:nvPicPr>
                  <pic:blipFill>
                    <a:blip r:embed="rId22"/>
                    <a:stretch>
                      <a:fillRect/>
                    </a:stretch>
                  </pic:blipFill>
                  <pic:spPr>
                    <a:xfrm>
                      <a:off x="0" y="0"/>
                      <a:ext cx="8760460" cy="4722495"/>
                    </a:xfrm>
                    <a:prstGeom prst="rect">
                      <a:avLst/>
                    </a:prstGeom>
                    <a:ln w="12700" cmpd="sng">
                      <a:solidFill>
                        <a:schemeClr val="tx1"/>
                      </a:solidFill>
                      <a:prstDash val="solid"/>
                    </a:ln>
                  </pic:spPr>
                </pic:pic>
              </a:graphicData>
            </a:graphic>
          </wp:inline>
        </w:drawing>
      </w:r>
      <w:r>
        <w:rPr>
          <w:sz w:val="32"/>
        </w:rPr>
        <mc:AlternateContent>
          <mc:Choice Requires="wps">
            <w:drawing>
              <wp:anchor distT="0" distB="0" distL="114300" distR="114300" simplePos="0" relativeHeight="251678720" behindDoc="0" locked="0" layoutInCell="1" allowOverlap="1">
                <wp:simplePos x="0" y="0"/>
                <wp:positionH relativeFrom="column">
                  <wp:posOffset>9525</wp:posOffset>
                </wp:positionH>
                <wp:positionV relativeFrom="paragraph">
                  <wp:posOffset>4159250</wp:posOffset>
                </wp:positionV>
                <wp:extent cx="1718310" cy="576580"/>
                <wp:effectExtent l="4445" t="5080" r="14605" b="12700"/>
                <wp:wrapNone/>
                <wp:docPr id="81" name="文本框 81"/>
                <wp:cNvGraphicFramePr/>
                <a:graphic xmlns:a="http://schemas.openxmlformats.org/drawingml/2006/main">
                  <a:graphicData uri="http://schemas.microsoft.com/office/word/2010/wordprocessingShape">
                    <wps:wsp>
                      <wps:cNvSpPr txBox="1"/>
                      <wps:spPr>
                        <a:xfrm>
                          <a:off x="0" y="0"/>
                          <a:ext cx="1718310" cy="576580"/>
                        </a:xfrm>
                        <a:prstGeom prst="rect">
                          <a:avLst/>
                        </a:prstGeom>
                        <a:solidFill>
                          <a:srgbClr val="FFFFFF">
                            <a:alpha val="50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CDE748">
                            <w:pPr>
                              <w:jc w:val="center"/>
                              <w:rPr>
                                <w:rFonts w:hint="eastAsia"/>
                                <w:sz w:val="24"/>
                                <w:szCs w:val="24"/>
                                <w:lang w:eastAsia="zh-CN"/>
                              </w:rPr>
                            </w:pPr>
                            <w:r>
                              <w:rPr>
                                <w:rFonts w:hint="eastAsia"/>
                                <w:sz w:val="24"/>
                                <w:szCs w:val="24"/>
                                <w:lang w:eastAsia="zh-CN"/>
                              </w:rPr>
                              <w:t>图例</w:t>
                            </w:r>
                          </w:p>
                          <w:p w14:paraId="78D5A8B5">
                            <w:pPr>
                              <w:pStyle w:val="12"/>
                              <w:ind w:firstLine="720" w:firstLineChars="300"/>
                              <w:jc w:val="left"/>
                              <w:rPr>
                                <w:rFonts w:hint="eastAsia"/>
                                <w:sz w:val="24"/>
                                <w:szCs w:val="24"/>
                                <w:lang w:eastAsia="zh-CN"/>
                              </w:rPr>
                            </w:pPr>
                            <w:r>
                              <w:rPr>
                                <w:rFonts w:hint="eastAsia"/>
                                <w:sz w:val="24"/>
                                <w:szCs w:val="24"/>
                                <w:lang w:eastAsia="zh-CN"/>
                              </w:rPr>
                              <w:t>本项目位置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327.5pt;height:45.4pt;width:135.3pt;z-index:251678720;mso-width-relative:page;mso-height-relative:page;" fillcolor="#FFFFFF" filled="t" stroked="t" coordsize="21600,21600" o:gfxdata="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Txh5J1wAAAAkBAAAPAAAAAAAAAAEAIAAAACIAAABkcnMvZG93bnJldi54bWxQ&#10;SwECFAAUAAAACACHTuJAFSf7+WoCAADaBAAADgAAAAAAAAABACAAAAAmAQAAZHJzL2Uyb0RvYy54&#10;bWxQSwUGAAAAAAYABgBZAQAAAgYAAAAA&#10;">
                <v:fill on="t" opacity="32768f" focussize="0,0"/>
                <v:stroke weight="0.5pt" color="#000000 [3204]" joinstyle="round"/>
                <v:imagedata o:title=""/>
                <o:lock v:ext="edit" aspectratio="f"/>
                <v:textbox>
                  <w:txbxContent>
                    <w:p w14:paraId="43CDE748">
                      <w:pPr>
                        <w:jc w:val="center"/>
                        <w:rPr>
                          <w:rFonts w:hint="eastAsia"/>
                          <w:sz w:val="24"/>
                          <w:szCs w:val="24"/>
                          <w:lang w:eastAsia="zh-CN"/>
                        </w:rPr>
                      </w:pPr>
                      <w:r>
                        <w:rPr>
                          <w:rFonts w:hint="eastAsia"/>
                          <w:sz w:val="24"/>
                          <w:szCs w:val="24"/>
                          <w:lang w:eastAsia="zh-CN"/>
                        </w:rPr>
                        <w:t>图例</w:t>
                      </w:r>
                    </w:p>
                    <w:p w14:paraId="78D5A8B5">
                      <w:pPr>
                        <w:pStyle w:val="12"/>
                        <w:ind w:firstLine="720" w:firstLineChars="300"/>
                        <w:jc w:val="left"/>
                        <w:rPr>
                          <w:rFonts w:hint="eastAsia"/>
                          <w:sz w:val="24"/>
                          <w:szCs w:val="24"/>
                          <w:lang w:eastAsia="zh-CN"/>
                        </w:rPr>
                      </w:pPr>
                      <w:r>
                        <w:rPr>
                          <w:rFonts w:hint="eastAsia"/>
                          <w:sz w:val="24"/>
                          <w:szCs w:val="24"/>
                          <w:lang w:eastAsia="zh-CN"/>
                        </w:rPr>
                        <w:t>本项目位置</w:t>
                      </w:r>
                    </w:p>
                  </w:txbxContent>
                </v:textbox>
              </v:shape>
            </w:pict>
          </mc:Fallback>
        </mc:AlternateContent>
      </w:r>
    </w:p>
    <w:p w14:paraId="6AF8BEA4">
      <w:pPr>
        <w:jc w:val="center"/>
        <w:rPr>
          <w:rFonts w:hint="default"/>
          <w:sz w:val="21"/>
          <w:szCs w:val="21"/>
          <w:highlight w:val="none"/>
          <w:lang w:val="en-US" w:eastAsia="zh-CN"/>
        </w:rPr>
      </w:pPr>
      <w:r>
        <w:rPr>
          <w:rFonts w:hint="eastAsia"/>
          <w:sz w:val="24"/>
          <w:szCs w:val="24"/>
          <w:lang w:eastAsia="zh-CN"/>
        </w:rPr>
        <w:t>附图</w:t>
      </w:r>
      <w:r>
        <w:rPr>
          <w:rFonts w:hint="eastAsia"/>
          <w:sz w:val="24"/>
          <w:szCs w:val="24"/>
          <w:lang w:val="en-US" w:eastAsia="zh-CN"/>
        </w:rPr>
        <w:t>5</w:t>
      </w:r>
      <w:r>
        <w:rPr>
          <w:rFonts w:hint="eastAsia"/>
          <w:sz w:val="24"/>
          <w:szCs w:val="24"/>
          <w:lang w:eastAsia="zh-CN"/>
        </w:rPr>
        <w:t>生态恢复措施平面布置图</w:t>
      </w:r>
    </w:p>
    <w:p w14:paraId="72975D6A">
      <w:pPr>
        <w:pStyle w:val="2"/>
        <w:jc w:val="center"/>
        <w:rPr>
          <w:rFonts w:hint="default"/>
          <w:sz w:val="21"/>
          <w:szCs w:val="21"/>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042DA9FC">
      <w:pPr>
        <w:snapToGrid w:val="0"/>
        <w:spacing w:line="355" w:lineRule="auto"/>
        <w:jc w:val="left"/>
        <w:outlineLvl w:val="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附件</w:t>
      </w:r>
      <w:r>
        <w:rPr>
          <w:rFonts w:hint="default" w:ascii="Times New Roman" w:hAnsi="Times New Roman" w:eastAsia="宋体" w:cs="Times New Roman"/>
          <w:sz w:val="24"/>
          <w:szCs w:val="24"/>
          <w:lang w:val="en-US" w:eastAsia="zh-CN"/>
        </w:rPr>
        <w:t>1</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委托书</w:t>
      </w:r>
    </w:p>
    <w:p w14:paraId="6CCC5FD2">
      <w:pPr>
        <w:snapToGrid w:val="0"/>
        <w:spacing w:line="355" w:lineRule="auto"/>
        <w:jc w:val="left"/>
        <w:outlineLvl w:val="0"/>
        <w:rPr>
          <w:rFonts w:hint="default" w:ascii="Times New Roman" w:hAnsi="Times New Roman" w:eastAsia="宋体" w:cs="Times New Roman"/>
          <w:sz w:val="24"/>
          <w:szCs w:val="24"/>
          <w:lang w:val="en-US" w:eastAsia="zh-CN"/>
        </w:rPr>
      </w:pPr>
    </w:p>
    <w:p w14:paraId="694ED4EF">
      <w:pPr>
        <w:spacing w:line="360" w:lineRule="auto"/>
        <w:jc w:val="center"/>
        <w:rPr>
          <w:rFonts w:hint="default" w:ascii="Times New Roman" w:hAnsi="Times New Roman" w:eastAsia="宋体" w:cs="Times New Roman"/>
          <w:sz w:val="44"/>
          <w:szCs w:val="44"/>
          <w:highlight w:val="none"/>
        </w:rPr>
      </w:pPr>
    </w:p>
    <w:p w14:paraId="526E3BA9">
      <w:pPr>
        <w:spacing w:line="360" w:lineRule="auto"/>
        <w:jc w:val="center"/>
        <w:rPr>
          <w:rFonts w:hint="default" w:ascii="Times New Roman" w:hAnsi="Times New Roman" w:eastAsia="宋体" w:cs="Times New Roman"/>
          <w:sz w:val="44"/>
          <w:szCs w:val="44"/>
          <w:highlight w:val="none"/>
        </w:rPr>
      </w:pPr>
    </w:p>
    <w:p w14:paraId="744F38FD">
      <w:pPr>
        <w:spacing w:line="360" w:lineRule="auto"/>
        <w:jc w:val="center"/>
        <w:rPr>
          <w:rFonts w:hint="default" w:ascii="Times New Roman" w:hAnsi="Times New Roman" w:eastAsia="宋体" w:cs="Times New Roman"/>
          <w:sz w:val="44"/>
          <w:szCs w:val="44"/>
          <w:highlight w:val="none"/>
        </w:rPr>
      </w:pPr>
      <w:r>
        <w:rPr>
          <w:rFonts w:hint="default" w:ascii="Times New Roman" w:hAnsi="Times New Roman" w:eastAsia="宋体" w:cs="Times New Roman"/>
          <w:sz w:val="44"/>
          <w:szCs w:val="44"/>
          <w:highlight w:val="none"/>
        </w:rPr>
        <w:t>委 托 书</w:t>
      </w:r>
    </w:p>
    <w:p w14:paraId="57CFBDE8">
      <w:pPr>
        <w:spacing w:line="360" w:lineRule="auto"/>
        <w:rPr>
          <w:rFonts w:hint="default" w:ascii="Times New Roman" w:hAnsi="Times New Roman" w:eastAsia="宋体" w:cs="Times New Roman"/>
          <w:sz w:val="24"/>
          <w:szCs w:val="24"/>
          <w:highlight w:val="none"/>
        </w:rPr>
      </w:pPr>
    </w:p>
    <w:p w14:paraId="5DC3EF91">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内蒙古</w:t>
      </w:r>
      <w:r>
        <w:rPr>
          <w:rFonts w:hint="default" w:ascii="Times New Roman" w:hAnsi="Times New Roman" w:eastAsia="宋体" w:cs="Times New Roman"/>
          <w:sz w:val="28"/>
          <w:szCs w:val="28"/>
          <w:highlight w:val="none"/>
          <w:lang w:eastAsia="zh-CN"/>
        </w:rPr>
        <w:t>金绿环保服务</w:t>
      </w:r>
      <w:r>
        <w:rPr>
          <w:rFonts w:hint="default" w:ascii="Times New Roman" w:hAnsi="Times New Roman" w:eastAsia="宋体" w:cs="Times New Roman"/>
          <w:sz w:val="28"/>
          <w:szCs w:val="28"/>
          <w:highlight w:val="none"/>
        </w:rPr>
        <w:t>有限公司：</w:t>
      </w:r>
    </w:p>
    <w:p w14:paraId="3FFABD34">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根据《中华人民共和国环境影响评价法》及国务院和</w:t>
      </w:r>
      <w:r>
        <w:rPr>
          <w:rFonts w:hint="eastAsia" w:ascii="宋体" w:hAnsi="宋体" w:eastAsia="宋体" w:cs="宋体"/>
          <w:i w:val="0"/>
          <w:iCs w:val="0"/>
          <w:caps w:val="0"/>
          <w:color w:val="000000"/>
          <w:spacing w:val="0"/>
          <w:sz w:val="28"/>
          <w:szCs w:val="28"/>
          <w:shd w:val="clear" w:fill="FFFFFF"/>
        </w:rPr>
        <w:t>中华人民共和国生态环境部</w:t>
      </w:r>
      <w:r>
        <w:rPr>
          <w:rFonts w:hint="default" w:ascii="Times New Roman" w:hAnsi="Times New Roman" w:eastAsia="宋体" w:cs="Times New Roman"/>
          <w:sz w:val="28"/>
          <w:szCs w:val="28"/>
          <w:highlight w:val="none"/>
        </w:rPr>
        <w:t>的相关规定，特委托贵公司承担我单位</w:t>
      </w:r>
      <w:r>
        <w:rPr>
          <w:rFonts w:hint="eastAsia" w:cs="Times New Roman"/>
          <w:sz w:val="28"/>
          <w:szCs w:val="28"/>
          <w:highlight w:val="none"/>
          <w:u w:val="single"/>
          <w:lang w:eastAsia="zh-CN"/>
        </w:rPr>
        <w:t>杭锦旗库布齐1500万吨/a（朔方新能源大基地）供水工程</w:t>
      </w:r>
      <w:r>
        <w:rPr>
          <w:rFonts w:hint="default" w:ascii="Times New Roman" w:hAnsi="Times New Roman" w:eastAsia="宋体" w:cs="Times New Roman"/>
          <w:sz w:val="28"/>
          <w:szCs w:val="28"/>
          <w:highlight w:val="none"/>
        </w:rPr>
        <w:t>的环境影响评价工作，其环境影响报告文本应满足有关环评技术导则和</w:t>
      </w:r>
      <w:r>
        <w:rPr>
          <w:rFonts w:hint="eastAsia" w:cs="Times New Roman"/>
          <w:sz w:val="28"/>
          <w:szCs w:val="28"/>
          <w:highlight w:val="none"/>
          <w:lang w:eastAsia="zh-CN"/>
        </w:rPr>
        <w:t>生态</w:t>
      </w:r>
      <w:r>
        <w:rPr>
          <w:rFonts w:hint="default" w:ascii="Times New Roman" w:hAnsi="Times New Roman" w:eastAsia="宋体" w:cs="Times New Roman"/>
          <w:sz w:val="28"/>
          <w:szCs w:val="28"/>
          <w:highlight w:val="none"/>
        </w:rPr>
        <w:t>环境主管部门的规定和要求。</w:t>
      </w:r>
    </w:p>
    <w:p w14:paraId="1FE269D8">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right"/>
        <w:textAlignment w:val="auto"/>
        <w:rPr>
          <w:rFonts w:hint="default" w:ascii="Times New Roman" w:hAnsi="Times New Roman" w:eastAsia="宋体" w:cs="Times New Roman"/>
          <w:sz w:val="28"/>
          <w:szCs w:val="28"/>
          <w:highlight w:val="none"/>
        </w:rPr>
      </w:pPr>
    </w:p>
    <w:p w14:paraId="38F762CD">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right"/>
        <w:textAlignment w:val="auto"/>
        <w:rPr>
          <w:rFonts w:hint="default" w:ascii="Times New Roman" w:hAnsi="Times New Roman" w:eastAsia="宋体" w:cs="Times New Roman"/>
          <w:sz w:val="28"/>
          <w:szCs w:val="28"/>
          <w:highlight w:val="none"/>
        </w:rPr>
      </w:pPr>
    </w:p>
    <w:p w14:paraId="22E21A0B">
      <w:pPr>
        <w:pStyle w:val="4"/>
        <w:keepNext w:val="0"/>
        <w:keepLines w:val="0"/>
        <w:pageBreakBefore w:val="0"/>
        <w:widowControl w:val="0"/>
        <w:kinsoku/>
        <w:wordWrap/>
        <w:overflowPunct/>
        <w:topLinePunct w:val="0"/>
        <w:autoSpaceDE/>
        <w:autoSpaceDN/>
        <w:bidi w:val="0"/>
        <w:adjustRightInd/>
        <w:spacing w:after="0" w:line="360" w:lineRule="auto"/>
        <w:ind w:right="0" w:rightChars="0"/>
        <w:textAlignment w:val="auto"/>
        <w:rPr>
          <w:rFonts w:hint="default"/>
          <w:sz w:val="28"/>
          <w:szCs w:val="28"/>
        </w:rPr>
      </w:pPr>
    </w:p>
    <w:p w14:paraId="16B01DBC">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right"/>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委托单位（盖章）：</w:t>
      </w:r>
      <w:r>
        <w:rPr>
          <w:rFonts w:hint="eastAsia" w:cs="Times New Roman"/>
          <w:sz w:val="28"/>
          <w:szCs w:val="28"/>
          <w:highlight w:val="none"/>
          <w:lang w:eastAsia="zh-CN"/>
        </w:rPr>
        <w:t>鄂尔多斯市泽鑫水务投资集团有限公司</w:t>
      </w:r>
    </w:p>
    <w:p w14:paraId="01210061">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center"/>
        <w:textAlignment w:val="auto"/>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sz w:val="28"/>
          <w:szCs w:val="28"/>
          <w:highlight w:val="none"/>
          <w:lang w:val="en-US" w:eastAsia="zh-CN"/>
        </w:rPr>
        <w:t xml:space="preserve">                              </w:t>
      </w:r>
      <w:r>
        <w:rPr>
          <w:rFonts w:hint="default" w:ascii="Times New Roman" w:hAnsi="Times New Roman" w:eastAsia="宋体" w:cs="Times New Roman"/>
          <w:sz w:val="28"/>
          <w:szCs w:val="28"/>
          <w:highlight w:val="none"/>
        </w:rPr>
        <w:t>202</w:t>
      </w:r>
      <w:r>
        <w:rPr>
          <w:rFonts w:hint="eastAsia" w:ascii="Times New Roman" w:hAnsi="Times New Roman" w:cs="Times New Roman"/>
          <w:sz w:val="28"/>
          <w:szCs w:val="28"/>
          <w:highlight w:val="none"/>
          <w:lang w:val="en-US" w:eastAsia="zh-CN"/>
        </w:rPr>
        <w:t>4</w:t>
      </w:r>
      <w:r>
        <w:rPr>
          <w:rFonts w:hint="default" w:ascii="Times New Roman" w:hAnsi="Times New Roman" w:eastAsia="宋体" w:cs="Times New Roman"/>
          <w:sz w:val="28"/>
          <w:szCs w:val="28"/>
          <w:highlight w:val="none"/>
        </w:rPr>
        <w:t>年</w:t>
      </w:r>
      <w:r>
        <w:rPr>
          <w:rFonts w:hint="eastAsia" w:cs="Times New Roman"/>
          <w:sz w:val="28"/>
          <w:szCs w:val="28"/>
          <w:highlight w:val="none"/>
          <w:lang w:val="en-US" w:eastAsia="zh-CN"/>
        </w:rPr>
        <w:t>4</w:t>
      </w:r>
      <w:r>
        <w:rPr>
          <w:rFonts w:hint="default" w:ascii="Times New Roman" w:hAnsi="Times New Roman" w:eastAsia="宋体" w:cs="Times New Roman"/>
          <w:sz w:val="28"/>
          <w:szCs w:val="28"/>
          <w:highlight w:val="none"/>
        </w:rPr>
        <w:t>月</w:t>
      </w:r>
      <w:r>
        <w:rPr>
          <w:rFonts w:hint="eastAsia" w:cs="Times New Roman"/>
          <w:sz w:val="28"/>
          <w:szCs w:val="28"/>
          <w:highlight w:val="none"/>
          <w:lang w:val="en-US" w:eastAsia="zh-CN"/>
        </w:rPr>
        <w:t>12日</w:t>
      </w:r>
    </w:p>
    <w:p w14:paraId="5F033DB9">
      <w:pPr>
        <w:rPr>
          <w:rFonts w:hint="default"/>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Cambria Math">
    <w:panose1 w:val="02040503050406030204"/>
    <w:charset w:val="00"/>
    <w:family w:val="roman"/>
    <w:pitch w:val="default"/>
    <w:sig w:usb0="E00002FF" w:usb1="420024FF" w:usb2="0000000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汉鼎简书宋">
    <w:altName w:val="宋体"/>
    <w:panose1 w:val="02010609010101010101"/>
    <w:charset w:val="86"/>
    <w:family w:val="modern"/>
    <w:pitch w:val="default"/>
    <w:sig w:usb0="00000000" w:usb1="00000000" w:usb2="00000010"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BE167">
    <w:pPr>
      <w:pStyle w:val="1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80B8D">
    <w:pPr>
      <w:pStyle w:val="16"/>
      <w:framePr w:wrap="around" w:vAnchor="text" w:hAnchor="margin" w:xAlign="outside" w:y="1"/>
      <w:rPr>
        <w:rStyle w:val="23"/>
      </w:rPr>
    </w:pPr>
    <w:r>
      <w:rPr>
        <w:rStyle w:val="23"/>
      </w:rPr>
      <w:fldChar w:fldCharType="begin"/>
    </w:r>
    <w:r>
      <w:rPr>
        <w:rStyle w:val="23"/>
      </w:rPr>
      <w:instrText xml:space="preserve">PAGE  </w:instrText>
    </w:r>
    <w:r>
      <w:rPr>
        <w:rStyle w:val="23"/>
      </w:rPr>
      <w:fldChar w:fldCharType="end"/>
    </w:r>
  </w:p>
  <w:p w14:paraId="6CCD3AC8">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DD5DF">
    <w:pPr>
      <w:pStyle w:val="16"/>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F0A92F">
                          <w:pPr>
                            <w:pStyle w:val="16"/>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szCs w:val="20"/>
                            </w:rPr>
                            <w:t xml:space="preserve">  </w:t>
                          </w:r>
                          <w:r>
                            <w:rPr>
                              <w:rStyle w:val="23"/>
                              <w:rFonts w:ascii="宋体" w:hAnsi="宋体"/>
                              <w:sz w:val="26"/>
                              <w:szCs w:val="26"/>
                            </w:rPr>
                            <w:fldChar w:fldCharType="begin"/>
                          </w:r>
                          <w:r>
                            <w:rPr>
                              <w:rStyle w:val="23"/>
                              <w:rFonts w:ascii="宋体" w:hAnsi="宋体"/>
                              <w:sz w:val="26"/>
                              <w:szCs w:val="26"/>
                            </w:rPr>
                            <w:instrText xml:space="preserve">PAGE  </w:instrText>
                          </w:r>
                          <w:r>
                            <w:rPr>
                              <w:rStyle w:val="23"/>
                              <w:rFonts w:ascii="宋体" w:hAnsi="宋体"/>
                              <w:sz w:val="26"/>
                              <w:szCs w:val="26"/>
                            </w:rPr>
                            <w:fldChar w:fldCharType="separate"/>
                          </w:r>
                          <w:r>
                            <w:rPr>
                              <w:rStyle w:val="23"/>
                              <w:rFonts w:ascii="宋体" w:hAnsi="宋体"/>
                              <w:sz w:val="26"/>
                              <w:szCs w:val="26"/>
                            </w:rPr>
                            <w:t>22</w:t>
                          </w:r>
                          <w:r>
                            <w:rPr>
                              <w:rStyle w:val="23"/>
                              <w:rFonts w:ascii="宋体" w:hAnsi="宋体"/>
                              <w:sz w:val="26"/>
                              <w:szCs w:val="26"/>
                            </w:rPr>
                            <w:fldChar w:fldCharType="end"/>
                          </w:r>
                          <w:r>
                            <w:rPr>
                              <w:rStyle w:val="23"/>
                              <w:rFonts w:hint="eastAsia" w:ascii="宋体" w:hAnsi="宋体"/>
                              <w:sz w:val="20"/>
                              <w:szCs w:val="20"/>
                            </w:rPr>
                            <w:t xml:space="preserve">  </w:t>
                          </w:r>
                          <w:r>
                            <w:rPr>
                              <w:rStyle w:val="23"/>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3F0A92F">
                    <w:pPr>
                      <w:pStyle w:val="16"/>
                      <w:rPr>
                        <w:rStyle w:val="23"/>
                        <w:rFonts w:ascii="宋体" w:hAnsi="宋体"/>
                        <w:sz w:val="28"/>
                        <w:szCs w:val="28"/>
                      </w:rPr>
                    </w:pPr>
                    <w:r>
                      <w:rPr>
                        <w:rStyle w:val="23"/>
                        <w:rFonts w:hint="eastAsia" w:ascii="宋体" w:hAnsi="宋体"/>
                        <w:sz w:val="28"/>
                        <w:szCs w:val="28"/>
                      </w:rPr>
                      <w:t>—</w:t>
                    </w:r>
                    <w:r>
                      <w:rPr>
                        <w:rStyle w:val="23"/>
                        <w:rFonts w:hint="eastAsia" w:ascii="宋体" w:hAnsi="宋体"/>
                        <w:sz w:val="20"/>
                        <w:szCs w:val="20"/>
                      </w:rPr>
                      <w:t xml:space="preserve">  </w:t>
                    </w:r>
                    <w:r>
                      <w:rPr>
                        <w:rStyle w:val="23"/>
                        <w:rFonts w:ascii="宋体" w:hAnsi="宋体"/>
                        <w:sz w:val="26"/>
                        <w:szCs w:val="26"/>
                      </w:rPr>
                      <w:fldChar w:fldCharType="begin"/>
                    </w:r>
                    <w:r>
                      <w:rPr>
                        <w:rStyle w:val="23"/>
                        <w:rFonts w:ascii="宋体" w:hAnsi="宋体"/>
                        <w:sz w:val="26"/>
                        <w:szCs w:val="26"/>
                      </w:rPr>
                      <w:instrText xml:space="preserve">PAGE  </w:instrText>
                    </w:r>
                    <w:r>
                      <w:rPr>
                        <w:rStyle w:val="23"/>
                        <w:rFonts w:ascii="宋体" w:hAnsi="宋体"/>
                        <w:sz w:val="26"/>
                        <w:szCs w:val="26"/>
                      </w:rPr>
                      <w:fldChar w:fldCharType="separate"/>
                    </w:r>
                    <w:r>
                      <w:rPr>
                        <w:rStyle w:val="23"/>
                        <w:rFonts w:ascii="宋体" w:hAnsi="宋体"/>
                        <w:sz w:val="26"/>
                        <w:szCs w:val="26"/>
                      </w:rPr>
                      <w:t>22</w:t>
                    </w:r>
                    <w:r>
                      <w:rPr>
                        <w:rStyle w:val="23"/>
                        <w:rFonts w:ascii="宋体" w:hAnsi="宋体"/>
                        <w:sz w:val="26"/>
                        <w:szCs w:val="26"/>
                      </w:rPr>
                      <w:fldChar w:fldCharType="end"/>
                    </w:r>
                    <w:r>
                      <w:rPr>
                        <w:rStyle w:val="23"/>
                        <w:rFonts w:hint="eastAsia" w:ascii="宋体" w:hAnsi="宋体"/>
                        <w:sz w:val="20"/>
                        <w:szCs w:val="20"/>
                      </w:rPr>
                      <w:t xml:space="preserve">  </w:t>
                    </w:r>
                    <w:r>
                      <w:rPr>
                        <w:rStyle w:val="23"/>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5CB95E"/>
    <w:multiLevelType w:val="singleLevel"/>
    <w:tmpl w:val="9B5CB95E"/>
    <w:lvl w:ilvl="0" w:tentative="0">
      <w:start w:val="1"/>
      <w:numFmt w:val="decimal"/>
      <w:suff w:val="nothing"/>
      <w:lvlText w:val="（%1）"/>
      <w:lvlJc w:val="left"/>
    </w:lvl>
  </w:abstractNum>
  <w:abstractNum w:abstractNumId="1">
    <w:nsid w:val="A3D8D2C1"/>
    <w:multiLevelType w:val="singleLevel"/>
    <w:tmpl w:val="A3D8D2C1"/>
    <w:lvl w:ilvl="0" w:tentative="0">
      <w:start w:val="1"/>
      <w:numFmt w:val="chineseCounting"/>
      <w:suff w:val="nothing"/>
      <w:lvlText w:val="%1、"/>
      <w:lvlJc w:val="left"/>
      <w:pPr>
        <w:ind w:left="780"/>
      </w:pPr>
      <w:rPr>
        <w:rFonts w:hint="eastAsia"/>
      </w:rPr>
    </w:lvl>
  </w:abstractNum>
  <w:abstractNum w:abstractNumId="2">
    <w:nsid w:val="B5AE10A6"/>
    <w:multiLevelType w:val="singleLevel"/>
    <w:tmpl w:val="B5AE10A6"/>
    <w:lvl w:ilvl="0" w:tentative="0">
      <w:start w:val="4"/>
      <w:numFmt w:val="decimal"/>
      <w:lvlText w:val="%1."/>
      <w:lvlJc w:val="left"/>
      <w:pPr>
        <w:tabs>
          <w:tab w:val="left" w:pos="312"/>
        </w:tabs>
      </w:pPr>
    </w:lvl>
  </w:abstractNum>
  <w:abstractNum w:abstractNumId="3">
    <w:nsid w:val="EDE2AEC5"/>
    <w:multiLevelType w:val="singleLevel"/>
    <w:tmpl w:val="EDE2AEC5"/>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4">
    <w:nsid w:val="F50D2E6B"/>
    <w:multiLevelType w:val="singleLevel"/>
    <w:tmpl w:val="F50D2E6B"/>
    <w:lvl w:ilvl="0" w:tentative="0">
      <w:start w:val="4"/>
      <w:numFmt w:val="chineseCounting"/>
      <w:suff w:val="nothing"/>
      <w:lvlText w:val="%1、"/>
      <w:lvlJc w:val="left"/>
      <w:rPr>
        <w:rFonts w:hint="eastAsia"/>
      </w:rPr>
    </w:lvl>
  </w:abstractNum>
  <w:abstractNum w:abstractNumId="5">
    <w:nsid w:val="40DF0AB0"/>
    <w:multiLevelType w:val="singleLevel"/>
    <w:tmpl w:val="40DF0AB0"/>
    <w:lvl w:ilvl="0" w:tentative="0">
      <w:start w:val="1"/>
      <w:numFmt w:val="decimal"/>
      <w:suff w:val="nothing"/>
      <w:lvlText w:val="（%1）"/>
      <w:lvlJc w:val="left"/>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517544A6"/>
    <w:rsid w:val="023C2B54"/>
    <w:rsid w:val="03AF0951"/>
    <w:rsid w:val="03B55068"/>
    <w:rsid w:val="05371A0E"/>
    <w:rsid w:val="059C7FFC"/>
    <w:rsid w:val="06527FC6"/>
    <w:rsid w:val="07A9205B"/>
    <w:rsid w:val="08461C6C"/>
    <w:rsid w:val="090D5D13"/>
    <w:rsid w:val="0A570587"/>
    <w:rsid w:val="0ABE495C"/>
    <w:rsid w:val="0AD344B5"/>
    <w:rsid w:val="0BEF690E"/>
    <w:rsid w:val="0DE458F8"/>
    <w:rsid w:val="0E097B78"/>
    <w:rsid w:val="0F505693"/>
    <w:rsid w:val="0F6F3009"/>
    <w:rsid w:val="0FA15675"/>
    <w:rsid w:val="1038173E"/>
    <w:rsid w:val="127F7224"/>
    <w:rsid w:val="13936B0E"/>
    <w:rsid w:val="140E0A10"/>
    <w:rsid w:val="157F0C8A"/>
    <w:rsid w:val="15DF7B6A"/>
    <w:rsid w:val="16D6713E"/>
    <w:rsid w:val="16FE2B08"/>
    <w:rsid w:val="17097232"/>
    <w:rsid w:val="180C0990"/>
    <w:rsid w:val="188123C3"/>
    <w:rsid w:val="1A851CEA"/>
    <w:rsid w:val="1CDA763F"/>
    <w:rsid w:val="1DD43CFE"/>
    <w:rsid w:val="1EA732A6"/>
    <w:rsid w:val="1EBB15B2"/>
    <w:rsid w:val="1F1A4A51"/>
    <w:rsid w:val="201E5705"/>
    <w:rsid w:val="20D4311C"/>
    <w:rsid w:val="21AE03CF"/>
    <w:rsid w:val="221F15F1"/>
    <w:rsid w:val="223517D8"/>
    <w:rsid w:val="23F73DB0"/>
    <w:rsid w:val="250429DD"/>
    <w:rsid w:val="259D6D58"/>
    <w:rsid w:val="25DF6207"/>
    <w:rsid w:val="26C66A5A"/>
    <w:rsid w:val="26DB353D"/>
    <w:rsid w:val="26FF6321"/>
    <w:rsid w:val="27C82253"/>
    <w:rsid w:val="27F77A53"/>
    <w:rsid w:val="29013090"/>
    <w:rsid w:val="2901669B"/>
    <w:rsid w:val="2A5568FB"/>
    <w:rsid w:val="2A7A79DE"/>
    <w:rsid w:val="2AE449EF"/>
    <w:rsid w:val="2B2B1B0B"/>
    <w:rsid w:val="2BFFF226"/>
    <w:rsid w:val="2C6B3167"/>
    <w:rsid w:val="2C7227C3"/>
    <w:rsid w:val="2CE742DF"/>
    <w:rsid w:val="2D1D6AD8"/>
    <w:rsid w:val="2D3A675D"/>
    <w:rsid w:val="2E4F0578"/>
    <w:rsid w:val="2F357744"/>
    <w:rsid w:val="2F374C5A"/>
    <w:rsid w:val="2FF722FC"/>
    <w:rsid w:val="2FFFAAA7"/>
    <w:rsid w:val="30077137"/>
    <w:rsid w:val="306A65B9"/>
    <w:rsid w:val="323AEA56"/>
    <w:rsid w:val="324E1E79"/>
    <w:rsid w:val="326660F9"/>
    <w:rsid w:val="32CF2F48"/>
    <w:rsid w:val="33791178"/>
    <w:rsid w:val="34B13A8A"/>
    <w:rsid w:val="358110D5"/>
    <w:rsid w:val="35D80965"/>
    <w:rsid w:val="37FB15AB"/>
    <w:rsid w:val="3948248C"/>
    <w:rsid w:val="39AA3E12"/>
    <w:rsid w:val="39B527DE"/>
    <w:rsid w:val="3A0078FA"/>
    <w:rsid w:val="3A4B4EF0"/>
    <w:rsid w:val="3AFFBCAC"/>
    <w:rsid w:val="3B273268"/>
    <w:rsid w:val="3B820DE6"/>
    <w:rsid w:val="3B9D508F"/>
    <w:rsid w:val="3BCC04D8"/>
    <w:rsid w:val="3BFD1F22"/>
    <w:rsid w:val="3C3E01D5"/>
    <w:rsid w:val="3C940DD1"/>
    <w:rsid w:val="3C983125"/>
    <w:rsid w:val="3D5577B1"/>
    <w:rsid w:val="3D5928AA"/>
    <w:rsid w:val="3D5BC4B8"/>
    <w:rsid w:val="3D931088"/>
    <w:rsid w:val="3DF16870"/>
    <w:rsid w:val="3F2F1E2C"/>
    <w:rsid w:val="3F5E60C6"/>
    <w:rsid w:val="3F7DE339"/>
    <w:rsid w:val="3FB734BF"/>
    <w:rsid w:val="3FE69DEE"/>
    <w:rsid w:val="3FEDBBC2"/>
    <w:rsid w:val="406C5D3F"/>
    <w:rsid w:val="431D0717"/>
    <w:rsid w:val="4355648A"/>
    <w:rsid w:val="449E23DD"/>
    <w:rsid w:val="44D64101"/>
    <w:rsid w:val="45F65B7D"/>
    <w:rsid w:val="46410AC4"/>
    <w:rsid w:val="48922976"/>
    <w:rsid w:val="48A37109"/>
    <w:rsid w:val="48B325DE"/>
    <w:rsid w:val="497E69F4"/>
    <w:rsid w:val="4A7F81BA"/>
    <w:rsid w:val="4ACE54AE"/>
    <w:rsid w:val="4B5C3AD0"/>
    <w:rsid w:val="4C115D55"/>
    <w:rsid w:val="4F324243"/>
    <w:rsid w:val="4F35288F"/>
    <w:rsid w:val="4F650DE3"/>
    <w:rsid w:val="4FCE4505"/>
    <w:rsid w:val="50764560"/>
    <w:rsid w:val="50D13F4A"/>
    <w:rsid w:val="517544A6"/>
    <w:rsid w:val="53C8084A"/>
    <w:rsid w:val="542072D7"/>
    <w:rsid w:val="5440050C"/>
    <w:rsid w:val="558B2B87"/>
    <w:rsid w:val="55D250FA"/>
    <w:rsid w:val="56092D10"/>
    <w:rsid w:val="56D37483"/>
    <w:rsid w:val="57143949"/>
    <w:rsid w:val="5745349D"/>
    <w:rsid w:val="584E5E80"/>
    <w:rsid w:val="59380C52"/>
    <w:rsid w:val="59534BD2"/>
    <w:rsid w:val="5A12021A"/>
    <w:rsid w:val="5A37714B"/>
    <w:rsid w:val="5A4C1B6F"/>
    <w:rsid w:val="5ADE2869"/>
    <w:rsid w:val="5CD96E3F"/>
    <w:rsid w:val="5CDF053C"/>
    <w:rsid w:val="5D4705D7"/>
    <w:rsid w:val="5D9C4CE4"/>
    <w:rsid w:val="5DC7796E"/>
    <w:rsid w:val="5DCE1DE2"/>
    <w:rsid w:val="5E1B32D4"/>
    <w:rsid w:val="5E3650C8"/>
    <w:rsid w:val="5EBBBD4E"/>
    <w:rsid w:val="5F304EF5"/>
    <w:rsid w:val="5F667D08"/>
    <w:rsid w:val="5FD50C35"/>
    <w:rsid w:val="5FDF31B3"/>
    <w:rsid w:val="5FF6E5F7"/>
    <w:rsid w:val="60023FC9"/>
    <w:rsid w:val="60053354"/>
    <w:rsid w:val="600D03CE"/>
    <w:rsid w:val="60E2555E"/>
    <w:rsid w:val="60F667AC"/>
    <w:rsid w:val="61504233"/>
    <w:rsid w:val="62F14E48"/>
    <w:rsid w:val="635623E8"/>
    <w:rsid w:val="65FB3E85"/>
    <w:rsid w:val="667C5506"/>
    <w:rsid w:val="66E6F108"/>
    <w:rsid w:val="67636BC9"/>
    <w:rsid w:val="687436E1"/>
    <w:rsid w:val="6942733B"/>
    <w:rsid w:val="6A0670C4"/>
    <w:rsid w:val="6A861FE5"/>
    <w:rsid w:val="6AEE063A"/>
    <w:rsid w:val="6AEF4D95"/>
    <w:rsid w:val="6D77344D"/>
    <w:rsid w:val="6D8A3AF6"/>
    <w:rsid w:val="6E57BA3A"/>
    <w:rsid w:val="6EDE7E0F"/>
    <w:rsid w:val="6F75727E"/>
    <w:rsid w:val="6FB4197D"/>
    <w:rsid w:val="705A28A5"/>
    <w:rsid w:val="70A73F27"/>
    <w:rsid w:val="7100559D"/>
    <w:rsid w:val="711C501E"/>
    <w:rsid w:val="715D15A2"/>
    <w:rsid w:val="718700A6"/>
    <w:rsid w:val="722332C6"/>
    <w:rsid w:val="73640D17"/>
    <w:rsid w:val="73936FCF"/>
    <w:rsid w:val="74762BCD"/>
    <w:rsid w:val="74FF3282"/>
    <w:rsid w:val="77651BE7"/>
    <w:rsid w:val="777A7965"/>
    <w:rsid w:val="77A63DBF"/>
    <w:rsid w:val="77F531EC"/>
    <w:rsid w:val="78EE2DD2"/>
    <w:rsid w:val="793B5B5C"/>
    <w:rsid w:val="79EB224B"/>
    <w:rsid w:val="7A3176E5"/>
    <w:rsid w:val="7BDFB7DE"/>
    <w:rsid w:val="7CBDD26C"/>
    <w:rsid w:val="7D3F3CDC"/>
    <w:rsid w:val="7DDF981B"/>
    <w:rsid w:val="7DF75E7F"/>
    <w:rsid w:val="7E5B3D67"/>
    <w:rsid w:val="7E7062A0"/>
    <w:rsid w:val="7E996B9B"/>
    <w:rsid w:val="7EBAD7BD"/>
    <w:rsid w:val="7EBD2391"/>
    <w:rsid w:val="7F6987A5"/>
    <w:rsid w:val="7FB23D9D"/>
    <w:rsid w:val="7FDDD7DD"/>
    <w:rsid w:val="7FF39559"/>
    <w:rsid w:val="8F594BF4"/>
    <w:rsid w:val="8FAFBB59"/>
    <w:rsid w:val="97FE844B"/>
    <w:rsid w:val="9B95E14F"/>
    <w:rsid w:val="9F8DE047"/>
    <w:rsid w:val="9F9D88B7"/>
    <w:rsid w:val="A5DD6103"/>
    <w:rsid w:val="A7676887"/>
    <w:rsid w:val="B1B7528E"/>
    <w:rsid w:val="B6AF8249"/>
    <w:rsid w:val="B7FB717C"/>
    <w:rsid w:val="BD6F5E10"/>
    <w:rsid w:val="BDE329CA"/>
    <w:rsid w:val="BE9DAD13"/>
    <w:rsid w:val="BFDE7032"/>
    <w:rsid w:val="BFE1563E"/>
    <w:rsid w:val="C5B38584"/>
    <w:rsid w:val="C7FE707C"/>
    <w:rsid w:val="CC7AE444"/>
    <w:rsid w:val="D734E119"/>
    <w:rsid w:val="D73BD35B"/>
    <w:rsid w:val="DD7F0D8F"/>
    <w:rsid w:val="DFA72F52"/>
    <w:rsid w:val="DFDF76F9"/>
    <w:rsid w:val="E2F3BC87"/>
    <w:rsid w:val="E56E9E75"/>
    <w:rsid w:val="E9FEB398"/>
    <w:rsid w:val="ECE51686"/>
    <w:rsid w:val="EDDA383C"/>
    <w:rsid w:val="EFCFF713"/>
    <w:rsid w:val="F2FDCF80"/>
    <w:rsid w:val="F3CFEEE6"/>
    <w:rsid w:val="F6FD011D"/>
    <w:rsid w:val="F7F34287"/>
    <w:rsid w:val="F7FA02C8"/>
    <w:rsid w:val="F9BA5101"/>
    <w:rsid w:val="F9FBAE47"/>
    <w:rsid w:val="FB55CFB7"/>
    <w:rsid w:val="FB5726C7"/>
    <w:rsid w:val="FBB91FEA"/>
    <w:rsid w:val="FD6D2950"/>
    <w:rsid w:val="FDFE36EF"/>
    <w:rsid w:val="FECFDF8F"/>
    <w:rsid w:val="FEF3D37E"/>
    <w:rsid w:val="FF2B8428"/>
    <w:rsid w:val="FF6FEE42"/>
    <w:rsid w:val="FFDF656A"/>
    <w:rsid w:val="FFF711BD"/>
    <w:rsid w:val="FFFF8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7">
    <w:name w:val="heading 2"/>
    <w:basedOn w:val="1"/>
    <w:next w:val="1"/>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8">
    <w:name w:val="heading 3"/>
    <w:basedOn w:val="1"/>
    <w:next w:val="1"/>
    <w:qFormat/>
    <w:uiPriority w:val="0"/>
    <w:pPr>
      <w:keepNext/>
      <w:keepLines/>
      <w:spacing w:before="20" w:after="20" w:line="360" w:lineRule="auto"/>
      <w:outlineLvl w:val="2"/>
    </w:pPr>
    <w:rPr>
      <w:rFonts w:ascii="宋体"/>
      <w:b/>
      <w:kern w:val="0"/>
      <w:sz w:val="28"/>
      <w:szCs w:val="20"/>
    </w:rPr>
  </w:style>
  <w:style w:type="paragraph" w:styleId="9">
    <w:name w:val="heading 4"/>
    <w:basedOn w:val="1"/>
    <w:next w:val="1"/>
    <w:unhideWhenUsed/>
    <w:qFormat/>
    <w:uiPriority w:val="9"/>
    <w:pPr>
      <w:keepNext/>
      <w:keepLines/>
      <w:spacing w:before="120" w:after="120"/>
      <w:outlineLvl w:val="3"/>
    </w:pPr>
    <w:rPr>
      <w:rFonts w:ascii="Cambria" w:hAnsi="Cambria" w:eastAsia="黑体" w:cs="Times New Roman"/>
      <w:bCs/>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sz w:val="24"/>
    </w:rPr>
  </w:style>
  <w:style w:type="paragraph" w:styleId="3">
    <w:name w:val="Normal Indent"/>
    <w:basedOn w:val="1"/>
    <w:next w:val="4"/>
    <w:unhideWhenUsed/>
    <w:qFormat/>
    <w:uiPriority w:val="99"/>
    <w:pPr>
      <w:ind w:firstLine="420" w:firstLineChars="200"/>
    </w:pPr>
  </w:style>
  <w:style w:type="paragraph" w:styleId="4">
    <w:name w:val="Body Text First Indent 2"/>
    <w:basedOn w:val="5"/>
    <w:next w:val="1"/>
    <w:unhideWhenUsed/>
    <w:qFormat/>
    <w:uiPriority w:val="0"/>
    <w:pPr>
      <w:tabs>
        <w:tab w:val="left" w:pos="360"/>
        <w:tab w:val="left" w:pos="900"/>
      </w:tabs>
      <w:ind w:firstLine="420"/>
    </w:pPr>
  </w:style>
  <w:style w:type="paragraph" w:styleId="5">
    <w:name w:val="Body Text Indent"/>
    <w:basedOn w:val="1"/>
    <w:next w:val="1"/>
    <w:semiHidden/>
    <w:qFormat/>
    <w:uiPriority w:val="0"/>
    <w:pPr>
      <w:spacing w:after="120"/>
      <w:ind w:left="420" w:leftChars="200"/>
    </w:pPr>
  </w:style>
  <w:style w:type="paragraph" w:styleId="10">
    <w:name w:val="caption"/>
    <w:basedOn w:val="1"/>
    <w:next w:val="1"/>
    <w:qFormat/>
    <w:uiPriority w:val="0"/>
    <w:pPr>
      <w:spacing w:beforeLines="50" w:afterLines="50" w:line="360" w:lineRule="auto"/>
      <w:ind w:firstLine="200" w:firstLineChars="200"/>
      <w:jc w:val="center"/>
    </w:pPr>
    <w:rPr>
      <w:rFonts w:ascii="Cambria" w:hAnsi="Cambria" w:eastAsia="黑体" w:cstheme="majorBidi"/>
      <w:bCs/>
      <w:sz w:val="20"/>
      <w:szCs w:val="20"/>
    </w:rPr>
  </w:style>
  <w:style w:type="paragraph" w:styleId="11">
    <w:name w:val="annotation text"/>
    <w:basedOn w:val="1"/>
    <w:semiHidden/>
    <w:qFormat/>
    <w:uiPriority w:val="0"/>
    <w:pPr>
      <w:jc w:val="left"/>
    </w:pPr>
    <w:rPr>
      <w:kern w:val="0"/>
      <w:sz w:val="20"/>
    </w:rPr>
  </w:style>
  <w:style w:type="paragraph" w:styleId="12">
    <w:name w:val="Body Text"/>
    <w:basedOn w:val="1"/>
    <w:next w:val="1"/>
    <w:qFormat/>
    <w:uiPriority w:val="0"/>
    <w:pPr>
      <w:widowControl/>
      <w:snapToGrid w:val="0"/>
      <w:spacing w:before="60" w:after="160" w:line="259" w:lineRule="auto"/>
      <w:ind w:right="113"/>
    </w:pPr>
    <w:rPr>
      <w:kern w:val="0"/>
      <w:sz w:val="18"/>
      <w:szCs w:val="18"/>
    </w:rPr>
  </w:style>
  <w:style w:type="paragraph" w:styleId="13">
    <w:name w:val="Plain Text"/>
    <w:basedOn w:val="1"/>
    <w:qFormat/>
    <w:uiPriority w:val="0"/>
    <w:rPr>
      <w:rFonts w:ascii="宋体" w:hAnsi="Courier New" w:cs="Century"/>
      <w:szCs w:val="21"/>
    </w:rPr>
  </w:style>
  <w:style w:type="paragraph" w:styleId="14">
    <w:name w:val="List Bullet 5"/>
    <w:basedOn w:val="1"/>
    <w:qFormat/>
    <w:uiPriority w:val="0"/>
    <w:pPr>
      <w:numPr>
        <w:ilvl w:val="0"/>
        <w:numId w:val="1"/>
      </w:numPr>
    </w:pPr>
  </w:style>
  <w:style w:type="paragraph" w:styleId="15">
    <w:name w:val="Body Text Indent 2"/>
    <w:basedOn w:val="1"/>
    <w:next w:val="1"/>
    <w:qFormat/>
    <w:uiPriority w:val="0"/>
    <w:pPr>
      <w:spacing w:line="360" w:lineRule="auto"/>
      <w:ind w:firstLine="624"/>
    </w:pPr>
    <w:rPr>
      <w:sz w:val="2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Normal (Web)"/>
    <w:basedOn w:val="1"/>
    <w:qFormat/>
    <w:uiPriority w:val="0"/>
    <w:pPr>
      <w:widowControl/>
      <w:spacing w:before="100" w:beforeAutospacing="1" w:after="100" w:afterAutospacing="1"/>
      <w:jc w:val="left"/>
    </w:pPr>
    <w:rPr>
      <w:rFonts w:ascii="宋体" w:hAnsi="宋体"/>
      <w:kern w:val="0"/>
      <w:sz w:val="24"/>
    </w:rPr>
  </w:style>
  <w:style w:type="paragraph" w:styleId="18">
    <w:name w:val="Body Text First Indent"/>
    <w:basedOn w:val="12"/>
    <w:next w:val="1"/>
    <w:qFormat/>
    <w:uiPriority w:val="0"/>
    <w:pPr>
      <w:ind w:firstLine="420" w:firstLineChars="100"/>
    </w:pPr>
  </w:style>
  <w:style w:type="table" w:styleId="20">
    <w:name w:val="Table Grid"/>
    <w:basedOn w:val="1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qFormat/>
    <w:uiPriority w:val="0"/>
  </w:style>
  <w:style w:type="character" w:styleId="24">
    <w:name w:val="annotation reference"/>
    <w:basedOn w:val="21"/>
    <w:semiHidden/>
    <w:qFormat/>
    <w:uiPriority w:val="0"/>
    <w:rPr>
      <w:sz w:val="21"/>
    </w:rPr>
  </w:style>
  <w:style w:type="paragraph" w:customStyle="1" w:styleId="25">
    <w:name w:val="正文中文"/>
    <w:qFormat/>
    <w:uiPriority w:val="4"/>
    <w:pPr>
      <w:spacing w:line="360" w:lineRule="auto"/>
      <w:ind w:firstLine="200" w:firstLineChars="200"/>
      <w:jc w:val="both"/>
    </w:pPr>
    <w:rPr>
      <w:rFonts w:ascii="Times New Roman" w:hAnsi="Times New Roman" w:eastAsia="宋体" w:cs="Times New Roman"/>
      <w:kern w:val="2"/>
      <w:sz w:val="24"/>
      <w:szCs w:val="28"/>
      <w:lang w:val="en-US" w:eastAsia="zh-CN" w:bidi="ar-SA"/>
    </w:rPr>
  </w:style>
  <w:style w:type="paragraph" w:customStyle="1" w:styleId="26">
    <w:name w:val="[1]正文"/>
    <w:basedOn w:val="1"/>
    <w:qFormat/>
    <w:uiPriority w:val="0"/>
    <w:pPr>
      <w:snapToGrid w:val="0"/>
      <w:spacing w:line="360" w:lineRule="auto"/>
      <w:ind w:firstLine="200" w:firstLineChars="200"/>
    </w:pPr>
    <w:rPr>
      <w:rFonts w:cs="Calibri"/>
      <w:kern w:val="0"/>
      <w:sz w:val="24"/>
      <w:szCs w:val="28"/>
    </w:rPr>
  </w:style>
  <w:style w:type="paragraph" w:customStyle="1" w:styleId="2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样式5"/>
    <w:basedOn w:val="1"/>
    <w:qFormat/>
    <w:uiPriority w:val="0"/>
    <w:pPr>
      <w:snapToGrid w:val="0"/>
      <w:spacing w:line="360" w:lineRule="auto"/>
      <w:ind w:firstLine="480" w:firstLineChars="200"/>
    </w:pPr>
    <w:rPr>
      <w:rFonts w:cs="Times New Roman"/>
    </w:rPr>
  </w:style>
  <w:style w:type="paragraph" w:customStyle="1" w:styleId="29">
    <w:name w:val="样式6"/>
    <w:basedOn w:val="30"/>
    <w:qFormat/>
    <w:uiPriority w:val="0"/>
    <w:pPr>
      <w:spacing w:line="240" w:lineRule="auto"/>
      <w:ind w:firstLine="0" w:firstLineChars="0"/>
      <w:jc w:val="center"/>
    </w:pPr>
    <w:rPr>
      <w:rFonts w:ascii="黑体" w:hAnsi="Times New Roman" w:eastAsia="黑体"/>
      <w:szCs w:val="21"/>
    </w:rPr>
  </w:style>
  <w:style w:type="paragraph" w:customStyle="1" w:styleId="30">
    <w:name w:val="样式9"/>
    <w:basedOn w:val="1"/>
    <w:qFormat/>
    <w:uiPriority w:val="0"/>
    <w:pPr>
      <w:snapToGrid w:val="0"/>
      <w:spacing w:line="336" w:lineRule="auto"/>
      <w:ind w:firstLine="480" w:firstLineChars="200"/>
    </w:pPr>
    <w:rPr>
      <w:rFonts w:cs="Times New Roman"/>
    </w:rPr>
  </w:style>
  <w:style w:type="paragraph" w:customStyle="1" w:styleId="31">
    <w:name w:val="表头"/>
    <w:basedOn w:val="1"/>
    <w:qFormat/>
    <w:uiPriority w:val="0"/>
    <w:pPr>
      <w:adjustRightInd w:val="0"/>
      <w:spacing w:line="360" w:lineRule="auto"/>
      <w:textAlignment w:val="baseline"/>
    </w:pPr>
    <w:rPr>
      <w:rFonts w:ascii="Times New Roman" w:hAnsi="Times New Roman" w:eastAsia="黑体" w:cs="Times New Roman"/>
      <w:color w:val="000000"/>
      <w:szCs w:val="20"/>
    </w:rPr>
  </w:style>
  <w:style w:type="paragraph" w:styleId="32">
    <w:name w:val="No Spacing"/>
    <w:basedOn w:val="1"/>
    <w:qFormat/>
    <w:uiPriority w:val="1"/>
    <w:pPr>
      <w:jc w:val="center"/>
    </w:pPr>
    <w:rPr>
      <w:rFonts w:ascii="Calibri" w:hAnsi="Calibri" w:cs="Times New Roman"/>
      <w:b/>
      <w:szCs w:val="32"/>
    </w:rPr>
  </w:style>
  <w:style w:type="paragraph" w:customStyle="1" w:styleId="33">
    <w:name w:val="报告表样式"/>
    <w:basedOn w:val="1"/>
    <w:qFormat/>
    <w:uiPriority w:val="0"/>
    <w:pPr>
      <w:adjustRightInd w:val="0"/>
      <w:snapToGrid w:val="0"/>
      <w:spacing w:line="360" w:lineRule="auto"/>
      <w:ind w:firstLine="200" w:firstLineChars="200"/>
    </w:pPr>
    <w:rPr>
      <w:sz w:val="28"/>
      <w:szCs w:val="28"/>
    </w:rPr>
  </w:style>
  <w:style w:type="paragraph" w:customStyle="1" w:styleId="34">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35">
    <w:name w:val="HP 表格内容"/>
    <w:qFormat/>
    <w:uiPriority w:val="0"/>
    <w:pPr>
      <w:jc w:val="center"/>
    </w:pPr>
    <w:rPr>
      <w:rFonts w:ascii="Calibri" w:hAnsi="Calibri" w:eastAsia="宋体" w:cs="Times New Roman"/>
      <w:sz w:val="21"/>
      <w:szCs w:val="21"/>
      <w:lang w:val="en-US" w:eastAsia="zh-CN" w:bidi="ar-SA"/>
    </w:rPr>
  </w:style>
  <w:style w:type="paragraph" w:customStyle="1" w:styleId="36">
    <w:name w:val="文章正文"/>
    <w:basedOn w:val="1"/>
    <w:qFormat/>
    <w:uiPriority w:val="0"/>
    <w:pPr>
      <w:spacing w:line="440" w:lineRule="exact"/>
      <w:ind w:firstLine="600" w:firstLineChars="200"/>
    </w:pPr>
    <w:rPr>
      <w:kern w:val="0"/>
      <w:sz w:val="24"/>
      <w:szCs w:val="20"/>
    </w:rPr>
  </w:style>
  <w:style w:type="paragraph" w:customStyle="1" w:styleId="37">
    <w:name w:val="样式1"/>
    <w:basedOn w:val="1"/>
    <w:qFormat/>
    <w:uiPriority w:val="0"/>
    <w:pPr>
      <w:spacing w:line="360" w:lineRule="auto"/>
      <w:ind w:firstLine="200" w:firstLineChars="200"/>
    </w:pPr>
    <w:rPr>
      <w:b/>
      <w:sz w:val="24"/>
    </w:rPr>
  </w:style>
  <w:style w:type="table" w:customStyle="1" w:styleId="38">
    <w:name w:val="Table Normal"/>
    <w:semiHidden/>
    <w:unhideWhenUsed/>
    <w:qFormat/>
    <w:uiPriority w:val="0"/>
    <w:tblPr>
      <w:tblCellMar>
        <w:top w:w="0" w:type="dxa"/>
        <w:left w:w="0" w:type="dxa"/>
        <w:bottom w:w="0" w:type="dxa"/>
        <w:right w:w="0" w:type="dxa"/>
      </w:tblCellMar>
    </w:tblPr>
  </w:style>
  <w:style w:type="paragraph" w:customStyle="1" w:styleId="39">
    <w:name w:val="Table Text"/>
    <w:basedOn w:val="1"/>
    <w:semiHidden/>
    <w:qFormat/>
    <w:uiPriority w:val="0"/>
    <w:rPr>
      <w:rFonts w:ascii="宋体" w:hAnsi="宋体" w:eastAsia="宋体" w:cs="宋体"/>
      <w:sz w:val="20"/>
      <w:szCs w:val="20"/>
      <w:lang w:val="en-US" w:eastAsia="en-US" w:bidi="ar-SA"/>
    </w:rPr>
  </w:style>
  <w:style w:type="paragraph" w:customStyle="1" w:styleId="40">
    <w:name w:val="M表头"/>
    <w:basedOn w:val="1"/>
    <w:next w:val="1"/>
    <w:qFormat/>
    <w:uiPriority w:val="0"/>
    <w:pPr>
      <w:ind w:firstLine="200" w:firstLineChars="200"/>
      <w:jc w:val="center"/>
    </w:pPr>
    <w:rPr>
      <w:rFonts w:eastAsia="黑体" w:cs="Times New Roman"/>
      <w:bCs/>
      <w:szCs w:val="21"/>
    </w:rPr>
  </w:style>
  <w:style w:type="paragraph" w:customStyle="1" w:styleId="41">
    <w:name w:val="Other|1"/>
    <w:basedOn w:val="1"/>
    <w:qFormat/>
    <w:uiPriority w:val="0"/>
    <w:pPr>
      <w:widowControl w:val="0"/>
      <w:shd w:val="clear" w:color="auto" w:fill="auto"/>
    </w:pPr>
    <w:rPr>
      <w:rFonts w:ascii="Cambria Math" w:hAnsi="Cambria Math" w:eastAsia="Cambria Math" w:cs="Cambria Math"/>
      <w:sz w:val="30"/>
      <w:szCs w:val="30"/>
      <w:u w:val="none"/>
      <w:shd w:val="clear" w:color="auto" w:fill="auto"/>
      <w:lang w:val="zh-TW" w:eastAsia="zh-TW" w:bidi="zh-TW"/>
    </w:rPr>
  </w:style>
  <w:style w:type="paragraph" w:customStyle="1" w:styleId="42">
    <w:name w:val="样式4"/>
    <w:basedOn w:val="13"/>
    <w:qFormat/>
    <w:uiPriority w:val="0"/>
    <w:pPr>
      <w:snapToGrid w:val="0"/>
      <w:spacing w:line="360" w:lineRule="auto"/>
    </w:pPr>
    <w:rPr>
      <w:rFonts w:ascii="黑体" w:hAnsi="宋体" w:eastAsia="黑体" w:cs="Times New Roman"/>
      <w:kern w:val="2"/>
      <w:sz w:val="24"/>
      <w:szCs w:val="24"/>
    </w:rPr>
  </w:style>
  <w:style w:type="paragraph" w:customStyle="1" w:styleId="43">
    <w:name w:val="表头-格式"/>
    <w:basedOn w:val="1"/>
    <w:qFormat/>
    <w:uiPriority w:val="0"/>
    <w:pPr>
      <w:widowControl/>
      <w:adjustRightInd w:val="0"/>
      <w:snapToGrid w:val="0"/>
      <w:spacing w:line="288" w:lineRule="auto"/>
      <w:ind w:firstLine="0" w:firstLineChars="0"/>
      <w:jc w:val="center"/>
    </w:pPr>
    <w:rPr>
      <w:rFonts w:eastAsia="黑体"/>
      <w:kern w:val="0"/>
      <w:szCs w:val="21"/>
      <w:lang w:val="zh-CN" w:bidi="en-US"/>
    </w:rPr>
  </w:style>
  <w:style w:type="paragraph" w:customStyle="1" w:styleId="44">
    <w:name w:val="表内容"/>
    <w:basedOn w:val="1"/>
    <w:next w:val="1"/>
    <w:qFormat/>
    <w:uiPriority w:val="0"/>
    <w:pPr>
      <w:spacing w:line="320" w:lineRule="exact"/>
      <w:jc w:val="center"/>
    </w:pPr>
    <w:rPr>
      <w:szCs w:val="21"/>
    </w:rPr>
  </w:style>
  <w:style w:type="paragraph" w:customStyle="1" w:styleId="45">
    <w:name w:val="p0"/>
    <w:basedOn w:val="1"/>
    <w:qFormat/>
    <w:uiPriority w:val="0"/>
    <w:pPr>
      <w:widowControl/>
      <w:spacing w:line="480" w:lineRule="atLeast"/>
    </w:pPr>
    <w:rPr>
      <w:rFonts w:ascii="Arial" w:hAnsi="Arial" w:cs="Arial"/>
      <w:kern w:val="0"/>
      <w:sz w:val="28"/>
      <w:szCs w:val="28"/>
    </w:rPr>
  </w:style>
  <w:style w:type="paragraph" w:customStyle="1" w:styleId="46">
    <w:name w:val="正文1"/>
    <w:basedOn w:val="1"/>
    <w:qFormat/>
    <w:uiPriority w:val="0"/>
    <w:pPr>
      <w:snapToGrid w:val="0"/>
      <w:spacing w:line="360" w:lineRule="auto"/>
      <w:ind w:firstLine="573"/>
      <w:jc w:val="both"/>
    </w:pPr>
    <w:rPr>
      <w:rFonts w:ascii="Times New Roman" w:hAnsi="Times New Roman" w:eastAsia="宋体"/>
      <w:sz w:val="24"/>
      <w:szCs w:val="24"/>
    </w:rPr>
  </w:style>
  <w:style w:type="character" w:customStyle="1" w:styleId="47">
    <w:name w:val="特点标题 Char"/>
    <w:qFormat/>
    <w:uiPriority w:val="0"/>
    <w:rPr>
      <w:rFonts w:ascii="宋体" w:hAnsi="宋体" w:eastAsia="宋体"/>
      <w:kern w:val="2"/>
      <w:sz w:val="24"/>
      <w:szCs w:val="24"/>
      <w:lang w:val="en-US" w:eastAsia="zh-CN" w:bidi="ar-SA"/>
    </w:rPr>
  </w:style>
  <w:style w:type="paragraph" w:customStyle="1" w:styleId="48">
    <w:name w:val="表格文字"/>
    <w:qFormat/>
    <w:uiPriority w:val="0"/>
    <w:pPr>
      <w:snapToGrid w:val="0"/>
      <w:jc w:val="center"/>
    </w:pPr>
    <w:rPr>
      <w:rFonts w:ascii="Arial Narrow" w:hAnsi="Arial Narrow" w:eastAsia="汉鼎简书宋"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11465</Words>
  <Characters>13312</Characters>
  <Lines>0</Lines>
  <Paragraphs>0</Paragraphs>
  <TotalTime>12</TotalTime>
  <ScaleCrop>false</ScaleCrop>
  <LinksUpToDate>false</LinksUpToDate>
  <CharactersWithSpaces>13356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2022-05-18T08:14:00Z</dcterms:created>
  <dc:creator>平生我自知</dc:creator>
  <cp:lastModifiedBy>阿梅</cp:lastModifiedBy>
  <cp:lastPrinted>2022-06-24T01:41:00Z</cp:lastPrinted>
  <dcterms:modified xsi:type="dcterms:W3CDTF">2026-02-13T01:12:43Z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9950A21ADF074FB4A440ACC166280FCE_13</vt:lpwstr>
  </property>
  <property fmtid="{D5CDD505-2E9C-101B-9397-08002B2CF9AE}" pid="4" name="KSOTemplateDocerSaveRecord">
    <vt:lpwstr>eyJoZGlkIjoiZGQ3NTJmM2RkMGY0YzIzMmIwZThlYTNiYzc1NDlkYzYiLCJ1c2VySWQiOiI0NDkzNzgwMDQifQ==</vt:lpwstr>
  </property>
</Properties>
</file>