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024959">
      <w:pPr>
        <w:rPr>
          <w:rFonts w:eastAsia="仿宋_GB2312"/>
          <w:sz w:val="36"/>
          <w:szCs w:val="36"/>
        </w:rPr>
      </w:pPr>
    </w:p>
    <w:p w14:paraId="6A90EE5E">
      <w:pPr>
        <w:rPr>
          <w:rFonts w:eastAsia="仿宋_GB2312"/>
          <w:sz w:val="36"/>
          <w:szCs w:val="36"/>
        </w:rPr>
      </w:pPr>
    </w:p>
    <w:p w14:paraId="432D711E">
      <w:pPr>
        <w:rPr>
          <w:rFonts w:eastAsia="仿宋_GB2312"/>
          <w:sz w:val="36"/>
          <w:szCs w:val="36"/>
        </w:rPr>
      </w:pPr>
    </w:p>
    <w:p w14:paraId="4F5A3524">
      <w:pPr>
        <w:rPr>
          <w:rFonts w:eastAsia="仿宋_GB2312"/>
          <w:sz w:val="36"/>
          <w:szCs w:val="36"/>
        </w:rPr>
      </w:pPr>
    </w:p>
    <w:p w14:paraId="3B4AED17">
      <w:pPr>
        <w:rPr>
          <w:rFonts w:eastAsia="仿宋_GB2312"/>
          <w:sz w:val="36"/>
          <w:szCs w:val="36"/>
        </w:rPr>
      </w:pPr>
    </w:p>
    <w:p w14:paraId="32C929E0">
      <w:pPr>
        <w:adjustRightInd w:val="0"/>
        <w:snapToGrid w:val="0"/>
        <w:jc w:val="center"/>
        <w:outlineLvl w:val="0"/>
        <w:rPr>
          <w:rFonts w:eastAsia="方正小标宋_GBK"/>
          <w:bCs/>
          <w:sz w:val="72"/>
          <w:szCs w:val="72"/>
        </w:rPr>
      </w:pPr>
      <w:r>
        <w:rPr>
          <w:rFonts w:eastAsia="方正小标宋_GBK"/>
          <w:bCs/>
          <w:sz w:val="72"/>
          <w:szCs w:val="72"/>
        </w:rPr>
        <w:t>建设项目环境影响报告表</w:t>
      </w:r>
    </w:p>
    <w:p w14:paraId="390F8E7F">
      <w:pPr>
        <w:adjustRightInd w:val="0"/>
        <w:snapToGrid w:val="0"/>
        <w:spacing w:before="192" w:beforeLines="80"/>
        <w:jc w:val="center"/>
        <w:rPr>
          <w:rFonts w:hint="eastAsia" w:eastAsia="楷体_GB2312"/>
          <w:bCs/>
          <w:sz w:val="48"/>
          <w:szCs w:val="48"/>
          <w:lang w:eastAsia="zh-CN"/>
        </w:rPr>
      </w:pPr>
      <w:r>
        <w:rPr>
          <w:rFonts w:hint="eastAsia" w:eastAsia="楷体_GB2312"/>
          <w:bCs/>
          <w:sz w:val="48"/>
          <w:szCs w:val="48"/>
          <w:lang w:eastAsia="zh-CN"/>
        </w:rPr>
        <w:t>（</w:t>
      </w:r>
      <w:r>
        <w:rPr>
          <w:rFonts w:eastAsia="楷体_GB2312"/>
          <w:bCs/>
          <w:sz w:val="48"/>
          <w:szCs w:val="48"/>
        </w:rPr>
        <w:t>污染影响类</w:t>
      </w:r>
      <w:r>
        <w:rPr>
          <w:rFonts w:hint="eastAsia" w:eastAsia="楷体_GB2312"/>
          <w:bCs/>
          <w:sz w:val="48"/>
          <w:szCs w:val="48"/>
          <w:lang w:eastAsia="zh-CN"/>
        </w:rPr>
        <w:t>）</w:t>
      </w:r>
    </w:p>
    <w:p w14:paraId="27EDA7CD"/>
    <w:p w14:paraId="156AB321"/>
    <w:p w14:paraId="5091A077">
      <w:pPr>
        <w:ind w:firstLine="1040"/>
        <w:rPr>
          <w:rFonts w:eastAsia="仿宋"/>
          <w:sz w:val="44"/>
          <w:szCs w:val="44"/>
        </w:rPr>
      </w:pPr>
    </w:p>
    <w:p w14:paraId="1B0C4228">
      <w:pPr>
        <w:ind w:firstLine="1040"/>
        <w:rPr>
          <w:rFonts w:eastAsia="仿宋"/>
          <w:sz w:val="44"/>
          <w:szCs w:val="44"/>
        </w:rPr>
      </w:pPr>
    </w:p>
    <w:p w14:paraId="4EC6A97D">
      <w:pPr>
        <w:ind w:firstLine="1040"/>
        <w:rPr>
          <w:rFonts w:eastAsia="仿宋"/>
          <w:sz w:val="44"/>
          <w:szCs w:val="44"/>
        </w:rPr>
      </w:pPr>
    </w:p>
    <w:p w14:paraId="1B6F20C1">
      <w:pPr>
        <w:adjustRightInd w:val="0"/>
        <w:snapToGrid w:val="0"/>
        <w:spacing w:line="360" w:lineRule="auto"/>
        <w:rPr>
          <w:rFonts w:eastAsia="仿宋"/>
          <w:sz w:val="44"/>
          <w:szCs w:val="44"/>
        </w:rPr>
      </w:pPr>
    </w:p>
    <w:p w14:paraId="7A9E3290">
      <w:pPr>
        <w:pStyle w:val="4"/>
      </w:pPr>
    </w:p>
    <w:p w14:paraId="1C75FF32"/>
    <w:p w14:paraId="11AA7BAD">
      <w:pPr>
        <w:pStyle w:val="4"/>
      </w:pPr>
    </w:p>
    <w:p w14:paraId="1B289612"/>
    <w:p w14:paraId="7E7D3C8B"/>
    <w:p w14:paraId="742BF2C6">
      <w:pPr>
        <w:adjustRightInd w:val="0"/>
        <w:snapToGrid w:val="0"/>
        <w:spacing w:line="480" w:lineRule="auto"/>
        <w:ind w:left="1844" w:leftChars="153" w:right="338" w:rightChars="161" w:hanging="1523" w:hangingChars="474"/>
        <w:rPr>
          <w:rFonts w:eastAsia="仿宋_GB2312"/>
          <w:b/>
          <w:bCs/>
          <w:iCs/>
          <w:sz w:val="32"/>
          <w:szCs w:val="32"/>
          <w:u w:val="single"/>
        </w:rPr>
      </w:pPr>
      <w:r>
        <w:rPr>
          <w:rFonts w:eastAsia="仿宋_GB2312"/>
          <w:b/>
          <w:bCs/>
          <w:sz w:val="32"/>
          <w:szCs w:val="32"/>
        </w:rPr>
        <w:t>项目名称：</w:t>
      </w:r>
      <w:r>
        <w:rPr>
          <w:rFonts w:eastAsia="仿宋_GB2312"/>
          <w:b/>
          <w:bCs/>
          <w:sz w:val="32"/>
          <w:szCs w:val="32"/>
          <w:u w:val="single"/>
        </w:rPr>
        <w:t>内蒙古钲泰公路工程建设有限公司独贵塔拉拌合站项目</w:t>
      </w:r>
    </w:p>
    <w:p w14:paraId="702D53C8">
      <w:pPr>
        <w:adjustRightInd w:val="0"/>
        <w:snapToGrid w:val="0"/>
        <w:spacing w:line="480" w:lineRule="auto"/>
        <w:ind w:firstLine="321" w:firstLineChars="100"/>
        <w:rPr>
          <w:rFonts w:eastAsia="仿宋_GB2312"/>
          <w:b/>
          <w:bCs/>
          <w:iCs/>
          <w:sz w:val="32"/>
          <w:szCs w:val="32"/>
          <w:u w:val="single"/>
        </w:rPr>
      </w:pPr>
      <w:r>
        <w:rPr>
          <w:rFonts w:eastAsia="仿宋_GB2312"/>
          <w:b/>
          <w:bCs/>
          <w:sz w:val="32"/>
          <w:szCs w:val="32"/>
        </w:rPr>
        <w:t>建设单位</w:t>
      </w:r>
      <w:r>
        <w:rPr>
          <w:rFonts w:hint="eastAsia" w:eastAsia="仿宋_GB2312"/>
          <w:b/>
          <w:bCs/>
          <w:sz w:val="32"/>
          <w:szCs w:val="32"/>
          <w:lang w:eastAsia="zh-CN"/>
        </w:rPr>
        <w:t>（</w:t>
      </w:r>
      <w:r>
        <w:rPr>
          <w:rFonts w:eastAsia="仿宋_GB2312"/>
          <w:b/>
          <w:bCs/>
          <w:sz w:val="32"/>
          <w:szCs w:val="32"/>
        </w:rPr>
        <w:t>盖章</w:t>
      </w:r>
      <w:r>
        <w:rPr>
          <w:rFonts w:hint="eastAsia" w:eastAsia="仿宋_GB2312"/>
          <w:b/>
          <w:bCs/>
          <w:sz w:val="32"/>
          <w:szCs w:val="32"/>
          <w:lang w:eastAsia="zh-CN"/>
        </w:rPr>
        <w:t>）</w:t>
      </w:r>
      <w:r>
        <w:rPr>
          <w:rFonts w:eastAsia="仿宋_GB2312"/>
          <w:b/>
          <w:bCs/>
          <w:sz w:val="32"/>
          <w:szCs w:val="32"/>
        </w:rPr>
        <w:t>：</w:t>
      </w:r>
      <w:r>
        <w:rPr>
          <w:rFonts w:eastAsia="仿宋_GB2312"/>
          <w:b/>
          <w:bCs/>
          <w:sz w:val="32"/>
          <w:szCs w:val="32"/>
          <w:u w:val="single"/>
        </w:rPr>
        <w:t>内蒙古钲泰公路工程建设有限公司</w:t>
      </w:r>
      <w:r>
        <w:rPr>
          <w:rFonts w:hint="eastAsia" w:eastAsia="仿宋_GB2312"/>
          <w:b/>
          <w:bCs/>
          <w:sz w:val="32"/>
          <w:szCs w:val="32"/>
          <w:u w:val="single"/>
        </w:rPr>
        <w:t xml:space="preserve">  </w:t>
      </w:r>
    </w:p>
    <w:p w14:paraId="1198B947">
      <w:pPr>
        <w:adjustRightInd w:val="0"/>
        <w:snapToGrid w:val="0"/>
        <w:spacing w:line="480" w:lineRule="auto"/>
        <w:ind w:firstLine="321" w:firstLineChars="100"/>
        <w:rPr>
          <w:rFonts w:eastAsia="仿宋_GB2312"/>
          <w:b/>
          <w:bCs/>
          <w:sz w:val="32"/>
          <w:szCs w:val="32"/>
          <w:u w:val="single"/>
        </w:rPr>
      </w:pPr>
      <w:r>
        <w:rPr>
          <w:rFonts w:eastAsia="仿宋_GB2312"/>
          <w:b/>
          <w:bCs/>
          <w:sz w:val="32"/>
          <w:szCs w:val="32"/>
        </w:rPr>
        <w:t xml:space="preserve">编制日期： </w:t>
      </w:r>
      <w:r>
        <w:rPr>
          <w:rFonts w:hint="eastAsia" w:eastAsia="仿宋_GB2312"/>
          <w:b/>
          <w:bCs/>
          <w:sz w:val="32"/>
          <w:szCs w:val="32"/>
          <w:u w:val="single"/>
        </w:rPr>
        <w:t xml:space="preserve">             2024</w:t>
      </w:r>
      <w:r>
        <w:rPr>
          <w:rFonts w:eastAsia="仿宋_GB2312"/>
          <w:b/>
          <w:bCs/>
          <w:sz w:val="32"/>
          <w:szCs w:val="32"/>
          <w:u w:val="single"/>
        </w:rPr>
        <w:t>年</w:t>
      </w:r>
      <w:r>
        <w:rPr>
          <w:rFonts w:hint="eastAsia" w:eastAsia="仿宋_GB2312"/>
          <w:b/>
          <w:bCs/>
          <w:sz w:val="32"/>
          <w:szCs w:val="32"/>
          <w:u w:val="single"/>
        </w:rPr>
        <w:t>9</w:t>
      </w:r>
      <w:r>
        <w:rPr>
          <w:rFonts w:eastAsia="仿宋_GB2312"/>
          <w:b/>
          <w:bCs/>
          <w:sz w:val="32"/>
          <w:szCs w:val="32"/>
          <w:u w:val="single"/>
        </w:rPr>
        <w:t>月</w:t>
      </w:r>
      <w:bookmarkStart w:id="0" w:name="_Hlk57884087"/>
      <w:r>
        <w:rPr>
          <w:rFonts w:hint="eastAsia" w:eastAsia="仿宋_GB2312"/>
          <w:b/>
          <w:bCs/>
          <w:sz w:val="32"/>
          <w:szCs w:val="32"/>
          <w:u w:val="single"/>
        </w:rPr>
        <w:t xml:space="preserve">               </w:t>
      </w:r>
    </w:p>
    <w:bookmarkEnd w:id="0"/>
    <w:p w14:paraId="5EE7CAE9">
      <w:pPr>
        <w:adjustRightInd w:val="0"/>
        <w:snapToGrid w:val="0"/>
        <w:spacing w:line="288" w:lineRule="auto"/>
        <w:jc w:val="center"/>
        <w:rPr>
          <w:rFonts w:eastAsia="仿宋_GB2312"/>
          <w:b/>
          <w:bCs/>
          <w:sz w:val="36"/>
          <w:szCs w:val="36"/>
        </w:rPr>
      </w:pPr>
    </w:p>
    <w:p w14:paraId="1E26301B">
      <w:pPr>
        <w:adjustRightInd w:val="0"/>
        <w:snapToGrid w:val="0"/>
        <w:spacing w:line="288" w:lineRule="auto"/>
        <w:jc w:val="center"/>
        <w:rPr>
          <w:rFonts w:eastAsia="仿宋_GB2312"/>
          <w:b/>
          <w:bCs/>
          <w:sz w:val="36"/>
          <w:szCs w:val="36"/>
        </w:rPr>
      </w:pPr>
      <w:r>
        <w:rPr>
          <w:rFonts w:eastAsia="仿宋_GB2312"/>
          <w:b/>
          <w:bCs/>
          <w:sz w:val="36"/>
          <w:szCs w:val="36"/>
        </w:rPr>
        <w:t>中华人民共和国生态环境部制</w:t>
      </w:r>
    </w:p>
    <w:p w14:paraId="7D714028">
      <w:pPr>
        <w:widowControl/>
        <w:jc w:val="left"/>
        <w:rPr>
          <w:rFonts w:eastAsia="仿宋_GB2312"/>
          <w:sz w:val="36"/>
          <w:szCs w:val="36"/>
        </w:rPr>
        <w:sectPr>
          <w:footerReference r:id="rId3" w:type="default"/>
          <w:footerReference r:id="rId4" w:type="even"/>
          <w:pgSz w:w="11906" w:h="16838"/>
          <w:pgMar w:top="1701" w:right="1531" w:bottom="1701" w:left="1531" w:header="851" w:footer="1077" w:gutter="0"/>
          <w:pgNumType w:start="1"/>
          <w:cols w:space="720" w:num="1"/>
          <w:docGrid w:linePitch="312" w:charSpace="0"/>
        </w:sectPr>
      </w:pPr>
    </w:p>
    <w:p w14:paraId="79109414">
      <w:pPr>
        <w:pStyle w:val="13"/>
        <w:jc w:val="center"/>
        <w:outlineLvl w:val="0"/>
        <w:rPr>
          <w:rFonts w:ascii="Times New Roman" w:hAnsi="Times New Roman" w:eastAsia="黑体"/>
          <w:snapToGrid w:val="0"/>
          <w:sz w:val="30"/>
          <w:szCs w:val="30"/>
        </w:rPr>
      </w:pPr>
      <w:r>
        <w:rPr>
          <w:rFonts w:ascii="Times New Roman" w:hAnsi="Times New Roman" w:eastAsia="黑体"/>
          <w:snapToGrid w:val="0"/>
          <w:sz w:val="30"/>
          <w:szCs w:val="30"/>
        </w:rPr>
        <w:t>一、建设项目基本情况</w:t>
      </w:r>
    </w:p>
    <w:tbl>
      <w:tblPr>
        <w:tblStyle w:val="16"/>
        <w:tblW w:w="882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123"/>
        <w:gridCol w:w="1820"/>
        <w:gridCol w:w="2116"/>
        <w:gridCol w:w="2762"/>
      </w:tblGrid>
      <w:tr w14:paraId="130849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3953CE1F">
            <w:pPr>
              <w:adjustRightInd w:val="0"/>
              <w:snapToGrid w:val="0"/>
              <w:jc w:val="center"/>
              <w:rPr>
                <w:sz w:val="24"/>
              </w:rPr>
            </w:pPr>
            <w:r>
              <w:rPr>
                <w:sz w:val="24"/>
              </w:rPr>
              <w:t>建设项目名称</w:t>
            </w:r>
          </w:p>
        </w:tc>
        <w:tc>
          <w:tcPr>
            <w:tcW w:w="6698" w:type="dxa"/>
            <w:gridSpan w:val="3"/>
            <w:vAlign w:val="center"/>
          </w:tcPr>
          <w:p w14:paraId="625366DF">
            <w:pPr>
              <w:adjustRightInd w:val="0"/>
              <w:snapToGrid w:val="0"/>
              <w:jc w:val="center"/>
              <w:rPr>
                <w:sz w:val="24"/>
              </w:rPr>
            </w:pPr>
            <w:bookmarkStart w:id="1" w:name="_Hlk174999957"/>
            <w:r>
              <w:rPr>
                <w:sz w:val="24"/>
              </w:rPr>
              <w:t>内蒙古钲泰公路工程建设有限公司独贵塔拉拌合站项目</w:t>
            </w:r>
            <w:bookmarkEnd w:id="1"/>
          </w:p>
        </w:tc>
      </w:tr>
      <w:tr w14:paraId="15FF05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2E4E98D8">
            <w:pPr>
              <w:adjustRightInd w:val="0"/>
              <w:snapToGrid w:val="0"/>
              <w:jc w:val="center"/>
              <w:rPr>
                <w:sz w:val="24"/>
              </w:rPr>
            </w:pPr>
            <w:r>
              <w:rPr>
                <w:sz w:val="24"/>
              </w:rPr>
              <w:t>项目代码</w:t>
            </w:r>
          </w:p>
        </w:tc>
        <w:tc>
          <w:tcPr>
            <w:tcW w:w="6698" w:type="dxa"/>
            <w:gridSpan w:val="3"/>
            <w:vAlign w:val="center"/>
          </w:tcPr>
          <w:p w14:paraId="3B71ED63">
            <w:pPr>
              <w:adjustRightInd w:val="0"/>
              <w:snapToGrid w:val="0"/>
              <w:jc w:val="center"/>
              <w:rPr>
                <w:sz w:val="24"/>
              </w:rPr>
            </w:pPr>
            <w:r>
              <w:rPr>
                <w:sz w:val="24"/>
              </w:rPr>
              <w:t>2407-150625-04-05-695771</w:t>
            </w:r>
          </w:p>
        </w:tc>
      </w:tr>
      <w:tr w14:paraId="3DF581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53780F88">
            <w:pPr>
              <w:adjustRightInd w:val="0"/>
              <w:snapToGrid w:val="0"/>
              <w:jc w:val="center"/>
              <w:rPr>
                <w:sz w:val="24"/>
              </w:rPr>
            </w:pPr>
            <w:r>
              <w:rPr>
                <w:sz w:val="24"/>
              </w:rPr>
              <w:t>建设单位联系人</w:t>
            </w:r>
          </w:p>
        </w:tc>
        <w:tc>
          <w:tcPr>
            <w:tcW w:w="1820" w:type="dxa"/>
            <w:vAlign w:val="center"/>
          </w:tcPr>
          <w:p w14:paraId="7F89147A">
            <w:pPr>
              <w:adjustRightInd w:val="0"/>
              <w:snapToGrid w:val="0"/>
              <w:jc w:val="center"/>
              <w:rPr>
                <w:sz w:val="24"/>
              </w:rPr>
            </w:pPr>
            <w:r>
              <w:rPr>
                <w:sz w:val="24"/>
              </w:rPr>
              <w:t>郭雪峰</w:t>
            </w:r>
          </w:p>
        </w:tc>
        <w:tc>
          <w:tcPr>
            <w:tcW w:w="2116" w:type="dxa"/>
            <w:vAlign w:val="center"/>
          </w:tcPr>
          <w:p w14:paraId="3211186D">
            <w:pPr>
              <w:adjustRightInd w:val="0"/>
              <w:snapToGrid w:val="0"/>
              <w:jc w:val="center"/>
              <w:rPr>
                <w:sz w:val="24"/>
              </w:rPr>
            </w:pPr>
            <w:r>
              <w:rPr>
                <w:sz w:val="24"/>
              </w:rPr>
              <w:t>联系方式</w:t>
            </w:r>
          </w:p>
        </w:tc>
        <w:tc>
          <w:tcPr>
            <w:tcW w:w="2762" w:type="dxa"/>
            <w:vAlign w:val="center"/>
          </w:tcPr>
          <w:p w14:paraId="5ED2FF19">
            <w:pPr>
              <w:adjustRightInd w:val="0"/>
              <w:snapToGrid w:val="0"/>
              <w:jc w:val="center"/>
              <w:rPr>
                <w:sz w:val="24"/>
              </w:rPr>
            </w:pPr>
            <w:r>
              <w:rPr>
                <w:sz w:val="24"/>
              </w:rPr>
              <w:t>18004777009</w:t>
            </w:r>
          </w:p>
        </w:tc>
      </w:tr>
      <w:tr w14:paraId="38D02E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0880D8DA">
            <w:pPr>
              <w:adjustRightInd w:val="0"/>
              <w:snapToGrid w:val="0"/>
              <w:jc w:val="center"/>
              <w:rPr>
                <w:sz w:val="24"/>
              </w:rPr>
            </w:pPr>
            <w:r>
              <w:rPr>
                <w:sz w:val="24"/>
              </w:rPr>
              <w:t>建设地点</w:t>
            </w:r>
          </w:p>
        </w:tc>
        <w:tc>
          <w:tcPr>
            <w:tcW w:w="6698" w:type="dxa"/>
            <w:gridSpan w:val="3"/>
            <w:vAlign w:val="center"/>
          </w:tcPr>
          <w:p w14:paraId="3E162658">
            <w:pPr>
              <w:adjustRightInd w:val="0"/>
              <w:snapToGrid w:val="0"/>
              <w:jc w:val="center"/>
              <w:rPr>
                <w:sz w:val="24"/>
              </w:rPr>
            </w:pPr>
            <w:r>
              <w:rPr>
                <w:sz w:val="24"/>
              </w:rPr>
              <w:t>鄂尔多斯市杭锦旗独贵塔拉镇图古日格嘎查</w:t>
            </w:r>
          </w:p>
        </w:tc>
      </w:tr>
      <w:tr w14:paraId="75437D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3FCEF537">
            <w:pPr>
              <w:adjustRightInd w:val="0"/>
              <w:snapToGrid w:val="0"/>
              <w:jc w:val="center"/>
              <w:rPr>
                <w:sz w:val="24"/>
              </w:rPr>
            </w:pPr>
            <w:r>
              <w:rPr>
                <w:sz w:val="24"/>
              </w:rPr>
              <w:t>地理坐标</w:t>
            </w:r>
          </w:p>
        </w:tc>
        <w:tc>
          <w:tcPr>
            <w:tcW w:w="6698" w:type="dxa"/>
            <w:gridSpan w:val="3"/>
            <w:vAlign w:val="center"/>
          </w:tcPr>
          <w:p w14:paraId="1872ABD5">
            <w:pPr>
              <w:jc w:val="center"/>
              <w:rPr>
                <w:rFonts w:hint="eastAsia" w:eastAsia="宋体"/>
                <w:sz w:val="24"/>
                <w:lang w:eastAsia="zh-CN"/>
              </w:rPr>
            </w:pPr>
            <w:r>
              <w:rPr>
                <w:rFonts w:hint="eastAsia"/>
                <w:sz w:val="24"/>
                <w:lang w:eastAsia="zh-CN"/>
              </w:rPr>
              <w:t>（</w:t>
            </w:r>
            <w:r>
              <w:rPr>
                <w:sz w:val="24"/>
                <w:u w:val="single"/>
              </w:rPr>
              <w:t xml:space="preserve">108 </w:t>
            </w:r>
            <w:r>
              <w:rPr>
                <w:sz w:val="24"/>
              </w:rPr>
              <w:t>度</w:t>
            </w:r>
            <w:r>
              <w:rPr>
                <w:sz w:val="24"/>
                <w:u w:val="single"/>
              </w:rPr>
              <w:t xml:space="preserve"> 38 </w:t>
            </w:r>
            <w:r>
              <w:rPr>
                <w:sz w:val="24"/>
              </w:rPr>
              <w:t>分</w:t>
            </w:r>
            <w:r>
              <w:rPr>
                <w:sz w:val="24"/>
                <w:u w:val="single"/>
              </w:rPr>
              <w:t xml:space="preserve"> 22.594 </w:t>
            </w:r>
            <w:r>
              <w:rPr>
                <w:sz w:val="24"/>
              </w:rPr>
              <w:t>秒，</w:t>
            </w:r>
            <w:r>
              <w:rPr>
                <w:sz w:val="24"/>
                <w:u w:val="single"/>
              </w:rPr>
              <w:t xml:space="preserve"> 40 </w:t>
            </w:r>
            <w:r>
              <w:rPr>
                <w:sz w:val="24"/>
              </w:rPr>
              <w:t>度</w:t>
            </w:r>
            <w:r>
              <w:rPr>
                <w:sz w:val="24"/>
                <w:u w:val="single"/>
              </w:rPr>
              <w:t xml:space="preserve"> 26 </w:t>
            </w:r>
            <w:r>
              <w:rPr>
                <w:sz w:val="24"/>
              </w:rPr>
              <w:t>分</w:t>
            </w:r>
            <w:r>
              <w:rPr>
                <w:sz w:val="24"/>
                <w:u w:val="single"/>
              </w:rPr>
              <w:t xml:space="preserve"> 19.364 </w:t>
            </w:r>
            <w:r>
              <w:rPr>
                <w:sz w:val="24"/>
              </w:rPr>
              <w:t>秒</w:t>
            </w:r>
            <w:r>
              <w:rPr>
                <w:rFonts w:hint="eastAsia"/>
                <w:sz w:val="24"/>
                <w:lang w:eastAsia="zh-CN"/>
              </w:rPr>
              <w:t>）</w:t>
            </w:r>
          </w:p>
        </w:tc>
      </w:tr>
      <w:tr w14:paraId="0FE87E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123" w:type="dxa"/>
            <w:tcMar>
              <w:top w:w="16" w:type="dxa"/>
              <w:left w:w="16" w:type="dxa"/>
              <w:right w:w="16" w:type="dxa"/>
            </w:tcMar>
            <w:vAlign w:val="center"/>
          </w:tcPr>
          <w:p w14:paraId="63505D2C">
            <w:pPr>
              <w:adjustRightInd w:val="0"/>
              <w:snapToGrid w:val="0"/>
              <w:jc w:val="center"/>
              <w:rPr>
                <w:sz w:val="24"/>
              </w:rPr>
            </w:pPr>
            <w:r>
              <w:rPr>
                <w:sz w:val="24"/>
              </w:rPr>
              <w:t>国民经济</w:t>
            </w:r>
          </w:p>
          <w:p w14:paraId="77750269">
            <w:pPr>
              <w:adjustRightInd w:val="0"/>
              <w:snapToGrid w:val="0"/>
              <w:jc w:val="center"/>
              <w:rPr>
                <w:sz w:val="24"/>
              </w:rPr>
            </w:pPr>
            <w:r>
              <w:rPr>
                <w:sz w:val="24"/>
              </w:rPr>
              <w:t>行业类别</w:t>
            </w:r>
          </w:p>
        </w:tc>
        <w:tc>
          <w:tcPr>
            <w:tcW w:w="1820" w:type="dxa"/>
            <w:vAlign w:val="center"/>
          </w:tcPr>
          <w:p w14:paraId="60ED4A92">
            <w:pPr>
              <w:adjustRightInd w:val="0"/>
              <w:snapToGrid w:val="0"/>
              <w:jc w:val="center"/>
              <w:rPr>
                <w:sz w:val="24"/>
              </w:rPr>
            </w:pPr>
            <w:r>
              <w:rPr>
                <w:sz w:val="24"/>
              </w:rPr>
              <w:t>C3021水泥制品制造</w:t>
            </w:r>
          </w:p>
        </w:tc>
        <w:tc>
          <w:tcPr>
            <w:tcW w:w="2116" w:type="dxa"/>
            <w:vAlign w:val="center"/>
          </w:tcPr>
          <w:p w14:paraId="321E761D">
            <w:pPr>
              <w:adjustRightInd w:val="0"/>
              <w:snapToGrid w:val="0"/>
              <w:jc w:val="center"/>
              <w:rPr>
                <w:sz w:val="24"/>
              </w:rPr>
            </w:pPr>
            <w:bookmarkStart w:id="2" w:name="_Hlk49843745"/>
            <w:r>
              <w:rPr>
                <w:sz w:val="24"/>
              </w:rPr>
              <w:t>建设项目</w:t>
            </w:r>
          </w:p>
          <w:p w14:paraId="68DB177A">
            <w:pPr>
              <w:adjustRightInd w:val="0"/>
              <w:snapToGrid w:val="0"/>
              <w:jc w:val="center"/>
              <w:rPr>
                <w:sz w:val="24"/>
              </w:rPr>
            </w:pPr>
            <w:r>
              <w:rPr>
                <w:sz w:val="24"/>
              </w:rPr>
              <w:t>行业类别</w:t>
            </w:r>
            <w:bookmarkEnd w:id="2"/>
          </w:p>
        </w:tc>
        <w:tc>
          <w:tcPr>
            <w:tcW w:w="2762" w:type="dxa"/>
            <w:vAlign w:val="center"/>
          </w:tcPr>
          <w:p w14:paraId="3D3D2B42">
            <w:pPr>
              <w:adjustRightInd w:val="0"/>
              <w:snapToGrid w:val="0"/>
              <w:rPr>
                <w:sz w:val="24"/>
              </w:rPr>
            </w:pPr>
            <w:r>
              <w:rPr>
                <w:sz w:val="24"/>
              </w:rPr>
              <w:t>二十七、非金属矿物制品业 55石膏、水泥制品及类似制品制造</w:t>
            </w:r>
          </w:p>
        </w:tc>
      </w:tr>
      <w:tr w14:paraId="1912D0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123" w:type="dxa"/>
            <w:tcMar>
              <w:top w:w="16" w:type="dxa"/>
              <w:left w:w="16" w:type="dxa"/>
              <w:right w:w="16" w:type="dxa"/>
            </w:tcMar>
            <w:vAlign w:val="center"/>
          </w:tcPr>
          <w:p w14:paraId="45D151E6">
            <w:pPr>
              <w:adjustRightInd w:val="0"/>
              <w:snapToGrid w:val="0"/>
              <w:jc w:val="center"/>
              <w:rPr>
                <w:sz w:val="24"/>
              </w:rPr>
            </w:pPr>
            <w:r>
              <w:rPr>
                <w:sz w:val="24"/>
              </w:rPr>
              <w:t>建设性质</w:t>
            </w:r>
          </w:p>
        </w:tc>
        <w:tc>
          <w:tcPr>
            <w:tcW w:w="1820" w:type="dxa"/>
            <w:vAlign w:val="center"/>
          </w:tcPr>
          <w:p w14:paraId="6EB6310B">
            <w:pPr>
              <w:jc w:val="left"/>
              <w:rPr>
                <w:rFonts w:hint="eastAsia" w:eastAsia="宋体"/>
                <w:sz w:val="24"/>
                <w:lang w:eastAsia="zh-CN"/>
              </w:rPr>
            </w:pPr>
            <w:r>
              <w:rPr>
                <w:rFonts w:ascii="Segoe UI Symbol" w:hAnsi="Segoe UI Symbol" w:eastAsia="MS Mincho" w:cs="Segoe UI Symbol"/>
                <w:sz w:val="24"/>
              </w:rPr>
              <w:t>☑</w:t>
            </w:r>
            <w:r>
              <w:rPr>
                <w:sz w:val="24"/>
              </w:rPr>
              <w:t>新建</w:t>
            </w:r>
            <w:r>
              <w:rPr>
                <w:rFonts w:hint="eastAsia"/>
                <w:sz w:val="24"/>
                <w:lang w:eastAsia="zh-CN"/>
              </w:rPr>
              <w:t>（</w:t>
            </w:r>
            <w:r>
              <w:rPr>
                <w:sz w:val="24"/>
              </w:rPr>
              <w:t>迁建</w:t>
            </w:r>
            <w:r>
              <w:rPr>
                <w:rFonts w:hint="eastAsia"/>
                <w:sz w:val="24"/>
                <w:lang w:eastAsia="zh-CN"/>
              </w:rPr>
              <w:t>）</w:t>
            </w:r>
          </w:p>
          <w:p w14:paraId="26B33789">
            <w:pPr>
              <w:jc w:val="left"/>
              <w:rPr>
                <w:sz w:val="24"/>
              </w:rPr>
            </w:pPr>
            <w:r>
              <w:rPr>
                <w:sz w:val="24"/>
              </w:rPr>
              <w:t>□改建</w:t>
            </w:r>
          </w:p>
          <w:p w14:paraId="556D6BCF">
            <w:pPr>
              <w:jc w:val="left"/>
              <w:rPr>
                <w:sz w:val="24"/>
              </w:rPr>
            </w:pPr>
            <w:r>
              <w:rPr>
                <w:sz w:val="24"/>
              </w:rPr>
              <w:t>□扩建</w:t>
            </w:r>
          </w:p>
          <w:p w14:paraId="2F13CD4B">
            <w:pPr>
              <w:jc w:val="left"/>
              <w:rPr>
                <w:sz w:val="24"/>
              </w:rPr>
            </w:pPr>
            <w:r>
              <w:rPr>
                <w:sz w:val="24"/>
              </w:rPr>
              <w:t>□技术改造</w:t>
            </w:r>
          </w:p>
        </w:tc>
        <w:tc>
          <w:tcPr>
            <w:tcW w:w="2116" w:type="dxa"/>
            <w:vAlign w:val="center"/>
          </w:tcPr>
          <w:p w14:paraId="027CED95">
            <w:pPr>
              <w:adjustRightInd w:val="0"/>
              <w:snapToGrid w:val="0"/>
              <w:jc w:val="center"/>
              <w:rPr>
                <w:sz w:val="24"/>
              </w:rPr>
            </w:pPr>
            <w:r>
              <w:rPr>
                <w:sz w:val="24"/>
              </w:rPr>
              <w:t>建设项目</w:t>
            </w:r>
          </w:p>
          <w:p w14:paraId="4E9F6ECD">
            <w:pPr>
              <w:adjustRightInd w:val="0"/>
              <w:snapToGrid w:val="0"/>
              <w:jc w:val="center"/>
              <w:rPr>
                <w:sz w:val="24"/>
              </w:rPr>
            </w:pPr>
            <w:r>
              <w:rPr>
                <w:sz w:val="24"/>
              </w:rPr>
              <w:t>申报情形</w:t>
            </w:r>
          </w:p>
        </w:tc>
        <w:tc>
          <w:tcPr>
            <w:tcW w:w="2762" w:type="dxa"/>
            <w:vAlign w:val="center"/>
          </w:tcPr>
          <w:p w14:paraId="392AAFD8">
            <w:pPr>
              <w:jc w:val="left"/>
              <w:rPr>
                <w:sz w:val="24"/>
              </w:rPr>
            </w:pPr>
            <w:r>
              <w:rPr>
                <w:rFonts w:ascii="Segoe UI Symbol" w:hAnsi="Segoe UI Symbol" w:eastAsia="MS Mincho" w:cs="Segoe UI Symbol"/>
                <w:sz w:val="24"/>
              </w:rPr>
              <w:t>☑</w:t>
            </w:r>
            <w:r>
              <w:rPr>
                <w:sz w:val="24"/>
              </w:rPr>
              <w:t xml:space="preserve">首次申报项目             </w:t>
            </w:r>
          </w:p>
          <w:p w14:paraId="4650556B">
            <w:pPr>
              <w:jc w:val="left"/>
              <w:rPr>
                <w:sz w:val="24"/>
              </w:rPr>
            </w:pPr>
            <w:r>
              <w:rPr>
                <w:sz w:val="24"/>
              </w:rPr>
              <w:t>□不予批准后再次申报项目</w:t>
            </w:r>
          </w:p>
          <w:p w14:paraId="1F892449">
            <w:pPr>
              <w:jc w:val="left"/>
              <w:rPr>
                <w:sz w:val="24"/>
              </w:rPr>
            </w:pPr>
            <w:r>
              <w:rPr>
                <w:sz w:val="24"/>
              </w:rPr>
              <w:sym w:font="Wingdings 2" w:char="00A3"/>
            </w:r>
            <w:r>
              <w:rPr>
                <w:sz w:val="24"/>
              </w:rPr>
              <w:t xml:space="preserve">超五年重新审核项目     </w:t>
            </w:r>
          </w:p>
          <w:p w14:paraId="65525D66">
            <w:pPr>
              <w:jc w:val="left"/>
              <w:rPr>
                <w:sz w:val="24"/>
              </w:rPr>
            </w:pPr>
            <w:r>
              <w:rPr>
                <w:sz w:val="24"/>
              </w:rPr>
              <w:t>□重大变动重新报批项目</w:t>
            </w:r>
          </w:p>
        </w:tc>
      </w:tr>
      <w:tr w14:paraId="3CEF9A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28" w:hRule="atLeast"/>
          <w:jc w:val="center"/>
        </w:trPr>
        <w:tc>
          <w:tcPr>
            <w:tcW w:w="2123" w:type="dxa"/>
            <w:tcMar>
              <w:top w:w="16" w:type="dxa"/>
              <w:left w:w="16" w:type="dxa"/>
              <w:right w:w="16" w:type="dxa"/>
            </w:tcMar>
            <w:vAlign w:val="center"/>
          </w:tcPr>
          <w:p w14:paraId="2CC7BE9D">
            <w:pPr>
              <w:adjustRightInd w:val="0"/>
              <w:snapToGrid w:val="0"/>
              <w:jc w:val="center"/>
              <w:rPr>
                <w:sz w:val="24"/>
              </w:rPr>
            </w:pPr>
            <w:r>
              <w:rPr>
                <w:sz w:val="24"/>
              </w:rPr>
              <w:t>项目审批</w:t>
            </w:r>
            <w:r>
              <w:rPr>
                <w:rFonts w:hint="eastAsia"/>
                <w:sz w:val="24"/>
                <w:lang w:eastAsia="zh-CN"/>
              </w:rPr>
              <w:t>（</w:t>
            </w:r>
            <w:r>
              <w:rPr>
                <w:sz w:val="24"/>
              </w:rPr>
              <w:t>核准/</w:t>
            </w:r>
          </w:p>
          <w:p w14:paraId="3BC5396E">
            <w:pPr>
              <w:adjustRightInd w:val="0"/>
              <w:snapToGrid w:val="0"/>
              <w:jc w:val="center"/>
              <w:rPr>
                <w:rFonts w:hint="eastAsia" w:eastAsia="宋体"/>
                <w:sz w:val="24"/>
                <w:lang w:eastAsia="zh-CN"/>
              </w:rPr>
            </w:pPr>
            <w:r>
              <w:rPr>
                <w:sz w:val="24"/>
              </w:rPr>
              <w:t>备案</w:t>
            </w:r>
            <w:r>
              <w:rPr>
                <w:rFonts w:hint="eastAsia"/>
                <w:sz w:val="24"/>
                <w:lang w:eastAsia="zh-CN"/>
              </w:rPr>
              <w:t>）</w:t>
            </w:r>
            <w:r>
              <w:rPr>
                <w:sz w:val="24"/>
              </w:rPr>
              <w:t>部门</w:t>
            </w:r>
            <w:r>
              <w:rPr>
                <w:rFonts w:hint="eastAsia"/>
                <w:sz w:val="24"/>
                <w:lang w:eastAsia="zh-CN"/>
              </w:rPr>
              <w:t>（</w:t>
            </w:r>
            <w:r>
              <w:rPr>
                <w:sz w:val="24"/>
              </w:rPr>
              <w:t>选填</w:t>
            </w:r>
            <w:r>
              <w:rPr>
                <w:rFonts w:hint="eastAsia"/>
                <w:sz w:val="24"/>
                <w:lang w:eastAsia="zh-CN"/>
              </w:rPr>
              <w:t>）</w:t>
            </w:r>
          </w:p>
        </w:tc>
        <w:tc>
          <w:tcPr>
            <w:tcW w:w="1820" w:type="dxa"/>
            <w:vAlign w:val="center"/>
          </w:tcPr>
          <w:p w14:paraId="364B20D0">
            <w:pPr>
              <w:adjustRightInd w:val="0"/>
              <w:snapToGrid w:val="0"/>
              <w:jc w:val="center"/>
              <w:rPr>
                <w:sz w:val="24"/>
              </w:rPr>
            </w:pPr>
            <w:r>
              <w:rPr>
                <w:sz w:val="24"/>
              </w:rPr>
              <w:t>杭锦旗发展和改革委员会</w:t>
            </w:r>
          </w:p>
        </w:tc>
        <w:tc>
          <w:tcPr>
            <w:tcW w:w="2116" w:type="dxa"/>
            <w:vAlign w:val="center"/>
          </w:tcPr>
          <w:p w14:paraId="755B702F">
            <w:pPr>
              <w:adjustRightInd w:val="0"/>
              <w:snapToGrid w:val="0"/>
              <w:jc w:val="center"/>
              <w:rPr>
                <w:rFonts w:hint="eastAsia" w:eastAsia="宋体"/>
                <w:sz w:val="24"/>
                <w:lang w:eastAsia="zh-CN"/>
              </w:rPr>
            </w:pPr>
            <w:r>
              <w:rPr>
                <w:sz w:val="24"/>
              </w:rPr>
              <w:t>项目审批</w:t>
            </w:r>
            <w:r>
              <w:rPr>
                <w:rFonts w:hint="eastAsia"/>
                <w:sz w:val="24"/>
                <w:lang w:eastAsia="zh-CN"/>
              </w:rPr>
              <w:t>（</w:t>
            </w:r>
            <w:r>
              <w:rPr>
                <w:sz w:val="24"/>
              </w:rPr>
              <w:t>核准/备案</w:t>
            </w:r>
            <w:r>
              <w:rPr>
                <w:rFonts w:hint="eastAsia"/>
                <w:sz w:val="24"/>
                <w:lang w:eastAsia="zh-CN"/>
              </w:rPr>
              <w:t>）</w:t>
            </w:r>
            <w:r>
              <w:rPr>
                <w:sz w:val="24"/>
              </w:rPr>
              <w:t>文号</w:t>
            </w:r>
            <w:r>
              <w:rPr>
                <w:rFonts w:hint="eastAsia"/>
                <w:sz w:val="24"/>
                <w:lang w:eastAsia="zh-CN"/>
              </w:rPr>
              <w:t>（</w:t>
            </w:r>
            <w:r>
              <w:rPr>
                <w:sz w:val="24"/>
              </w:rPr>
              <w:t>选填</w:t>
            </w:r>
            <w:r>
              <w:rPr>
                <w:rFonts w:hint="eastAsia"/>
                <w:sz w:val="24"/>
                <w:lang w:eastAsia="zh-CN"/>
              </w:rPr>
              <w:t>）</w:t>
            </w:r>
          </w:p>
        </w:tc>
        <w:tc>
          <w:tcPr>
            <w:tcW w:w="2762" w:type="dxa"/>
            <w:vAlign w:val="center"/>
          </w:tcPr>
          <w:p w14:paraId="31F4128E">
            <w:pPr>
              <w:adjustRightInd w:val="0"/>
              <w:snapToGrid w:val="0"/>
              <w:jc w:val="center"/>
              <w:rPr>
                <w:sz w:val="24"/>
              </w:rPr>
            </w:pPr>
            <w:r>
              <w:rPr>
                <w:sz w:val="24"/>
              </w:rPr>
              <w:t>/</w:t>
            </w:r>
          </w:p>
        </w:tc>
      </w:tr>
      <w:tr w14:paraId="388541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1F65EC26">
            <w:pPr>
              <w:adjustRightInd w:val="0"/>
              <w:snapToGrid w:val="0"/>
              <w:jc w:val="center"/>
              <w:rPr>
                <w:rFonts w:hint="eastAsia" w:eastAsia="宋体"/>
                <w:sz w:val="24"/>
                <w:lang w:eastAsia="zh-CN"/>
              </w:rPr>
            </w:pPr>
            <w:r>
              <w:rPr>
                <w:sz w:val="24"/>
              </w:rPr>
              <w:t>总投资</w:t>
            </w:r>
            <w:r>
              <w:rPr>
                <w:rFonts w:hint="eastAsia"/>
                <w:sz w:val="24"/>
                <w:lang w:eastAsia="zh-CN"/>
              </w:rPr>
              <w:t>（</w:t>
            </w:r>
            <w:r>
              <w:rPr>
                <w:sz w:val="24"/>
              </w:rPr>
              <w:t>万元</w:t>
            </w:r>
            <w:r>
              <w:rPr>
                <w:rFonts w:hint="eastAsia"/>
                <w:sz w:val="24"/>
                <w:lang w:eastAsia="zh-CN"/>
              </w:rPr>
              <w:t>）</w:t>
            </w:r>
          </w:p>
        </w:tc>
        <w:tc>
          <w:tcPr>
            <w:tcW w:w="1820" w:type="dxa"/>
            <w:vAlign w:val="center"/>
          </w:tcPr>
          <w:p w14:paraId="0D25F1F8">
            <w:pPr>
              <w:adjustRightInd w:val="0"/>
              <w:snapToGrid w:val="0"/>
              <w:jc w:val="center"/>
              <w:rPr>
                <w:sz w:val="24"/>
              </w:rPr>
            </w:pPr>
            <w:r>
              <w:rPr>
                <w:sz w:val="24"/>
              </w:rPr>
              <w:t>50</w:t>
            </w:r>
          </w:p>
        </w:tc>
        <w:tc>
          <w:tcPr>
            <w:tcW w:w="2116" w:type="dxa"/>
            <w:tcMar>
              <w:top w:w="16" w:type="dxa"/>
              <w:left w:w="16" w:type="dxa"/>
              <w:right w:w="16" w:type="dxa"/>
            </w:tcMar>
            <w:vAlign w:val="center"/>
          </w:tcPr>
          <w:p w14:paraId="645A6688">
            <w:pPr>
              <w:adjustRightInd w:val="0"/>
              <w:snapToGrid w:val="0"/>
              <w:jc w:val="center"/>
              <w:rPr>
                <w:rFonts w:hint="eastAsia" w:eastAsia="宋体"/>
                <w:sz w:val="24"/>
                <w:lang w:eastAsia="zh-CN"/>
              </w:rPr>
            </w:pPr>
            <w:r>
              <w:rPr>
                <w:sz w:val="24"/>
              </w:rPr>
              <w:t>环保投资</w:t>
            </w:r>
            <w:r>
              <w:rPr>
                <w:rFonts w:hint="eastAsia"/>
                <w:sz w:val="24"/>
                <w:lang w:eastAsia="zh-CN"/>
              </w:rPr>
              <w:t>（</w:t>
            </w:r>
            <w:r>
              <w:rPr>
                <w:sz w:val="24"/>
              </w:rPr>
              <w:t>万元</w:t>
            </w:r>
            <w:r>
              <w:rPr>
                <w:rFonts w:hint="eastAsia"/>
                <w:sz w:val="24"/>
                <w:lang w:eastAsia="zh-CN"/>
              </w:rPr>
              <w:t>）</w:t>
            </w:r>
          </w:p>
        </w:tc>
        <w:tc>
          <w:tcPr>
            <w:tcW w:w="2762" w:type="dxa"/>
            <w:vAlign w:val="center"/>
          </w:tcPr>
          <w:p w14:paraId="4221D347">
            <w:pPr>
              <w:adjustRightInd w:val="0"/>
              <w:snapToGrid w:val="0"/>
              <w:jc w:val="center"/>
              <w:rPr>
                <w:sz w:val="24"/>
              </w:rPr>
            </w:pPr>
            <w:r>
              <w:rPr>
                <w:rFonts w:hint="eastAsia"/>
                <w:sz w:val="24"/>
              </w:rPr>
              <w:t>6.55</w:t>
            </w:r>
          </w:p>
        </w:tc>
      </w:tr>
      <w:tr w14:paraId="79FB7F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6C386A4E">
            <w:pPr>
              <w:adjustRightInd w:val="0"/>
              <w:snapToGrid w:val="0"/>
              <w:jc w:val="center"/>
              <w:rPr>
                <w:rFonts w:hint="eastAsia" w:eastAsia="宋体"/>
                <w:sz w:val="24"/>
                <w:lang w:eastAsia="zh-CN"/>
              </w:rPr>
            </w:pPr>
            <w:r>
              <w:rPr>
                <w:sz w:val="24"/>
              </w:rPr>
              <w:t>环保投资占比</w:t>
            </w:r>
            <w:r>
              <w:rPr>
                <w:rFonts w:hint="eastAsia"/>
                <w:sz w:val="24"/>
                <w:lang w:eastAsia="zh-CN"/>
              </w:rPr>
              <w:t>（</w:t>
            </w:r>
            <w:r>
              <w:rPr>
                <w:sz w:val="24"/>
              </w:rPr>
              <w:t>%</w:t>
            </w:r>
            <w:r>
              <w:rPr>
                <w:rFonts w:hint="eastAsia"/>
                <w:sz w:val="24"/>
                <w:lang w:eastAsia="zh-CN"/>
              </w:rPr>
              <w:t>）</w:t>
            </w:r>
          </w:p>
        </w:tc>
        <w:tc>
          <w:tcPr>
            <w:tcW w:w="1820" w:type="dxa"/>
            <w:vAlign w:val="center"/>
          </w:tcPr>
          <w:p w14:paraId="08C55393">
            <w:pPr>
              <w:adjustRightInd w:val="0"/>
              <w:snapToGrid w:val="0"/>
              <w:jc w:val="center"/>
              <w:rPr>
                <w:sz w:val="24"/>
              </w:rPr>
            </w:pPr>
            <w:r>
              <w:rPr>
                <w:rFonts w:hint="eastAsia"/>
                <w:sz w:val="24"/>
              </w:rPr>
              <w:t>13.1</w:t>
            </w:r>
          </w:p>
        </w:tc>
        <w:tc>
          <w:tcPr>
            <w:tcW w:w="2116" w:type="dxa"/>
            <w:tcMar>
              <w:top w:w="16" w:type="dxa"/>
              <w:left w:w="16" w:type="dxa"/>
              <w:right w:w="16" w:type="dxa"/>
            </w:tcMar>
            <w:vAlign w:val="center"/>
          </w:tcPr>
          <w:p w14:paraId="4705479D">
            <w:pPr>
              <w:adjustRightInd w:val="0"/>
              <w:snapToGrid w:val="0"/>
              <w:jc w:val="center"/>
              <w:rPr>
                <w:sz w:val="24"/>
              </w:rPr>
            </w:pPr>
            <w:r>
              <w:rPr>
                <w:sz w:val="24"/>
              </w:rPr>
              <w:t>施工工期</w:t>
            </w:r>
          </w:p>
        </w:tc>
        <w:tc>
          <w:tcPr>
            <w:tcW w:w="2762" w:type="dxa"/>
            <w:vAlign w:val="center"/>
          </w:tcPr>
          <w:p w14:paraId="3699C3DB">
            <w:pPr>
              <w:adjustRightInd w:val="0"/>
              <w:snapToGrid w:val="0"/>
              <w:jc w:val="center"/>
              <w:rPr>
                <w:sz w:val="24"/>
              </w:rPr>
            </w:pPr>
            <w:r>
              <w:rPr>
                <w:sz w:val="24"/>
              </w:rPr>
              <w:t>1个月</w:t>
            </w:r>
          </w:p>
        </w:tc>
      </w:tr>
      <w:tr w14:paraId="648E65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1" w:hRule="atLeast"/>
          <w:jc w:val="center"/>
        </w:trPr>
        <w:tc>
          <w:tcPr>
            <w:tcW w:w="2123" w:type="dxa"/>
            <w:tcMar>
              <w:top w:w="16" w:type="dxa"/>
              <w:left w:w="16" w:type="dxa"/>
              <w:right w:w="16" w:type="dxa"/>
            </w:tcMar>
            <w:vAlign w:val="center"/>
          </w:tcPr>
          <w:p w14:paraId="2E68CE0D">
            <w:pPr>
              <w:adjustRightInd w:val="0"/>
              <w:snapToGrid w:val="0"/>
              <w:jc w:val="center"/>
              <w:rPr>
                <w:sz w:val="24"/>
              </w:rPr>
            </w:pPr>
            <w:r>
              <w:rPr>
                <w:sz w:val="24"/>
              </w:rPr>
              <w:t>是否开工建设</w:t>
            </w:r>
          </w:p>
        </w:tc>
        <w:tc>
          <w:tcPr>
            <w:tcW w:w="1820" w:type="dxa"/>
            <w:vAlign w:val="center"/>
          </w:tcPr>
          <w:p w14:paraId="6A324556">
            <w:pPr>
              <w:adjustRightInd w:val="0"/>
              <w:snapToGrid w:val="0"/>
              <w:rPr>
                <w:sz w:val="24"/>
              </w:rPr>
            </w:pPr>
            <w:r>
              <w:rPr>
                <w:sz w:val="24"/>
              </w:rPr>
              <w:t>□否</w:t>
            </w:r>
          </w:p>
          <w:p w14:paraId="4F25AA7D">
            <w:pPr>
              <w:adjustRightInd w:val="0"/>
              <w:snapToGrid w:val="0"/>
              <w:rPr>
                <w:sz w:val="24"/>
              </w:rPr>
            </w:pPr>
            <w:r>
              <w:rPr>
                <w:sz w:val="24"/>
              </w:rPr>
              <w:sym w:font="Wingdings 2" w:char="0052"/>
            </w:r>
            <w:r>
              <w:rPr>
                <w:sz w:val="24"/>
              </w:rPr>
              <w:t>是</w:t>
            </w:r>
            <w:r>
              <w:rPr>
                <w:rFonts w:hint="eastAsia"/>
                <w:sz w:val="24"/>
                <w:u w:val="single"/>
              </w:rPr>
              <w:t>本项目已于2024年6月建设完成并运营，</w:t>
            </w:r>
            <w:r>
              <w:rPr>
                <w:sz w:val="24"/>
                <w:u w:val="single"/>
              </w:rPr>
              <w:t>属于未批先建项目</w:t>
            </w:r>
            <w:r>
              <w:rPr>
                <w:rFonts w:hint="eastAsia"/>
                <w:sz w:val="24"/>
                <w:u w:val="single"/>
              </w:rPr>
              <w:t>。</w:t>
            </w:r>
            <w:r>
              <w:rPr>
                <w:rFonts w:hint="eastAsia"/>
                <w:bCs/>
                <w:sz w:val="24"/>
                <w:u w:val="single"/>
              </w:rPr>
              <w:t>2024年8月26日收到《鄂尔多斯市生态环境局行政处罚决定书》</w:t>
            </w:r>
            <w:r>
              <w:rPr>
                <w:rFonts w:hint="eastAsia"/>
                <w:bCs/>
                <w:sz w:val="24"/>
                <w:u w:val="single"/>
                <w:lang w:eastAsia="zh-CN"/>
              </w:rPr>
              <w:t>（</w:t>
            </w:r>
            <w:r>
              <w:rPr>
                <w:rFonts w:hint="eastAsia"/>
                <w:bCs/>
                <w:sz w:val="24"/>
                <w:u w:val="single"/>
              </w:rPr>
              <w:t>鄂环罚决字〔202</w:t>
            </w:r>
            <w:r>
              <w:rPr>
                <w:rFonts w:hint="eastAsia"/>
                <w:bCs/>
                <w:sz w:val="24"/>
                <w:u w:val="single"/>
                <w:lang w:val="en-US" w:eastAsia="zh-CN"/>
              </w:rPr>
              <w:t>4</w:t>
            </w:r>
            <w:r>
              <w:rPr>
                <w:rFonts w:hint="eastAsia"/>
                <w:bCs/>
                <w:sz w:val="24"/>
                <w:u w:val="single"/>
              </w:rPr>
              <w:t>〕7-15号</w:t>
            </w:r>
            <w:r>
              <w:rPr>
                <w:rFonts w:hint="eastAsia"/>
                <w:bCs/>
                <w:sz w:val="24"/>
                <w:u w:val="single"/>
                <w:lang w:eastAsia="zh-CN"/>
              </w:rPr>
              <w:t>）</w:t>
            </w:r>
            <w:r>
              <w:rPr>
                <w:rFonts w:hint="eastAsia"/>
                <w:bCs/>
                <w:sz w:val="24"/>
                <w:u w:val="single"/>
              </w:rPr>
              <w:t>，于2024年8月27日缴纳全部罚款。</w:t>
            </w:r>
            <w:r>
              <w:rPr>
                <w:sz w:val="24"/>
                <w:u w:val="single"/>
              </w:rPr>
              <w:t xml:space="preserve">        </w:t>
            </w:r>
          </w:p>
        </w:tc>
        <w:tc>
          <w:tcPr>
            <w:tcW w:w="2116" w:type="dxa"/>
            <w:tcMar>
              <w:top w:w="16" w:type="dxa"/>
              <w:left w:w="16" w:type="dxa"/>
              <w:right w:w="16" w:type="dxa"/>
            </w:tcMar>
            <w:vAlign w:val="center"/>
          </w:tcPr>
          <w:p w14:paraId="03A1CD6A">
            <w:pPr>
              <w:adjustRightInd w:val="0"/>
              <w:snapToGrid w:val="0"/>
              <w:jc w:val="center"/>
              <w:rPr>
                <w:rFonts w:hint="eastAsia" w:eastAsia="宋体"/>
                <w:sz w:val="24"/>
                <w:lang w:eastAsia="zh-CN"/>
              </w:rPr>
            </w:pPr>
            <w:r>
              <w:rPr>
                <w:spacing w:val="-6"/>
                <w:sz w:val="24"/>
              </w:rPr>
              <w:t>用地面积</w:t>
            </w:r>
            <w:r>
              <w:rPr>
                <w:rFonts w:hint="eastAsia"/>
                <w:spacing w:val="-6"/>
                <w:sz w:val="24"/>
                <w:lang w:eastAsia="zh-CN"/>
              </w:rPr>
              <w:t>（</w:t>
            </w:r>
            <w:r>
              <w:rPr>
                <w:spacing w:val="-6"/>
                <w:sz w:val="24"/>
              </w:rPr>
              <w:t>m</w:t>
            </w:r>
            <w:r>
              <w:rPr>
                <w:spacing w:val="-6"/>
                <w:sz w:val="24"/>
                <w:vertAlign w:val="superscript"/>
              </w:rPr>
              <w:t>2</w:t>
            </w:r>
            <w:r>
              <w:rPr>
                <w:rFonts w:hint="eastAsia"/>
                <w:spacing w:val="-6"/>
                <w:sz w:val="24"/>
                <w:lang w:eastAsia="zh-CN"/>
              </w:rPr>
              <w:t>）</w:t>
            </w:r>
          </w:p>
        </w:tc>
        <w:tc>
          <w:tcPr>
            <w:tcW w:w="2762" w:type="dxa"/>
            <w:vAlign w:val="center"/>
          </w:tcPr>
          <w:p w14:paraId="24EECC40">
            <w:pPr>
              <w:adjustRightInd w:val="0"/>
              <w:snapToGrid w:val="0"/>
              <w:jc w:val="center"/>
              <w:rPr>
                <w:sz w:val="24"/>
              </w:rPr>
            </w:pPr>
            <w:r>
              <w:rPr>
                <w:sz w:val="24"/>
              </w:rPr>
              <w:t>10000</w:t>
            </w:r>
          </w:p>
        </w:tc>
      </w:tr>
      <w:tr w14:paraId="635A59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123" w:type="dxa"/>
            <w:vAlign w:val="center"/>
          </w:tcPr>
          <w:p w14:paraId="1DC4118C">
            <w:pPr>
              <w:autoSpaceDE w:val="0"/>
              <w:autoSpaceDN w:val="0"/>
              <w:adjustRightInd w:val="0"/>
              <w:snapToGrid w:val="0"/>
              <w:jc w:val="center"/>
              <w:rPr>
                <w:kern w:val="0"/>
                <w:sz w:val="24"/>
              </w:rPr>
            </w:pPr>
            <w:r>
              <w:rPr>
                <w:kern w:val="0"/>
                <w:sz w:val="24"/>
              </w:rPr>
              <w:t>专项评价设置情况</w:t>
            </w:r>
          </w:p>
        </w:tc>
        <w:tc>
          <w:tcPr>
            <w:tcW w:w="6698" w:type="dxa"/>
            <w:gridSpan w:val="3"/>
            <w:vAlign w:val="center"/>
          </w:tcPr>
          <w:p w14:paraId="49A00855">
            <w:pPr>
              <w:autoSpaceDE w:val="0"/>
              <w:autoSpaceDN w:val="0"/>
              <w:adjustRightInd w:val="0"/>
              <w:snapToGrid w:val="0"/>
              <w:jc w:val="center"/>
              <w:rPr>
                <w:kern w:val="0"/>
                <w:sz w:val="24"/>
              </w:rPr>
            </w:pPr>
            <w:r>
              <w:rPr>
                <w:kern w:val="0"/>
                <w:sz w:val="24"/>
              </w:rPr>
              <w:t>无</w:t>
            </w:r>
          </w:p>
        </w:tc>
      </w:tr>
      <w:tr w14:paraId="304B4B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2123" w:type="dxa"/>
            <w:vAlign w:val="center"/>
          </w:tcPr>
          <w:p w14:paraId="4C6B21B3">
            <w:pPr>
              <w:autoSpaceDE w:val="0"/>
              <w:autoSpaceDN w:val="0"/>
              <w:adjustRightInd w:val="0"/>
              <w:snapToGrid w:val="0"/>
              <w:jc w:val="center"/>
              <w:rPr>
                <w:kern w:val="0"/>
                <w:sz w:val="24"/>
              </w:rPr>
            </w:pPr>
            <w:r>
              <w:rPr>
                <w:sz w:val="24"/>
              </w:rPr>
              <w:t>规划情况</w:t>
            </w:r>
          </w:p>
        </w:tc>
        <w:tc>
          <w:tcPr>
            <w:tcW w:w="6698" w:type="dxa"/>
            <w:gridSpan w:val="3"/>
            <w:vAlign w:val="center"/>
          </w:tcPr>
          <w:p w14:paraId="5A0D9AF4">
            <w:pPr>
              <w:autoSpaceDE w:val="0"/>
              <w:autoSpaceDN w:val="0"/>
              <w:adjustRightInd w:val="0"/>
              <w:snapToGrid w:val="0"/>
              <w:jc w:val="center"/>
              <w:rPr>
                <w:kern w:val="0"/>
                <w:sz w:val="24"/>
              </w:rPr>
            </w:pPr>
            <w:r>
              <w:rPr>
                <w:kern w:val="0"/>
                <w:sz w:val="24"/>
              </w:rPr>
              <w:t>无</w:t>
            </w:r>
          </w:p>
        </w:tc>
      </w:tr>
      <w:tr w14:paraId="031BBC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2123" w:type="dxa"/>
            <w:vAlign w:val="center"/>
          </w:tcPr>
          <w:p w14:paraId="3F56802F">
            <w:pPr>
              <w:adjustRightInd w:val="0"/>
              <w:snapToGrid w:val="0"/>
              <w:jc w:val="center"/>
              <w:rPr>
                <w:sz w:val="24"/>
              </w:rPr>
            </w:pPr>
            <w:r>
              <w:rPr>
                <w:sz w:val="24"/>
              </w:rPr>
              <w:t>规划环境影响</w:t>
            </w:r>
          </w:p>
          <w:p w14:paraId="57D32F0E">
            <w:pPr>
              <w:adjustRightInd w:val="0"/>
              <w:snapToGrid w:val="0"/>
              <w:jc w:val="center"/>
              <w:rPr>
                <w:kern w:val="0"/>
                <w:sz w:val="24"/>
              </w:rPr>
            </w:pPr>
            <w:r>
              <w:rPr>
                <w:sz w:val="24"/>
              </w:rPr>
              <w:t>评价情况</w:t>
            </w:r>
          </w:p>
        </w:tc>
        <w:tc>
          <w:tcPr>
            <w:tcW w:w="6698" w:type="dxa"/>
            <w:gridSpan w:val="3"/>
            <w:vAlign w:val="center"/>
          </w:tcPr>
          <w:p w14:paraId="139CD001">
            <w:pPr>
              <w:autoSpaceDE w:val="0"/>
              <w:autoSpaceDN w:val="0"/>
              <w:adjustRightInd w:val="0"/>
              <w:snapToGrid w:val="0"/>
              <w:spacing w:line="360" w:lineRule="auto"/>
              <w:jc w:val="center"/>
              <w:rPr>
                <w:kern w:val="0"/>
                <w:sz w:val="24"/>
              </w:rPr>
            </w:pPr>
            <w:r>
              <w:rPr>
                <w:kern w:val="0"/>
                <w:sz w:val="24"/>
              </w:rPr>
              <w:t>无</w:t>
            </w:r>
          </w:p>
        </w:tc>
      </w:tr>
      <w:tr w14:paraId="4B474C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2123" w:type="dxa"/>
            <w:vAlign w:val="center"/>
          </w:tcPr>
          <w:p w14:paraId="3AC20A42">
            <w:pPr>
              <w:adjustRightInd w:val="0"/>
              <w:snapToGrid w:val="0"/>
              <w:jc w:val="center"/>
              <w:rPr>
                <w:sz w:val="24"/>
              </w:rPr>
            </w:pPr>
            <w:r>
              <w:rPr>
                <w:sz w:val="24"/>
              </w:rPr>
              <w:t>规划及规划环境</w:t>
            </w:r>
          </w:p>
          <w:p w14:paraId="421CF1EE">
            <w:pPr>
              <w:adjustRightInd w:val="0"/>
              <w:snapToGrid w:val="0"/>
              <w:jc w:val="center"/>
              <w:rPr>
                <w:kern w:val="0"/>
                <w:sz w:val="24"/>
              </w:rPr>
            </w:pPr>
            <w:r>
              <w:rPr>
                <w:sz w:val="24"/>
              </w:rPr>
              <w:t>影响评价符合性分析</w:t>
            </w:r>
          </w:p>
        </w:tc>
        <w:tc>
          <w:tcPr>
            <w:tcW w:w="6698" w:type="dxa"/>
            <w:gridSpan w:val="3"/>
            <w:vAlign w:val="center"/>
          </w:tcPr>
          <w:p w14:paraId="1CC488B6">
            <w:pPr>
              <w:autoSpaceDE w:val="0"/>
              <w:autoSpaceDN w:val="0"/>
              <w:adjustRightInd w:val="0"/>
              <w:snapToGrid w:val="0"/>
              <w:spacing w:line="360" w:lineRule="auto"/>
              <w:jc w:val="center"/>
              <w:rPr>
                <w:bCs/>
                <w:kern w:val="0"/>
                <w:sz w:val="24"/>
              </w:rPr>
            </w:pPr>
            <w:r>
              <w:rPr>
                <w:bCs/>
                <w:kern w:val="0"/>
                <w:sz w:val="24"/>
              </w:rPr>
              <w:t>无</w:t>
            </w:r>
          </w:p>
        </w:tc>
      </w:tr>
      <w:tr w14:paraId="10132B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123" w:type="dxa"/>
            <w:vAlign w:val="center"/>
          </w:tcPr>
          <w:p w14:paraId="1D992985">
            <w:pPr>
              <w:autoSpaceDE w:val="0"/>
              <w:autoSpaceDN w:val="0"/>
              <w:adjustRightInd w:val="0"/>
              <w:snapToGrid w:val="0"/>
              <w:jc w:val="center"/>
              <w:rPr>
                <w:kern w:val="0"/>
                <w:sz w:val="24"/>
              </w:rPr>
            </w:pPr>
            <w:r>
              <w:rPr>
                <w:kern w:val="0"/>
                <w:sz w:val="24"/>
              </w:rPr>
              <w:t>其他符合性分析</w:t>
            </w:r>
          </w:p>
        </w:tc>
        <w:tc>
          <w:tcPr>
            <w:tcW w:w="6698" w:type="dxa"/>
            <w:gridSpan w:val="3"/>
            <w:vAlign w:val="center"/>
          </w:tcPr>
          <w:p w14:paraId="05BE4197">
            <w:pPr>
              <w:autoSpaceDE w:val="0"/>
              <w:autoSpaceDN w:val="0"/>
              <w:adjustRightInd w:val="0"/>
              <w:snapToGrid w:val="0"/>
              <w:spacing w:line="360" w:lineRule="auto"/>
              <w:ind w:firstLine="480" w:firstLineChars="200"/>
              <w:jc w:val="left"/>
              <w:rPr>
                <w:sz w:val="24"/>
              </w:rPr>
            </w:pPr>
            <w:r>
              <w:rPr>
                <w:sz w:val="24"/>
              </w:rPr>
              <w:t>1</w:t>
            </w:r>
            <w:r>
              <w:rPr>
                <w:rFonts w:hint="eastAsia"/>
                <w:sz w:val="24"/>
                <w:lang w:val="en-US" w:eastAsia="zh-CN"/>
              </w:rPr>
              <w:t>.</w:t>
            </w:r>
            <w:r>
              <w:rPr>
                <w:sz w:val="24"/>
              </w:rPr>
              <w:t>“三线一单”符合性分析</w:t>
            </w:r>
          </w:p>
          <w:p w14:paraId="3064BDFF">
            <w:pPr>
              <w:autoSpaceDE w:val="0"/>
              <w:autoSpaceDN w:val="0"/>
              <w:adjustRightInd w:val="0"/>
              <w:snapToGrid w:val="0"/>
              <w:spacing w:line="360" w:lineRule="auto"/>
              <w:ind w:firstLine="480" w:firstLineChars="200"/>
              <w:jc w:val="left"/>
              <w:rPr>
                <w:sz w:val="24"/>
              </w:rPr>
            </w:pPr>
            <w:r>
              <w:rPr>
                <w:rFonts w:hint="eastAsia"/>
                <w:sz w:val="24"/>
                <w:lang w:eastAsia="zh-CN"/>
              </w:rPr>
              <w:t>（</w:t>
            </w:r>
            <w:r>
              <w:rPr>
                <w:sz w:val="24"/>
              </w:rPr>
              <w:t>1</w:t>
            </w:r>
            <w:r>
              <w:rPr>
                <w:rFonts w:hint="eastAsia"/>
                <w:sz w:val="24"/>
                <w:lang w:eastAsia="zh-CN"/>
              </w:rPr>
              <w:t>）</w:t>
            </w:r>
            <w:r>
              <w:rPr>
                <w:sz w:val="24"/>
              </w:rPr>
              <w:t>生态保护红线</w:t>
            </w:r>
          </w:p>
          <w:p w14:paraId="73EA3D63">
            <w:pPr>
              <w:autoSpaceDE w:val="0"/>
              <w:autoSpaceDN w:val="0"/>
              <w:adjustRightInd w:val="0"/>
              <w:snapToGrid w:val="0"/>
              <w:spacing w:line="360" w:lineRule="auto"/>
              <w:ind w:firstLine="480" w:firstLineChars="200"/>
              <w:jc w:val="left"/>
              <w:rPr>
                <w:bCs/>
                <w:sz w:val="24"/>
              </w:rPr>
            </w:pPr>
            <w:r>
              <w:rPr>
                <w:bCs/>
                <w:sz w:val="24"/>
              </w:rPr>
              <w:t>根据</w:t>
            </w:r>
            <w:r>
              <w:rPr>
                <w:rFonts w:hint="eastAsia"/>
                <w:bCs/>
                <w:sz w:val="24"/>
              </w:rPr>
              <w:t>《鄂尔多斯市生态环境分区管控动态更新成果</w:t>
            </w:r>
            <w:r>
              <w:rPr>
                <w:rFonts w:hint="eastAsia"/>
                <w:bCs/>
                <w:sz w:val="24"/>
                <w:lang w:eastAsia="zh-CN"/>
              </w:rPr>
              <w:t>（</w:t>
            </w:r>
            <w:r>
              <w:rPr>
                <w:rFonts w:hint="eastAsia"/>
                <w:bCs/>
                <w:sz w:val="24"/>
              </w:rPr>
              <w:t>2023年版</w:t>
            </w:r>
            <w:r>
              <w:rPr>
                <w:rFonts w:hint="eastAsia"/>
                <w:bCs/>
                <w:sz w:val="24"/>
                <w:lang w:eastAsia="zh-CN"/>
              </w:rPr>
              <w:t>）</w:t>
            </w:r>
            <w:r>
              <w:rPr>
                <w:rFonts w:hint="eastAsia"/>
                <w:bCs/>
                <w:sz w:val="24"/>
              </w:rPr>
              <w:t>》</w:t>
            </w:r>
            <w:r>
              <w:rPr>
                <w:bCs/>
                <w:sz w:val="24"/>
              </w:rPr>
              <w:t>，</w:t>
            </w:r>
            <w:r>
              <w:rPr>
                <w:rFonts w:hint="eastAsia"/>
                <w:bCs/>
                <w:sz w:val="24"/>
              </w:rPr>
              <w:t>全市按优先保护、重点管控、一般管控三大类划分为171个环境管控单元。其中，优先保护单元76个，面积占比64.35%；重点管控单元86个，面积占比28.10%；一般管控单元9个，面积占比7.56%。优先保护单元突出系统性保护，保持空间格局基本稳定，部分单元结合生态保护红线予以调整；重点管控单元突出精细化管理，空间格局与环境治理格局相匹配，部分单元根据产业园区、矿区和城镇开发边界进行调整；一般管控单元保持基本稳定，为经济社会发展和生态环境保护预留空间。</w:t>
            </w:r>
          </w:p>
          <w:p w14:paraId="1EC5480A">
            <w:pPr>
              <w:autoSpaceDE w:val="0"/>
              <w:autoSpaceDN w:val="0"/>
              <w:adjustRightInd w:val="0"/>
              <w:snapToGrid w:val="0"/>
              <w:spacing w:line="360" w:lineRule="auto"/>
              <w:ind w:firstLine="480" w:firstLineChars="200"/>
              <w:jc w:val="left"/>
              <w:rPr>
                <w:bCs/>
                <w:sz w:val="24"/>
              </w:rPr>
            </w:pPr>
            <w:r>
              <w:rPr>
                <w:bCs/>
                <w:sz w:val="24"/>
              </w:rPr>
              <w:t>本项目位于独贵塔拉镇图古日格嘎查，</w:t>
            </w:r>
            <w:r>
              <w:rPr>
                <w:sz w:val="24"/>
              </w:rPr>
              <w:t>所在地为重点管控单元</w:t>
            </w:r>
            <w:r>
              <w:rPr>
                <w:rFonts w:hint="eastAsia"/>
                <w:sz w:val="24"/>
                <w:lang w:eastAsia="zh-CN"/>
              </w:rPr>
              <w:t>。</w:t>
            </w:r>
            <w:r>
              <w:rPr>
                <w:bCs/>
                <w:sz w:val="24"/>
              </w:rPr>
              <w:t>经调查评价范围内无饮用水水源地、自然保护区、风景名胜区等特殊环境敏感区，不涉及生态</w:t>
            </w:r>
            <w:r>
              <w:rPr>
                <w:rFonts w:hint="eastAsia"/>
                <w:bCs/>
                <w:sz w:val="24"/>
                <w:lang w:eastAsia="zh-CN"/>
              </w:rPr>
              <w:t>环境</w:t>
            </w:r>
            <w:r>
              <w:rPr>
                <w:bCs/>
                <w:sz w:val="24"/>
              </w:rPr>
              <w:t>脆弱区、禁止开发区域以及其他各类保护地。根据生态红线的划定</w:t>
            </w:r>
            <w:r>
              <w:rPr>
                <w:rFonts w:hint="eastAsia"/>
                <w:bCs/>
                <w:sz w:val="24"/>
                <w:lang w:eastAsia="zh-CN"/>
              </w:rPr>
              <w:t>范围</w:t>
            </w:r>
            <w:r>
              <w:rPr>
                <w:bCs/>
                <w:sz w:val="24"/>
              </w:rPr>
              <w:t>，本项目不在生态保护红线范围内。</w:t>
            </w:r>
          </w:p>
          <w:p w14:paraId="50AE7E76">
            <w:pPr>
              <w:autoSpaceDE w:val="0"/>
              <w:autoSpaceDN w:val="0"/>
              <w:adjustRightInd w:val="0"/>
              <w:snapToGrid w:val="0"/>
              <w:spacing w:line="360" w:lineRule="auto"/>
              <w:ind w:firstLine="480" w:firstLineChars="200"/>
              <w:jc w:val="left"/>
              <w:rPr>
                <w:bCs/>
                <w:sz w:val="24"/>
              </w:rPr>
            </w:pPr>
            <w:r>
              <w:rPr>
                <w:bCs/>
                <w:sz w:val="24"/>
              </w:rPr>
              <w:t>综上所述，本项目符合生态保护红线的要求。</w:t>
            </w:r>
          </w:p>
          <w:p w14:paraId="126C011E">
            <w:pPr>
              <w:autoSpaceDE w:val="0"/>
              <w:autoSpaceDN w:val="0"/>
              <w:adjustRightInd w:val="0"/>
              <w:snapToGrid w:val="0"/>
              <w:spacing w:line="360" w:lineRule="auto"/>
              <w:ind w:firstLine="480" w:firstLineChars="200"/>
              <w:jc w:val="left"/>
              <w:rPr>
                <w:sz w:val="24"/>
              </w:rPr>
            </w:pPr>
            <w:r>
              <w:rPr>
                <w:rFonts w:hint="eastAsia"/>
                <w:sz w:val="24"/>
                <w:lang w:eastAsia="zh-CN"/>
              </w:rPr>
              <w:t>（</w:t>
            </w:r>
            <w:r>
              <w:rPr>
                <w:sz w:val="24"/>
              </w:rPr>
              <w:t>2</w:t>
            </w:r>
            <w:r>
              <w:rPr>
                <w:rFonts w:hint="eastAsia"/>
                <w:sz w:val="24"/>
                <w:lang w:eastAsia="zh-CN"/>
              </w:rPr>
              <w:t>）</w:t>
            </w:r>
            <w:r>
              <w:rPr>
                <w:sz w:val="24"/>
              </w:rPr>
              <w:t>环境质量底线</w:t>
            </w:r>
          </w:p>
          <w:p w14:paraId="7B43E160">
            <w:pPr>
              <w:autoSpaceDE w:val="0"/>
              <w:autoSpaceDN w:val="0"/>
              <w:adjustRightInd w:val="0"/>
              <w:snapToGrid w:val="0"/>
              <w:spacing w:line="360" w:lineRule="auto"/>
              <w:ind w:firstLine="480" w:firstLineChars="200"/>
              <w:jc w:val="left"/>
              <w:rPr>
                <w:bCs/>
                <w:sz w:val="24"/>
              </w:rPr>
            </w:pPr>
            <w:r>
              <w:rPr>
                <w:bCs/>
                <w:sz w:val="24"/>
              </w:rPr>
              <w:t>根据</w:t>
            </w:r>
            <w:r>
              <w:rPr>
                <w:rFonts w:hint="eastAsia"/>
                <w:bCs/>
                <w:sz w:val="24"/>
              </w:rPr>
              <w:t>2024年6月内蒙古自治区生态环境厅发布的《2023年内蒙古自治区生态环境状况公报》，报告指出“2023年，全区12</w:t>
            </w:r>
            <w:r>
              <w:rPr>
                <w:rFonts w:hint="eastAsia"/>
                <w:bCs/>
                <w:sz w:val="24"/>
                <w:lang w:eastAsia="zh-CN"/>
              </w:rPr>
              <w:t>个</w:t>
            </w:r>
            <w:r>
              <w:rPr>
                <w:rFonts w:hint="eastAsia"/>
                <w:bCs/>
                <w:sz w:val="24"/>
              </w:rPr>
              <w:t>盟市中，除乌海市</w:t>
            </w:r>
            <w:r>
              <w:rPr>
                <w:rFonts w:hint="eastAsia"/>
                <w:bCs/>
                <w:sz w:val="24"/>
                <w:lang w:eastAsia="zh-CN"/>
              </w:rPr>
              <w:t>外</w:t>
            </w:r>
            <w:r>
              <w:rPr>
                <w:rFonts w:hint="eastAsia"/>
                <w:bCs/>
                <w:sz w:val="24"/>
              </w:rPr>
              <w:t>，其他11个盟市环境空气质量均达标”。故</w:t>
            </w:r>
            <w:r>
              <w:rPr>
                <w:bCs/>
                <w:sz w:val="24"/>
              </w:rPr>
              <w:t>项目所在区域为达标区域。</w:t>
            </w:r>
          </w:p>
          <w:p w14:paraId="3BC76252">
            <w:pPr>
              <w:autoSpaceDE w:val="0"/>
              <w:autoSpaceDN w:val="0"/>
              <w:adjustRightInd w:val="0"/>
              <w:snapToGrid w:val="0"/>
              <w:spacing w:line="360" w:lineRule="auto"/>
              <w:ind w:firstLine="480" w:firstLineChars="200"/>
              <w:jc w:val="left"/>
              <w:rPr>
                <w:sz w:val="24"/>
              </w:rPr>
            </w:pPr>
            <w:r>
              <w:rPr>
                <w:bCs/>
                <w:sz w:val="24"/>
              </w:rPr>
              <w:t>本项目为混凝土及水泥稳定土拌合站建设项目，</w:t>
            </w:r>
            <w:r>
              <w:rPr>
                <w:rFonts w:hint="eastAsia"/>
                <w:bCs/>
                <w:sz w:val="24"/>
              </w:rPr>
              <w:t>运营过程中会产生一定量的废气、废水、噪声和固体废物，采取相应措施后均可达标排放，不会明显降低区域环境质量现状，符合环境质量底线要求</w:t>
            </w:r>
            <w:r>
              <w:rPr>
                <w:bCs/>
                <w:sz w:val="24"/>
              </w:rPr>
              <w:t>。</w:t>
            </w:r>
          </w:p>
          <w:p w14:paraId="57428F63">
            <w:pPr>
              <w:autoSpaceDE w:val="0"/>
              <w:autoSpaceDN w:val="0"/>
              <w:adjustRightInd w:val="0"/>
              <w:snapToGrid w:val="0"/>
              <w:spacing w:line="360" w:lineRule="auto"/>
              <w:ind w:firstLine="480" w:firstLineChars="200"/>
              <w:jc w:val="left"/>
              <w:rPr>
                <w:sz w:val="24"/>
              </w:rPr>
            </w:pPr>
            <w:r>
              <w:rPr>
                <w:rFonts w:hint="eastAsia"/>
                <w:sz w:val="24"/>
                <w:lang w:eastAsia="zh-CN"/>
              </w:rPr>
              <w:t>（</w:t>
            </w:r>
            <w:r>
              <w:rPr>
                <w:sz w:val="24"/>
              </w:rPr>
              <w:t>3</w:t>
            </w:r>
            <w:r>
              <w:rPr>
                <w:rFonts w:hint="eastAsia"/>
                <w:sz w:val="24"/>
                <w:lang w:eastAsia="zh-CN"/>
              </w:rPr>
              <w:t>）</w:t>
            </w:r>
            <w:r>
              <w:rPr>
                <w:sz w:val="24"/>
              </w:rPr>
              <w:t>资源利用上线</w:t>
            </w:r>
          </w:p>
          <w:p w14:paraId="767CBD0F">
            <w:pPr>
              <w:autoSpaceDE w:val="0"/>
              <w:autoSpaceDN w:val="0"/>
              <w:adjustRightInd w:val="0"/>
              <w:snapToGrid w:val="0"/>
              <w:spacing w:line="360" w:lineRule="auto"/>
              <w:ind w:firstLine="480" w:firstLineChars="200"/>
              <w:rPr>
                <w:sz w:val="24"/>
              </w:rPr>
            </w:pPr>
            <w:r>
              <w:rPr>
                <w:bCs/>
                <w:sz w:val="24"/>
              </w:rPr>
              <w:t>本项目不属于高污染、高能耗产业类型，项目资源利用包括水、电、土地和原料，项目用水量、用电量和土地使用量相对较小，即项目水、电等资源利用不会突破区域的资源利用上线</w:t>
            </w:r>
            <w:r>
              <w:rPr>
                <w:sz w:val="24"/>
              </w:rPr>
              <w:t>。</w:t>
            </w:r>
          </w:p>
          <w:p w14:paraId="6ED74CFC">
            <w:pPr>
              <w:autoSpaceDE w:val="0"/>
              <w:autoSpaceDN w:val="0"/>
              <w:spacing w:line="360" w:lineRule="auto"/>
              <w:ind w:firstLine="480" w:firstLineChars="200"/>
              <w:jc w:val="left"/>
              <w:rPr>
                <w:sz w:val="24"/>
              </w:rPr>
            </w:pPr>
            <w:r>
              <w:rPr>
                <w:rFonts w:hint="eastAsia"/>
                <w:sz w:val="24"/>
                <w:lang w:eastAsia="zh-CN"/>
              </w:rPr>
              <w:t>（</w:t>
            </w:r>
            <w:r>
              <w:rPr>
                <w:sz w:val="24"/>
              </w:rPr>
              <w:t>4</w:t>
            </w:r>
            <w:r>
              <w:rPr>
                <w:rFonts w:hint="eastAsia"/>
                <w:sz w:val="24"/>
                <w:lang w:eastAsia="zh-CN"/>
              </w:rPr>
              <w:t>）</w:t>
            </w:r>
            <w:r>
              <w:rPr>
                <w:sz w:val="24"/>
              </w:rPr>
              <w:t>生态环境准入清单</w:t>
            </w:r>
          </w:p>
          <w:p w14:paraId="3F7C9A33">
            <w:pPr>
              <w:spacing w:line="360" w:lineRule="auto"/>
              <w:ind w:firstLine="480" w:firstLineChars="200"/>
              <w:rPr>
                <w:bCs/>
                <w:sz w:val="24"/>
              </w:rPr>
            </w:pPr>
            <w:r>
              <w:rPr>
                <w:bCs/>
                <w:sz w:val="24"/>
              </w:rPr>
              <w:t>本项目位于鄂尔多斯市杭锦旗独贵塔拉镇图古日格嘎查，根据《鄂尔多斯市生态环境准入清单》，本项目所在区域为重点管控单元，环境管控单元名称</w:t>
            </w:r>
            <w:r>
              <w:rPr>
                <w:rFonts w:hint="eastAsia"/>
                <w:bCs/>
                <w:sz w:val="24"/>
                <w:lang w:eastAsia="zh-CN"/>
              </w:rPr>
              <w:t>为</w:t>
            </w:r>
            <w:r>
              <w:rPr>
                <w:bCs/>
                <w:sz w:val="24"/>
              </w:rPr>
              <w:t>黄河头道拐达拉特旗生态用水补给区，管控单元编码为ZH15062520006。</w:t>
            </w:r>
          </w:p>
          <w:p w14:paraId="7A4335EE">
            <w:pPr>
              <w:spacing w:line="360" w:lineRule="auto"/>
              <w:ind w:firstLine="480" w:firstLineChars="200"/>
              <w:rPr>
                <w:sz w:val="24"/>
              </w:rPr>
            </w:pPr>
            <w:r>
              <w:rPr>
                <w:sz w:val="24"/>
              </w:rPr>
              <w:t>本项目与该单元的管控要求</w:t>
            </w:r>
            <w:r>
              <w:rPr>
                <w:rFonts w:hint="eastAsia"/>
                <w:sz w:val="24"/>
                <w:lang w:eastAsia="zh-CN"/>
              </w:rPr>
              <w:t>的</w:t>
            </w:r>
            <w:r>
              <w:rPr>
                <w:sz w:val="24"/>
              </w:rPr>
              <w:t>符合性见下表：</w:t>
            </w:r>
          </w:p>
          <w:p w14:paraId="3DDE481B">
            <w:pPr>
              <w:pStyle w:val="23"/>
            </w:pPr>
            <w:r>
              <w:t>表1-1  项目与《鄂尔多斯市生态环境准入清单》相符性分析</w:t>
            </w:r>
          </w:p>
          <w:tbl>
            <w:tblPr>
              <w:tblStyle w:val="16"/>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56"/>
              <w:gridCol w:w="2842"/>
              <w:gridCol w:w="2538"/>
              <w:gridCol w:w="641"/>
            </w:tblGrid>
            <w:tr w14:paraId="32A0FF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vAlign w:val="center"/>
                </w:tcPr>
                <w:p w14:paraId="0AA9E90F">
                  <w:pPr>
                    <w:adjustRightInd w:val="0"/>
                    <w:snapToGrid w:val="0"/>
                    <w:jc w:val="center"/>
                    <w:rPr>
                      <w:szCs w:val="21"/>
                    </w:rPr>
                  </w:pPr>
                  <w:r>
                    <w:rPr>
                      <w:szCs w:val="21"/>
                    </w:rPr>
                    <w:t>内容</w:t>
                  </w:r>
                </w:p>
              </w:tc>
              <w:tc>
                <w:tcPr>
                  <w:tcW w:w="2194" w:type="pct"/>
                  <w:vAlign w:val="center"/>
                </w:tcPr>
                <w:p w14:paraId="6F4B7A3C">
                  <w:pPr>
                    <w:adjustRightInd w:val="0"/>
                    <w:snapToGrid w:val="0"/>
                    <w:jc w:val="center"/>
                    <w:rPr>
                      <w:szCs w:val="21"/>
                    </w:rPr>
                  </w:pPr>
                  <w:r>
                    <w:rPr>
                      <w:szCs w:val="21"/>
                    </w:rPr>
                    <w:t>管控要求</w:t>
                  </w:r>
                </w:p>
              </w:tc>
              <w:tc>
                <w:tcPr>
                  <w:tcW w:w="1959" w:type="pct"/>
                  <w:vAlign w:val="center"/>
                </w:tcPr>
                <w:p w14:paraId="664C8B31">
                  <w:pPr>
                    <w:adjustRightInd w:val="0"/>
                    <w:snapToGrid w:val="0"/>
                    <w:jc w:val="center"/>
                    <w:rPr>
                      <w:szCs w:val="21"/>
                    </w:rPr>
                  </w:pPr>
                  <w:r>
                    <w:rPr>
                      <w:szCs w:val="21"/>
                    </w:rPr>
                    <w:t>符合性分析</w:t>
                  </w:r>
                </w:p>
              </w:tc>
              <w:tc>
                <w:tcPr>
                  <w:tcW w:w="495" w:type="pct"/>
                  <w:vAlign w:val="center"/>
                </w:tcPr>
                <w:p w14:paraId="3D799E71">
                  <w:pPr>
                    <w:adjustRightInd w:val="0"/>
                    <w:snapToGrid w:val="0"/>
                    <w:jc w:val="center"/>
                    <w:rPr>
                      <w:szCs w:val="21"/>
                    </w:rPr>
                  </w:pPr>
                  <w:r>
                    <w:rPr>
                      <w:szCs w:val="21"/>
                    </w:rPr>
                    <w:t>相符性</w:t>
                  </w:r>
                </w:p>
              </w:tc>
            </w:tr>
            <w:tr w14:paraId="7CFBC9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vMerge w:val="restart"/>
                  <w:vAlign w:val="center"/>
                </w:tcPr>
                <w:p w14:paraId="4B29BE77">
                  <w:pPr>
                    <w:adjustRightInd w:val="0"/>
                    <w:snapToGrid w:val="0"/>
                    <w:jc w:val="center"/>
                    <w:rPr>
                      <w:szCs w:val="21"/>
                    </w:rPr>
                  </w:pPr>
                  <w:r>
                    <w:rPr>
                      <w:szCs w:val="21"/>
                    </w:rPr>
                    <w:t>空间布局约束</w:t>
                  </w:r>
                </w:p>
              </w:tc>
              <w:tc>
                <w:tcPr>
                  <w:tcW w:w="2194" w:type="pct"/>
                  <w:vAlign w:val="center"/>
                </w:tcPr>
                <w:p w14:paraId="62B11D36">
                  <w:pPr>
                    <w:adjustRightInd w:val="0"/>
                    <w:snapToGrid w:val="0"/>
                    <w:jc w:val="center"/>
                    <w:rPr>
                      <w:szCs w:val="21"/>
                    </w:rPr>
                  </w:pPr>
                  <w:r>
                    <w:rPr>
                      <w:szCs w:val="21"/>
                    </w:rPr>
                    <w:t>1.新增用水项目生产工艺、单位产品和产值水耗、用水效率等应满足国家相关节水要求。</w:t>
                  </w:r>
                </w:p>
              </w:tc>
              <w:tc>
                <w:tcPr>
                  <w:tcW w:w="1959" w:type="pct"/>
                  <w:vAlign w:val="center"/>
                </w:tcPr>
                <w:p w14:paraId="3DDE2DAF">
                  <w:pPr>
                    <w:adjustRightInd w:val="0"/>
                    <w:snapToGrid w:val="0"/>
                    <w:jc w:val="center"/>
                    <w:rPr>
                      <w:szCs w:val="21"/>
                    </w:rPr>
                  </w:pPr>
                  <w:r>
                    <w:rPr>
                      <w:bCs/>
                      <w:szCs w:val="21"/>
                    </w:rPr>
                    <w:t>本项目为混凝土及水泥稳定土拌合站建设项目，项目生产工艺、单位产品和产值水耗、用水效率等应满足国家相关节水要求</w:t>
                  </w:r>
                  <w:r>
                    <w:rPr>
                      <w:szCs w:val="21"/>
                    </w:rPr>
                    <w:t>。</w:t>
                  </w:r>
                </w:p>
              </w:tc>
              <w:tc>
                <w:tcPr>
                  <w:tcW w:w="495" w:type="pct"/>
                  <w:vAlign w:val="center"/>
                </w:tcPr>
                <w:p w14:paraId="4F65277B">
                  <w:pPr>
                    <w:adjustRightInd w:val="0"/>
                    <w:snapToGrid w:val="0"/>
                    <w:jc w:val="center"/>
                    <w:rPr>
                      <w:szCs w:val="21"/>
                    </w:rPr>
                  </w:pPr>
                  <w:r>
                    <w:rPr>
                      <w:szCs w:val="21"/>
                    </w:rPr>
                    <w:t>符合</w:t>
                  </w:r>
                </w:p>
              </w:tc>
            </w:tr>
            <w:tr w14:paraId="1CF5C6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vMerge w:val="continue"/>
                  <w:vAlign w:val="center"/>
                </w:tcPr>
                <w:p w14:paraId="55DBA3EE">
                  <w:pPr>
                    <w:adjustRightInd w:val="0"/>
                    <w:snapToGrid w:val="0"/>
                    <w:jc w:val="center"/>
                    <w:rPr>
                      <w:szCs w:val="21"/>
                    </w:rPr>
                  </w:pPr>
                </w:p>
              </w:tc>
              <w:tc>
                <w:tcPr>
                  <w:tcW w:w="2194" w:type="pct"/>
                  <w:vAlign w:val="center"/>
                </w:tcPr>
                <w:p w14:paraId="32F0AF25">
                  <w:pPr>
                    <w:adjustRightInd w:val="0"/>
                    <w:snapToGrid w:val="0"/>
                    <w:jc w:val="center"/>
                    <w:rPr>
                      <w:szCs w:val="21"/>
                    </w:rPr>
                  </w:pPr>
                  <w:r>
                    <w:rPr>
                      <w:szCs w:val="21"/>
                    </w:rPr>
                    <w:t>2.完善规划和建设项目水资源论证制度。</w:t>
                  </w:r>
                </w:p>
              </w:tc>
              <w:tc>
                <w:tcPr>
                  <w:tcW w:w="1959" w:type="pct"/>
                  <w:vAlign w:val="center"/>
                </w:tcPr>
                <w:p w14:paraId="5475EFCD">
                  <w:pPr>
                    <w:adjustRightInd w:val="0"/>
                    <w:snapToGrid w:val="0"/>
                    <w:jc w:val="center"/>
                    <w:rPr>
                      <w:szCs w:val="21"/>
                    </w:rPr>
                  </w:pPr>
                  <w:r>
                    <w:rPr>
                      <w:szCs w:val="21"/>
                    </w:rPr>
                    <w:t>评价要求建设单位及时办理项目水资源论证。</w:t>
                  </w:r>
                </w:p>
              </w:tc>
              <w:tc>
                <w:tcPr>
                  <w:tcW w:w="495" w:type="pct"/>
                  <w:vAlign w:val="center"/>
                </w:tcPr>
                <w:p w14:paraId="5C9E7645">
                  <w:pPr>
                    <w:jc w:val="center"/>
                    <w:rPr>
                      <w:szCs w:val="21"/>
                    </w:rPr>
                  </w:pPr>
                  <w:r>
                    <w:rPr>
                      <w:szCs w:val="21"/>
                    </w:rPr>
                    <w:t>符合</w:t>
                  </w:r>
                </w:p>
              </w:tc>
            </w:tr>
            <w:tr w14:paraId="4F8745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vMerge w:val="continue"/>
                  <w:vAlign w:val="center"/>
                </w:tcPr>
                <w:p w14:paraId="5A7A9DB2">
                  <w:pPr>
                    <w:adjustRightInd w:val="0"/>
                    <w:snapToGrid w:val="0"/>
                    <w:jc w:val="center"/>
                    <w:rPr>
                      <w:szCs w:val="21"/>
                    </w:rPr>
                  </w:pPr>
                </w:p>
              </w:tc>
              <w:tc>
                <w:tcPr>
                  <w:tcW w:w="2194" w:type="pct"/>
                  <w:vAlign w:val="center"/>
                </w:tcPr>
                <w:p w14:paraId="78A1B4B8">
                  <w:pPr>
                    <w:adjustRightInd w:val="0"/>
                    <w:snapToGrid w:val="0"/>
                    <w:jc w:val="center"/>
                    <w:rPr>
                      <w:szCs w:val="21"/>
                    </w:rPr>
                  </w:pPr>
                  <w:r>
                    <w:rPr>
                      <w:szCs w:val="21"/>
                    </w:rPr>
                    <w:t>3.沿黄重点地区应按照《关于“十四五”推进沿黄重点地区工业项目入园及严控高污染、高耗水、高耗能项目的通知》</w:t>
                  </w:r>
                  <w:r>
                    <w:rPr>
                      <w:rFonts w:hint="eastAsia"/>
                      <w:szCs w:val="21"/>
                      <w:lang w:eastAsia="zh-CN"/>
                    </w:rPr>
                    <w:t>（</w:t>
                  </w:r>
                  <w:r>
                    <w:rPr>
                      <w:szCs w:val="21"/>
                    </w:rPr>
                    <w:t>发改办产业〔2021〕635号</w:t>
                  </w:r>
                  <w:r>
                    <w:rPr>
                      <w:rFonts w:hint="eastAsia"/>
                      <w:szCs w:val="21"/>
                      <w:lang w:eastAsia="zh-CN"/>
                    </w:rPr>
                    <w:t>）</w:t>
                  </w:r>
                  <w:r>
                    <w:rPr>
                      <w:szCs w:val="21"/>
                    </w:rPr>
                    <w:t>要求严控高耗水项目。</w:t>
                  </w:r>
                </w:p>
              </w:tc>
              <w:tc>
                <w:tcPr>
                  <w:tcW w:w="1959" w:type="pct"/>
                  <w:vAlign w:val="center"/>
                </w:tcPr>
                <w:p w14:paraId="3E749903">
                  <w:pPr>
                    <w:adjustRightInd w:val="0"/>
                    <w:snapToGrid w:val="0"/>
                    <w:jc w:val="center"/>
                    <w:rPr>
                      <w:szCs w:val="21"/>
                    </w:rPr>
                  </w:pPr>
                  <w:r>
                    <w:rPr>
                      <w:bCs/>
                      <w:szCs w:val="21"/>
                    </w:rPr>
                    <w:t>本项目不属于高污染、高能耗产业类型。</w:t>
                  </w:r>
                </w:p>
              </w:tc>
              <w:tc>
                <w:tcPr>
                  <w:tcW w:w="495" w:type="pct"/>
                  <w:vAlign w:val="center"/>
                </w:tcPr>
                <w:p w14:paraId="34FA0E04">
                  <w:pPr>
                    <w:jc w:val="center"/>
                    <w:rPr>
                      <w:szCs w:val="21"/>
                    </w:rPr>
                  </w:pPr>
                  <w:r>
                    <w:rPr>
                      <w:szCs w:val="21"/>
                    </w:rPr>
                    <w:t>符合</w:t>
                  </w:r>
                </w:p>
              </w:tc>
            </w:tr>
            <w:tr w14:paraId="206D91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vMerge w:val="continue"/>
                  <w:vAlign w:val="center"/>
                </w:tcPr>
                <w:p w14:paraId="73B16DB1">
                  <w:pPr>
                    <w:adjustRightInd w:val="0"/>
                    <w:snapToGrid w:val="0"/>
                    <w:jc w:val="center"/>
                    <w:rPr>
                      <w:szCs w:val="21"/>
                    </w:rPr>
                  </w:pPr>
                </w:p>
              </w:tc>
              <w:tc>
                <w:tcPr>
                  <w:tcW w:w="2194" w:type="pct"/>
                  <w:vAlign w:val="center"/>
                </w:tcPr>
                <w:p w14:paraId="256E51E5">
                  <w:pPr>
                    <w:adjustRightInd w:val="0"/>
                    <w:snapToGrid w:val="0"/>
                    <w:jc w:val="center"/>
                    <w:rPr>
                      <w:szCs w:val="21"/>
                    </w:rPr>
                  </w:pPr>
                  <w:r>
                    <w:rPr>
                      <w:szCs w:val="21"/>
                    </w:rPr>
                    <w:t>4.新增取用水项目单位产品水耗和复用水率应满足国家行业用水定额和《内蒙古自治区行业用水定额标准</w:t>
                  </w:r>
                  <w:r>
                    <w:rPr>
                      <w:rFonts w:hint="eastAsia"/>
                      <w:szCs w:val="21"/>
                      <w:lang w:eastAsia="zh-CN"/>
                    </w:rPr>
                    <w:t>（</w:t>
                  </w:r>
                  <w:r>
                    <w:rPr>
                      <w:szCs w:val="21"/>
                    </w:rPr>
                    <w:t>DB15/T385-2019</w:t>
                  </w:r>
                  <w:r>
                    <w:rPr>
                      <w:rFonts w:hint="eastAsia"/>
                      <w:szCs w:val="21"/>
                      <w:lang w:eastAsia="zh-CN"/>
                    </w:rPr>
                    <w:t>）</w:t>
                  </w:r>
                  <w:r>
                    <w:rPr>
                      <w:szCs w:val="21"/>
                    </w:rPr>
                    <w:t>》。</w:t>
                  </w:r>
                </w:p>
              </w:tc>
              <w:tc>
                <w:tcPr>
                  <w:tcW w:w="1959" w:type="pct"/>
                  <w:vAlign w:val="center"/>
                </w:tcPr>
                <w:p w14:paraId="269529AF">
                  <w:pPr>
                    <w:adjustRightInd w:val="0"/>
                    <w:snapToGrid w:val="0"/>
                    <w:jc w:val="center"/>
                    <w:rPr>
                      <w:szCs w:val="21"/>
                    </w:rPr>
                  </w:pPr>
                  <w:r>
                    <w:rPr>
                      <w:bCs/>
                      <w:szCs w:val="21"/>
                    </w:rPr>
                    <w:t>本项目为混凝土及水泥稳定土拌合站建设项目，生产废水全部回用，不外排。单位产品水耗和复用水率应满足国家行业用水定额和《内蒙古自治区行业用水定额标准</w:t>
                  </w:r>
                  <w:r>
                    <w:rPr>
                      <w:rFonts w:hint="eastAsia"/>
                      <w:bCs/>
                      <w:szCs w:val="21"/>
                      <w:lang w:eastAsia="zh-CN"/>
                    </w:rPr>
                    <w:t>（</w:t>
                  </w:r>
                  <w:r>
                    <w:rPr>
                      <w:bCs/>
                      <w:szCs w:val="21"/>
                    </w:rPr>
                    <w:t>DB15/T385-2019</w:t>
                  </w:r>
                  <w:r>
                    <w:rPr>
                      <w:rFonts w:hint="eastAsia"/>
                      <w:bCs/>
                      <w:szCs w:val="21"/>
                      <w:lang w:eastAsia="zh-CN"/>
                    </w:rPr>
                    <w:t>）</w:t>
                  </w:r>
                  <w:r>
                    <w:rPr>
                      <w:bCs/>
                      <w:szCs w:val="21"/>
                    </w:rPr>
                    <w:t>》。</w:t>
                  </w:r>
                </w:p>
              </w:tc>
              <w:tc>
                <w:tcPr>
                  <w:tcW w:w="495" w:type="pct"/>
                  <w:vAlign w:val="center"/>
                </w:tcPr>
                <w:p w14:paraId="724FD663">
                  <w:pPr>
                    <w:jc w:val="center"/>
                    <w:rPr>
                      <w:szCs w:val="21"/>
                    </w:rPr>
                  </w:pPr>
                  <w:r>
                    <w:rPr>
                      <w:szCs w:val="21"/>
                    </w:rPr>
                    <w:t>符合</w:t>
                  </w:r>
                </w:p>
              </w:tc>
            </w:tr>
            <w:tr w14:paraId="4A0FB0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vMerge w:val="continue"/>
                  <w:vAlign w:val="center"/>
                </w:tcPr>
                <w:p w14:paraId="67880724">
                  <w:pPr>
                    <w:adjustRightInd w:val="0"/>
                    <w:snapToGrid w:val="0"/>
                    <w:jc w:val="center"/>
                    <w:rPr>
                      <w:szCs w:val="21"/>
                    </w:rPr>
                  </w:pPr>
                </w:p>
              </w:tc>
              <w:tc>
                <w:tcPr>
                  <w:tcW w:w="2194" w:type="pct"/>
                  <w:vAlign w:val="center"/>
                </w:tcPr>
                <w:p w14:paraId="72D2AE8F">
                  <w:pPr>
                    <w:adjustRightInd w:val="0"/>
                    <w:snapToGrid w:val="0"/>
                    <w:jc w:val="center"/>
                    <w:rPr>
                      <w:szCs w:val="21"/>
                    </w:rPr>
                  </w:pPr>
                  <w:r>
                    <w:rPr>
                      <w:szCs w:val="21"/>
                    </w:rPr>
                    <w:t>5.新增取用水项目万元工业增加值用水量应满足最严格水资源管理三条红线中用水效率红线要求。</w:t>
                  </w:r>
                </w:p>
              </w:tc>
              <w:tc>
                <w:tcPr>
                  <w:tcW w:w="1959" w:type="pct"/>
                  <w:vAlign w:val="center"/>
                </w:tcPr>
                <w:p w14:paraId="23B4AAD4">
                  <w:pPr>
                    <w:adjustRightInd w:val="0"/>
                    <w:snapToGrid w:val="0"/>
                    <w:jc w:val="center"/>
                    <w:rPr>
                      <w:szCs w:val="21"/>
                    </w:rPr>
                  </w:pPr>
                  <w:r>
                    <w:rPr>
                      <w:bCs/>
                      <w:szCs w:val="21"/>
                    </w:rPr>
                    <w:t>本项目为混凝土及水泥稳定土拌合站建设项目，项目万元工业增加值用水量满足最严格水资源管理三条红线中用水效率红线要求。</w:t>
                  </w:r>
                </w:p>
              </w:tc>
              <w:tc>
                <w:tcPr>
                  <w:tcW w:w="495" w:type="pct"/>
                  <w:vAlign w:val="center"/>
                </w:tcPr>
                <w:p w14:paraId="11C033A4">
                  <w:pPr>
                    <w:jc w:val="center"/>
                    <w:rPr>
                      <w:szCs w:val="21"/>
                    </w:rPr>
                  </w:pPr>
                  <w:r>
                    <w:rPr>
                      <w:szCs w:val="21"/>
                    </w:rPr>
                    <w:t>符合</w:t>
                  </w:r>
                </w:p>
              </w:tc>
            </w:tr>
            <w:tr w14:paraId="4DD729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vMerge w:val="continue"/>
                  <w:vAlign w:val="center"/>
                </w:tcPr>
                <w:p w14:paraId="699E367A">
                  <w:pPr>
                    <w:adjustRightInd w:val="0"/>
                    <w:snapToGrid w:val="0"/>
                    <w:jc w:val="center"/>
                    <w:rPr>
                      <w:szCs w:val="21"/>
                    </w:rPr>
                  </w:pPr>
                </w:p>
              </w:tc>
              <w:tc>
                <w:tcPr>
                  <w:tcW w:w="2194" w:type="pct"/>
                  <w:vAlign w:val="center"/>
                </w:tcPr>
                <w:p w14:paraId="737B14BB">
                  <w:pPr>
                    <w:adjustRightInd w:val="0"/>
                    <w:snapToGrid w:val="0"/>
                    <w:jc w:val="center"/>
                    <w:rPr>
                      <w:szCs w:val="21"/>
                    </w:rPr>
                  </w:pPr>
                  <w:r>
                    <w:rPr>
                      <w:szCs w:val="21"/>
                    </w:rPr>
                    <w:t>6.新增取用水项目应优先使用再生水，工业生产、城市绿化、道路清扫、车辆冲洗、建筑施工以及生态景观等用水，要优先使用再生水。</w:t>
                  </w:r>
                </w:p>
              </w:tc>
              <w:tc>
                <w:tcPr>
                  <w:tcW w:w="1959" w:type="pct"/>
                  <w:vAlign w:val="center"/>
                </w:tcPr>
                <w:p w14:paraId="3F7255A4">
                  <w:pPr>
                    <w:adjustRightInd w:val="0"/>
                    <w:snapToGrid w:val="0"/>
                    <w:jc w:val="center"/>
                    <w:rPr>
                      <w:szCs w:val="21"/>
                    </w:rPr>
                  </w:pPr>
                  <w:r>
                    <w:rPr>
                      <w:szCs w:val="21"/>
                    </w:rPr>
                    <w:t>生产用水外购，不使用地下水，优先采购再生水。</w:t>
                  </w:r>
                </w:p>
              </w:tc>
              <w:tc>
                <w:tcPr>
                  <w:tcW w:w="495" w:type="pct"/>
                  <w:vAlign w:val="center"/>
                </w:tcPr>
                <w:p w14:paraId="4D1328E5">
                  <w:pPr>
                    <w:jc w:val="center"/>
                    <w:rPr>
                      <w:szCs w:val="21"/>
                    </w:rPr>
                  </w:pPr>
                  <w:r>
                    <w:rPr>
                      <w:szCs w:val="21"/>
                    </w:rPr>
                    <w:t>符合</w:t>
                  </w:r>
                </w:p>
              </w:tc>
            </w:tr>
            <w:tr w14:paraId="662707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vMerge w:val="continue"/>
                  <w:vAlign w:val="center"/>
                </w:tcPr>
                <w:p w14:paraId="67332124">
                  <w:pPr>
                    <w:adjustRightInd w:val="0"/>
                    <w:snapToGrid w:val="0"/>
                    <w:jc w:val="center"/>
                    <w:rPr>
                      <w:szCs w:val="21"/>
                    </w:rPr>
                  </w:pPr>
                </w:p>
              </w:tc>
              <w:tc>
                <w:tcPr>
                  <w:tcW w:w="2194" w:type="pct"/>
                  <w:vAlign w:val="center"/>
                </w:tcPr>
                <w:p w14:paraId="0A7CA982">
                  <w:pPr>
                    <w:adjustRightInd w:val="0"/>
                    <w:snapToGrid w:val="0"/>
                    <w:jc w:val="center"/>
                    <w:rPr>
                      <w:szCs w:val="21"/>
                    </w:rPr>
                  </w:pPr>
                  <w:r>
                    <w:rPr>
                      <w:szCs w:val="21"/>
                    </w:rPr>
                    <w:t>7.新增取用水项目污水排放率应满足国家和自治区“水十条”要求。</w:t>
                  </w:r>
                </w:p>
              </w:tc>
              <w:tc>
                <w:tcPr>
                  <w:tcW w:w="1959" w:type="pct"/>
                  <w:vAlign w:val="center"/>
                </w:tcPr>
                <w:p w14:paraId="5AE9E50F">
                  <w:pPr>
                    <w:adjustRightInd w:val="0"/>
                    <w:snapToGrid w:val="0"/>
                    <w:jc w:val="center"/>
                    <w:rPr>
                      <w:szCs w:val="21"/>
                    </w:rPr>
                  </w:pPr>
                  <w:r>
                    <w:rPr>
                      <w:szCs w:val="21"/>
                    </w:rPr>
                    <w:t>生产用水和生活用水外购，生产废水全部回用，不外排。污水排放率应满足国家和自治区“水十条”要求。</w:t>
                  </w:r>
                </w:p>
              </w:tc>
              <w:tc>
                <w:tcPr>
                  <w:tcW w:w="495" w:type="pct"/>
                  <w:vAlign w:val="center"/>
                </w:tcPr>
                <w:p w14:paraId="65A94F15">
                  <w:pPr>
                    <w:jc w:val="center"/>
                    <w:rPr>
                      <w:szCs w:val="21"/>
                    </w:rPr>
                  </w:pPr>
                  <w:r>
                    <w:rPr>
                      <w:szCs w:val="21"/>
                    </w:rPr>
                    <w:t>符合</w:t>
                  </w:r>
                </w:p>
              </w:tc>
            </w:tr>
            <w:tr w14:paraId="08E85B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vAlign w:val="center"/>
                </w:tcPr>
                <w:p w14:paraId="2CFF871E">
                  <w:pPr>
                    <w:adjustRightInd w:val="0"/>
                    <w:snapToGrid w:val="0"/>
                    <w:jc w:val="center"/>
                    <w:rPr>
                      <w:szCs w:val="21"/>
                    </w:rPr>
                  </w:pPr>
                  <w:r>
                    <w:rPr>
                      <w:szCs w:val="21"/>
                    </w:rPr>
                    <w:t>资源开发效率</w:t>
                  </w:r>
                </w:p>
              </w:tc>
              <w:tc>
                <w:tcPr>
                  <w:tcW w:w="2194" w:type="pct"/>
                  <w:vAlign w:val="center"/>
                </w:tcPr>
                <w:p w14:paraId="3709F2F3">
                  <w:pPr>
                    <w:adjustRightInd w:val="0"/>
                    <w:snapToGrid w:val="0"/>
                    <w:jc w:val="left"/>
                    <w:rPr>
                      <w:szCs w:val="21"/>
                    </w:rPr>
                  </w:pPr>
                  <w:r>
                    <w:rPr>
                      <w:szCs w:val="21"/>
                    </w:rPr>
                    <w:t>1.合理配置控制断面上游水资源，保障下游合理生态需水。生态基流是河流生态需水的瞬时最小值，除天然来水小于生态基流外必须予以满足；基本生态需水要求年内不同时段满</w:t>
                  </w:r>
                </w:p>
                <w:p w14:paraId="45F2411E">
                  <w:pPr>
                    <w:adjustRightInd w:val="0"/>
                    <w:snapToGrid w:val="0"/>
                    <w:jc w:val="left"/>
                    <w:rPr>
                      <w:szCs w:val="21"/>
                    </w:rPr>
                  </w:pPr>
                  <w:r>
                    <w:rPr>
                      <w:szCs w:val="21"/>
                    </w:rPr>
                    <w:t>足一定的水量，对于有基本生态需水要求的河流除天然来水小于基本生态需水外应予以满足。湖泊应满足要求的湖水位</w:t>
                  </w:r>
                  <w:r>
                    <w:rPr>
                      <w:rFonts w:hint="eastAsia"/>
                      <w:szCs w:val="21"/>
                      <w:lang w:eastAsia="zh-CN"/>
                    </w:rPr>
                    <w:t>（</w:t>
                  </w:r>
                  <w:r>
                    <w:rPr>
                      <w:szCs w:val="21"/>
                    </w:rPr>
                    <w:t>湖面面积</w:t>
                  </w:r>
                  <w:r>
                    <w:rPr>
                      <w:rFonts w:hint="eastAsia"/>
                      <w:szCs w:val="21"/>
                      <w:lang w:eastAsia="zh-CN"/>
                    </w:rPr>
                    <w:t>）</w:t>
                  </w:r>
                  <w:r>
                    <w:rPr>
                      <w:szCs w:val="21"/>
                    </w:rPr>
                    <w:t>。</w:t>
                  </w:r>
                </w:p>
              </w:tc>
              <w:tc>
                <w:tcPr>
                  <w:tcW w:w="1959" w:type="pct"/>
                  <w:vAlign w:val="center"/>
                </w:tcPr>
                <w:p w14:paraId="7B618586">
                  <w:pPr>
                    <w:adjustRightInd w:val="0"/>
                    <w:snapToGrid w:val="0"/>
                    <w:jc w:val="left"/>
                    <w:rPr>
                      <w:szCs w:val="21"/>
                    </w:rPr>
                  </w:pPr>
                  <w:r>
                    <w:rPr>
                      <w:bCs/>
                      <w:szCs w:val="21"/>
                    </w:rPr>
                    <w:t>本项目为混凝土及水泥稳定土拌合站建设项目，不涉及资源开发。</w:t>
                  </w:r>
                </w:p>
              </w:tc>
              <w:tc>
                <w:tcPr>
                  <w:tcW w:w="495" w:type="pct"/>
                  <w:vAlign w:val="center"/>
                </w:tcPr>
                <w:p w14:paraId="14044B9A">
                  <w:pPr>
                    <w:jc w:val="center"/>
                    <w:rPr>
                      <w:szCs w:val="21"/>
                    </w:rPr>
                  </w:pPr>
                  <w:r>
                    <w:rPr>
                      <w:szCs w:val="21"/>
                    </w:rPr>
                    <w:t>符合</w:t>
                  </w:r>
                </w:p>
              </w:tc>
            </w:tr>
          </w:tbl>
          <w:p w14:paraId="66EF0432">
            <w:pPr>
              <w:autoSpaceDE w:val="0"/>
              <w:autoSpaceDN w:val="0"/>
              <w:spacing w:line="360" w:lineRule="auto"/>
              <w:ind w:firstLine="480" w:firstLineChars="200"/>
              <w:jc w:val="left"/>
              <w:rPr>
                <w:sz w:val="24"/>
              </w:rPr>
            </w:pPr>
            <w:r>
              <w:rPr>
                <w:sz w:val="24"/>
              </w:rPr>
              <w:t>2</w:t>
            </w:r>
            <w:r>
              <w:rPr>
                <w:rFonts w:hint="eastAsia"/>
                <w:sz w:val="24"/>
                <w:lang w:val="en-US" w:eastAsia="zh-CN"/>
              </w:rPr>
              <w:t>.</w:t>
            </w:r>
            <w:r>
              <w:rPr>
                <w:sz w:val="24"/>
              </w:rPr>
              <w:t>选址合理性分析</w:t>
            </w:r>
          </w:p>
          <w:p w14:paraId="70A659CD">
            <w:pPr>
              <w:autoSpaceDE w:val="0"/>
              <w:autoSpaceDN w:val="0"/>
              <w:spacing w:line="360" w:lineRule="auto"/>
              <w:ind w:firstLine="480" w:firstLineChars="200"/>
              <w:rPr>
                <w:sz w:val="24"/>
              </w:rPr>
            </w:pPr>
            <w:r>
              <w:rPr>
                <w:sz w:val="24"/>
              </w:rPr>
              <w:t>本项目为杭锦旗至651县道与S215省道交叉口公路工程</w:t>
            </w:r>
            <w:r>
              <w:rPr>
                <w:rFonts w:hint="eastAsia"/>
                <w:sz w:val="24"/>
                <w:lang w:eastAsia="zh-CN"/>
              </w:rPr>
              <w:t>（</w:t>
            </w:r>
            <w:r>
              <w:rPr>
                <w:sz w:val="24"/>
              </w:rPr>
              <w:t>施工一标段</w:t>
            </w:r>
            <w:r>
              <w:rPr>
                <w:rFonts w:hint="eastAsia"/>
                <w:sz w:val="24"/>
                <w:lang w:eastAsia="zh-CN"/>
              </w:rPr>
              <w:t>）</w:t>
            </w:r>
            <w:r>
              <w:rPr>
                <w:sz w:val="24"/>
              </w:rPr>
              <w:t>配套的</w:t>
            </w:r>
            <w:r>
              <w:rPr>
                <w:bCs/>
                <w:sz w:val="24"/>
              </w:rPr>
              <w:t>混凝土及水泥稳定土拌合站</w:t>
            </w:r>
            <w:r>
              <w:rPr>
                <w:sz w:val="24"/>
              </w:rPr>
              <w:t>，位于鄂尔多斯市杭锦旗独贵塔拉镇图古日格嘎查</w:t>
            </w:r>
            <w:r>
              <w:rPr>
                <w:rFonts w:hint="eastAsia"/>
                <w:sz w:val="24"/>
              </w:rPr>
              <w:t>，</w:t>
            </w:r>
            <w:r>
              <w:rPr>
                <w:sz w:val="24"/>
              </w:rPr>
              <w:t>所在区域未占用农田、林地、自然保护区、风景名胜区等；项目临时用地租用</w:t>
            </w:r>
            <w:r>
              <w:rPr>
                <w:bCs/>
                <w:sz w:val="24"/>
              </w:rPr>
              <w:t>独贵塔拉镇图古日格嘎查</w:t>
            </w:r>
            <w:r>
              <w:rPr>
                <w:sz w:val="24"/>
              </w:rPr>
              <w:t>村集体土地</w:t>
            </w:r>
            <w:r>
              <w:rPr>
                <w:rFonts w:hint="eastAsia"/>
                <w:sz w:val="24"/>
                <w:lang w:eastAsia="zh-CN"/>
              </w:rPr>
              <w:t>（</w:t>
            </w:r>
            <w:r>
              <w:rPr>
                <w:sz w:val="24"/>
              </w:rPr>
              <w:t>临时征地补偿协议书见附件3</w:t>
            </w:r>
            <w:r>
              <w:rPr>
                <w:rFonts w:hint="eastAsia"/>
                <w:sz w:val="24"/>
                <w:lang w:eastAsia="zh-CN"/>
              </w:rPr>
              <w:t>）</w:t>
            </w:r>
            <w:r>
              <w:rPr>
                <w:rFonts w:hint="eastAsia"/>
                <w:sz w:val="24"/>
              </w:rPr>
              <w:t>。</w:t>
            </w:r>
          </w:p>
          <w:p w14:paraId="44D08283">
            <w:pPr>
              <w:autoSpaceDE w:val="0"/>
              <w:autoSpaceDN w:val="0"/>
              <w:spacing w:line="360" w:lineRule="auto"/>
              <w:ind w:firstLine="480" w:firstLineChars="200"/>
              <w:rPr>
                <w:bCs/>
                <w:sz w:val="24"/>
              </w:rPr>
            </w:pPr>
            <w:r>
              <w:rPr>
                <w:bCs/>
                <w:sz w:val="24"/>
              </w:rPr>
              <w:t>本项目厂址500m范围内无居民等敏感目标，</w:t>
            </w:r>
            <w:r>
              <w:rPr>
                <w:rFonts w:hint="eastAsia"/>
                <w:bCs/>
                <w:sz w:val="24"/>
              </w:rPr>
              <w:t>且</w:t>
            </w:r>
            <w:r>
              <w:rPr>
                <w:bCs/>
                <w:sz w:val="24"/>
              </w:rPr>
              <w:t>通过采取报告表</w:t>
            </w:r>
            <w:r>
              <w:rPr>
                <w:rFonts w:hint="eastAsia"/>
                <w:bCs/>
                <w:sz w:val="24"/>
              </w:rPr>
              <w:t>中</w:t>
            </w:r>
            <w:r>
              <w:rPr>
                <w:bCs/>
                <w:sz w:val="24"/>
              </w:rPr>
              <w:t>提出的各项环保措施后，本项目的建设对环境影响较小。因此，本项目选址合理</w:t>
            </w:r>
            <w:r>
              <w:rPr>
                <w:sz w:val="24"/>
              </w:rPr>
              <w:t>。</w:t>
            </w:r>
          </w:p>
          <w:p w14:paraId="3DDDA52A">
            <w:pPr>
              <w:autoSpaceDE w:val="0"/>
              <w:autoSpaceDN w:val="0"/>
              <w:spacing w:line="360" w:lineRule="auto"/>
              <w:ind w:firstLine="480" w:firstLineChars="200"/>
              <w:jc w:val="left"/>
              <w:rPr>
                <w:sz w:val="24"/>
              </w:rPr>
            </w:pPr>
            <w:r>
              <w:rPr>
                <w:sz w:val="24"/>
              </w:rPr>
              <w:t>3</w:t>
            </w:r>
            <w:r>
              <w:rPr>
                <w:rFonts w:hint="eastAsia"/>
                <w:sz w:val="24"/>
                <w:lang w:val="en-US" w:eastAsia="zh-CN"/>
              </w:rPr>
              <w:t>.</w:t>
            </w:r>
            <w:r>
              <w:rPr>
                <w:sz w:val="24"/>
              </w:rPr>
              <w:t>产业政策符合性分析</w:t>
            </w:r>
          </w:p>
          <w:p w14:paraId="5102AF85">
            <w:pPr>
              <w:autoSpaceDE w:val="0"/>
              <w:autoSpaceDN w:val="0"/>
              <w:spacing w:line="360" w:lineRule="auto"/>
              <w:ind w:firstLine="480" w:firstLineChars="200"/>
              <w:jc w:val="left"/>
              <w:rPr>
                <w:sz w:val="24"/>
              </w:rPr>
            </w:pPr>
            <w:r>
              <w:rPr>
                <w:sz w:val="24"/>
              </w:rPr>
              <w:t>本项目属于水泥制品制造业，项目不属于</w:t>
            </w:r>
            <w:r>
              <w:rPr>
                <w:bCs/>
                <w:sz w:val="24"/>
              </w:rPr>
              <w:t>《产业结构调整指导目录</w:t>
            </w:r>
            <w:r>
              <w:rPr>
                <w:rFonts w:hint="eastAsia"/>
                <w:bCs/>
                <w:sz w:val="24"/>
                <w:lang w:eastAsia="zh-CN"/>
              </w:rPr>
              <w:t>（</w:t>
            </w:r>
            <w:r>
              <w:rPr>
                <w:bCs/>
                <w:sz w:val="24"/>
              </w:rPr>
              <w:t>2024年本</w:t>
            </w:r>
            <w:r>
              <w:rPr>
                <w:rFonts w:hint="eastAsia"/>
                <w:bCs/>
                <w:sz w:val="24"/>
                <w:lang w:eastAsia="zh-CN"/>
              </w:rPr>
              <w:t>）</w:t>
            </w:r>
            <w:r>
              <w:rPr>
                <w:bCs/>
                <w:sz w:val="24"/>
              </w:rPr>
              <w:t>》</w:t>
            </w:r>
            <w:r>
              <w:rPr>
                <w:rFonts w:hint="eastAsia"/>
                <w:bCs/>
                <w:sz w:val="24"/>
                <w:lang w:eastAsia="zh-CN"/>
              </w:rPr>
              <w:t>（</w:t>
            </w:r>
            <w:r>
              <w:rPr>
                <w:bCs/>
                <w:sz w:val="24"/>
              </w:rPr>
              <w:t>中华人民共和国国家发展和改革委员会令第7号，自2024年2月1日起施行</w:t>
            </w:r>
            <w:r>
              <w:rPr>
                <w:rFonts w:hint="eastAsia"/>
                <w:bCs/>
                <w:sz w:val="24"/>
                <w:lang w:eastAsia="zh-CN"/>
              </w:rPr>
              <w:t>）</w:t>
            </w:r>
            <w:r>
              <w:rPr>
                <w:sz w:val="24"/>
              </w:rPr>
              <w:t>中限制类、淘汰类、鼓励类项目，为允许类项目，项目的建设符合国家产业政策。</w:t>
            </w:r>
          </w:p>
          <w:p w14:paraId="42CE4E40">
            <w:pPr>
              <w:rPr>
                <w:sz w:val="24"/>
              </w:rPr>
            </w:pPr>
          </w:p>
        </w:tc>
      </w:tr>
    </w:tbl>
    <w:p w14:paraId="3314CE32">
      <w:pPr>
        <w:spacing w:line="360" w:lineRule="auto"/>
        <w:outlineLvl w:val="0"/>
        <w:rPr>
          <w:rFonts w:eastAsia="黑体"/>
          <w:sz w:val="30"/>
        </w:rPr>
        <w:sectPr>
          <w:footerReference r:id="rId5" w:type="default"/>
          <w:pgSz w:w="11906" w:h="16838"/>
          <w:pgMar w:top="1701" w:right="1531" w:bottom="1701" w:left="1531" w:header="851" w:footer="1077" w:gutter="0"/>
          <w:pgNumType w:start="1"/>
          <w:cols w:space="720" w:num="1"/>
          <w:docGrid w:linePitch="312" w:charSpace="0"/>
        </w:sectPr>
      </w:pPr>
    </w:p>
    <w:p w14:paraId="48950645">
      <w:pPr>
        <w:pStyle w:val="13"/>
        <w:jc w:val="center"/>
        <w:outlineLvl w:val="0"/>
        <w:rPr>
          <w:rFonts w:ascii="Times New Roman" w:hAnsi="Times New Roman" w:eastAsia="黑体"/>
          <w:snapToGrid w:val="0"/>
          <w:sz w:val="30"/>
          <w:szCs w:val="30"/>
        </w:rPr>
      </w:pPr>
      <w:r>
        <w:rPr>
          <w:rFonts w:ascii="Times New Roman" w:hAnsi="Times New Roman" w:eastAsia="黑体"/>
          <w:snapToGrid w:val="0"/>
          <w:sz w:val="30"/>
          <w:szCs w:val="30"/>
        </w:rPr>
        <w:t>二、建设项目工程分析</w:t>
      </w:r>
    </w:p>
    <w:tbl>
      <w:tblPr>
        <w:tblStyle w:val="16"/>
        <w:tblW w:w="490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455"/>
      </w:tblGrid>
      <w:tr w14:paraId="51BBD9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17" w:hRule="atLeast"/>
          <w:jc w:val="center"/>
        </w:trPr>
        <w:tc>
          <w:tcPr>
            <w:tcW w:w="239" w:type="pct"/>
            <w:vAlign w:val="center"/>
          </w:tcPr>
          <w:p w14:paraId="0047CDA0">
            <w:pPr>
              <w:pStyle w:val="13"/>
              <w:adjustRightInd w:val="0"/>
              <w:snapToGrid w:val="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建设内容</w:t>
            </w:r>
          </w:p>
        </w:tc>
        <w:tc>
          <w:tcPr>
            <w:tcW w:w="4760" w:type="pct"/>
          </w:tcPr>
          <w:p w14:paraId="7EDD8184">
            <w:pPr>
              <w:spacing w:line="360" w:lineRule="auto"/>
              <w:jc w:val="left"/>
              <w:rPr>
                <w:b/>
                <w:bCs/>
                <w:color w:val="auto"/>
                <w:sz w:val="24"/>
              </w:rPr>
            </w:pPr>
            <w:r>
              <w:rPr>
                <w:b/>
                <w:bCs/>
                <w:color w:val="auto"/>
                <w:sz w:val="24"/>
              </w:rPr>
              <w:t>1</w:t>
            </w:r>
            <w:r>
              <w:rPr>
                <w:rFonts w:hint="eastAsia"/>
                <w:b/>
                <w:bCs/>
                <w:color w:val="auto"/>
                <w:sz w:val="24"/>
                <w:lang w:val="en-US" w:eastAsia="zh-CN"/>
              </w:rPr>
              <w:t>.</w:t>
            </w:r>
            <w:r>
              <w:rPr>
                <w:b/>
                <w:bCs/>
                <w:color w:val="auto"/>
                <w:sz w:val="24"/>
              </w:rPr>
              <w:t>项目由来</w:t>
            </w:r>
          </w:p>
          <w:p w14:paraId="3F7D848D">
            <w:pPr>
              <w:spacing w:line="360" w:lineRule="auto"/>
              <w:ind w:firstLine="480" w:firstLineChars="200"/>
              <w:jc w:val="left"/>
              <w:rPr>
                <w:bCs/>
                <w:color w:val="auto"/>
                <w:sz w:val="24"/>
              </w:rPr>
            </w:pPr>
            <w:r>
              <w:rPr>
                <w:bCs/>
                <w:color w:val="auto"/>
                <w:sz w:val="24"/>
              </w:rPr>
              <w:t>杭锦旗交通运输局建设的杭锦旗至651县道与S215省道交叉口公路工程，于2024年3月29日取得《鄂尔多斯市生态环境局杭锦旗分局关于杭锦旗至 651 县道与S215省道交叉口公路工程环境影响报告表的批复》</w:t>
            </w:r>
            <w:r>
              <w:rPr>
                <w:rFonts w:hint="eastAsia"/>
                <w:bCs/>
                <w:color w:val="auto"/>
                <w:sz w:val="24"/>
                <w:lang w:eastAsia="zh-CN"/>
              </w:rPr>
              <w:t>（</w:t>
            </w:r>
            <w:r>
              <w:rPr>
                <w:bCs/>
                <w:color w:val="auto"/>
                <w:sz w:val="24"/>
              </w:rPr>
              <w:t>鄂杭环审字</w:t>
            </w:r>
            <w:r>
              <w:rPr>
                <w:rFonts w:hint="eastAsia"/>
                <w:bCs/>
                <w:color w:val="auto"/>
                <w:sz w:val="24"/>
                <w:lang w:bidi="zh-TW"/>
              </w:rPr>
              <w:t>〔202</w:t>
            </w:r>
            <w:r>
              <w:rPr>
                <w:rFonts w:hint="eastAsia"/>
                <w:bCs/>
                <w:color w:val="auto"/>
                <w:sz w:val="24"/>
                <w:lang w:val="en-US" w:eastAsia="zh-CN" w:bidi="zh-TW"/>
              </w:rPr>
              <w:t>4</w:t>
            </w:r>
            <w:r>
              <w:rPr>
                <w:rFonts w:hint="eastAsia"/>
                <w:bCs/>
                <w:color w:val="auto"/>
                <w:sz w:val="24"/>
                <w:lang w:bidi="zh-TW"/>
              </w:rPr>
              <w:t>〕</w:t>
            </w:r>
            <w:r>
              <w:rPr>
                <w:bCs/>
                <w:color w:val="auto"/>
                <w:sz w:val="24"/>
              </w:rPr>
              <w:t>4号</w:t>
            </w:r>
            <w:r>
              <w:rPr>
                <w:rFonts w:hint="eastAsia"/>
                <w:bCs/>
                <w:color w:val="auto"/>
                <w:sz w:val="24"/>
                <w:lang w:eastAsia="zh-CN"/>
              </w:rPr>
              <w:t>）</w:t>
            </w:r>
            <w:r>
              <w:rPr>
                <w:bCs/>
                <w:color w:val="auto"/>
                <w:sz w:val="24"/>
              </w:rPr>
              <w:t>，</w:t>
            </w:r>
            <w:r>
              <w:rPr>
                <w:rFonts w:hint="eastAsia"/>
                <w:bCs/>
                <w:color w:val="auto"/>
                <w:sz w:val="24"/>
              </w:rPr>
              <w:t>该工程于2024年6月开工建设，预计2025年6月竣工。</w:t>
            </w:r>
            <w:r>
              <w:rPr>
                <w:bCs/>
                <w:color w:val="auto"/>
                <w:sz w:val="24"/>
              </w:rPr>
              <w:t>本项目为杭锦旗至651县道与S215省道交叉口公路工程施工一标段配套建设临时拌合站。</w:t>
            </w:r>
            <w:r>
              <w:rPr>
                <w:rFonts w:hint="eastAsia"/>
                <w:bCs/>
                <w:color w:val="auto"/>
                <w:sz w:val="24"/>
              </w:rPr>
              <w:t>道路施工结束后，拆除临时拌合站，恢复地块植被。</w:t>
            </w:r>
          </w:p>
          <w:p w14:paraId="1CB4FFA4">
            <w:pPr>
              <w:spacing w:line="360" w:lineRule="auto"/>
              <w:ind w:firstLine="480" w:firstLineChars="200"/>
              <w:jc w:val="left"/>
              <w:rPr>
                <w:bCs/>
                <w:color w:val="auto"/>
                <w:sz w:val="24"/>
                <w:lang w:bidi="zh-TW"/>
              </w:rPr>
            </w:pPr>
            <w:r>
              <w:rPr>
                <w:rFonts w:hint="eastAsia"/>
                <w:bCs/>
                <w:color w:val="auto"/>
                <w:sz w:val="24"/>
                <w:lang w:bidi="zh-TW"/>
              </w:rPr>
              <w:t>本项目于2024</w:t>
            </w:r>
            <w:r>
              <w:rPr>
                <w:bCs/>
                <w:color w:val="auto"/>
                <w:sz w:val="24"/>
                <w:lang w:bidi="zh-TW"/>
              </w:rPr>
              <w:t>年</w:t>
            </w:r>
            <w:r>
              <w:rPr>
                <w:rFonts w:hint="eastAsia"/>
                <w:bCs/>
                <w:color w:val="auto"/>
                <w:sz w:val="24"/>
                <w:lang w:bidi="zh-TW"/>
              </w:rPr>
              <w:t>6</w:t>
            </w:r>
            <w:r>
              <w:rPr>
                <w:bCs/>
                <w:color w:val="auto"/>
                <w:sz w:val="24"/>
                <w:lang w:bidi="zh-TW"/>
              </w:rPr>
              <w:t>月建成</w:t>
            </w:r>
            <w:r>
              <w:rPr>
                <w:rFonts w:hint="eastAsia"/>
                <w:bCs/>
                <w:color w:val="auto"/>
                <w:sz w:val="24"/>
                <w:lang w:bidi="zh-TW"/>
              </w:rPr>
              <w:t>并投入运营，属于未批先建，鄂尔多斯市生态环境局于2024年8月26日出具了《鄂尔多斯市生态环境局行政处罚决定书》</w:t>
            </w:r>
            <w:r>
              <w:rPr>
                <w:rFonts w:hint="eastAsia"/>
                <w:bCs/>
                <w:color w:val="auto"/>
                <w:sz w:val="24"/>
                <w:lang w:eastAsia="zh-CN" w:bidi="zh-TW"/>
              </w:rPr>
              <w:t>（</w:t>
            </w:r>
            <w:r>
              <w:rPr>
                <w:rFonts w:hint="eastAsia"/>
                <w:bCs/>
                <w:color w:val="auto"/>
                <w:sz w:val="24"/>
                <w:lang w:bidi="zh-TW"/>
              </w:rPr>
              <w:t>鄂环罚决字〔202</w:t>
            </w:r>
            <w:r>
              <w:rPr>
                <w:rFonts w:hint="eastAsia"/>
                <w:bCs/>
                <w:color w:val="auto"/>
                <w:sz w:val="24"/>
                <w:lang w:val="en-US" w:eastAsia="zh-CN" w:bidi="zh-TW"/>
              </w:rPr>
              <w:t>4</w:t>
            </w:r>
            <w:r>
              <w:rPr>
                <w:rFonts w:hint="eastAsia"/>
                <w:bCs/>
                <w:color w:val="auto"/>
                <w:sz w:val="24"/>
                <w:lang w:bidi="zh-TW"/>
              </w:rPr>
              <w:t>〕7-15号</w:t>
            </w:r>
            <w:r>
              <w:rPr>
                <w:rFonts w:hint="eastAsia"/>
                <w:bCs/>
                <w:color w:val="auto"/>
                <w:sz w:val="24"/>
                <w:lang w:eastAsia="zh-CN" w:bidi="zh-TW"/>
              </w:rPr>
              <w:t>）</w:t>
            </w:r>
            <w:r>
              <w:rPr>
                <w:rFonts w:hint="eastAsia"/>
                <w:bCs/>
                <w:color w:val="auto"/>
                <w:sz w:val="24"/>
                <w:lang w:bidi="zh-TW"/>
              </w:rPr>
              <w:t>，明确本项目未办理环保审批手续，擅自开工建设并投入运行。违反了《中华人民共和国环境影响评价法》第二十五条：“建设项目的环境影响评价文件未依法经审批部门审查或者审查后未予批准的，建设单位不得开工建设”的规定，并给予处罚。2024年8月27日，</w:t>
            </w:r>
            <w:r>
              <w:rPr>
                <w:bCs/>
                <w:color w:val="auto"/>
                <w:sz w:val="24"/>
                <w:lang w:bidi="zh-TW"/>
              </w:rPr>
              <w:t>内蒙古钲泰公路工程建设有限公司</w:t>
            </w:r>
            <w:r>
              <w:rPr>
                <w:rFonts w:hint="eastAsia"/>
                <w:bCs/>
                <w:color w:val="auto"/>
                <w:sz w:val="24"/>
                <w:lang w:bidi="zh-TW"/>
              </w:rPr>
              <w:t>已全额缴纳罚款。</w:t>
            </w:r>
          </w:p>
          <w:p w14:paraId="526A7224">
            <w:pPr>
              <w:spacing w:line="360" w:lineRule="auto"/>
              <w:ind w:firstLine="480" w:firstLineChars="200"/>
              <w:jc w:val="left"/>
              <w:rPr>
                <w:bCs/>
                <w:color w:val="auto"/>
                <w:sz w:val="24"/>
                <w:lang w:bidi="zh-TW"/>
              </w:rPr>
            </w:pPr>
            <w:r>
              <w:rPr>
                <w:bCs/>
                <w:color w:val="auto"/>
                <w:sz w:val="24"/>
                <w:lang w:bidi="zh-TW"/>
              </w:rPr>
              <w:t>根据《建设项目环境影响评价分类管理名录</w:t>
            </w:r>
            <w:r>
              <w:rPr>
                <w:rFonts w:hint="eastAsia"/>
                <w:bCs/>
                <w:color w:val="auto"/>
                <w:sz w:val="24"/>
                <w:lang w:eastAsia="zh-CN" w:bidi="zh-TW"/>
              </w:rPr>
              <w:t>（</w:t>
            </w:r>
            <w:r>
              <w:rPr>
                <w:bCs/>
                <w:color w:val="auto"/>
                <w:sz w:val="24"/>
                <w:lang w:bidi="zh-TW"/>
              </w:rPr>
              <w:t>2021版</w:t>
            </w:r>
            <w:r>
              <w:rPr>
                <w:rFonts w:hint="eastAsia"/>
                <w:bCs/>
                <w:color w:val="auto"/>
                <w:sz w:val="24"/>
                <w:lang w:eastAsia="zh-CN" w:bidi="zh-TW"/>
              </w:rPr>
              <w:t>）</w:t>
            </w:r>
            <w:r>
              <w:rPr>
                <w:bCs/>
                <w:color w:val="auto"/>
                <w:sz w:val="24"/>
                <w:lang w:bidi="zh-TW"/>
              </w:rPr>
              <w:t>》，本项目属于“二十七、非金属矿物制品业”中“</w:t>
            </w:r>
            <w:r>
              <w:rPr>
                <w:bCs/>
                <w:color w:val="auto"/>
                <w:sz w:val="24"/>
              </w:rPr>
              <w:t>302石膏、水泥制品及类似制品制造</w:t>
            </w:r>
            <w:r>
              <w:rPr>
                <w:bCs/>
                <w:color w:val="auto"/>
                <w:sz w:val="24"/>
                <w:lang w:bidi="zh-TW"/>
              </w:rPr>
              <w:t>”中的“</w:t>
            </w:r>
            <w:r>
              <w:rPr>
                <w:bCs/>
                <w:color w:val="auto"/>
                <w:sz w:val="24"/>
              </w:rPr>
              <w:t>55</w:t>
            </w:r>
            <w:r>
              <w:rPr>
                <w:bCs/>
                <w:color w:val="auto"/>
                <w:sz w:val="24"/>
                <w:lang w:bidi="zh-TW"/>
              </w:rPr>
              <w:t>商品混凝土；砼结构构件制造；水泥制品制造</w:t>
            </w:r>
            <w:r>
              <w:rPr>
                <w:bCs/>
                <w:color w:val="auto"/>
                <w:sz w:val="24"/>
              </w:rPr>
              <w:t>302</w:t>
            </w:r>
            <w:r>
              <w:rPr>
                <w:bCs/>
                <w:color w:val="auto"/>
                <w:sz w:val="24"/>
                <w:lang w:bidi="zh-TW"/>
              </w:rPr>
              <w:t>”，需编制环境影响评价报告表。因此，</w:t>
            </w:r>
            <w:r>
              <w:rPr>
                <w:bCs/>
                <w:color w:val="auto"/>
                <w:sz w:val="24"/>
              </w:rPr>
              <w:t>内蒙古钲泰公路工程建设有限公司</w:t>
            </w:r>
            <w:r>
              <w:rPr>
                <w:bCs/>
                <w:color w:val="auto"/>
                <w:sz w:val="24"/>
                <w:lang w:bidi="zh-TW"/>
              </w:rPr>
              <w:t>委托我公司承担了本项目的环境影响评价工作。接到委托后，我单位第一时间进行现场踏勘、必要的现状监测及工程分析，依据《建设项目环境影响报告表编制技术指南</w:t>
            </w:r>
            <w:r>
              <w:rPr>
                <w:rFonts w:hint="eastAsia"/>
                <w:bCs/>
                <w:color w:val="auto"/>
                <w:sz w:val="24"/>
                <w:lang w:eastAsia="zh-CN" w:bidi="zh-TW"/>
              </w:rPr>
              <w:t>（</w:t>
            </w:r>
            <w:r>
              <w:rPr>
                <w:bCs/>
                <w:color w:val="auto"/>
                <w:sz w:val="24"/>
                <w:lang w:bidi="zh-TW"/>
              </w:rPr>
              <w:t>污染影响类</w:t>
            </w:r>
            <w:r>
              <w:rPr>
                <w:rFonts w:hint="eastAsia"/>
                <w:bCs/>
                <w:color w:val="auto"/>
                <w:sz w:val="24"/>
                <w:lang w:eastAsia="zh-CN" w:bidi="zh-TW"/>
              </w:rPr>
              <w:t>）（</w:t>
            </w:r>
            <w:r>
              <w:rPr>
                <w:bCs/>
                <w:color w:val="auto"/>
                <w:sz w:val="24"/>
                <w:lang w:bidi="zh-TW"/>
              </w:rPr>
              <w:t>试行</w:t>
            </w:r>
            <w:r>
              <w:rPr>
                <w:rFonts w:hint="eastAsia"/>
                <w:bCs/>
                <w:color w:val="auto"/>
                <w:sz w:val="24"/>
                <w:lang w:eastAsia="zh-CN" w:bidi="zh-TW"/>
              </w:rPr>
              <w:t>）</w:t>
            </w:r>
            <w:r>
              <w:rPr>
                <w:bCs/>
                <w:color w:val="auto"/>
                <w:sz w:val="24"/>
                <w:lang w:bidi="zh-TW"/>
              </w:rPr>
              <w:t>》的要求编制完成了本项目的环境影响评价报告表。</w:t>
            </w:r>
          </w:p>
          <w:p w14:paraId="4249E1C1">
            <w:pPr>
              <w:spacing w:line="360" w:lineRule="auto"/>
              <w:jc w:val="left"/>
              <w:rPr>
                <w:b/>
                <w:bCs/>
                <w:color w:val="auto"/>
                <w:sz w:val="24"/>
              </w:rPr>
            </w:pPr>
            <w:r>
              <w:rPr>
                <w:b/>
                <w:bCs/>
                <w:color w:val="auto"/>
                <w:sz w:val="24"/>
              </w:rPr>
              <w:t>2</w:t>
            </w:r>
            <w:r>
              <w:rPr>
                <w:rFonts w:hint="eastAsia"/>
                <w:b/>
                <w:bCs/>
                <w:color w:val="auto"/>
                <w:sz w:val="24"/>
                <w:lang w:val="en-US" w:eastAsia="zh-CN"/>
              </w:rPr>
              <w:t>.</w:t>
            </w:r>
            <w:r>
              <w:rPr>
                <w:b/>
                <w:bCs/>
                <w:color w:val="auto"/>
                <w:sz w:val="24"/>
              </w:rPr>
              <w:t>建设内容</w:t>
            </w:r>
          </w:p>
          <w:p w14:paraId="5FFAC004">
            <w:pPr>
              <w:spacing w:line="360" w:lineRule="auto"/>
              <w:ind w:firstLine="482" w:firstLineChars="200"/>
              <w:jc w:val="left"/>
              <w:rPr>
                <w:bCs/>
                <w:color w:val="auto"/>
                <w:sz w:val="24"/>
              </w:rPr>
            </w:pPr>
            <w:r>
              <w:rPr>
                <w:b/>
                <w:bCs/>
                <w:color w:val="auto"/>
                <w:sz w:val="24"/>
              </w:rPr>
              <w:t>项目名称：</w:t>
            </w:r>
            <w:bookmarkStart w:id="3" w:name="_Hlk175753299"/>
            <w:r>
              <w:rPr>
                <w:bCs/>
                <w:color w:val="auto"/>
                <w:sz w:val="24"/>
              </w:rPr>
              <w:t>内蒙古钲泰公路工程建设有限公司独贵塔拉拌合站项目</w:t>
            </w:r>
            <w:bookmarkEnd w:id="3"/>
          </w:p>
          <w:p w14:paraId="57BCF637">
            <w:pPr>
              <w:spacing w:line="360" w:lineRule="auto"/>
              <w:ind w:firstLine="482" w:firstLineChars="200"/>
              <w:jc w:val="left"/>
              <w:rPr>
                <w:bCs/>
                <w:color w:val="auto"/>
                <w:sz w:val="24"/>
              </w:rPr>
            </w:pPr>
            <w:r>
              <w:rPr>
                <w:b/>
                <w:bCs/>
                <w:color w:val="auto"/>
                <w:sz w:val="24"/>
              </w:rPr>
              <w:t>建设单位：</w:t>
            </w:r>
            <w:r>
              <w:rPr>
                <w:bCs/>
                <w:color w:val="auto"/>
                <w:sz w:val="24"/>
              </w:rPr>
              <w:t>内蒙古钲泰公路工程建设有限公司</w:t>
            </w:r>
          </w:p>
          <w:p w14:paraId="11EF1C2E">
            <w:pPr>
              <w:spacing w:line="360" w:lineRule="auto"/>
              <w:ind w:firstLine="482" w:firstLineChars="200"/>
              <w:jc w:val="left"/>
              <w:rPr>
                <w:rFonts w:hint="eastAsia" w:eastAsia="宋体"/>
                <w:b/>
                <w:bCs/>
                <w:color w:val="auto"/>
                <w:sz w:val="24"/>
                <w:lang w:eastAsia="zh-CN"/>
              </w:rPr>
            </w:pPr>
            <w:r>
              <w:rPr>
                <w:b/>
                <w:bCs/>
                <w:color w:val="auto"/>
                <w:sz w:val="24"/>
              </w:rPr>
              <w:t>建设性质：</w:t>
            </w:r>
            <w:r>
              <w:rPr>
                <w:color w:val="auto"/>
                <w:sz w:val="24"/>
              </w:rPr>
              <w:t>新建</w:t>
            </w:r>
            <w:r>
              <w:rPr>
                <w:rFonts w:hint="eastAsia"/>
                <w:color w:val="auto"/>
                <w:sz w:val="24"/>
                <w:lang w:eastAsia="zh-CN"/>
              </w:rPr>
              <w:t>（</w:t>
            </w:r>
            <w:r>
              <w:rPr>
                <w:color w:val="auto"/>
                <w:sz w:val="24"/>
              </w:rPr>
              <w:t>未批先建</w:t>
            </w:r>
            <w:r>
              <w:rPr>
                <w:rFonts w:hint="eastAsia"/>
                <w:color w:val="auto"/>
                <w:sz w:val="24"/>
                <w:lang w:eastAsia="zh-CN"/>
              </w:rPr>
              <w:t>）</w:t>
            </w:r>
          </w:p>
          <w:p w14:paraId="1F53E75E">
            <w:pPr>
              <w:spacing w:line="360" w:lineRule="auto"/>
              <w:ind w:firstLine="482" w:firstLineChars="200"/>
              <w:jc w:val="left"/>
              <w:rPr>
                <w:bCs/>
                <w:color w:val="auto"/>
                <w:sz w:val="24"/>
              </w:rPr>
            </w:pPr>
            <w:r>
              <w:rPr>
                <w:b/>
                <w:bCs/>
                <w:color w:val="auto"/>
                <w:sz w:val="24"/>
              </w:rPr>
              <w:t>建设地点：</w:t>
            </w:r>
            <w:bookmarkStart w:id="4" w:name="_Hlk172558676"/>
            <w:r>
              <w:rPr>
                <w:bCs/>
                <w:color w:val="auto"/>
                <w:sz w:val="24"/>
              </w:rPr>
              <w:t>项目位于内蒙古自治区鄂尔多斯市杭锦旗独贵塔拉镇图古日格嘎查</w:t>
            </w:r>
            <w:bookmarkEnd w:id="4"/>
            <w:r>
              <w:rPr>
                <w:rFonts w:hint="eastAsia"/>
                <w:bCs/>
                <w:color w:val="auto"/>
                <w:sz w:val="24"/>
              </w:rPr>
              <w:t>，</w:t>
            </w:r>
            <w:r>
              <w:rPr>
                <w:bCs/>
                <w:color w:val="auto"/>
                <w:sz w:val="24"/>
              </w:rPr>
              <w:t>杭锦旗至651县道与S215省道交叉口公路工程</w:t>
            </w:r>
            <w:r>
              <w:rPr>
                <w:rFonts w:hint="eastAsia"/>
                <w:bCs/>
                <w:color w:val="auto"/>
                <w:sz w:val="24"/>
              </w:rPr>
              <w:t>K0+000左侧500米处</w:t>
            </w:r>
            <w:r>
              <w:rPr>
                <w:bCs/>
                <w:color w:val="auto"/>
                <w:sz w:val="24"/>
              </w:rPr>
              <w:t>。厂址中心地理坐标为：</w:t>
            </w:r>
            <w:bookmarkStart w:id="5" w:name="_Hlk80536582"/>
            <w:r>
              <w:rPr>
                <w:bCs/>
                <w:color w:val="auto"/>
                <w:sz w:val="24"/>
              </w:rPr>
              <w:t>E108°38′22.594″，N40°26′19.364″</w:t>
            </w:r>
            <w:bookmarkEnd w:id="5"/>
            <w:r>
              <w:rPr>
                <w:bCs/>
                <w:color w:val="auto"/>
                <w:sz w:val="24"/>
              </w:rPr>
              <w:t>。项目地理位置图见附图2。</w:t>
            </w:r>
          </w:p>
          <w:p w14:paraId="47C9D4E7">
            <w:pPr>
              <w:spacing w:line="360" w:lineRule="auto"/>
              <w:ind w:firstLine="482" w:firstLineChars="200"/>
              <w:jc w:val="left"/>
              <w:rPr>
                <w:bCs/>
                <w:color w:val="auto"/>
                <w:sz w:val="24"/>
              </w:rPr>
            </w:pPr>
            <w:r>
              <w:rPr>
                <w:b/>
                <w:bCs/>
                <w:color w:val="auto"/>
                <w:sz w:val="24"/>
              </w:rPr>
              <w:t>建设内容及规模：</w:t>
            </w:r>
            <w:bookmarkStart w:id="6" w:name="_Hlk172558683"/>
            <w:r>
              <w:rPr>
                <w:bCs/>
                <w:color w:val="auto"/>
                <w:sz w:val="24"/>
              </w:rPr>
              <w:t>本项目计划生产商砼混凝土1.5万t/a，水泥稳定土12.5万t/a，建设一套90型混凝土拌合站和一套600型水泥稳定土拌合站</w:t>
            </w:r>
            <w:bookmarkEnd w:id="6"/>
            <w:r>
              <w:rPr>
                <w:bCs/>
                <w:color w:val="auto"/>
                <w:sz w:val="24"/>
              </w:rPr>
              <w:t>及其配套设施。本项目为杭锦旗至651县道与S215省道交叉口公路工程施工一标段配套建设临时拌合站</w:t>
            </w:r>
            <w:r>
              <w:rPr>
                <w:rFonts w:hint="eastAsia"/>
                <w:bCs/>
                <w:color w:val="auto"/>
                <w:sz w:val="24"/>
              </w:rPr>
              <w:t>。</w:t>
            </w:r>
          </w:p>
          <w:p w14:paraId="2E84B4C3">
            <w:pPr>
              <w:spacing w:line="360" w:lineRule="auto"/>
              <w:ind w:firstLine="482" w:firstLineChars="200"/>
              <w:jc w:val="left"/>
              <w:rPr>
                <w:b/>
                <w:bCs/>
                <w:color w:val="auto"/>
                <w:sz w:val="24"/>
              </w:rPr>
            </w:pPr>
            <w:r>
              <w:rPr>
                <w:b/>
                <w:bCs/>
                <w:color w:val="auto"/>
                <w:sz w:val="24"/>
              </w:rPr>
              <w:t>占地面积：</w:t>
            </w:r>
            <w:r>
              <w:rPr>
                <w:color w:val="auto"/>
                <w:sz w:val="24"/>
              </w:rPr>
              <w:t>本项目占地面积</w:t>
            </w:r>
            <w:r>
              <w:rPr>
                <w:rFonts w:hint="eastAsia"/>
                <w:color w:val="auto"/>
                <w:sz w:val="24"/>
              </w:rPr>
              <w:t>10000</w:t>
            </w:r>
            <w:r>
              <w:rPr>
                <w:color w:val="auto"/>
                <w:sz w:val="24"/>
              </w:rPr>
              <w:t>m</w:t>
            </w:r>
            <w:r>
              <w:rPr>
                <w:color w:val="auto"/>
                <w:sz w:val="24"/>
                <w:vertAlign w:val="superscript"/>
              </w:rPr>
              <w:t>2</w:t>
            </w:r>
            <w:r>
              <w:rPr>
                <w:color w:val="auto"/>
                <w:sz w:val="24"/>
              </w:rPr>
              <w:t>。</w:t>
            </w:r>
          </w:p>
          <w:p w14:paraId="39A757C7">
            <w:pPr>
              <w:spacing w:line="360" w:lineRule="auto"/>
              <w:ind w:firstLine="482" w:firstLineChars="200"/>
              <w:jc w:val="left"/>
              <w:rPr>
                <w:b/>
                <w:bCs/>
                <w:iCs/>
                <w:color w:val="auto"/>
                <w:sz w:val="24"/>
              </w:rPr>
            </w:pPr>
            <w:r>
              <w:rPr>
                <w:b/>
                <w:bCs/>
                <w:color w:val="auto"/>
                <w:sz w:val="24"/>
              </w:rPr>
              <w:t>项目投资：</w:t>
            </w:r>
            <w:r>
              <w:rPr>
                <w:bCs/>
                <w:color w:val="auto"/>
                <w:sz w:val="24"/>
              </w:rPr>
              <w:t>总投资为50万元，其中环保投资为</w:t>
            </w:r>
            <w:r>
              <w:rPr>
                <w:rFonts w:hint="eastAsia"/>
                <w:bCs/>
                <w:color w:val="auto"/>
                <w:sz w:val="24"/>
              </w:rPr>
              <w:t>6.55</w:t>
            </w:r>
            <w:r>
              <w:rPr>
                <w:bCs/>
                <w:color w:val="auto"/>
                <w:sz w:val="24"/>
              </w:rPr>
              <w:t>万元，占总投资的</w:t>
            </w:r>
            <w:r>
              <w:rPr>
                <w:rFonts w:hint="eastAsia"/>
                <w:bCs/>
                <w:color w:val="auto"/>
                <w:sz w:val="24"/>
              </w:rPr>
              <w:t>13.1</w:t>
            </w:r>
            <w:r>
              <w:rPr>
                <w:bCs/>
                <w:color w:val="auto"/>
                <w:sz w:val="24"/>
              </w:rPr>
              <w:t>% 。</w:t>
            </w:r>
          </w:p>
          <w:p w14:paraId="73B538A1">
            <w:pPr>
              <w:spacing w:line="360" w:lineRule="auto"/>
              <w:ind w:firstLine="480" w:firstLineChars="200"/>
              <w:jc w:val="left"/>
              <w:rPr>
                <w:bCs/>
                <w:color w:val="auto"/>
                <w:sz w:val="24"/>
              </w:rPr>
            </w:pPr>
            <w:r>
              <w:rPr>
                <w:bCs/>
                <w:color w:val="auto"/>
                <w:sz w:val="24"/>
              </w:rPr>
              <w:t>本项目工程具体组成见表2-1。</w:t>
            </w:r>
          </w:p>
          <w:p w14:paraId="03B34787">
            <w:pPr>
              <w:pStyle w:val="23"/>
              <w:rPr>
                <w:color w:val="auto"/>
              </w:rPr>
            </w:pPr>
            <w:r>
              <w:rPr>
                <w:color w:val="auto"/>
              </w:rPr>
              <w:t>表2-1 项目组成一览表</w:t>
            </w:r>
          </w:p>
          <w:tbl>
            <w:tblPr>
              <w:tblStyle w:val="1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62"/>
              <w:gridCol w:w="1301"/>
              <w:gridCol w:w="5213"/>
              <w:gridCol w:w="1063"/>
            </w:tblGrid>
            <w:tr w14:paraId="3AC208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tcMar>
                    <w:left w:w="28" w:type="dxa"/>
                    <w:right w:w="28" w:type="dxa"/>
                  </w:tcMar>
                  <w:vAlign w:val="center"/>
                </w:tcPr>
                <w:p w14:paraId="6837ED4F">
                  <w:pPr>
                    <w:adjustRightInd w:val="0"/>
                    <w:snapToGrid w:val="0"/>
                    <w:jc w:val="center"/>
                    <w:rPr>
                      <w:color w:val="auto"/>
                      <w:szCs w:val="21"/>
                    </w:rPr>
                  </w:pPr>
                  <w:r>
                    <w:rPr>
                      <w:color w:val="auto"/>
                      <w:szCs w:val="21"/>
                    </w:rPr>
                    <w:t>类别</w:t>
                  </w:r>
                </w:p>
              </w:tc>
              <w:tc>
                <w:tcPr>
                  <w:tcW w:w="1301" w:type="dxa"/>
                  <w:tcMar>
                    <w:left w:w="28" w:type="dxa"/>
                    <w:right w:w="28" w:type="dxa"/>
                  </w:tcMar>
                  <w:vAlign w:val="center"/>
                </w:tcPr>
                <w:p w14:paraId="5C5A7DA3">
                  <w:pPr>
                    <w:adjustRightInd w:val="0"/>
                    <w:snapToGrid w:val="0"/>
                    <w:jc w:val="center"/>
                    <w:rPr>
                      <w:color w:val="auto"/>
                      <w:szCs w:val="21"/>
                    </w:rPr>
                  </w:pPr>
                  <w:r>
                    <w:rPr>
                      <w:color w:val="auto"/>
                      <w:szCs w:val="21"/>
                    </w:rPr>
                    <w:t>工程名称</w:t>
                  </w:r>
                </w:p>
              </w:tc>
              <w:tc>
                <w:tcPr>
                  <w:tcW w:w="5213" w:type="dxa"/>
                  <w:tcMar>
                    <w:left w:w="28" w:type="dxa"/>
                    <w:right w:w="28" w:type="dxa"/>
                  </w:tcMar>
                  <w:vAlign w:val="center"/>
                </w:tcPr>
                <w:p w14:paraId="26652BAE">
                  <w:pPr>
                    <w:adjustRightInd w:val="0"/>
                    <w:snapToGrid w:val="0"/>
                    <w:jc w:val="center"/>
                    <w:rPr>
                      <w:color w:val="auto"/>
                      <w:szCs w:val="21"/>
                    </w:rPr>
                  </w:pPr>
                  <w:r>
                    <w:rPr>
                      <w:color w:val="auto"/>
                      <w:szCs w:val="21"/>
                    </w:rPr>
                    <w:t>建设内容及规模</w:t>
                  </w:r>
                </w:p>
              </w:tc>
              <w:tc>
                <w:tcPr>
                  <w:tcW w:w="1063" w:type="dxa"/>
                  <w:vAlign w:val="center"/>
                </w:tcPr>
                <w:p w14:paraId="39F96FBE">
                  <w:pPr>
                    <w:adjustRightInd w:val="0"/>
                    <w:snapToGrid w:val="0"/>
                    <w:jc w:val="center"/>
                    <w:rPr>
                      <w:color w:val="auto"/>
                      <w:szCs w:val="21"/>
                    </w:rPr>
                  </w:pPr>
                  <w:r>
                    <w:rPr>
                      <w:color w:val="auto"/>
                      <w:szCs w:val="21"/>
                    </w:rPr>
                    <w:t>备注</w:t>
                  </w:r>
                </w:p>
              </w:tc>
            </w:tr>
            <w:tr w14:paraId="3D4F2E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restart"/>
                  <w:tcMar>
                    <w:left w:w="28" w:type="dxa"/>
                    <w:right w:w="28" w:type="dxa"/>
                  </w:tcMar>
                  <w:vAlign w:val="center"/>
                </w:tcPr>
                <w:p w14:paraId="19052454">
                  <w:pPr>
                    <w:adjustRightInd w:val="0"/>
                    <w:snapToGrid w:val="0"/>
                    <w:jc w:val="center"/>
                    <w:rPr>
                      <w:color w:val="auto"/>
                      <w:szCs w:val="21"/>
                    </w:rPr>
                  </w:pPr>
                  <w:r>
                    <w:rPr>
                      <w:color w:val="auto"/>
                      <w:szCs w:val="21"/>
                    </w:rPr>
                    <w:t>主体</w:t>
                  </w:r>
                </w:p>
                <w:p w14:paraId="60E2BF84">
                  <w:pPr>
                    <w:adjustRightInd w:val="0"/>
                    <w:snapToGrid w:val="0"/>
                    <w:jc w:val="center"/>
                    <w:rPr>
                      <w:color w:val="auto"/>
                      <w:szCs w:val="21"/>
                    </w:rPr>
                  </w:pPr>
                  <w:r>
                    <w:rPr>
                      <w:color w:val="auto"/>
                      <w:szCs w:val="21"/>
                    </w:rPr>
                    <w:t>工程</w:t>
                  </w:r>
                </w:p>
              </w:tc>
              <w:tc>
                <w:tcPr>
                  <w:tcW w:w="1301" w:type="dxa"/>
                  <w:tcMar>
                    <w:left w:w="28" w:type="dxa"/>
                    <w:right w:w="28" w:type="dxa"/>
                  </w:tcMar>
                  <w:vAlign w:val="center"/>
                </w:tcPr>
                <w:p w14:paraId="107CBE57">
                  <w:pPr>
                    <w:adjustRightInd w:val="0"/>
                    <w:snapToGrid w:val="0"/>
                    <w:jc w:val="center"/>
                    <w:rPr>
                      <w:color w:val="auto"/>
                      <w:szCs w:val="21"/>
                    </w:rPr>
                  </w:pPr>
                  <w:r>
                    <w:rPr>
                      <w:color w:val="auto"/>
                      <w:szCs w:val="21"/>
                    </w:rPr>
                    <w:t>混凝土搅拌站</w:t>
                  </w:r>
                </w:p>
              </w:tc>
              <w:tc>
                <w:tcPr>
                  <w:tcW w:w="5213" w:type="dxa"/>
                  <w:tcMar>
                    <w:left w:w="28" w:type="dxa"/>
                    <w:right w:w="28" w:type="dxa"/>
                  </w:tcMar>
                  <w:vAlign w:val="center"/>
                </w:tcPr>
                <w:p w14:paraId="72DC49EA">
                  <w:pPr>
                    <w:adjustRightInd w:val="0"/>
                    <w:snapToGrid w:val="0"/>
                    <w:rPr>
                      <w:color w:val="auto"/>
                      <w:szCs w:val="21"/>
                    </w:rPr>
                  </w:pPr>
                  <w:r>
                    <w:rPr>
                      <w:color w:val="auto"/>
                      <w:szCs w:val="21"/>
                    </w:rPr>
                    <w:t>建设混凝土生产线1条，</w:t>
                  </w:r>
                  <w:r>
                    <w:rPr>
                      <w:rFonts w:hint="eastAsia"/>
                      <w:color w:val="auto"/>
                      <w:szCs w:val="21"/>
                    </w:rPr>
                    <w:t>占地面积120m</w:t>
                  </w:r>
                  <w:r>
                    <w:rPr>
                      <w:rFonts w:hint="eastAsia"/>
                      <w:color w:val="auto"/>
                      <w:szCs w:val="21"/>
                      <w:vertAlign w:val="superscript"/>
                    </w:rPr>
                    <w:t>2</w:t>
                  </w:r>
                  <w:r>
                    <w:rPr>
                      <w:rFonts w:hint="eastAsia"/>
                      <w:color w:val="auto"/>
                      <w:szCs w:val="21"/>
                    </w:rPr>
                    <w:t>，</w:t>
                  </w:r>
                  <w:r>
                    <w:rPr>
                      <w:color w:val="auto"/>
                      <w:szCs w:val="21"/>
                    </w:rPr>
                    <w:t>配备</w:t>
                  </w:r>
                  <w:r>
                    <w:rPr>
                      <w:bCs/>
                      <w:color w:val="auto"/>
                      <w:szCs w:val="21"/>
                    </w:rPr>
                    <w:t>90型混凝土拌合站</w:t>
                  </w:r>
                  <w:r>
                    <w:rPr>
                      <w:color w:val="auto"/>
                      <w:szCs w:val="21"/>
                    </w:rPr>
                    <w:t>1套</w:t>
                  </w:r>
                  <w:r>
                    <w:rPr>
                      <w:rFonts w:hint="eastAsia"/>
                      <w:color w:val="auto"/>
                      <w:szCs w:val="21"/>
                    </w:rPr>
                    <w:t>，包含1个三面封闭式配料斗、</w:t>
                  </w:r>
                  <w:r>
                    <w:rPr>
                      <w:color w:val="auto"/>
                      <w:szCs w:val="21"/>
                    </w:rPr>
                    <w:t>1</w:t>
                  </w:r>
                  <w:r>
                    <w:rPr>
                      <w:rFonts w:hint="eastAsia"/>
                      <w:color w:val="auto"/>
                      <w:szCs w:val="21"/>
                    </w:rPr>
                    <w:t>条25m长封闭式输送带、</w:t>
                  </w:r>
                  <w:r>
                    <w:rPr>
                      <w:color w:val="auto"/>
                      <w:szCs w:val="21"/>
                    </w:rPr>
                    <w:t>1</w:t>
                  </w:r>
                  <w:r>
                    <w:rPr>
                      <w:rFonts w:hint="eastAsia"/>
                      <w:color w:val="auto"/>
                      <w:szCs w:val="21"/>
                    </w:rPr>
                    <w:t>座18m</w:t>
                  </w:r>
                  <w:r>
                    <w:rPr>
                      <w:rFonts w:hint="eastAsia"/>
                      <w:color w:val="auto"/>
                      <w:szCs w:val="21"/>
                      <w:vertAlign w:val="superscript"/>
                    </w:rPr>
                    <w:t>2</w:t>
                  </w:r>
                  <w:r>
                    <w:rPr>
                      <w:rFonts w:hint="eastAsia"/>
                      <w:color w:val="auto"/>
                      <w:szCs w:val="21"/>
                    </w:rPr>
                    <w:t>全封闭搅拌楼，</w:t>
                  </w:r>
                  <w:r>
                    <w:rPr>
                      <w:color w:val="auto"/>
                      <w:szCs w:val="21"/>
                    </w:rPr>
                    <w:t>年生产混凝土1.5万t。</w:t>
                  </w:r>
                </w:p>
              </w:tc>
              <w:tc>
                <w:tcPr>
                  <w:tcW w:w="1063" w:type="dxa"/>
                  <w:vAlign w:val="center"/>
                </w:tcPr>
                <w:p w14:paraId="4AA35C67">
                  <w:pPr>
                    <w:adjustRightInd w:val="0"/>
                    <w:snapToGrid w:val="0"/>
                    <w:jc w:val="center"/>
                    <w:rPr>
                      <w:color w:val="auto"/>
                      <w:szCs w:val="21"/>
                    </w:rPr>
                  </w:pPr>
                  <w:r>
                    <w:rPr>
                      <w:rFonts w:hint="eastAsia"/>
                      <w:color w:val="auto"/>
                      <w:szCs w:val="21"/>
                    </w:rPr>
                    <w:t>已建</w:t>
                  </w:r>
                </w:p>
              </w:tc>
            </w:tr>
            <w:tr w14:paraId="0DA5DB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03C1BF90">
                  <w:pPr>
                    <w:adjustRightInd w:val="0"/>
                    <w:snapToGrid w:val="0"/>
                    <w:jc w:val="center"/>
                    <w:rPr>
                      <w:color w:val="auto"/>
                      <w:szCs w:val="21"/>
                    </w:rPr>
                  </w:pPr>
                </w:p>
              </w:tc>
              <w:tc>
                <w:tcPr>
                  <w:tcW w:w="1301" w:type="dxa"/>
                  <w:tcMar>
                    <w:left w:w="28" w:type="dxa"/>
                    <w:right w:w="28" w:type="dxa"/>
                  </w:tcMar>
                  <w:vAlign w:val="center"/>
                </w:tcPr>
                <w:p w14:paraId="610B8381">
                  <w:pPr>
                    <w:adjustRightInd w:val="0"/>
                    <w:snapToGrid w:val="0"/>
                    <w:jc w:val="center"/>
                    <w:rPr>
                      <w:color w:val="auto"/>
                      <w:szCs w:val="21"/>
                    </w:rPr>
                  </w:pPr>
                  <w:r>
                    <w:rPr>
                      <w:bCs/>
                      <w:color w:val="auto"/>
                      <w:szCs w:val="21"/>
                    </w:rPr>
                    <w:t>水泥稳定土拌合站</w:t>
                  </w:r>
                </w:p>
              </w:tc>
              <w:tc>
                <w:tcPr>
                  <w:tcW w:w="5213" w:type="dxa"/>
                  <w:tcMar>
                    <w:left w:w="28" w:type="dxa"/>
                    <w:right w:w="28" w:type="dxa"/>
                  </w:tcMar>
                  <w:vAlign w:val="center"/>
                </w:tcPr>
                <w:p w14:paraId="0A482230">
                  <w:pPr>
                    <w:adjustRightInd w:val="0"/>
                    <w:snapToGrid w:val="0"/>
                    <w:rPr>
                      <w:color w:val="auto"/>
                      <w:szCs w:val="21"/>
                    </w:rPr>
                  </w:pPr>
                  <w:r>
                    <w:rPr>
                      <w:color w:val="auto"/>
                      <w:szCs w:val="21"/>
                    </w:rPr>
                    <w:t>建设</w:t>
                  </w:r>
                  <w:r>
                    <w:rPr>
                      <w:bCs/>
                      <w:color w:val="auto"/>
                      <w:szCs w:val="21"/>
                    </w:rPr>
                    <w:t>水泥稳定土</w:t>
                  </w:r>
                  <w:r>
                    <w:rPr>
                      <w:color w:val="auto"/>
                      <w:szCs w:val="21"/>
                    </w:rPr>
                    <w:t>生产线1条，占地面积</w:t>
                  </w:r>
                  <w:r>
                    <w:rPr>
                      <w:rFonts w:hint="eastAsia"/>
                      <w:color w:val="auto"/>
                      <w:szCs w:val="21"/>
                    </w:rPr>
                    <w:t>120</w:t>
                  </w:r>
                  <w:r>
                    <w:rPr>
                      <w:color w:val="auto"/>
                      <w:szCs w:val="21"/>
                    </w:rPr>
                    <w:t>m</w:t>
                  </w:r>
                  <w:r>
                    <w:rPr>
                      <w:rFonts w:hint="eastAsia"/>
                      <w:color w:val="auto"/>
                      <w:szCs w:val="21"/>
                      <w:vertAlign w:val="superscript"/>
                    </w:rPr>
                    <w:t>2</w:t>
                  </w:r>
                  <w:r>
                    <w:rPr>
                      <w:rFonts w:hint="eastAsia"/>
                      <w:color w:val="auto"/>
                      <w:szCs w:val="21"/>
                    </w:rPr>
                    <w:t>，</w:t>
                  </w:r>
                  <w:r>
                    <w:rPr>
                      <w:color w:val="auto"/>
                      <w:szCs w:val="21"/>
                    </w:rPr>
                    <w:t>配备</w:t>
                  </w:r>
                  <w:r>
                    <w:rPr>
                      <w:bCs/>
                      <w:color w:val="auto"/>
                      <w:szCs w:val="21"/>
                    </w:rPr>
                    <w:t>600型水泥稳定土拌合站</w:t>
                  </w:r>
                  <w:r>
                    <w:rPr>
                      <w:color w:val="auto"/>
                      <w:szCs w:val="21"/>
                    </w:rPr>
                    <w:t>1套，</w:t>
                  </w:r>
                  <w:r>
                    <w:rPr>
                      <w:rFonts w:hint="eastAsia"/>
                      <w:color w:val="auto"/>
                      <w:szCs w:val="21"/>
                    </w:rPr>
                    <w:t>包含1个三面封闭式配料斗、1条25m长封闭式输送带、1套18</w:t>
                  </w:r>
                  <w:r>
                    <w:rPr>
                      <w:color w:val="auto"/>
                      <w:szCs w:val="21"/>
                    </w:rPr>
                    <w:t>m</w:t>
                  </w:r>
                  <w:r>
                    <w:rPr>
                      <w:rFonts w:hint="eastAsia"/>
                      <w:color w:val="auto"/>
                      <w:szCs w:val="21"/>
                      <w:vertAlign w:val="superscript"/>
                    </w:rPr>
                    <w:t>2</w:t>
                  </w:r>
                  <w:r>
                    <w:rPr>
                      <w:rFonts w:hint="eastAsia"/>
                      <w:color w:val="auto"/>
                      <w:szCs w:val="21"/>
                    </w:rPr>
                    <w:t>全封闭搅拌楼，</w:t>
                  </w:r>
                  <w:r>
                    <w:rPr>
                      <w:color w:val="auto"/>
                      <w:szCs w:val="21"/>
                    </w:rPr>
                    <w:t>年生产混凝土12.5万t。</w:t>
                  </w:r>
                </w:p>
              </w:tc>
              <w:tc>
                <w:tcPr>
                  <w:tcW w:w="1063" w:type="dxa"/>
                  <w:vAlign w:val="center"/>
                </w:tcPr>
                <w:p w14:paraId="4734B877">
                  <w:pPr>
                    <w:adjustRightInd w:val="0"/>
                    <w:snapToGrid w:val="0"/>
                    <w:jc w:val="center"/>
                    <w:rPr>
                      <w:color w:val="auto"/>
                      <w:szCs w:val="21"/>
                    </w:rPr>
                  </w:pPr>
                  <w:r>
                    <w:rPr>
                      <w:rFonts w:hint="eastAsia"/>
                      <w:color w:val="auto"/>
                      <w:szCs w:val="21"/>
                    </w:rPr>
                    <w:t>已建</w:t>
                  </w:r>
                </w:p>
              </w:tc>
            </w:tr>
            <w:tr w14:paraId="06802B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restart"/>
                  <w:tcMar>
                    <w:left w:w="28" w:type="dxa"/>
                    <w:right w:w="28" w:type="dxa"/>
                  </w:tcMar>
                  <w:vAlign w:val="center"/>
                </w:tcPr>
                <w:p w14:paraId="37A85064">
                  <w:pPr>
                    <w:adjustRightInd w:val="0"/>
                    <w:snapToGrid w:val="0"/>
                    <w:jc w:val="center"/>
                    <w:rPr>
                      <w:color w:val="auto"/>
                      <w:szCs w:val="21"/>
                    </w:rPr>
                  </w:pPr>
                  <w:r>
                    <w:rPr>
                      <w:color w:val="auto"/>
                      <w:szCs w:val="21"/>
                    </w:rPr>
                    <w:t>储运工程</w:t>
                  </w:r>
                </w:p>
              </w:tc>
              <w:tc>
                <w:tcPr>
                  <w:tcW w:w="1301" w:type="dxa"/>
                  <w:tcMar>
                    <w:left w:w="28" w:type="dxa"/>
                    <w:right w:w="28" w:type="dxa"/>
                  </w:tcMar>
                  <w:vAlign w:val="center"/>
                </w:tcPr>
                <w:p w14:paraId="34BED9F0">
                  <w:pPr>
                    <w:widowControl/>
                    <w:adjustRightInd w:val="0"/>
                    <w:snapToGrid w:val="0"/>
                    <w:jc w:val="center"/>
                    <w:rPr>
                      <w:color w:val="auto"/>
                      <w:kern w:val="0"/>
                      <w:szCs w:val="21"/>
                    </w:rPr>
                  </w:pPr>
                  <w:r>
                    <w:rPr>
                      <w:color w:val="auto"/>
                      <w:kern w:val="0"/>
                      <w:szCs w:val="21"/>
                    </w:rPr>
                    <w:t>砂石料场</w:t>
                  </w:r>
                </w:p>
              </w:tc>
              <w:tc>
                <w:tcPr>
                  <w:tcW w:w="5213" w:type="dxa"/>
                  <w:tcMar>
                    <w:left w:w="28" w:type="dxa"/>
                    <w:right w:w="28" w:type="dxa"/>
                  </w:tcMar>
                  <w:vAlign w:val="center"/>
                </w:tcPr>
                <w:p w14:paraId="53F71621">
                  <w:pPr>
                    <w:adjustRightInd w:val="0"/>
                    <w:snapToGrid w:val="0"/>
                    <w:rPr>
                      <w:color w:val="auto"/>
                      <w:szCs w:val="21"/>
                    </w:rPr>
                  </w:pPr>
                  <w:r>
                    <w:rPr>
                      <w:rFonts w:hint="eastAsia"/>
                      <w:color w:val="auto"/>
                      <w:szCs w:val="21"/>
                      <w:lang w:eastAsia="zh-CN"/>
                    </w:rPr>
                    <w:t>在</w:t>
                  </w:r>
                  <w:r>
                    <w:rPr>
                      <w:color w:val="auto"/>
                      <w:szCs w:val="21"/>
                    </w:rPr>
                    <w:t>厂区南侧设置砂石料场，占地面积3500m</w:t>
                  </w:r>
                  <w:r>
                    <w:rPr>
                      <w:color w:val="auto"/>
                      <w:szCs w:val="21"/>
                      <w:vertAlign w:val="superscript"/>
                    </w:rPr>
                    <w:t>2</w:t>
                  </w:r>
                  <w:r>
                    <w:rPr>
                      <w:color w:val="auto"/>
                      <w:szCs w:val="21"/>
                    </w:rPr>
                    <w:t>，砂子、碎石分区堆放，堆高</w:t>
                  </w:r>
                  <w:r>
                    <w:rPr>
                      <w:rFonts w:hint="eastAsia"/>
                      <w:color w:val="auto"/>
                      <w:szCs w:val="21"/>
                    </w:rPr>
                    <w:t>2</w:t>
                  </w:r>
                  <w:r>
                    <w:rPr>
                      <w:color w:val="auto"/>
                      <w:szCs w:val="21"/>
                    </w:rPr>
                    <w:t>m，储量约</w:t>
                  </w:r>
                  <w:r>
                    <w:rPr>
                      <w:rFonts w:hint="eastAsia"/>
                      <w:color w:val="auto"/>
                      <w:szCs w:val="21"/>
                    </w:rPr>
                    <w:t>0.8</w:t>
                  </w:r>
                  <w:r>
                    <w:rPr>
                      <w:color w:val="auto"/>
                      <w:szCs w:val="21"/>
                    </w:rPr>
                    <w:t>万吨。项目为公路建设配套的临时</w:t>
                  </w:r>
                  <w:r>
                    <w:rPr>
                      <w:bCs/>
                      <w:color w:val="auto"/>
                      <w:szCs w:val="21"/>
                    </w:rPr>
                    <w:t>拌合站，砂石料场采用</w:t>
                  </w:r>
                  <w:r>
                    <w:rPr>
                      <w:rFonts w:hint="eastAsia"/>
                      <w:bCs/>
                      <w:color w:val="auto"/>
                      <w:szCs w:val="21"/>
                    </w:rPr>
                    <w:t>三面挡墙</w:t>
                  </w:r>
                  <w:r>
                    <w:rPr>
                      <w:rFonts w:hint="eastAsia"/>
                      <w:bCs/>
                      <w:color w:val="auto"/>
                      <w:szCs w:val="21"/>
                      <w:lang w:eastAsia="zh-CN"/>
                    </w:rPr>
                    <w:t>（</w:t>
                  </w:r>
                  <w:r>
                    <w:rPr>
                      <w:rFonts w:hint="eastAsia"/>
                      <w:bCs/>
                      <w:color w:val="auto"/>
                      <w:szCs w:val="21"/>
                    </w:rPr>
                    <w:t>长度共计200m，高2.5m</w:t>
                  </w:r>
                  <w:r>
                    <w:rPr>
                      <w:rFonts w:hint="eastAsia"/>
                      <w:bCs/>
                      <w:color w:val="auto"/>
                      <w:szCs w:val="21"/>
                      <w:lang w:eastAsia="zh-CN"/>
                    </w:rPr>
                    <w:t>）</w:t>
                  </w:r>
                  <w:r>
                    <w:rPr>
                      <w:rFonts w:hint="eastAsia"/>
                      <w:bCs/>
                      <w:color w:val="auto"/>
                      <w:szCs w:val="21"/>
                    </w:rPr>
                    <w:t>，</w:t>
                  </w:r>
                  <w:r>
                    <w:rPr>
                      <w:bCs/>
                      <w:color w:val="auto"/>
                      <w:szCs w:val="21"/>
                    </w:rPr>
                    <w:t>上方苫盖密目网，并进行洒水抑尘。</w:t>
                  </w:r>
                </w:p>
              </w:tc>
              <w:tc>
                <w:tcPr>
                  <w:tcW w:w="1063" w:type="dxa"/>
                  <w:vAlign w:val="center"/>
                </w:tcPr>
                <w:p w14:paraId="7AC95621">
                  <w:pPr>
                    <w:adjustRightInd w:val="0"/>
                    <w:snapToGrid w:val="0"/>
                    <w:jc w:val="center"/>
                    <w:rPr>
                      <w:color w:val="auto"/>
                      <w:szCs w:val="21"/>
                    </w:rPr>
                  </w:pPr>
                  <w:r>
                    <w:rPr>
                      <w:rFonts w:hint="eastAsia"/>
                      <w:color w:val="auto"/>
                      <w:szCs w:val="21"/>
                    </w:rPr>
                    <w:t>新建</w:t>
                  </w:r>
                </w:p>
              </w:tc>
            </w:tr>
            <w:tr w14:paraId="268CD5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30B87881">
                  <w:pPr>
                    <w:adjustRightInd w:val="0"/>
                    <w:snapToGrid w:val="0"/>
                    <w:jc w:val="center"/>
                    <w:rPr>
                      <w:color w:val="auto"/>
                      <w:szCs w:val="21"/>
                    </w:rPr>
                  </w:pPr>
                </w:p>
              </w:tc>
              <w:tc>
                <w:tcPr>
                  <w:tcW w:w="1301" w:type="dxa"/>
                  <w:tcMar>
                    <w:left w:w="28" w:type="dxa"/>
                    <w:right w:w="28" w:type="dxa"/>
                  </w:tcMar>
                  <w:vAlign w:val="center"/>
                </w:tcPr>
                <w:p w14:paraId="70CEDFEF">
                  <w:pPr>
                    <w:widowControl/>
                    <w:adjustRightInd w:val="0"/>
                    <w:snapToGrid w:val="0"/>
                    <w:jc w:val="center"/>
                    <w:rPr>
                      <w:color w:val="auto"/>
                      <w:kern w:val="0"/>
                      <w:szCs w:val="21"/>
                    </w:rPr>
                  </w:pPr>
                  <w:r>
                    <w:rPr>
                      <w:color w:val="auto"/>
                      <w:kern w:val="0"/>
                      <w:szCs w:val="21"/>
                    </w:rPr>
                    <w:t>粉料筒仓</w:t>
                  </w:r>
                </w:p>
              </w:tc>
              <w:tc>
                <w:tcPr>
                  <w:tcW w:w="5213" w:type="dxa"/>
                  <w:tcMar>
                    <w:left w:w="28" w:type="dxa"/>
                    <w:right w:w="28" w:type="dxa"/>
                  </w:tcMar>
                  <w:vAlign w:val="center"/>
                </w:tcPr>
                <w:p w14:paraId="57AD3D12">
                  <w:pPr>
                    <w:adjustRightInd w:val="0"/>
                    <w:snapToGrid w:val="0"/>
                    <w:rPr>
                      <w:color w:val="auto"/>
                      <w:szCs w:val="21"/>
                    </w:rPr>
                  </w:pPr>
                  <w:r>
                    <w:rPr>
                      <w:color w:val="auto"/>
                      <w:szCs w:val="21"/>
                    </w:rPr>
                    <w:t>混凝土搅拌站配备水泥筒仓</w:t>
                  </w:r>
                  <w:r>
                    <w:rPr>
                      <w:rFonts w:hint="eastAsia"/>
                      <w:color w:val="auto"/>
                      <w:szCs w:val="21"/>
                    </w:rPr>
                    <w:t>2</w:t>
                  </w:r>
                  <w:r>
                    <w:rPr>
                      <w:color w:val="auto"/>
                      <w:szCs w:val="21"/>
                    </w:rPr>
                    <w:t>个，单个容量为</w:t>
                  </w:r>
                  <w:r>
                    <w:rPr>
                      <w:rFonts w:hint="eastAsia"/>
                      <w:color w:val="auto"/>
                      <w:szCs w:val="21"/>
                    </w:rPr>
                    <w:t>8</w:t>
                  </w:r>
                  <w:r>
                    <w:rPr>
                      <w:color w:val="auto"/>
                      <w:szCs w:val="21"/>
                    </w:rPr>
                    <w:t>0t。</w:t>
                  </w:r>
                </w:p>
                <w:p w14:paraId="3B023B8C">
                  <w:pPr>
                    <w:adjustRightInd w:val="0"/>
                    <w:snapToGrid w:val="0"/>
                    <w:rPr>
                      <w:color w:val="auto"/>
                      <w:szCs w:val="21"/>
                    </w:rPr>
                  </w:pPr>
                  <w:r>
                    <w:rPr>
                      <w:bCs/>
                      <w:color w:val="auto"/>
                      <w:szCs w:val="21"/>
                    </w:rPr>
                    <w:t>水泥稳定土拌合站配备水泥筒仓</w:t>
                  </w:r>
                  <w:r>
                    <w:rPr>
                      <w:rFonts w:hint="eastAsia"/>
                      <w:bCs/>
                      <w:color w:val="auto"/>
                      <w:szCs w:val="21"/>
                    </w:rPr>
                    <w:t>2</w:t>
                  </w:r>
                  <w:r>
                    <w:rPr>
                      <w:bCs/>
                      <w:color w:val="auto"/>
                      <w:szCs w:val="21"/>
                    </w:rPr>
                    <w:t>个，单个容量为</w:t>
                  </w:r>
                  <w:r>
                    <w:rPr>
                      <w:rFonts w:hint="eastAsia"/>
                      <w:bCs/>
                      <w:color w:val="auto"/>
                      <w:szCs w:val="21"/>
                    </w:rPr>
                    <w:t>8</w:t>
                  </w:r>
                  <w:r>
                    <w:rPr>
                      <w:bCs/>
                      <w:color w:val="auto"/>
                      <w:szCs w:val="21"/>
                    </w:rPr>
                    <w:t>0t。</w:t>
                  </w:r>
                </w:p>
              </w:tc>
              <w:tc>
                <w:tcPr>
                  <w:tcW w:w="1063" w:type="dxa"/>
                  <w:vAlign w:val="center"/>
                </w:tcPr>
                <w:p w14:paraId="21692D32">
                  <w:pPr>
                    <w:adjustRightInd w:val="0"/>
                    <w:snapToGrid w:val="0"/>
                    <w:jc w:val="center"/>
                    <w:rPr>
                      <w:color w:val="auto"/>
                      <w:szCs w:val="21"/>
                    </w:rPr>
                  </w:pPr>
                  <w:r>
                    <w:rPr>
                      <w:rFonts w:hint="eastAsia"/>
                      <w:color w:val="auto"/>
                      <w:szCs w:val="21"/>
                    </w:rPr>
                    <w:t>已建</w:t>
                  </w:r>
                </w:p>
              </w:tc>
            </w:tr>
            <w:tr w14:paraId="5F1370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42280A47">
                  <w:pPr>
                    <w:adjustRightInd w:val="0"/>
                    <w:snapToGrid w:val="0"/>
                    <w:jc w:val="center"/>
                    <w:rPr>
                      <w:color w:val="auto"/>
                      <w:szCs w:val="21"/>
                    </w:rPr>
                  </w:pPr>
                </w:p>
              </w:tc>
              <w:tc>
                <w:tcPr>
                  <w:tcW w:w="1301" w:type="dxa"/>
                  <w:tcMar>
                    <w:left w:w="28" w:type="dxa"/>
                    <w:right w:w="28" w:type="dxa"/>
                  </w:tcMar>
                  <w:vAlign w:val="center"/>
                </w:tcPr>
                <w:p w14:paraId="6659D599">
                  <w:pPr>
                    <w:widowControl/>
                    <w:adjustRightInd w:val="0"/>
                    <w:snapToGrid w:val="0"/>
                    <w:jc w:val="center"/>
                    <w:rPr>
                      <w:color w:val="auto"/>
                      <w:kern w:val="0"/>
                      <w:szCs w:val="21"/>
                    </w:rPr>
                  </w:pPr>
                  <w:r>
                    <w:rPr>
                      <w:color w:val="auto"/>
                      <w:kern w:val="0"/>
                      <w:szCs w:val="21"/>
                    </w:rPr>
                    <w:t>外加剂罐</w:t>
                  </w:r>
                </w:p>
              </w:tc>
              <w:tc>
                <w:tcPr>
                  <w:tcW w:w="5213" w:type="dxa"/>
                  <w:tcMar>
                    <w:left w:w="28" w:type="dxa"/>
                    <w:right w:w="28" w:type="dxa"/>
                  </w:tcMar>
                  <w:vAlign w:val="center"/>
                </w:tcPr>
                <w:p w14:paraId="5237B1EE">
                  <w:pPr>
                    <w:adjustRightInd w:val="0"/>
                    <w:snapToGrid w:val="0"/>
                    <w:rPr>
                      <w:color w:val="auto"/>
                      <w:szCs w:val="21"/>
                    </w:rPr>
                  </w:pPr>
                  <w:r>
                    <w:rPr>
                      <w:color w:val="auto"/>
                      <w:szCs w:val="21"/>
                    </w:rPr>
                    <w:t>外加剂为液体，设置1个外加剂罐，单个容量为10t</w:t>
                  </w:r>
                  <w:r>
                    <w:rPr>
                      <w:rFonts w:hint="eastAsia"/>
                      <w:color w:val="auto"/>
                      <w:szCs w:val="21"/>
                    </w:rPr>
                    <w:t>。</w:t>
                  </w:r>
                </w:p>
              </w:tc>
              <w:tc>
                <w:tcPr>
                  <w:tcW w:w="1063" w:type="dxa"/>
                  <w:vAlign w:val="center"/>
                </w:tcPr>
                <w:p w14:paraId="507A2C52">
                  <w:pPr>
                    <w:adjustRightInd w:val="0"/>
                    <w:snapToGrid w:val="0"/>
                    <w:jc w:val="center"/>
                    <w:rPr>
                      <w:color w:val="auto"/>
                      <w:szCs w:val="21"/>
                    </w:rPr>
                  </w:pPr>
                  <w:r>
                    <w:rPr>
                      <w:rFonts w:hint="eastAsia"/>
                      <w:color w:val="auto"/>
                      <w:szCs w:val="21"/>
                    </w:rPr>
                    <w:t>已建</w:t>
                  </w:r>
                </w:p>
              </w:tc>
            </w:tr>
            <w:tr w14:paraId="41DA23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0D3757AB">
                  <w:pPr>
                    <w:adjustRightInd w:val="0"/>
                    <w:snapToGrid w:val="0"/>
                    <w:jc w:val="center"/>
                    <w:rPr>
                      <w:color w:val="auto"/>
                      <w:szCs w:val="21"/>
                    </w:rPr>
                  </w:pPr>
                </w:p>
              </w:tc>
              <w:tc>
                <w:tcPr>
                  <w:tcW w:w="1301" w:type="dxa"/>
                  <w:tcMar>
                    <w:left w:w="28" w:type="dxa"/>
                    <w:right w:w="28" w:type="dxa"/>
                  </w:tcMar>
                  <w:vAlign w:val="center"/>
                </w:tcPr>
                <w:p w14:paraId="6BCB3856">
                  <w:pPr>
                    <w:jc w:val="center"/>
                    <w:rPr>
                      <w:color w:val="auto"/>
                      <w:szCs w:val="21"/>
                    </w:rPr>
                  </w:pPr>
                  <w:r>
                    <w:rPr>
                      <w:color w:val="auto"/>
                      <w:szCs w:val="21"/>
                    </w:rPr>
                    <w:t>水池</w:t>
                  </w:r>
                </w:p>
              </w:tc>
              <w:tc>
                <w:tcPr>
                  <w:tcW w:w="5213" w:type="dxa"/>
                  <w:tcMar>
                    <w:left w:w="28" w:type="dxa"/>
                    <w:right w:w="28" w:type="dxa"/>
                  </w:tcMar>
                  <w:vAlign w:val="center"/>
                </w:tcPr>
                <w:p w14:paraId="6B7A16C3">
                  <w:pPr>
                    <w:rPr>
                      <w:color w:val="auto"/>
                      <w:szCs w:val="21"/>
                    </w:rPr>
                  </w:pPr>
                  <w:r>
                    <w:rPr>
                      <w:color w:val="auto"/>
                      <w:szCs w:val="21"/>
                    </w:rPr>
                    <w:t>储水池一座，容量为</w:t>
                  </w:r>
                  <w:r>
                    <w:rPr>
                      <w:rFonts w:hint="eastAsia"/>
                      <w:color w:val="auto"/>
                      <w:szCs w:val="21"/>
                    </w:rPr>
                    <w:t>3</w:t>
                  </w:r>
                  <w:r>
                    <w:rPr>
                      <w:color w:val="auto"/>
                      <w:szCs w:val="21"/>
                    </w:rPr>
                    <w:t>0</w:t>
                  </w:r>
                  <w:r>
                    <w:rPr>
                      <w:rFonts w:hint="eastAsia"/>
                      <w:color w:val="auto"/>
                      <w:szCs w:val="21"/>
                    </w:rPr>
                    <w:t>m</w:t>
                  </w:r>
                  <w:r>
                    <w:rPr>
                      <w:rFonts w:hint="eastAsia"/>
                      <w:color w:val="auto"/>
                      <w:szCs w:val="21"/>
                      <w:vertAlign w:val="superscript"/>
                    </w:rPr>
                    <w:t>3</w:t>
                  </w:r>
                  <w:r>
                    <w:rPr>
                      <w:rFonts w:hint="eastAsia"/>
                      <w:color w:val="auto"/>
                      <w:szCs w:val="21"/>
                    </w:rPr>
                    <w:t>。</w:t>
                  </w:r>
                </w:p>
              </w:tc>
              <w:tc>
                <w:tcPr>
                  <w:tcW w:w="1063" w:type="dxa"/>
                  <w:vAlign w:val="center"/>
                </w:tcPr>
                <w:p w14:paraId="44E6A21D">
                  <w:pPr>
                    <w:adjustRightInd w:val="0"/>
                    <w:snapToGrid w:val="0"/>
                    <w:jc w:val="center"/>
                    <w:rPr>
                      <w:color w:val="auto"/>
                      <w:szCs w:val="21"/>
                    </w:rPr>
                  </w:pPr>
                  <w:r>
                    <w:rPr>
                      <w:rFonts w:hint="eastAsia"/>
                      <w:color w:val="auto"/>
                      <w:szCs w:val="21"/>
                    </w:rPr>
                    <w:t>已建</w:t>
                  </w:r>
                </w:p>
              </w:tc>
            </w:tr>
            <w:tr w14:paraId="76504A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tcMar>
                    <w:left w:w="28" w:type="dxa"/>
                    <w:right w:w="28" w:type="dxa"/>
                  </w:tcMar>
                  <w:vAlign w:val="center"/>
                </w:tcPr>
                <w:p w14:paraId="1BAF9DE6">
                  <w:pPr>
                    <w:adjustRightInd w:val="0"/>
                    <w:snapToGrid w:val="0"/>
                    <w:jc w:val="center"/>
                    <w:rPr>
                      <w:color w:val="auto"/>
                      <w:szCs w:val="21"/>
                    </w:rPr>
                  </w:pPr>
                  <w:r>
                    <w:rPr>
                      <w:color w:val="auto"/>
                      <w:szCs w:val="21"/>
                    </w:rPr>
                    <w:t>辅助工程</w:t>
                  </w:r>
                </w:p>
              </w:tc>
              <w:tc>
                <w:tcPr>
                  <w:tcW w:w="1301" w:type="dxa"/>
                  <w:tcBorders>
                    <w:top w:val="single" w:color="auto" w:sz="4" w:space="0"/>
                  </w:tcBorders>
                  <w:tcMar>
                    <w:left w:w="28" w:type="dxa"/>
                    <w:right w:w="28" w:type="dxa"/>
                  </w:tcMar>
                  <w:vAlign w:val="center"/>
                </w:tcPr>
                <w:p w14:paraId="23C8054E">
                  <w:pPr>
                    <w:adjustRightInd w:val="0"/>
                    <w:snapToGrid w:val="0"/>
                    <w:jc w:val="center"/>
                    <w:rPr>
                      <w:color w:val="auto"/>
                      <w:kern w:val="0"/>
                      <w:szCs w:val="21"/>
                    </w:rPr>
                  </w:pPr>
                  <w:r>
                    <w:rPr>
                      <w:color w:val="auto"/>
                      <w:kern w:val="0"/>
                      <w:szCs w:val="21"/>
                    </w:rPr>
                    <w:t>办公区</w:t>
                  </w:r>
                </w:p>
              </w:tc>
              <w:tc>
                <w:tcPr>
                  <w:tcW w:w="5213" w:type="dxa"/>
                  <w:tcBorders>
                    <w:top w:val="single" w:color="auto" w:sz="4" w:space="0"/>
                  </w:tcBorders>
                  <w:tcMar>
                    <w:left w:w="28" w:type="dxa"/>
                    <w:right w:w="28" w:type="dxa"/>
                  </w:tcMar>
                  <w:vAlign w:val="center"/>
                </w:tcPr>
                <w:p w14:paraId="30FD35C2">
                  <w:pPr>
                    <w:adjustRightInd w:val="0"/>
                    <w:snapToGrid w:val="0"/>
                    <w:rPr>
                      <w:color w:val="auto"/>
                      <w:szCs w:val="21"/>
                    </w:rPr>
                  </w:pPr>
                  <w:r>
                    <w:rPr>
                      <w:color w:val="auto"/>
                      <w:szCs w:val="21"/>
                    </w:rPr>
                    <w:t>位于厂区北侧，建筑面积300m</w:t>
                  </w:r>
                  <w:r>
                    <w:rPr>
                      <w:color w:val="auto"/>
                      <w:szCs w:val="21"/>
                      <w:vertAlign w:val="superscript"/>
                    </w:rPr>
                    <w:t>2</w:t>
                  </w:r>
                  <w:r>
                    <w:rPr>
                      <w:color w:val="auto"/>
                      <w:szCs w:val="21"/>
                    </w:rPr>
                    <w:t>，砖混结构，内设办公</w:t>
                  </w:r>
                  <w:r>
                    <w:rPr>
                      <w:rFonts w:hint="eastAsia"/>
                      <w:color w:val="auto"/>
                      <w:szCs w:val="21"/>
                    </w:rPr>
                    <w:t>室</w:t>
                  </w:r>
                  <w:r>
                    <w:rPr>
                      <w:color w:val="auto"/>
                      <w:szCs w:val="21"/>
                    </w:rPr>
                    <w:t>、食堂、库房</w:t>
                  </w:r>
                  <w:r>
                    <w:rPr>
                      <w:rFonts w:hint="eastAsia"/>
                      <w:color w:val="auto"/>
                      <w:szCs w:val="21"/>
                    </w:rPr>
                    <w:t>、</w:t>
                  </w:r>
                  <w:r>
                    <w:rPr>
                      <w:color w:val="auto"/>
                      <w:szCs w:val="21"/>
                    </w:rPr>
                    <w:t>实验室</w:t>
                  </w:r>
                  <w:r>
                    <w:rPr>
                      <w:rFonts w:hint="eastAsia"/>
                      <w:color w:val="auto"/>
                      <w:szCs w:val="21"/>
                    </w:rPr>
                    <w:t>、</w:t>
                  </w:r>
                  <w:r>
                    <w:rPr>
                      <w:rFonts w:hint="eastAsia"/>
                      <w:bCs/>
                      <w:color w:val="auto"/>
                      <w:szCs w:val="21"/>
                    </w:rPr>
                    <w:t>一般固废暂存间</w:t>
                  </w:r>
                  <w:r>
                    <w:rPr>
                      <w:color w:val="auto"/>
                      <w:szCs w:val="21"/>
                    </w:rPr>
                    <w:t>等</w:t>
                  </w:r>
                  <w:r>
                    <w:rPr>
                      <w:rFonts w:hint="eastAsia"/>
                      <w:color w:val="auto"/>
                      <w:szCs w:val="21"/>
                    </w:rPr>
                    <w:t>。</w:t>
                  </w:r>
                  <w:r>
                    <w:rPr>
                      <w:color w:val="auto"/>
                      <w:szCs w:val="21"/>
                    </w:rPr>
                    <w:t>实验室用于混凝土试块力学测试、检验</w:t>
                  </w:r>
                  <w:r>
                    <w:rPr>
                      <w:rFonts w:hint="eastAsia"/>
                      <w:color w:val="auto"/>
                      <w:szCs w:val="21"/>
                    </w:rPr>
                    <w:t>。</w:t>
                  </w:r>
                </w:p>
              </w:tc>
              <w:tc>
                <w:tcPr>
                  <w:tcW w:w="1063" w:type="dxa"/>
                  <w:vAlign w:val="center"/>
                </w:tcPr>
                <w:p w14:paraId="2815C5FD">
                  <w:pPr>
                    <w:adjustRightInd w:val="0"/>
                    <w:snapToGrid w:val="0"/>
                    <w:jc w:val="center"/>
                    <w:rPr>
                      <w:color w:val="auto"/>
                      <w:szCs w:val="21"/>
                    </w:rPr>
                  </w:pPr>
                  <w:r>
                    <w:rPr>
                      <w:rFonts w:hint="eastAsia"/>
                      <w:color w:val="auto"/>
                      <w:szCs w:val="21"/>
                    </w:rPr>
                    <w:t>已建</w:t>
                  </w:r>
                </w:p>
              </w:tc>
            </w:tr>
            <w:tr w14:paraId="4C834C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restart"/>
                  <w:tcMar>
                    <w:left w:w="28" w:type="dxa"/>
                    <w:right w:w="28" w:type="dxa"/>
                  </w:tcMar>
                  <w:vAlign w:val="center"/>
                </w:tcPr>
                <w:p w14:paraId="054E758C">
                  <w:pPr>
                    <w:adjustRightInd w:val="0"/>
                    <w:snapToGrid w:val="0"/>
                    <w:jc w:val="center"/>
                    <w:rPr>
                      <w:color w:val="auto"/>
                      <w:szCs w:val="21"/>
                    </w:rPr>
                  </w:pPr>
                  <w:r>
                    <w:rPr>
                      <w:color w:val="auto"/>
                      <w:szCs w:val="21"/>
                    </w:rPr>
                    <w:t>公用</w:t>
                  </w:r>
                </w:p>
                <w:p w14:paraId="2FEE7C25">
                  <w:pPr>
                    <w:adjustRightInd w:val="0"/>
                    <w:snapToGrid w:val="0"/>
                    <w:jc w:val="center"/>
                    <w:rPr>
                      <w:color w:val="auto"/>
                      <w:szCs w:val="21"/>
                    </w:rPr>
                  </w:pPr>
                  <w:r>
                    <w:rPr>
                      <w:color w:val="auto"/>
                      <w:szCs w:val="21"/>
                    </w:rPr>
                    <w:t>工程</w:t>
                  </w:r>
                </w:p>
              </w:tc>
              <w:tc>
                <w:tcPr>
                  <w:tcW w:w="1301" w:type="dxa"/>
                  <w:tcMar>
                    <w:left w:w="28" w:type="dxa"/>
                    <w:right w:w="28" w:type="dxa"/>
                  </w:tcMar>
                  <w:vAlign w:val="center"/>
                </w:tcPr>
                <w:p w14:paraId="1D4AE577">
                  <w:pPr>
                    <w:adjustRightInd w:val="0"/>
                    <w:snapToGrid w:val="0"/>
                    <w:jc w:val="center"/>
                    <w:rPr>
                      <w:color w:val="auto"/>
                      <w:szCs w:val="21"/>
                    </w:rPr>
                  </w:pPr>
                  <w:r>
                    <w:rPr>
                      <w:color w:val="auto"/>
                      <w:szCs w:val="21"/>
                    </w:rPr>
                    <w:t>给水工程</w:t>
                  </w:r>
                </w:p>
              </w:tc>
              <w:tc>
                <w:tcPr>
                  <w:tcW w:w="5213" w:type="dxa"/>
                  <w:tcMar>
                    <w:left w:w="28" w:type="dxa"/>
                    <w:right w:w="28" w:type="dxa"/>
                  </w:tcMar>
                  <w:vAlign w:val="center"/>
                </w:tcPr>
                <w:p w14:paraId="7446D0BC">
                  <w:pPr>
                    <w:adjustRightInd w:val="0"/>
                    <w:snapToGrid w:val="0"/>
                    <w:rPr>
                      <w:color w:val="auto"/>
                      <w:szCs w:val="21"/>
                    </w:rPr>
                  </w:pPr>
                  <w:r>
                    <w:rPr>
                      <w:rFonts w:hint="eastAsia"/>
                      <w:color w:val="auto"/>
                      <w:szCs w:val="21"/>
                    </w:rPr>
                    <w:t>厂区生活</w:t>
                  </w:r>
                  <w:r>
                    <w:rPr>
                      <w:rFonts w:hint="eastAsia"/>
                      <w:color w:val="auto"/>
                      <w:szCs w:val="21"/>
                      <w:lang w:eastAsia="zh-CN"/>
                    </w:rPr>
                    <w:t>用水</w:t>
                  </w:r>
                  <w:r>
                    <w:rPr>
                      <w:rFonts w:hint="eastAsia"/>
                      <w:color w:val="auto"/>
                      <w:szCs w:val="21"/>
                    </w:rPr>
                    <w:t>为外购桶装水，</w:t>
                  </w:r>
                  <w:r>
                    <w:rPr>
                      <w:color w:val="auto"/>
                      <w:szCs w:val="21"/>
                    </w:rPr>
                    <w:t>生产用水为外购</w:t>
                  </w:r>
                  <w:r>
                    <w:rPr>
                      <w:rFonts w:hint="eastAsia"/>
                      <w:color w:val="auto"/>
                      <w:szCs w:val="21"/>
                    </w:rPr>
                    <w:t>中水</w:t>
                  </w:r>
                  <w:r>
                    <w:rPr>
                      <w:color w:val="auto"/>
                      <w:szCs w:val="21"/>
                    </w:rPr>
                    <w:t>。</w:t>
                  </w:r>
                </w:p>
              </w:tc>
              <w:tc>
                <w:tcPr>
                  <w:tcW w:w="1063" w:type="dxa"/>
                  <w:vAlign w:val="center"/>
                </w:tcPr>
                <w:p w14:paraId="60D4770A">
                  <w:pPr>
                    <w:adjustRightInd w:val="0"/>
                    <w:snapToGrid w:val="0"/>
                    <w:jc w:val="center"/>
                    <w:rPr>
                      <w:color w:val="auto"/>
                      <w:szCs w:val="21"/>
                    </w:rPr>
                  </w:pPr>
                  <w:r>
                    <w:rPr>
                      <w:rFonts w:hint="eastAsia"/>
                      <w:color w:val="auto"/>
                      <w:szCs w:val="21"/>
                    </w:rPr>
                    <w:t>--</w:t>
                  </w:r>
                </w:p>
              </w:tc>
            </w:tr>
            <w:tr w14:paraId="10C6F6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25435742">
                  <w:pPr>
                    <w:adjustRightInd w:val="0"/>
                    <w:snapToGrid w:val="0"/>
                    <w:jc w:val="center"/>
                    <w:rPr>
                      <w:color w:val="auto"/>
                      <w:szCs w:val="21"/>
                    </w:rPr>
                  </w:pPr>
                </w:p>
              </w:tc>
              <w:tc>
                <w:tcPr>
                  <w:tcW w:w="1301" w:type="dxa"/>
                  <w:tcMar>
                    <w:left w:w="28" w:type="dxa"/>
                    <w:right w:w="28" w:type="dxa"/>
                  </w:tcMar>
                  <w:vAlign w:val="center"/>
                </w:tcPr>
                <w:p w14:paraId="0D4E5D3A">
                  <w:pPr>
                    <w:adjustRightInd w:val="0"/>
                    <w:snapToGrid w:val="0"/>
                    <w:jc w:val="center"/>
                    <w:rPr>
                      <w:color w:val="auto"/>
                      <w:szCs w:val="21"/>
                    </w:rPr>
                  </w:pPr>
                  <w:r>
                    <w:rPr>
                      <w:color w:val="auto"/>
                      <w:szCs w:val="21"/>
                    </w:rPr>
                    <w:t>排水工程</w:t>
                  </w:r>
                </w:p>
              </w:tc>
              <w:tc>
                <w:tcPr>
                  <w:tcW w:w="5213" w:type="dxa"/>
                  <w:tcMar>
                    <w:left w:w="28" w:type="dxa"/>
                    <w:right w:w="28" w:type="dxa"/>
                  </w:tcMar>
                  <w:vAlign w:val="center"/>
                </w:tcPr>
                <w:p w14:paraId="4324D1F0">
                  <w:pPr>
                    <w:adjustRightInd w:val="0"/>
                    <w:snapToGrid w:val="0"/>
                    <w:rPr>
                      <w:color w:val="auto"/>
                      <w:szCs w:val="21"/>
                    </w:rPr>
                  </w:pPr>
                  <w:r>
                    <w:rPr>
                      <w:color w:val="auto"/>
                      <w:szCs w:val="21"/>
                    </w:rPr>
                    <w:t>本项目生活污水经化粪池收集后，定期拉运至杭锦旗独贵塔拉镇污水处理厂处理；生产废水循环使用，无外排。</w:t>
                  </w:r>
                </w:p>
              </w:tc>
              <w:tc>
                <w:tcPr>
                  <w:tcW w:w="1063" w:type="dxa"/>
                  <w:vAlign w:val="center"/>
                </w:tcPr>
                <w:p w14:paraId="63D7EADD">
                  <w:pPr>
                    <w:adjustRightInd w:val="0"/>
                    <w:snapToGrid w:val="0"/>
                    <w:jc w:val="center"/>
                    <w:rPr>
                      <w:color w:val="auto"/>
                      <w:szCs w:val="21"/>
                    </w:rPr>
                  </w:pPr>
                  <w:r>
                    <w:rPr>
                      <w:rFonts w:hint="eastAsia"/>
                      <w:color w:val="auto"/>
                      <w:szCs w:val="21"/>
                    </w:rPr>
                    <w:t>已建</w:t>
                  </w:r>
                </w:p>
              </w:tc>
            </w:tr>
            <w:tr w14:paraId="4E7DFB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7FD067AE">
                  <w:pPr>
                    <w:adjustRightInd w:val="0"/>
                    <w:snapToGrid w:val="0"/>
                    <w:jc w:val="center"/>
                    <w:rPr>
                      <w:color w:val="auto"/>
                      <w:szCs w:val="21"/>
                    </w:rPr>
                  </w:pPr>
                </w:p>
              </w:tc>
              <w:tc>
                <w:tcPr>
                  <w:tcW w:w="1301" w:type="dxa"/>
                  <w:tcMar>
                    <w:left w:w="28" w:type="dxa"/>
                    <w:right w:w="28" w:type="dxa"/>
                  </w:tcMar>
                  <w:vAlign w:val="center"/>
                </w:tcPr>
                <w:p w14:paraId="0DE941DC">
                  <w:pPr>
                    <w:adjustRightInd w:val="0"/>
                    <w:snapToGrid w:val="0"/>
                    <w:jc w:val="center"/>
                    <w:rPr>
                      <w:color w:val="auto"/>
                      <w:szCs w:val="21"/>
                    </w:rPr>
                  </w:pPr>
                  <w:r>
                    <w:rPr>
                      <w:color w:val="auto"/>
                      <w:szCs w:val="21"/>
                    </w:rPr>
                    <w:t>供电工程</w:t>
                  </w:r>
                </w:p>
              </w:tc>
              <w:tc>
                <w:tcPr>
                  <w:tcW w:w="5213" w:type="dxa"/>
                  <w:tcMar>
                    <w:left w:w="28" w:type="dxa"/>
                    <w:right w:w="28" w:type="dxa"/>
                  </w:tcMar>
                  <w:vAlign w:val="center"/>
                </w:tcPr>
                <w:p w14:paraId="7FC14AD2">
                  <w:pPr>
                    <w:adjustRightInd w:val="0"/>
                    <w:snapToGrid w:val="0"/>
                    <w:rPr>
                      <w:color w:val="auto"/>
                      <w:szCs w:val="21"/>
                    </w:rPr>
                  </w:pPr>
                  <w:r>
                    <w:rPr>
                      <w:color w:val="auto"/>
                      <w:szCs w:val="21"/>
                    </w:rPr>
                    <w:t>由当地电网供给。</w:t>
                  </w:r>
                </w:p>
              </w:tc>
              <w:tc>
                <w:tcPr>
                  <w:tcW w:w="1063" w:type="dxa"/>
                  <w:vAlign w:val="center"/>
                </w:tcPr>
                <w:p w14:paraId="3A77F588">
                  <w:pPr>
                    <w:adjustRightInd w:val="0"/>
                    <w:snapToGrid w:val="0"/>
                    <w:jc w:val="center"/>
                    <w:rPr>
                      <w:color w:val="auto"/>
                      <w:szCs w:val="21"/>
                    </w:rPr>
                  </w:pPr>
                  <w:r>
                    <w:rPr>
                      <w:rFonts w:hint="eastAsia"/>
                      <w:color w:val="auto"/>
                      <w:szCs w:val="21"/>
                    </w:rPr>
                    <w:t>--</w:t>
                  </w:r>
                </w:p>
              </w:tc>
            </w:tr>
            <w:tr w14:paraId="0F03F3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6001D7B9">
                  <w:pPr>
                    <w:adjustRightInd w:val="0"/>
                    <w:snapToGrid w:val="0"/>
                    <w:jc w:val="center"/>
                    <w:rPr>
                      <w:color w:val="auto"/>
                      <w:szCs w:val="21"/>
                    </w:rPr>
                  </w:pPr>
                </w:p>
              </w:tc>
              <w:tc>
                <w:tcPr>
                  <w:tcW w:w="1301" w:type="dxa"/>
                  <w:tcMar>
                    <w:left w:w="28" w:type="dxa"/>
                    <w:right w:w="28" w:type="dxa"/>
                  </w:tcMar>
                  <w:vAlign w:val="center"/>
                </w:tcPr>
                <w:p w14:paraId="6FE74D0B">
                  <w:pPr>
                    <w:adjustRightInd w:val="0"/>
                    <w:snapToGrid w:val="0"/>
                    <w:jc w:val="center"/>
                    <w:rPr>
                      <w:color w:val="auto"/>
                      <w:szCs w:val="21"/>
                    </w:rPr>
                  </w:pPr>
                  <w:r>
                    <w:rPr>
                      <w:color w:val="auto"/>
                      <w:szCs w:val="21"/>
                    </w:rPr>
                    <w:t>供暖工程</w:t>
                  </w:r>
                </w:p>
              </w:tc>
              <w:tc>
                <w:tcPr>
                  <w:tcW w:w="5213" w:type="dxa"/>
                  <w:tcMar>
                    <w:left w:w="28" w:type="dxa"/>
                    <w:right w:w="28" w:type="dxa"/>
                  </w:tcMar>
                  <w:vAlign w:val="center"/>
                </w:tcPr>
                <w:p w14:paraId="4D1E0E05">
                  <w:pPr>
                    <w:adjustRightInd w:val="0"/>
                    <w:snapToGrid w:val="0"/>
                    <w:rPr>
                      <w:color w:val="auto"/>
                      <w:szCs w:val="21"/>
                    </w:rPr>
                  </w:pPr>
                  <w:r>
                    <w:rPr>
                      <w:color w:val="auto"/>
                      <w:szCs w:val="21"/>
                    </w:rPr>
                    <w:t>冬季不生产，无需取暖。</w:t>
                  </w:r>
                </w:p>
              </w:tc>
              <w:tc>
                <w:tcPr>
                  <w:tcW w:w="1063" w:type="dxa"/>
                  <w:vAlign w:val="center"/>
                </w:tcPr>
                <w:p w14:paraId="384751AB">
                  <w:pPr>
                    <w:adjustRightInd w:val="0"/>
                    <w:snapToGrid w:val="0"/>
                    <w:jc w:val="center"/>
                    <w:rPr>
                      <w:color w:val="auto"/>
                      <w:szCs w:val="21"/>
                    </w:rPr>
                  </w:pPr>
                  <w:r>
                    <w:rPr>
                      <w:color w:val="auto"/>
                      <w:szCs w:val="21"/>
                    </w:rPr>
                    <w:t>--</w:t>
                  </w:r>
                </w:p>
              </w:tc>
            </w:tr>
            <w:tr w14:paraId="1FCEF5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restart"/>
                  <w:tcMar>
                    <w:left w:w="28" w:type="dxa"/>
                    <w:right w:w="28" w:type="dxa"/>
                  </w:tcMar>
                  <w:vAlign w:val="center"/>
                </w:tcPr>
                <w:p w14:paraId="504854F6">
                  <w:pPr>
                    <w:adjustRightInd w:val="0"/>
                    <w:snapToGrid w:val="0"/>
                    <w:jc w:val="center"/>
                    <w:rPr>
                      <w:color w:val="auto"/>
                      <w:szCs w:val="21"/>
                    </w:rPr>
                  </w:pPr>
                  <w:r>
                    <w:rPr>
                      <w:color w:val="auto"/>
                      <w:szCs w:val="21"/>
                    </w:rPr>
                    <w:t>环保</w:t>
                  </w:r>
                </w:p>
                <w:p w14:paraId="1D5788BF">
                  <w:pPr>
                    <w:adjustRightInd w:val="0"/>
                    <w:snapToGrid w:val="0"/>
                    <w:jc w:val="center"/>
                    <w:rPr>
                      <w:color w:val="auto"/>
                      <w:szCs w:val="21"/>
                    </w:rPr>
                  </w:pPr>
                  <w:r>
                    <w:rPr>
                      <w:color w:val="auto"/>
                      <w:szCs w:val="21"/>
                    </w:rPr>
                    <w:t>工程</w:t>
                  </w:r>
                </w:p>
              </w:tc>
              <w:tc>
                <w:tcPr>
                  <w:tcW w:w="1301" w:type="dxa"/>
                  <w:vMerge w:val="restart"/>
                  <w:tcMar>
                    <w:left w:w="28" w:type="dxa"/>
                    <w:right w:w="28" w:type="dxa"/>
                  </w:tcMar>
                  <w:vAlign w:val="center"/>
                </w:tcPr>
                <w:p w14:paraId="6CD4924B">
                  <w:pPr>
                    <w:adjustRightInd w:val="0"/>
                    <w:snapToGrid w:val="0"/>
                    <w:jc w:val="center"/>
                    <w:rPr>
                      <w:color w:val="auto"/>
                      <w:szCs w:val="21"/>
                    </w:rPr>
                  </w:pPr>
                  <w:r>
                    <w:rPr>
                      <w:color w:val="auto"/>
                      <w:szCs w:val="21"/>
                    </w:rPr>
                    <w:t>废气</w:t>
                  </w:r>
                </w:p>
              </w:tc>
              <w:tc>
                <w:tcPr>
                  <w:tcW w:w="5213" w:type="dxa"/>
                  <w:tcMar>
                    <w:left w:w="28" w:type="dxa"/>
                    <w:right w:w="28" w:type="dxa"/>
                  </w:tcMar>
                  <w:vAlign w:val="center"/>
                </w:tcPr>
                <w:p w14:paraId="3A463591">
                  <w:pPr>
                    <w:adjustRightInd w:val="0"/>
                    <w:snapToGrid w:val="0"/>
                    <w:rPr>
                      <w:color w:val="auto"/>
                      <w:szCs w:val="21"/>
                    </w:rPr>
                  </w:pPr>
                  <w:r>
                    <w:rPr>
                      <w:rFonts w:hint="eastAsia"/>
                      <w:color w:val="auto"/>
                      <w:szCs w:val="21"/>
                    </w:rPr>
                    <w:t>原料堆存装卸粉尘</w:t>
                  </w:r>
                  <w:r>
                    <w:rPr>
                      <w:color w:val="auto"/>
                      <w:szCs w:val="21"/>
                    </w:rPr>
                    <w:t>：碎石和砂子</w:t>
                  </w:r>
                  <w:r>
                    <w:rPr>
                      <w:rFonts w:hint="eastAsia"/>
                      <w:color w:val="auto"/>
                      <w:szCs w:val="21"/>
                    </w:rPr>
                    <w:t>堆存于砂石料场，</w:t>
                  </w:r>
                  <w:r>
                    <w:rPr>
                      <w:color w:val="auto"/>
                      <w:szCs w:val="21"/>
                    </w:rPr>
                    <w:t>砂石料场</w:t>
                  </w:r>
                  <w:r>
                    <w:rPr>
                      <w:bCs/>
                      <w:color w:val="auto"/>
                      <w:szCs w:val="21"/>
                    </w:rPr>
                    <w:t>采用三面</w:t>
                  </w:r>
                  <w:r>
                    <w:rPr>
                      <w:rFonts w:hint="eastAsia"/>
                      <w:bCs/>
                      <w:color w:val="auto"/>
                      <w:szCs w:val="21"/>
                    </w:rPr>
                    <w:t>挡墙</w:t>
                  </w:r>
                  <w:r>
                    <w:rPr>
                      <w:bCs/>
                      <w:color w:val="auto"/>
                      <w:szCs w:val="21"/>
                    </w:rPr>
                    <w:t>，</w:t>
                  </w:r>
                  <w:r>
                    <w:rPr>
                      <w:rFonts w:hint="eastAsia"/>
                      <w:bCs/>
                      <w:color w:val="auto"/>
                      <w:szCs w:val="21"/>
                    </w:rPr>
                    <w:t>上方苫盖密目网，并进行洒水抑尘</w:t>
                  </w:r>
                  <w:r>
                    <w:rPr>
                      <w:color w:val="auto"/>
                      <w:szCs w:val="21"/>
                    </w:rPr>
                    <w:t>。</w:t>
                  </w:r>
                </w:p>
              </w:tc>
              <w:tc>
                <w:tcPr>
                  <w:tcW w:w="1063" w:type="dxa"/>
                  <w:vAlign w:val="center"/>
                </w:tcPr>
                <w:p w14:paraId="323416FB">
                  <w:pPr>
                    <w:adjustRightInd w:val="0"/>
                    <w:snapToGrid w:val="0"/>
                    <w:jc w:val="center"/>
                    <w:rPr>
                      <w:color w:val="auto"/>
                      <w:szCs w:val="21"/>
                    </w:rPr>
                  </w:pPr>
                  <w:r>
                    <w:rPr>
                      <w:color w:val="auto"/>
                      <w:szCs w:val="21"/>
                    </w:rPr>
                    <w:t>新建</w:t>
                  </w:r>
                </w:p>
              </w:tc>
            </w:tr>
            <w:tr w14:paraId="4258E2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74602D63">
                  <w:pPr>
                    <w:adjustRightInd w:val="0"/>
                    <w:snapToGrid w:val="0"/>
                    <w:jc w:val="center"/>
                    <w:rPr>
                      <w:color w:val="auto"/>
                      <w:szCs w:val="21"/>
                    </w:rPr>
                  </w:pPr>
                </w:p>
              </w:tc>
              <w:tc>
                <w:tcPr>
                  <w:tcW w:w="1301" w:type="dxa"/>
                  <w:vMerge w:val="continue"/>
                  <w:tcMar>
                    <w:left w:w="28" w:type="dxa"/>
                    <w:right w:w="28" w:type="dxa"/>
                  </w:tcMar>
                  <w:vAlign w:val="center"/>
                </w:tcPr>
                <w:p w14:paraId="05082895">
                  <w:pPr>
                    <w:adjustRightInd w:val="0"/>
                    <w:snapToGrid w:val="0"/>
                    <w:jc w:val="center"/>
                    <w:rPr>
                      <w:color w:val="auto"/>
                      <w:szCs w:val="21"/>
                    </w:rPr>
                  </w:pPr>
                </w:p>
              </w:tc>
              <w:tc>
                <w:tcPr>
                  <w:tcW w:w="5213" w:type="dxa"/>
                  <w:tcMar>
                    <w:left w:w="28" w:type="dxa"/>
                    <w:right w:w="28" w:type="dxa"/>
                  </w:tcMar>
                  <w:vAlign w:val="center"/>
                </w:tcPr>
                <w:p w14:paraId="43358E1E">
                  <w:pPr>
                    <w:adjustRightInd w:val="0"/>
                    <w:snapToGrid w:val="0"/>
                    <w:rPr>
                      <w:color w:val="auto"/>
                      <w:szCs w:val="21"/>
                    </w:rPr>
                  </w:pPr>
                  <w:r>
                    <w:rPr>
                      <w:color w:val="auto"/>
                      <w:szCs w:val="21"/>
                    </w:rPr>
                    <w:t>配料输送粉尘：</w:t>
                  </w:r>
                  <w:r>
                    <w:rPr>
                      <w:rFonts w:hint="eastAsia"/>
                      <w:bCs/>
                      <w:color w:val="auto"/>
                      <w:szCs w:val="21"/>
                    </w:rPr>
                    <w:t>输送带密闭，上料口三面封闭，上方设置喷淋装置</w:t>
                  </w:r>
                  <w:r>
                    <w:rPr>
                      <w:color w:val="auto"/>
                      <w:szCs w:val="21"/>
                    </w:rPr>
                    <w:t>。</w:t>
                  </w:r>
                </w:p>
              </w:tc>
              <w:tc>
                <w:tcPr>
                  <w:tcW w:w="1063" w:type="dxa"/>
                  <w:vAlign w:val="center"/>
                </w:tcPr>
                <w:p w14:paraId="739A1329">
                  <w:pPr>
                    <w:adjustRightInd w:val="0"/>
                    <w:snapToGrid w:val="0"/>
                    <w:jc w:val="center"/>
                    <w:rPr>
                      <w:color w:val="auto"/>
                      <w:szCs w:val="21"/>
                    </w:rPr>
                  </w:pPr>
                  <w:r>
                    <w:rPr>
                      <w:rFonts w:hint="eastAsia"/>
                      <w:color w:val="auto"/>
                      <w:szCs w:val="21"/>
                    </w:rPr>
                    <w:t>已建</w:t>
                  </w:r>
                </w:p>
              </w:tc>
            </w:tr>
            <w:tr w14:paraId="22B8D3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5B45AC9C">
                  <w:pPr>
                    <w:adjustRightInd w:val="0"/>
                    <w:snapToGrid w:val="0"/>
                    <w:jc w:val="center"/>
                    <w:rPr>
                      <w:color w:val="auto"/>
                      <w:szCs w:val="21"/>
                    </w:rPr>
                  </w:pPr>
                </w:p>
              </w:tc>
              <w:tc>
                <w:tcPr>
                  <w:tcW w:w="1301" w:type="dxa"/>
                  <w:vMerge w:val="continue"/>
                  <w:tcMar>
                    <w:left w:w="28" w:type="dxa"/>
                    <w:right w:w="28" w:type="dxa"/>
                  </w:tcMar>
                  <w:vAlign w:val="center"/>
                </w:tcPr>
                <w:p w14:paraId="21C0926C">
                  <w:pPr>
                    <w:adjustRightInd w:val="0"/>
                    <w:snapToGrid w:val="0"/>
                    <w:jc w:val="center"/>
                    <w:rPr>
                      <w:color w:val="auto"/>
                      <w:szCs w:val="21"/>
                    </w:rPr>
                  </w:pPr>
                </w:p>
              </w:tc>
              <w:tc>
                <w:tcPr>
                  <w:tcW w:w="5213" w:type="dxa"/>
                  <w:tcMar>
                    <w:left w:w="28" w:type="dxa"/>
                    <w:right w:w="28" w:type="dxa"/>
                  </w:tcMar>
                  <w:vAlign w:val="center"/>
                </w:tcPr>
                <w:p w14:paraId="22B5F214">
                  <w:pPr>
                    <w:adjustRightInd w:val="0"/>
                    <w:snapToGrid w:val="0"/>
                    <w:rPr>
                      <w:color w:val="auto"/>
                      <w:szCs w:val="21"/>
                    </w:rPr>
                  </w:pPr>
                  <w:r>
                    <w:rPr>
                      <w:rFonts w:hint="eastAsia"/>
                      <w:color w:val="auto"/>
                      <w:szCs w:val="21"/>
                    </w:rPr>
                    <w:t>物料混合搅拌粉尘</w:t>
                  </w:r>
                  <w:r>
                    <w:rPr>
                      <w:color w:val="auto"/>
                      <w:szCs w:val="21"/>
                    </w:rPr>
                    <w:t>：</w:t>
                  </w:r>
                  <w:r>
                    <w:rPr>
                      <w:bCs/>
                      <w:color w:val="auto"/>
                      <w:szCs w:val="21"/>
                    </w:rPr>
                    <w:t>混凝土生产线</w:t>
                  </w:r>
                  <w:r>
                    <w:rPr>
                      <w:rFonts w:hint="eastAsia"/>
                      <w:bCs/>
                      <w:color w:val="auto"/>
                      <w:szCs w:val="21"/>
                    </w:rPr>
                    <w:t>、</w:t>
                  </w:r>
                  <w:r>
                    <w:rPr>
                      <w:bCs/>
                      <w:color w:val="auto"/>
                      <w:szCs w:val="21"/>
                    </w:rPr>
                    <w:t>水稳料生产线分别建设封闭式搅拌</w:t>
                  </w:r>
                  <w:r>
                    <w:rPr>
                      <w:rFonts w:hint="eastAsia"/>
                      <w:bCs/>
                      <w:color w:val="auto"/>
                      <w:szCs w:val="21"/>
                    </w:rPr>
                    <w:t>机组</w:t>
                  </w:r>
                  <w:r>
                    <w:rPr>
                      <w:color w:val="auto"/>
                      <w:szCs w:val="21"/>
                    </w:rPr>
                    <w:t>。</w:t>
                  </w:r>
                  <w:r>
                    <w:rPr>
                      <w:bCs/>
                      <w:color w:val="auto"/>
                      <w:szCs w:val="21"/>
                    </w:rPr>
                    <w:t>搅拌</w:t>
                  </w:r>
                  <w:r>
                    <w:rPr>
                      <w:rFonts w:hint="eastAsia"/>
                      <w:bCs/>
                      <w:color w:val="auto"/>
                      <w:szCs w:val="21"/>
                    </w:rPr>
                    <w:t>机组均</w:t>
                  </w:r>
                  <w:r>
                    <w:rPr>
                      <w:rFonts w:hint="eastAsia"/>
                      <w:color w:val="auto"/>
                      <w:szCs w:val="21"/>
                    </w:rPr>
                    <w:t>配备脉冲布袋除尘器，设排气口，无排气筒，为无组织废气。</w:t>
                  </w:r>
                </w:p>
              </w:tc>
              <w:tc>
                <w:tcPr>
                  <w:tcW w:w="1063" w:type="dxa"/>
                  <w:vAlign w:val="center"/>
                </w:tcPr>
                <w:p w14:paraId="599C2C68">
                  <w:pPr>
                    <w:adjustRightInd w:val="0"/>
                    <w:snapToGrid w:val="0"/>
                    <w:jc w:val="center"/>
                    <w:rPr>
                      <w:color w:val="auto"/>
                      <w:szCs w:val="21"/>
                    </w:rPr>
                  </w:pPr>
                  <w:r>
                    <w:rPr>
                      <w:rFonts w:hint="eastAsia"/>
                      <w:color w:val="auto"/>
                      <w:szCs w:val="21"/>
                    </w:rPr>
                    <w:t>已建</w:t>
                  </w:r>
                </w:p>
              </w:tc>
            </w:tr>
            <w:tr w14:paraId="26D689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21B8FFA8">
                  <w:pPr>
                    <w:adjustRightInd w:val="0"/>
                    <w:snapToGrid w:val="0"/>
                    <w:jc w:val="center"/>
                    <w:rPr>
                      <w:color w:val="auto"/>
                      <w:szCs w:val="21"/>
                    </w:rPr>
                  </w:pPr>
                </w:p>
              </w:tc>
              <w:tc>
                <w:tcPr>
                  <w:tcW w:w="1301" w:type="dxa"/>
                  <w:vMerge w:val="continue"/>
                  <w:tcMar>
                    <w:left w:w="28" w:type="dxa"/>
                    <w:right w:w="28" w:type="dxa"/>
                  </w:tcMar>
                  <w:vAlign w:val="center"/>
                </w:tcPr>
                <w:p w14:paraId="339262EA">
                  <w:pPr>
                    <w:adjustRightInd w:val="0"/>
                    <w:snapToGrid w:val="0"/>
                    <w:jc w:val="center"/>
                    <w:rPr>
                      <w:color w:val="auto"/>
                      <w:szCs w:val="21"/>
                    </w:rPr>
                  </w:pPr>
                </w:p>
              </w:tc>
              <w:tc>
                <w:tcPr>
                  <w:tcW w:w="5213" w:type="dxa"/>
                  <w:tcMar>
                    <w:left w:w="28" w:type="dxa"/>
                    <w:right w:w="28" w:type="dxa"/>
                  </w:tcMar>
                  <w:vAlign w:val="center"/>
                </w:tcPr>
                <w:p w14:paraId="33C7D963">
                  <w:pPr>
                    <w:adjustRightInd w:val="0"/>
                    <w:snapToGrid w:val="0"/>
                    <w:rPr>
                      <w:color w:val="auto"/>
                      <w:szCs w:val="21"/>
                    </w:rPr>
                  </w:pPr>
                  <w:r>
                    <w:rPr>
                      <w:color w:val="auto"/>
                      <w:szCs w:val="21"/>
                    </w:rPr>
                    <w:t>粉料筒仓呼吸孔粉尘：水泥粉筒仓为全封闭筒仓，</w:t>
                  </w:r>
                  <w:r>
                    <w:rPr>
                      <w:rFonts w:hint="eastAsia"/>
                      <w:bCs/>
                      <w:color w:val="auto"/>
                      <w:szCs w:val="21"/>
                    </w:rPr>
                    <w:t>每个筒仓</w:t>
                  </w:r>
                  <w:r>
                    <w:rPr>
                      <w:bCs/>
                      <w:color w:val="auto"/>
                      <w:szCs w:val="21"/>
                    </w:rPr>
                    <w:t>顶</w:t>
                  </w:r>
                  <w:r>
                    <w:rPr>
                      <w:rFonts w:hint="eastAsia"/>
                      <w:bCs/>
                      <w:color w:val="auto"/>
                      <w:szCs w:val="21"/>
                    </w:rPr>
                    <w:t>自带一台仓顶袋式除尘器，</w:t>
                  </w:r>
                  <w:r>
                    <w:rPr>
                      <w:bCs/>
                      <w:color w:val="auto"/>
                      <w:szCs w:val="21"/>
                    </w:rPr>
                    <w:t>处理后</w:t>
                  </w:r>
                  <w:r>
                    <w:rPr>
                      <w:rFonts w:hint="eastAsia"/>
                      <w:bCs/>
                      <w:color w:val="auto"/>
                      <w:szCs w:val="21"/>
                    </w:rPr>
                    <w:t>由仓顶排气口</w:t>
                  </w:r>
                  <w:r>
                    <w:rPr>
                      <w:rFonts w:hint="eastAsia"/>
                      <w:bCs/>
                      <w:color w:val="auto"/>
                      <w:szCs w:val="21"/>
                      <w:lang w:eastAsia="zh-CN"/>
                    </w:rPr>
                    <w:t>（</w:t>
                  </w:r>
                  <w:r>
                    <w:rPr>
                      <w:rFonts w:hint="eastAsia"/>
                      <w:bCs/>
                      <w:color w:val="auto"/>
                      <w:szCs w:val="21"/>
                    </w:rPr>
                    <w:t>高15m</w:t>
                  </w:r>
                  <w:r>
                    <w:rPr>
                      <w:rFonts w:hint="eastAsia"/>
                      <w:bCs/>
                      <w:color w:val="auto"/>
                      <w:szCs w:val="21"/>
                      <w:lang w:eastAsia="zh-CN"/>
                    </w:rPr>
                    <w:t>）</w:t>
                  </w:r>
                  <w:r>
                    <w:rPr>
                      <w:bCs/>
                      <w:color w:val="auto"/>
                      <w:szCs w:val="21"/>
                    </w:rPr>
                    <w:t>排放</w:t>
                  </w:r>
                  <w:r>
                    <w:rPr>
                      <w:color w:val="auto"/>
                      <w:szCs w:val="21"/>
                    </w:rPr>
                    <w:t>。</w:t>
                  </w:r>
                </w:p>
              </w:tc>
              <w:tc>
                <w:tcPr>
                  <w:tcW w:w="1063" w:type="dxa"/>
                  <w:vAlign w:val="center"/>
                </w:tcPr>
                <w:p w14:paraId="1683A867">
                  <w:pPr>
                    <w:adjustRightInd w:val="0"/>
                    <w:snapToGrid w:val="0"/>
                    <w:jc w:val="center"/>
                    <w:rPr>
                      <w:color w:val="auto"/>
                      <w:szCs w:val="21"/>
                    </w:rPr>
                  </w:pPr>
                  <w:r>
                    <w:rPr>
                      <w:rFonts w:hint="eastAsia"/>
                      <w:color w:val="auto"/>
                      <w:szCs w:val="21"/>
                    </w:rPr>
                    <w:t>已建</w:t>
                  </w:r>
                </w:p>
              </w:tc>
            </w:tr>
            <w:tr w14:paraId="7DF098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4CA441F4">
                  <w:pPr>
                    <w:adjustRightInd w:val="0"/>
                    <w:snapToGrid w:val="0"/>
                    <w:jc w:val="center"/>
                    <w:rPr>
                      <w:color w:val="auto"/>
                      <w:szCs w:val="21"/>
                    </w:rPr>
                  </w:pPr>
                </w:p>
              </w:tc>
              <w:tc>
                <w:tcPr>
                  <w:tcW w:w="1301" w:type="dxa"/>
                  <w:vMerge w:val="continue"/>
                  <w:tcMar>
                    <w:left w:w="28" w:type="dxa"/>
                    <w:right w:w="28" w:type="dxa"/>
                  </w:tcMar>
                  <w:vAlign w:val="center"/>
                </w:tcPr>
                <w:p w14:paraId="24B79280">
                  <w:pPr>
                    <w:adjustRightInd w:val="0"/>
                    <w:snapToGrid w:val="0"/>
                    <w:jc w:val="center"/>
                    <w:rPr>
                      <w:color w:val="auto"/>
                      <w:szCs w:val="21"/>
                    </w:rPr>
                  </w:pPr>
                </w:p>
              </w:tc>
              <w:tc>
                <w:tcPr>
                  <w:tcW w:w="5213" w:type="dxa"/>
                  <w:tcMar>
                    <w:left w:w="28" w:type="dxa"/>
                    <w:right w:w="28" w:type="dxa"/>
                  </w:tcMar>
                  <w:vAlign w:val="center"/>
                </w:tcPr>
                <w:p w14:paraId="543F9148">
                  <w:pPr>
                    <w:adjustRightInd w:val="0"/>
                    <w:snapToGrid w:val="0"/>
                    <w:rPr>
                      <w:color w:val="auto"/>
                      <w:szCs w:val="21"/>
                    </w:rPr>
                  </w:pPr>
                  <w:r>
                    <w:rPr>
                      <w:color w:val="auto"/>
                      <w:szCs w:val="21"/>
                    </w:rPr>
                    <w:t>运输车辆动力起尘：</w:t>
                  </w:r>
                  <w:r>
                    <w:rPr>
                      <w:bCs/>
                      <w:color w:val="auto"/>
                      <w:szCs w:val="21"/>
                    </w:rPr>
                    <w:t>厂区内定时洒水</w:t>
                  </w:r>
                  <w:r>
                    <w:rPr>
                      <w:rFonts w:hint="eastAsia"/>
                      <w:bCs/>
                      <w:color w:val="auto"/>
                      <w:szCs w:val="21"/>
                    </w:rPr>
                    <w:t>；</w:t>
                  </w:r>
                  <w:r>
                    <w:rPr>
                      <w:bCs/>
                      <w:color w:val="auto"/>
                      <w:szCs w:val="21"/>
                    </w:rPr>
                    <w:t>厂区</w:t>
                  </w:r>
                  <w:r>
                    <w:rPr>
                      <w:rFonts w:hint="eastAsia"/>
                      <w:bCs/>
                      <w:color w:val="auto"/>
                      <w:szCs w:val="21"/>
                    </w:rPr>
                    <w:t>配备高压水枪设备对驶出车辆进行冲洗清洁；厂区有保洁人员及时对散落的物料进行清扫收集</w:t>
                  </w:r>
                  <w:r>
                    <w:rPr>
                      <w:color w:val="auto"/>
                      <w:szCs w:val="21"/>
                    </w:rPr>
                    <w:t>。</w:t>
                  </w:r>
                </w:p>
              </w:tc>
              <w:tc>
                <w:tcPr>
                  <w:tcW w:w="1063" w:type="dxa"/>
                  <w:vAlign w:val="center"/>
                </w:tcPr>
                <w:p w14:paraId="0BD6EEC0">
                  <w:pPr>
                    <w:adjustRightInd w:val="0"/>
                    <w:snapToGrid w:val="0"/>
                    <w:jc w:val="center"/>
                    <w:rPr>
                      <w:color w:val="auto"/>
                      <w:szCs w:val="21"/>
                    </w:rPr>
                  </w:pPr>
                  <w:r>
                    <w:rPr>
                      <w:rFonts w:hint="eastAsia"/>
                      <w:color w:val="auto"/>
                      <w:szCs w:val="21"/>
                    </w:rPr>
                    <w:t>已建</w:t>
                  </w:r>
                </w:p>
              </w:tc>
            </w:tr>
            <w:tr w14:paraId="617524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064B80E9">
                  <w:pPr>
                    <w:adjustRightInd w:val="0"/>
                    <w:snapToGrid w:val="0"/>
                    <w:jc w:val="center"/>
                    <w:rPr>
                      <w:color w:val="auto"/>
                      <w:szCs w:val="21"/>
                    </w:rPr>
                  </w:pPr>
                </w:p>
              </w:tc>
              <w:tc>
                <w:tcPr>
                  <w:tcW w:w="1301" w:type="dxa"/>
                  <w:vMerge w:val="restart"/>
                  <w:tcMar>
                    <w:left w:w="28" w:type="dxa"/>
                    <w:right w:w="28" w:type="dxa"/>
                  </w:tcMar>
                  <w:vAlign w:val="center"/>
                </w:tcPr>
                <w:p w14:paraId="2602B4FE">
                  <w:pPr>
                    <w:adjustRightInd w:val="0"/>
                    <w:snapToGrid w:val="0"/>
                    <w:jc w:val="center"/>
                    <w:rPr>
                      <w:color w:val="auto"/>
                      <w:szCs w:val="21"/>
                    </w:rPr>
                  </w:pPr>
                  <w:r>
                    <w:rPr>
                      <w:color w:val="auto"/>
                      <w:szCs w:val="21"/>
                    </w:rPr>
                    <w:t>废水</w:t>
                  </w:r>
                </w:p>
              </w:tc>
              <w:tc>
                <w:tcPr>
                  <w:tcW w:w="5213" w:type="dxa"/>
                  <w:tcMar>
                    <w:left w:w="28" w:type="dxa"/>
                    <w:right w:w="28" w:type="dxa"/>
                  </w:tcMar>
                  <w:vAlign w:val="center"/>
                </w:tcPr>
                <w:p w14:paraId="2E324C61">
                  <w:pPr>
                    <w:adjustRightInd w:val="0"/>
                    <w:snapToGrid w:val="0"/>
                    <w:rPr>
                      <w:color w:val="auto"/>
                      <w:szCs w:val="21"/>
                    </w:rPr>
                  </w:pPr>
                  <w:r>
                    <w:rPr>
                      <w:color w:val="auto"/>
                      <w:szCs w:val="21"/>
                    </w:rPr>
                    <w:t>搅拌机、运输车辆</w:t>
                  </w:r>
                  <w:r>
                    <w:rPr>
                      <w:rFonts w:hint="eastAsia"/>
                      <w:color w:val="auto"/>
                      <w:szCs w:val="21"/>
                    </w:rPr>
                    <w:t>清洗废水</w:t>
                  </w:r>
                  <w:r>
                    <w:rPr>
                      <w:color w:val="auto"/>
                      <w:szCs w:val="21"/>
                    </w:rPr>
                    <w:t>、实验室废水经收集三级沉淀处理后回用于混凝土搅拌混合，不外排。厂区设置了三级沉淀池，三级沉淀池为混凝土结构，容积</w:t>
                  </w:r>
                  <w:r>
                    <w:rPr>
                      <w:rFonts w:hint="eastAsia"/>
                      <w:color w:val="auto"/>
                      <w:szCs w:val="21"/>
                    </w:rPr>
                    <w:t>为</w:t>
                  </w:r>
                  <w:r>
                    <w:rPr>
                      <w:color w:val="auto"/>
                      <w:szCs w:val="21"/>
                    </w:rPr>
                    <w:t>20m</w:t>
                  </w:r>
                  <w:r>
                    <w:rPr>
                      <w:color w:val="auto"/>
                      <w:szCs w:val="21"/>
                      <w:vertAlign w:val="superscript"/>
                    </w:rPr>
                    <w:t>3</w:t>
                  </w:r>
                  <w:r>
                    <w:rPr>
                      <w:color w:val="auto"/>
                      <w:szCs w:val="21"/>
                    </w:rPr>
                    <w:t>，沉淀池采用一般防渗，等效黏土防渗层Mb≥1.5m，K≤1×10</w:t>
                  </w:r>
                  <w:r>
                    <w:rPr>
                      <w:color w:val="auto"/>
                      <w:szCs w:val="21"/>
                      <w:vertAlign w:val="superscript"/>
                    </w:rPr>
                    <w:t>-7</w:t>
                  </w:r>
                  <w:r>
                    <w:rPr>
                      <w:color w:val="auto"/>
                      <w:szCs w:val="21"/>
                    </w:rPr>
                    <w:t>cm/s。</w:t>
                  </w:r>
                </w:p>
              </w:tc>
              <w:tc>
                <w:tcPr>
                  <w:tcW w:w="1063" w:type="dxa"/>
                  <w:vMerge w:val="restart"/>
                  <w:vAlign w:val="center"/>
                </w:tcPr>
                <w:p w14:paraId="72DCE6AD">
                  <w:pPr>
                    <w:adjustRightInd w:val="0"/>
                    <w:snapToGrid w:val="0"/>
                    <w:jc w:val="center"/>
                    <w:rPr>
                      <w:color w:val="auto"/>
                      <w:szCs w:val="21"/>
                    </w:rPr>
                  </w:pPr>
                  <w:r>
                    <w:rPr>
                      <w:rFonts w:hint="eastAsia"/>
                      <w:color w:val="auto"/>
                      <w:szCs w:val="21"/>
                    </w:rPr>
                    <w:t>已建</w:t>
                  </w:r>
                </w:p>
              </w:tc>
            </w:tr>
            <w:tr w14:paraId="00A8B7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216B43A2">
                  <w:pPr>
                    <w:adjustRightInd w:val="0"/>
                    <w:snapToGrid w:val="0"/>
                    <w:jc w:val="center"/>
                    <w:rPr>
                      <w:color w:val="auto"/>
                      <w:szCs w:val="21"/>
                    </w:rPr>
                  </w:pPr>
                </w:p>
              </w:tc>
              <w:tc>
                <w:tcPr>
                  <w:tcW w:w="1301" w:type="dxa"/>
                  <w:vMerge w:val="continue"/>
                  <w:tcMar>
                    <w:left w:w="28" w:type="dxa"/>
                    <w:right w:w="28" w:type="dxa"/>
                  </w:tcMar>
                  <w:vAlign w:val="center"/>
                </w:tcPr>
                <w:p w14:paraId="0A817474">
                  <w:pPr>
                    <w:adjustRightInd w:val="0"/>
                    <w:snapToGrid w:val="0"/>
                    <w:jc w:val="center"/>
                    <w:rPr>
                      <w:color w:val="auto"/>
                      <w:szCs w:val="21"/>
                    </w:rPr>
                  </w:pPr>
                </w:p>
              </w:tc>
              <w:tc>
                <w:tcPr>
                  <w:tcW w:w="5213" w:type="dxa"/>
                  <w:tcMar>
                    <w:left w:w="28" w:type="dxa"/>
                    <w:right w:w="28" w:type="dxa"/>
                  </w:tcMar>
                  <w:vAlign w:val="center"/>
                </w:tcPr>
                <w:p w14:paraId="1E9EB8EF">
                  <w:pPr>
                    <w:adjustRightInd w:val="0"/>
                    <w:snapToGrid w:val="0"/>
                    <w:rPr>
                      <w:color w:val="auto"/>
                      <w:szCs w:val="21"/>
                    </w:rPr>
                  </w:pPr>
                  <w:r>
                    <w:rPr>
                      <w:color w:val="auto"/>
                      <w:szCs w:val="21"/>
                    </w:rPr>
                    <w:t>搅拌混合用水全部进入产品</w:t>
                  </w:r>
                  <w:r>
                    <w:rPr>
                      <w:rFonts w:hint="eastAsia"/>
                      <w:color w:val="auto"/>
                      <w:szCs w:val="21"/>
                      <w:lang w:eastAsia="zh-CN"/>
                    </w:rPr>
                    <w:t>，</w:t>
                  </w:r>
                  <w:r>
                    <w:rPr>
                      <w:color w:val="auto"/>
                      <w:szCs w:val="21"/>
                    </w:rPr>
                    <w:t>料场抑尘用水、道路抑尘用水全部自然蒸发。</w:t>
                  </w:r>
                </w:p>
              </w:tc>
              <w:tc>
                <w:tcPr>
                  <w:tcW w:w="1063" w:type="dxa"/>
                  <w:vMerge w:val="continue"/>
                  <w:vAlign w:val="center"/>
                </w:tcPr>
                <w:p w14:paraId="67721ADD">
                  <w:pPr>
                    <w:adjustRightInd w:val="0"/>
                    <w:snapToGrid w:val="0"/>
                    <w:jc w:val="center"/>
                    <w:rPr>
                      <w:color w:val="auto"/>
                      <w:szCs w:val="21"/>
                    </w:rPr>
                  </w:pPr>
                </w:p>
              </w:tc>
            </w:tr>
            <w:tr w14:paraId="05B191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6710F44D">
                  <w:pPr>
                    <w:adjustRightInd w:val="0"/>
                    <w:snapToGrid w:val="0"/>
                    <w:jc w:val="center"/>
                    <w:rPr>
                      <w:color w:val="auto"/>
                      <w:szCs w:val="21"/>
                    </w:rPr>
                  </w:pPr>
                </w:p>
              </w:tc>
              <w:tc>
                <w:tcPr>
                  <w:tcW w:w="1301" w:type="dxa"/>
                  <w:vMerge w:val="continue"/>
                  <w:tcMar>
                    <w:left w:w="28" w:type="dxa"/>
                    <w:right w:w="28" w:type="dxa"/>
                  </w:tcMar>
                  <w:vAlign w:val="center"/>
                </w:tcPr>
                <w:p w14:paraId="40832EAA">
                  <w:pPr>
                    <w:adjustRightInd w:val="0"/>
                    <w:snapToGrid w:val="0"/>
                    <w:jc w:val="center"/>
                    <w:rPr>
                      <w:color w:val="auto"/>
                      <w:szCs w:val="21"/>
                    </w:rPr>
                  </w:pPr>
                </w:p>
              </w:tc>
              <w:tc>
                <w:tcPr>
                  <w:tcW w:w="5213" w:type="dxa"/>
                  <w:tcMar>
                    <w:left w:w="28" w:type="dxa"/>
                    <w:right w:w="28" w:type="dxa"/>
                  </w:tcMar>
                  <w:vAlign w:val="center"/>
                </w:tcPr>
                <w:p w14:paraId="3D4196D9">
                  <w:pPr>
                    <w:adjustRightInd w:val="0"/>
                    <w:snapToGrid w:val="0"/>
                    <w:rPr>
                      <w:color w:val="auto"/>
                      <w:szCs w:val="21"/>
                    </w:rPr>
                  </w:pPr>
                  <w:r>
                    <w:rPr>
                      <w:color w:val="auto"/>
                      <w:szCs w:val="21"/>
                    </w:rPr>
                    <w:t>建设一座5m</w:t>
                  </w:r>
                  <w:r>
                    <w:rPr>
                      <w:color w:val="auto"/>
                      <w:szCs w:val="21"/>
                      <w:vertAlign w:val="superscript"/>
                    </w:rPr>
                    <w:t>3</w:t>
                  </w:r>
                  <w:r>
                    <w:rPr>
                      <w:color w:val="auto"/>
                      <w:szCs w:val="21"/>
                    </w:rPr>
                    <w:t>防渗化粪池，生活污水经化粪池收集后，定期拉运至杭锦旗独贵塔拉镇污水处理厂处理。</w:t>
                  </w:r>
                </w:p>
              </w:tc>
              <w:tc>
                <w:tcPr>
                  <w:tcW w:w="1063" w:type="dxa"/>
                  <w:vMerge w:val="continue"/>
                  <w:vAlign w:val="center"/>
                </w:tcPr>
                <w:p w14:paraId="77D2BA1D">
                  <w:pPr>
                    <w:adjustRightInd w:val="0"/>
                    <w:snapToGrid w:val="0"/>
                    <w:jc w:val="center"/>
                    <w:rPr>
                      <w:color w:val="auto"/>
                      <w:szCs w:val="21"/>
                    </w:rPr>
                  </w:pPr>
                </w:p>
              </w:tc>
            </w:tr>
            <w:tr w14:paraId="05A97A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603B3CE5">
                  <w:pPr>
                    <w:adjustRightInd w:val="0"/>
                    <w:snapToGrid w:val="0"/>
                    <w:jc w:val="center"/>
                    <w:rPr>
                      <w:color w:val="auto"/>
                      <w:szCs w:val="21"/>
                    </w:rPr>
                  </w:pPr>
                </w:p>
              </w:tc>
              <w:tc>
                <w:tcPr>
                  <w:tcW w:w="1301" w:type="dxa"/>
                  <w:vMerge w:val="restart"/>
                  <w:tcMar>
                    <w:left w:w="28" w:type="dxa"/>
                    <w:right w:w="28" w:type="dxa"/>
                  </w:tcMar>
                  <w:vAlign w:val="center"/>
                </w:tcPr>
                <w:p w14:paraId="249F4ECF">
                  <w:pPr>
                    <w:adjustRightInd w:val="0"/>
                    <w:snapToGrid w:val="0"/>
                    <w:jc w:val="center"/>
                    <w:rPr>
                      <w:color w:val="auto"/>
                      <w:szCs w:val="21"/>
                    </w:rPr>
                  </w:pPr>
                  <w:r>
                    <w:rPr>
                      <w:color w:val="auto"/>
                      <w:szCs w:val="21"/>
                    </w:rPr>
                    <w:t>固废</w:t>
                  </w:r>
                </w:p>
              </w:tc>
              <w:tc>
                <w:tcPr>
                  <w:tcW w:w="5213" w:type="dxa"/>
                  <w:tcMar>
                    <w:left w:w="28" w:type="dxa"/>
                    <w:right w:w="28" w:type="dxa"/>
                  </w:tcMar>
                  <w:vAlign w:val="center"/>
                </w:tcPr>
                <w:p w14:paraId="7ED1A9BD">
                  <w:pPr>
                    <w:adjustRightInd w:val="0"/>
                    <w:snapToGrid w:val="0"/>
                    <w:rPr>
                      <w:color w:val="auto"/>
                      <w:szCs w:val="21"/>
                    </w:rPr>
                  </w:pPr>
                  <w:r>
                    <w:rPr>
                      <w:color w:val="auto"/>
                      <w:szCs w:val="21"/>
                    </w:rPr>
                    <w:t>经除尘器收集的粉尘返回生产系统回用。</w:t>
                  </w:r>
                </w:p>
              </w:tc>
              <w:tc>
                <w:tcPr>
                  <w:tcW w:w="1063" w:type="dxa"/>
                  <w:vMerge w:val="restart"/>
                  <w:vAlign w:val="center"/>
                </w:tcPr>
                <w:p w14:paraId="33F2D5BA">
                  <w:pPr>
                    <w:adjustRightInd w:val="0"/>
                    <w:snapToGrid w:val="0"/>
                    <w:jc w:val="center"/>
                    <w:rPr>
                      <w:color w:val="auto"/>
                      <w:szCs w:val="21"/>
                    </w:rPr>
                  </w:pPr>
                  <w:r>
                    <w:rPr>
                      <w:rFonts w:hint="eastAsia"/>
                      <w:color w:val="auto"/>
                      <w:szCs w:val="21"/>
                    </w:rPr>
                    <w:t>--</w:t>
                  </w:r>
                </w:p>
              </w:tc>
            </w:tr>
            <w:tr w14:paraId="588827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15F12A43">
                  <w:pPr>
                    <w:adjustRightInd w:val="0"/>
                    <w:snapToGrid w:val="0"/>
                    <w:jc w:val="center"/>
                    <w:rPr>
                      <w:color w:val="auto"/>
                      <w:szCs w:val="21"/>
                    </w:rPr>
                  </w:pPr>
                </w:p>
              </w:tc>
              <w:tc>
                <w:tcPr>
                  <w:tcW w:w="1301" w:type="dxa"/>
                  <w:vMerge w:val="continue"/>
                  <w:tcMar>
                    <w:left w:w="28" w:type="dxa"/>
                    <w:right w:w="28" w:type="dxa"/>
                  </w:tcMar>
                  <w:vAlign w:val="center"/>
                </w:tcPr>
                <w:p w14:paraId="338FC9D4">
                  <w:pPr>
                    <w:adjustRightInd w:val="0"/>
                    <w:snapToGrid w:val="0"/>
                    <w:jc w:val="center"/>
                    <w:rPr>
                      <w:color w:val="auto"/>
                      <w:szCs w:val="21"/>
                    </w:rPr>
                  </w:pPr>
                </w:p>
              </w:tc>
              <w:tc>
                <w:tcPr>
                  <w:tcW w:w="5213" w:type="dxa"/>
                  <w:tcMar>
                    <w:left w:w="28" w:type="dxa"/>
                    <w:right w:w="28" w:type="dxa"/>
                  </w:tcMar>
                  <w:vAlign w:val="center"/>
                </w:tcPr>
                <w:p w14:paraId="2B2DC8DA">
                  <w:pPr>
                    <w:adjustRightInd w:val="0"/>
                    <w:snapToGrid w:val="0"/>
                    <w:rPr>
                      <w:color w:val="auto"/>
                      <w:szCs w:val="21"/>
                    </w:rPr>
                  </w:pPr>
                  <w:r>
                    <w:rPr>
                      <w:color w:val="auto"/>
                      <w:szCs w:val="21"/>
                    </w:rPr>
                    <w:t>沉淀池产生的沉淀渣定期捞取后回用于混凝土生产。</w:t>
                  </w:r>
                </w:p>
              </w:tc>
              <w:tc>
                <w:tcPr>
                  <w:tcW w:w="1063" w:type="dxa"/>
                  <w:vMerge w:val="continue"/>
                  <w:vAlign w:val="center"/>
                </w:tcPr>
                <w:p w14:paraId="000DD8E0">
                  <w:pPr>
                    <w:adjustRightInd w:val="0"/>
                    <w:snapToGrid w:val="0"/>
                    <w:jc w:val="center"/>
                    <w:rPr>
                      <w:color w:val="auto"/>
                      <w:szCs w:val="21"/>
                    </w:rPr>
                  </w:pPr>
                </w:p>
              </w:tc>
            </w:tr>
            <w:tr w14:paraId="68EA34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3AF7ED8F">
                  <w:pPr>
                    <w:adjustRightInd w:val="0"/>
                    <w:snapToGrid w:val="0"/>
                    <w:jc w:val="center"/>
                    <w:rPr>
                      <w:color w:val="auto"/>
                      <w:szCs w:val="21"/>
                    </w:rPr>
                  </w:pPr>
                </w:p>
              </w:tc>
              <w:tc>
                <w:tcPr>
                  <w:tcW w:w="1301" w:type="dxa"/>
                  <w:vMerge w:val="continue"/>
                  <w:tcMar>
                    <w:left w:w="28" w:type="dxa"/>
                    <w:right w:w="28" w:type="dxa"/>
                  </w:tcMar>
                  <w:vAlign w:val="center"/>
                </w:tcPr>
                <w:p w14:paraId="24A26333">
                  <w:pPr>
                    <w:adjustRightInd w:val="0"/>
                    <w:snapToGrid w:val="0"/>
                    <w:jc w:val="center"/>
                    <w:rPr>
                      <w:color w:val="auto"/>
                      <w:szCs w:val="21"/>
                    </w:rPr>
                  </w:pPr>
                </w:p>
              </w:tc>
              <w:tc>
                <w:tcPr>
                  <w:tcW w:w="5213" w:type="dxa"/>
                  <w:tcMar>
                    <w:left w:w="28" w:type="dxa"/>
                    <w:right w:w="28" w:type="dxa"/>
                  </w:tcMar>
                  <w:vAlign w:val="center"/>
                </w:tcPr>
                <w:p w14:paraId="6E0DA81C">
                  <w:pPr>
                    <w:adjustRightInd w:val="0"/>
                    <w:snapToGrid w:val="0"/>
                    <w:rPr>
                      <w:bCs/>
                      <w:color w:val="auto"/>
                      <w:szCs w:val="21"/>
                    </w:rPr>
                  </w:pPr>
                  <w:r>
                    <w:rPr>
                      <w:bCs/>
                      <w:color w:val="auto"/>
                      <w:szCs w:val="21"/>
                    </w:rPr>
                    <w:t>实验室混凝土块</w:t>
                  </w:r>
                  <w:r>
                    <w:rPr>
                      <w:color w:val="auto"/>
                      <w:szCs w:val="21"/>
                    </w:rPr>
                    <w:t>集中收集后</w:t>
                  </w:r>
                  <w:r>
                    <w:rPr>
                      <w:rFonts w:hint="eastAsia"/>
                      <w:bCs/>
                      <w:color w:val="auto"/>
                      <w:szCs w:val="21"/>
                    </w:rPr>
                    <w:t>暂存于一般固废暂存间</w:t>
                  </w:r>
                  <w:r>
                    <w:rPr>
                      <w:rFonts w:hint="eastAsia"/>
                      <w:bCs/>
                      <w:color w:val="auto"/>
                      <w:szCs w:val="21"/>
                      <w:lang w:eastAsia="zh-CN"/>
                    </w:rPr>
                    <w:t>（</w:t>
                  </w:r>
                  <w:r>
                    <w:rPr>
                      <w:rFonts w:hint="eastAsia"/>
                      <w:bCs/>
                      <w:color w:val="auto"/>
                      <w:szCs w:val="21"/>
                    </w:rPr>
                    <w:t>10m</w:t>
                  </w:r>
                  <w:r>
                    <w:rPr>
                      <w:rFonts w:hint="eastAsia"/>
                      <w:bCs/>
                      <w:color w:val="auto"/>
                      <w:szCs w:val="21"/>
                      <w:vertAlign w:val="superscript"/>
                    </w:rPr>
                    <w:t>2</w:t>
                  </w:r>
                  <w:r>
                    <w:rPr>
                      <w:rFonts w:hint="eastAsia"/>
                      <w:bCs/>
                      <w:color w:val="auto"/>
                      <w:szCs w:val="21"/>
                      <w:lang w:eastAsia="zh-CN"/>
                    </w:rPr>
                    <w:t>）</w:t>
                  </w:r>
                  <w:r>
                    <w:rPr>
                      <w:rFonts w:hint="eastAsia"/>
                      <w:bCs/>
                      <w:color w:val="auto"/>
                      <w:szCs w:val="21"/>
                    </w:rPr>
                    <w:t>，作为此路段填方材料</w:t>
                  </w:r>
                  <w:r>
                    <w:rPr>
                      <w:color w:val="auto"/>
                      <w:szCs w:val="21"/>
                    </w:rPr>
                    <w:t>。</w:t>
                  </w:r>
                </w:p>
              </w:tc>
              <w:tc>
                <w:tcPr>
                  <w:tcW w:w="1063" w:type="dxa"/>
                  <w:vMerge w:val="continue"/>
                  <w:vAlign w:val="center"/>
                </w:tcPr>
                <w:p w14:paraId="10FFD77B">
                  <w:pPr>
                    <w:adjustRightInd w:val="0"/>
                    <w:snapToGrid w:val="0"/>
                    <w:jc w:val="center"/>
                    <w:rPr>
                      <w:color w:val="auto"/>
                      <w:szCs w:val="21"/>
                    </w:rPr>
                  </w:pPr>
                </w:p>
              </w:tc>
            </w:tr>
            <w:tr w14:paraId="65E208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3D3AA0C4">
                  <w:pPr>
                    <w:adjustRightInd w:val="0"/>
                    <w:snapToGrid w:val="0"/>
                    <w:jc w:val="center"/>
                    <w:rPr>
                      <w:color w:val="auto"/>
                      <w:szCs w:val="21"/>
                    </w:rPr>
                  </w:pPr>
                </w:p>
              </w:tc>
              <w:tc>
                <w:tcPr>
                  <w:tcW w:w="1301" w:type="dxa"/>
                  <w:vMerge w:val="continue"/>
                  <w:tcMar>
                    <w:left w:w="28" w:type="dxa"/>
                    <w:right w:w="28" w:type="dxa"/>
                  </w:tcMar>
                  <w:vAlign w:val="center"/>
                </w:tcPr>
                <w:p w14:paraId="668790F9">
                  <w:pPr>
                    <w:adjustRightInd w:val="0"/>
                    <w:snapToGrid w:val="0"/>
                    <w:jc w:val="center"/>
                    <w:rPr>
                      <w:color w:val="auto"/>
                      <w:szCs w:val="21"/>
                    </w:rPr>
                  </w:pPr>
                </w:p>
              </w:tc>
              <w:tc>
                <w:tcPr>
                  <w:tcW w:w="5213" w:type="dxa"/>
                  <w:tcMar>
                    <w:left w:w="28" w:type="dxa"/>
                    <w:right w:w="28" w:type="dxa"/>
                  </w:tcMar>
                  <w:vAlign w:val="center"/>
                </w:tcPr>
                <w:p w14:paraId="00AB4853">
                  <w:pPr>
                    <w:adjustRightInd w:val="0"/>
                    <w:snapToGrid w:val="0"/>
                    <w:rPr>
                      <w:color w:val="auto"/>
                      <w:szCs w:val="21"/>
                    </w:rPr>
                  </w:pPr>
                  <w:r>
                    <w:rPr>
                      <w:color w:val="auto"/>
                      <w:szCs w:val="21"/>
                    </w:rPr>
                    <w:t>生活垃圾经厂内垃圾箱收集后交由当地环卫部门定期清运处理</w:t>
                  </w:r>
                  <w:r>
                    <w:rPr>
                      <w:rFonts w:hint="eastAsia"/>
                      <w:color w:val="auto"/>
                      <w:szCs w:val="21"/>
                    </w:rPr>
                    <w:t>。</w:t>
                  </w:r>
                </w:p>
              </w:tc>
              <w:tc>
                <w:tcPr>
                  <w:tcW w:w="1063" w:type="dxa"/>
                  <w:vMerge w:val="continue"/>
                  <w:vAlign w:val="center"/>
                </w:tcPr>
                <w:p w14:paraId="674E506D">
                  <w:pPr>
                    <w:adjustRightInd w:val="0"/>
                    <w:snapToGrid w:val="0"/>
                    <w:jc w:val="center"/>
                    <w:rPr>
                      <w:color w:val="auto"/>
                      <w:szCs w:val="21"/>
                    </w:rPr>
                  </w:pPr>
                </w:p>
              </w:tc>
            </w:tr>
            <w:tr w14:paraId="248719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15C31AF8">
                  <w:pPr>
                    <w:adjustRightInd w:val="0"/>
                    <w:snapToGrid w:val="0"/>
                    <w:jc w:val="center"/>
                    <w:rPr>
                      <w:color w:val="auto"/>
                      <w:szCs w:val="21"/>
                    </w:rPr>
                  </w:pPr>
                </w:p>
              </w:tc>
              <w:tc>
                <w:tcPr>
                  <w:tcW w:w="1301" w:type="dxa"/>
                  <w:tcMar>
                    <w:left w:w="28" w:type="dxa"/>
                    <w:right w:w="28" w:type="dxa"/>
                  </w:tcMar>
                  <w:vAlign w:val="center"/>
                </w:tcPr>
                <w:p w14:paraId="600942F5">
                  <w:pPr>
                    <w:adjustRightInd w:val="0"/>
                    <w:snapToGrid w:val="0"/>
                    <w:jc w:val="center"/>
                    <w:rPr>
                      <w:color w:val="auto"/>
                      <w:szCs w:val="21"/>
                    </w:rPr>
                  </w:pPr>
                  <w:r>
                    <w:rPr>
                      <w:color w:val="auto"/>
                      <w:szCs w:val="21"/>
                    </w:rPr>
                    <w:t>噪声</w:t>
                  </w:r>
                </w:p>
              </w:tc>
              <w:tc>
                <w:tcPr>
                  <w:tcW w:w="5213" w:type="dxa"/>
                  <w:tcMar>
                    <w:left w:w="28" w:type="dxa"/>
                    <w:right w:w="28" w:type="dxa"/>
                  </w:tcMar>
                  <w:vAlign w:val="center"/>
                </w:tcPr>
                <w:p w14:paraId="11344018">
                  <w:pPr>
                    <w:adjustRightInd w:val="0"/>
                    <w:snapToGrid w:val="0"/>
                    <w:rPr>
                      <w:color w:val="auto"/>
                      <w:szCs w:val="21"/>
                    </w:rPr>
                  </w:pPr>
                  <w:r>
                    <w:rPr>
                      <w:color w:val="auto"/>
                      <w:szCs w:val="21"/>
                    </w:rPr>
                    <w:t>采用减振、消声、隔音等措施，并加强绿化</w:t>
                  </w:r>
                  <w:r>
                    <w:rPr>
                      <w:rFonts w:hint="eastAsia"/>
                      <w:color w:val="auto"/>
                      <w:szCs w:val="21"/>
                    </w:rPr>
                    <w:t>。</w:t>
                  </w:r>
                </w:p>
              </w:tc>
              <w:tc>
                <w:tcPr>
                  <w:tcW w:w="1063" w:type="dxa"/>
                  <w:vAlign w:val="center"/>
                </w:tcPr>
                <w:p w14:paraId="1EE5CCB5">
                  <w:pPr>
                    <w:adjustRightInd w:val="0"/>
                    <w:snapToGrid w:val="0"/>
                    <w:jc w:val="center"/>
                    <w:rPr>
                      <w:color w:val="auto"/>
                      <w:szCs w:val="21"/>
                    </w:rPr>
                  </w:pPr>
                  <w:r>
                    <w:rPr>
                      <w:rFonts w:hint="eastAsia"/>
                      <w:color w:val="auto"/>
                      <w:szCs w:val="21"/>
                    </w:rPr>
                    <w:t>--</w:t>
                  </w:r>
                </w:p>
              </w:tc>
            </w:tr>
          </w:tbl>
          <w:p w14:paraId="33DA507D">
            <w:pPr>
              <w:spacing w:before="240" w:line="360" w:lineRule="auto"/>
              <w:jc w:val="left"/>
              <w:rPr>
                <w:b/>
                <w:bCs/>
                <w:color w:val="auto"/>
                <w:sz w:val="24"/>
              </w:rPr>
            </w:pPr>
            <w:r>
              <w:rPr>
                <w:rFonts w:hint="eastAsia"/>
                <w:b/>
                <w:bCs/>
                <w:color w:val="auto"/>
                <w:sz w:val="24"/>
                <w:lang w:val="en-US" w:eastAsia="zh-CN"/>
              </w:rPr>
              <w:t>3.</w:t>
            </w:r>
            <w:r>
              <w:rPr>
                <w:b/>
                <w:bCs/>
                <w:color w:val="auto"/>
                <w:sz w:val="24"/>
              </w:rPr>
              <w:t>产品方案</w:t>
            </w:r>
          </w:p>
          <w:p w14:paraId="6D2E4E3B">
            <w:pPr>
              <w:autoSpaceDE w:val="0"/>
              <w:autoSpaceDN w:val="0"/>
              <w:adjustRightInd w:val="0"/>
              <w:spacing w:line="360" w:lineRule="auto"/>
              <w:ind w:firstLine="480" w:firstLineChars="200"/>
              <w:rPr>
                <w:color w:val="auto"/>
                <w:kern w:val="0"/>
                <w:sz w:val="24"/>
              </w:rPr>
            </w:pPr>
            <w:r>
              <w:rPr>
                <w:bCs/>
                <w:color w:val="auto"/>
                <w:kern w:val="0"/>
                <w:sz w:val="24"/>
              </w:rPr>
              <w:t>本项目计划生产商砼混凝土1.5万t/a，水泥稳定土12.5万t/a</w:t>
            </w:r>
            <w:r>
              <w:rPr>
                <w:color w:val="auto"/>
                <w:kern w:val="0"/>
                <w:sz w:val="24"/>
              </w:rPr>
              <w:t>，产品方案及产品执行标准见表2-2。</w:t>
            </w:r>
          </w:p>
          <w:p w14:paraId="04AFFCD1">
            <w:pPr>
              <w:pStyle w:val="23"/>
              <w:rPr>
                <w:color w:val="auto"/>
              </w:rPr>
            </w:pPr>
            <w:r>
              <w:rPr>
                <w:color w:val="auto"/>
              </w:rPr>
              <w:t>表2-2  项目产品方案</w:t>
            </w:r>
          </w:p>
          <w:tbl>
            <w:tblPr>
              <w:tblStyle w:val="16"/>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276"/>
              <w:gridCol w:w="2258"/>
              <w:gridCol w:w="3688"/>
            </w:tblGrid>
            <w:tr w14:paraId="7FAB59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76" w:type="dxa"/>
                  <w:vAlign w:val="center"/>
                </w:tcPr>
                <w:p w14:paraId="4B65953B">
                  <w:pPr>
                    <w:adjustRightInd w:val="0"/>
                    <w:snapToGrid w:val="0"/>
                    <w:jc w:val="center"/>
                    <w:rPr>
                      <w:b/>
                      <w:bCs/>
                      <w:color w:val="auto"/>
                      <w:szCs w:val="21"/>
                    </w:rPr>
                  </w:pPr>
                  <w:r>
                    <w:rPr>
                      <w:b/>
                      <w:bCs/>
                      <w:color w:val="auto"/>
                      <w:szCs w:val="21"/>
                    </w:rPr>
                    <w:t>产品名称</w:t>
                  </w:r>
                </w:p>
              </w:tc>
              <w:tc>
                <w:tcPr>
                  <w:tcW w:w="2258" w:type="dxa"/>
                  <w:vAlign w:val="center"/>
                </w:tcPr>
                <w:p w14:paraId="1072D76E">
                  <w:pPr>
                    <w:adjustRightInd w:val="0"/>
                    <w:snapToGrid w:val="0"/>
                    <w:jc w:val="center"/>
                    <w:rPr>
                      <w:b/>
                      <w:bCs/>
                      <w:color w:val="auto"/>
                      <w:szCs w:val="21"/>
                    </w:rPr>
                  </w:pPr>
                  <w:r>
                    <w:rPr>
                      <w:b/>
                      <w:bCs/>
                      <w:color w:val="auto"/>
                      <w:szCs w:val="21"/>
                    </w:rPr>
                    <w:t>生产规模</w:t>
                  </w:r>
                </w:p>
              </w:tc>
              <w:tc>
                <w:tcPr>
                  <w:tcW w:w="3688" w:type="dxa"/>
                  <w:vAlign w:val="center"/>
                </w:tcPr>
                <w:p w14:paraId="370E131C">
                  <w:pPr>
                    <w:adjustRightInd w:val="0"/>
                    <w:snapToGrid w:val="0"/>
                    <w:jc w:val="center"/>
                    <w:rPr>
                      <w:b/>
                      <w:bCs/>
                      <w:color w:val="auto"/>
                      <w:szCs w:val="21"/>
                    </w:rPr>
                  </w:pPr>
                  <w:r>
                    <w:rPr>
                      <w:b/>
                      <w:bCs/>
                      <w:color w:val="auto"/>
                      <w:szCs w:val="21"/>
                    </w:rPr>
                    <w:t>产品执行标准</w:t>
                  </w:r>
                </w:p>
              </w:tc>
            </w:tr>
            <w:tr w14:paraId="23F617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76" w:type="dxa"/>
                  <w:vAlign w:val="center"/>
                </w:tcPr>
                <w:p w14:paraId="722AF1A9">
                  <w:pPr>
                    <w:adjustRightInd w:val="0"/>
                    <w:snapToGrid w:val="0"/>
                    <w:jc w:val="center"/>
                    <w:rPr>
                      <w:color w:val="auto"/>
                      <w:szCs w:val="21"/>
                    </w:rPr>
                  </w:pPr>
                  <w:r>
                    <w:rPr>
                      <w:color w:val="auto"/>
                      <w:szCs w:val="21"/>
                    </w:rPr>
                    <w:t>C30</w:t>
                  </w:r>
                  <w:r>
                    <w:rPr>
                      <w:bCs/>
                      <w:color w:val="auto"/>
                      <w:szCs w:val="21"/>
                    </w:rPr>
                    <w:t>商砼</w:t>
                  </w:r>
                  <w:r>
                    <w:rPr>
                      <w:color w:val="auto"/>
                      <w:szCs w:val="21"/>
                    </w:rPr>
                    <w:t>混凝土</w:t>
                  </w:r>
                </w:p>
              </w:tc>
              <w:tc>
                <w:tcPr>
                  <w:tcW w:w="2258" w:type="dxa"/>
                  <w:vAlign w:val="center"/>
                </w:tcPr>
                <w:p w14:paraId="169B1CDD">
                  <w:pPr>
                    <w:adjustRightInd w:val="0"/>
                    <w:snapToGrid w:val="0"/>
                    <w:jc w:val="center"/>
                    <w:rPr>
                      <w:color w:val="auto"/>
                      <w:szCs w:val="21"/>
                    </w:rPr>
                  </w:pPr>
                  <w:r>
                    <w:rPr>
                      <w:bCs/>
                      <w:color w:val="auto"/>
                      <w:szCs w:val="21"/>
                    </w:rPr>
                    <w:t>1.5万t/a</w:t>
                  </w:r>
                </w:p>
              </w:tc>
              <w:tc>
                <w:tcPr>
                  <w:tcW w:w="3688" w:type="dxa"/>
                  <w:vAlign w:val="center"/>
                </w:tcPr>
                <w:p w14:paraId="6D448FA4">
                  <w:pPr>
                    <w:adjustRightInd w:val="0"/>
                    <w:snapToGrid w:val="0"/>
                    <w:jc w:val="center"/>
                    <w:rPr>
                      <w:rFonts w:hint="eastAsia" w:eastAsia="宋体"/>
                      <w:color w:val="auto"/>
                      <w:szCs w:val="21"/>
                      <w:lang w:eastAsia="zh-CN"/>
                    </w:rPr>
                  </w:pPr>
                  <w:r>
                    <w:rPr>
                      <w:color w:val="auto"/>
                      <w:szCs w:val="21"/>
                    </w:rPr>
                    <w:t>《预拌混凝土》</w:t>
                  </w:r>
                  <w:r>
                    <w:rPr>
                      <w:rFonts w:hint="eastAsia"/>
                      <w:color w:val="auto"/>
                      <w:szCs w:val="21"/>
                      <w:lang w:eastAsia="zh-CN"/>
                    </w:rPr>
                    <w:t>（</w:t>
                  </w:r>
                  <w:r>
                    <w:rPr>
                      <w:color w:val="auto"/>
                      <w:szCs w:val="21"/>
                    </w:rPr>
                    <w:t>GB/T14902-2012</w:t>
                  </w:r>
                  <w:r>
                    <w:rPr>
                      <w:rFonts w:hint="eastAsia"/>
                      <w:color w:val="auto"/>
                      <w:szCs w:val="21"/>
                      <w:lang w:eastAsia="zh-CN"/>
                    </w:rPr>
                    <w:t>）</w:t>
                  </w:r>
                </w:p>
              </w:tc>
            </w:tr>
            <w:tr w14:paraId="62AA6B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76" w:type="dxa"/>
                  <w:vAlign w:val="center"/>
                </w:tcPr>
                <w:p w14:paraId="05EE8033">
                  <w:pPr>
                    <w:adjustRightInd w:val="0"/>
                    <w:snapToGrid w:val="0"/>
                    <w:jc w:val="center"/>
                    <w:rPr>
                      <w:color w:val="auto"/>
                      <w:szCs w:val="21"/>
                    </w:rPr>
                  </w:pPr>
                  <w:r>
                    <w:rPr>
                      <w:color w:val="auto"/>
                      <w:szCs w:val="21"/>
                    </w:rPr>
                    <w:t>水稳料</w:t>
                  </w:r>
                </w:p>
              </w:tc>
              <w:tc>
                <w:tcPr>
                  <w:tcW w:w="2258" w:type="dxa"/>
                  <w:vAlign w:val="center"/>
                </w:tcPr>
                <w:p w14:paraId="5D87D1A7">
                  <w:pPr>
                    <w:adjustRightInd w:val="0"/>
                    <w:snapToGrid w:val="0"/>
                    <w:jc w:val="center"/>
                    <w:rPr>
                      <w:color w:val="auto"/>
                      <w:szCs w:val="21"/>
                    </w:rPr>
                  </w:pPr>
                  <w:r>
                    <w:rPr>
                      <w:bCs/>
                      <w:color w:val="auto"/>
                      <w:szCs w:val="21"/>
                    </w:rPr>
                    <w:t>12.5万t/a</w:t>
                  </w:r>
                </w:p>
              </w:tc>
              <w:tc>
                <w:tcPr>
                  <w:tcW w:w="3688" w:type="dxa"/>
                  <w:vAlign w:val="center"/>
                </w:tcPr>
                <w:p w14:paraId="6AC98EB7">
                  <w:pPr>
                    <w:adjustRightInd w:val="0"/>
                    <w:snapToGrid w:val="0"/>
                    <w:jc w:val="center"/>
                    <w:rPr>
                      <w:rFonts w:hint="eastAsia" w:eastAsia="宋体"/>
                      <w:color w:val="auto"/>
                      <w:szCs w:val="21"/>
                      <w:lang w:eastAsia="zh-CN"/>
                    </w:rPr>
                  </w:pPr>
                  <w:r>
                    <w:rPr>
                      <w:color w:val="auto"/>
                      <w:szCs w:val="21"/>
                    </w:rPr>
                    <w:t>《城镇道路工程施工质量验收规范》</w:t>
                  </w:r>
                  <w:r>
                    <w:rPr>
                      <w:rFonts w:hint="eastAsia"/>
                      <w:color w:val="auto"/>
                      <w:szCs w:val="21"/>
                      <w:lang w:eastAsia="zh-CN"/>
                    </w:rPr>
                    <w:t>（</w:t>
                  </w:r>
                  <w:r>
                    <w:rPr>
                      <w:color w:val="auto"/>
                      <w:szCs w:val="21"/>
                    </w:rPr>
                    <w:t>DBJ08-118-2005</w:t>
                  </w:r>
                  <w:r>
                    <w:rPr>
                      <w:rFonts w:hint="eastAsia"/>
                      <w:color w:val="auto"/>
                      <w:szCs w:val="21"/>
                      <w:lang w:eastAsia="zh-CN"/>
                    </w:rPr>
                    <w:t>）</w:t>
                  </w:r>
                </w:p>
              </w:tc>
            </w:tr>
          </w:tbl>
          <w:p w14:paraId="58D1B8FC">
            <w:pPr>
              <w:spacing w:line="360" w:lineRule="auto"/>
              <w:ind w:firstLine="420" w:firstLineChars="200"/>
              <w:jc w:val="left"/>
              <w:rPr>
                <w:bCs/>
                <w:color w:val="auto"/>
                <w:szCs w:val="21"/>
              </w:rPr>
            </w:pPr>
          </w:p>
          <w:p w14:paraId="052F592D">
            <w:pPr>
              <w:spacing w:line="360" w:lineRule="auto"/>
              <w:jc w:val="left"/>
              <w:rPr>
                <w:b/>
                <w:bCs/>
                <w:color w:val="auto"/>
                <w:sz w:val="24"/>
              </w:rPr>
            </w:pPr>
            <w:r>
              <w:rPr>
                <w:rFonts w:hint="eastAsia"/>
                <w:b/>
                <w:bCs/>
                <w:color w:val="auto"/>
                <w:sz w:val="24"/>
                <w:lang w:val="en-US" w:eastAsia="zh-CN"/>
              </w:rPr>
              <w:t>4.</w:t>
            </w:r>
            <w:r>
              <w:rPr>
                <w:b/>
                <w:bCs/>
                <w:color w:val="auto"/>
                <w:sz w:val="24"/>
              </w:rPr>
              <w:t>原辅材料及动力消耗情况</w:t>
            </w:r>
          </w:p>
          <w:p w14:paraId="693C5BDA">
            <w:pPr>
              <w:adjustRightInd w:val="0"/>
              <w:snapToGrid w:val="0"/>
              <w:spacing w:line="360" w:lineRule="auto"/>
              <w:ind w:firstLine="480" w:firstLineChars="200"/>
              <w:jc w:val="left"/>
              <w:rPr>
                <w:bCs/>
                <w:color w:val="auto"/>
                <w:sz w:val="24"/>
              </w:rPr>
            </w:pPr>
            <w:r>
              <w:rPr>
                <w:bCs/>
                <w:color w:val="auto"/>
                <w:sz w:val="24"/>
              </w:rPr>
              <w:t>本项目生产商砼混凝土、水泥稳定土的主要原料为水泥、砂、碎石、外加剂和水，原辅材料来源均有保障，主要原辅材料理化性质：</w:t>
            </w:r>
          </w:p>
          <w:p w14:paraId="45842371">
            <w:pPr>
              <w:adjustRightInd w:val="0"/>
              <w:snapToGrid w:val="0"/>
              <w:spacing w:line="360" w:lineRule="auto"/>
              <w:ind w:firstLine="480" w:firstLineChars="200"/>
              <w:jc w:val="left"/>
              <w:rPr>
                <w:bCs/>
                <w:color w:val="auto"/>
                <w:sz w:val="24"/>
              </w:rPr>
            </w:pPr>
            <w:r>
              <w:rPr>
                <w:rFonts w:hint="eastAsia"/>
                <w:bCs/>
                <w:color w:val="auto"/>
                <w:sz w:val="24"/>
                <w:lang w:eastAsia="zh-CN"/>
              </w:rPr>
              <w:t>（</w:t>
            </w:r>
            <w:r>
              <w:rPr>
                <w:bCs/>
                <w:color w:val="auto"/>
                <w:sz w:val="24"/>
              </w:rPr>
              <w:t>1</w:t>
            </w:r>
            <w:r>
              <w:rPr>
                <w:rFonts w:hint="eastAsia"/>
                <w:bCs/>
                <w:color w:val="auto"/>
                <w:sz w:val="24"/>
                <w:lang w:eastAsia="zh-CN"/>
              </w:rPr>
              <w:t>）</w:t>
            </w:r>
            <w:r>
              <w:rPr>
                <w:bCs/>
                <w:color w:val="auto"/>
                <w:sz w:val="24"/>
              </w:rPr>
              <w:t>水泥</w:t>
            </w:r>
          </w:p>
          <w:p w14:paraId="34E42694">
            <w:pPr>
              <w:adjustRightInd w:val="0"/>
              <w:snapToGrid w:val="0"/>
              <w:spacing w:line="360" w:lineRule="auto"/>
              <w:ind w:firstLine="480" w:firstLineChars="200"/>
              <w:jc w:val="left"/>
              <w:rPr>
                <w:bCs/>
                <w:color w:val="auto"/>
                <w:sz w:val="24"/>
              </w:rPr>
            </w:pPr>
            <w:r>
              <w:rPr>
                <w:bCs/>
                <w:color w:val="auto"/>
                <w:sz w:val="24"/>
              </w:rPr>
              <w:t>粉状水硬性无机胶凝材料。加水搅拌后成浆体，能在空气中硬化或者在水中更好的硬化，并能把砂、石等材料牢固地胶结在一起。硅酸盐水泥的化学成分：硅酸三钙</w:t>
            </w:r>
            <w:r>
              <w:rPr>
                <w:rFonts w:hint="eastAsia"/>
                <w:bCs/>
                <w:color w:val="auto"/>
                <w:sz w:val="24"/>
                <w:lang w:eastAsia="zh-CN"/>
              </w:rPr>
              <w:t>（</w:t>
            </w:r>
            <w:r>
              <w:rPr>
                <w:bCs/>
                <w:color w:val="auto"/>
                <w:sz w:val="24"/>
              </w:rPr>
              <w:t>3CaO·SiO</w:t>
            </w:r>
            <w:r>
              <w:rPr>
                <w:bCs/>
                <w:color w:val="auto"/>
                <w:sz w:val="24"/>
                <w:vertAlign w:val="subscript"/>
              </w:rPr>
              <w:t>2</w:t>
            </w:r>
            <w:r>
              <w:rPr>
                <w:bCs/>
                <w:color w:val="auto"/>
                <w:sz w:val="24"/>
              </w:rPr>
              <w:t>，简式C</w:t>
            </w:r>
            <w:r>
              <w:rPr>
                <w:bCs/>
                <w:color w:val="auto"/>
                <w:sz w:val="24"/>
                <w:vertAlign w:val="subscript"/>
              </w:rPr>
              <w:t>3</w:t>
            </w:r>
            <w:r>
              <w:rPr>
                <w:bCs/>
                <w:color w:val="auto"/>
                <w:sz w:val="24"/>
              </w:rPr>
              <w:t>S</w:t>
            </w:r>
            <w:r>
              <w:rPr>
                <w:rFonts w:hint="eastAsia"/>
                <w:bCs/>
                <w:color w:val="auto"/>
                <w:sz w:val="24"/>
                <w:lang w:eastAsia="zh-CN"/>
              </w:rPr>
              <w:t>）</w:t>
            </w:r>
            <w:r>
              <w:rPr>
                <w:bCs/>
                <w:color w:val="auto"/>
                <w:sz w:val="24"/>
              </w:rPr>
              <w:t>，硅酸二钙</w:t>
            </w:r>
            <w:r>
              <w:rPr>
                <w:rFonts w:hint="eastAsia"/>
                <w:bCs/>
                <w:color w:val="auto"/>
                <w:sz w:val="24"/>
                <w:lang w:eastAsia="zh-CN"/>
              </w:rPr>
              <w:t>（</w:t>
            </w:r>
            <w:r>
              <w:rPr>
                <w:bCs/>
                <w:color w:val="auto"/>
                <w:sz w:val="24"/>
              </w:rPr>
              <w:t>2CaO·SiO</w:t>
            </w:r>
            <w:r>
              <w:rPr>
                <w:bCs/>
                <w:color w:val="auto"/>
                <w:sz w:val="24"/>
                <w:vertAlign w:val="subscript"/>
              </w:rPr>
              <w:t>2</w:t>
            </w:r>
            <w:r>
              <w:rPr>
                <w:bCs/>
                <w:color w:val="auto"/>
                <w:sz w:val="24"/>
              </w:rPr>
              <w:t>，简式C</w:t>
            </w:r>
            <w:r>
              <w:rPr>
                <w:bCs/>
                <w:color w:val="auto"/>
                <w:sz w:val="24"/>
                <w:vertAlign w:val="subscript"/>
              </w:rPr>
              <w:t>2</w:t>
            </w:r>
            <w:r>
              <w:rPr>
                <w:bCs/>
                <w:color w:val="auto"/>
                <w:sz w:val="24"/>
              </w:rPr>
              <w:t>S</w:t>
            </w:r>
            <w:r>
              <w:rPr>
                <w:rFonts w:hint="eastAsia"/>
                <w:bCs/>
                <w:color w:val="auto"/>
                <w:sz w:val="24"/>
                <w:lang w:eastAsia="zh-CN"/>
              </w:rPr>
              <w:t>）</w:t>
            </w:r>
            <w:r>
              <w:rPr>
                <w:bCs/>
                <w:color w:val="auto"/>
                <w:sz w:val="24"/>
              </w:rPr>
              <w:t>，铝酸三钙</w:t>
            </w:r>
            <w:r>
              <w:rPr>
                <w:rFonts w:hint="eastAsia"/>
                <w:bCs/>
                <w:color w:val="auto"/>
                <w:sz w:val="24"/>
                <w:lang w:eastAsia="zh-CN"/>
              </w:rPr>
              <w:t>（</w:t>
            </w:r>
            <w:r>
              <w:rPr>
                <w:bCs/>
                <w:color w:val="auto"/>
                <w:sz w:val="24"/>
              </w:rPr>
              <w:t>3CaO·Al</w:t>
            </w:r>
            <w:r>
              <w:rPr>
                <w:bCs/>
                <w:color w:val="auto"/>
                <w:sz w:val="24"/>
                <w:vertAlign w:val="subscript"/>
              </w:rPr>
              <w:t>2</w:t>
            </w:r>
            <w:r>
              <w:rPr>
                <w:bCs/>
                <w:color w:val="auto"/>
                <w:sz w:val="24"/>
              </w:rPr>
              <w:t>O</w:t>
            </w:r>
            <w:r>
              <w:rPr>
                <w:bCs/>
                <w:color w:val="auto"/>
                <w:sz w:val="24"/>
                <w:vertAlign w:val="subscript"/>
              </w:rPr>
              <w:t>3</w:t>
            </w:r>
            <w:r>
              <w:rPr>
                <w:bCs/>
                <w:color w:val="auto"/>
                <w:sz w:val="24"/>
              </w:rPr>
              <w:t>，简式C</w:t>
            </w:r>
            <w:r>
              <w:rPr>
                <w:bCs/>
                <w:color w:val="auto"/>
                <w:sz w:val="24"/>
                <w:vertAlign w:val="subscript"/>
              </w:rPr>
              <w:t>3</w:t>
            </w:r>
            <w:r>
              <w:rPr>
                <w:bCs/>
                <w:color w:val="auto"/>
                <w:sz w:val="24"/>
              </w:rPr>
              <w:t>A</w:t>
            </w:r>
            <w:r>
              <w:rPr>
                <w:rFonts w:hint="eastAsia"/>
                <w:bCs/>
                <w:color w:val="auto"/>
                <w:sz w:val="24"/>
                <w:lang w:eastAsia="zh-CN"/>
              </w:rPr>
              <w:t>）</w:t>
            </w:r>
            <w:r>
              <w:rPr>
                <w:bCs/>
                <w:color w:val="auto"/>
                <w:sz w:val="24"/>
              </w:rPr>
              <w:t>，铁铝酸四钙</w:t>
            </w:r>
            <w:r>
              <w:rPr>
                <w:rFonts w:hint="eastAsia"/>
                <w:bCs/>
                <w:color w:val="auto"/>
                <w:sz w:val="24"/>
                <w:lang w:eastAsia="zh-CN"/>
              </w:rPr>
              <w:t>（</w:t>
            </w:r>
            <w:r>
              <w:rPr>
                <w:bCs/>
                <w:color w:val="auto"/>
                <w:sz w:val="24"/>
              </w:rPr>
              <w:t>4CaO·Al</w:t>
            </w:r>
            <w:r>
              <w:rPr>
                <w:bCs/>
                <w:color w:val="auto"/>
                <w:sz w:val="24"/>
                <w:vertAlign w:val="subscript"/>
              </w:rPr>
              <w:t>2</w:t>
            </w:r>
            <w:r>
              <w:rPr>
                <w:bCs/>
                <w:color w:val="auto"/>
                <w:sz w:val="24"/>
              </w:rPr>
              <w:t>O</w:t>
            </w:r>
            <w:r>
              <w:rPr>
                <w:bCs/>
                <w:color w:val="auto"/>
                <w:sz w:val="24"/>
                <w:vertAlign w:val="subscript"/>
              </w:rPr>
              <w:t>3</w:t>
            </w:r>
            <w:r>
              <w:rPr>
                <w:bCs/>
                <w:color w:val="auto"/>
                <w:sz w:val="24"/>
              </w:rPr>
              <w:t>·Fe</w:t>
            </w:r>
            <w:r>
              <w:rPr>
                <w:bCs/>
                <w:color w:val="auto"/>
                <w:sz w:val="24"/>
                <w:vertAlign w:val="subscript"/>
              </w:rPr>
              <w:t>2</w:t>
            </w:r>
            <w:r>
              <w:rPr>
                <w:bCs/>
                <w:color w:val="auto"/>
                <w:sz w:val="24"/>
              </w:rPr>
              <w:t>O</w:t>
            </w:r>
            <w:r>
              <w:rPr>
                <w:bCs/>
                <w:color w:val="auto"/>
                <w:sz w:val="24"/>
                <w:vertAlign w:val="subscript"/>
              </w:rPr>
              <w:t>3</w:t>
            </w:r>
            <w:r>
              <w:rPr>
                <w:bCs/>
                <w:color w:val="auto"/>
                <w:sz w:val="24"/>
              </w:rPr>
              <w:t>，简式C</w:t>
            </w:r>
            <w:r>
              <w:rPr>
                <w:bCs/>
                <w:color w:val="auto"/>
                <w:sz w:val="24"/>
                <w:vertAlign w:val="subscript"/>
              </w:rPr>
              <w:t>4</w:t>
            </w:r>
            <w:r>
              <w:rPr>
                <w:bCs/>
                <w:color w:val="auto"/>
                <w:sz w:val="24"/>
              </w:rPr>
              <w:t>AF</w:t>
            </w:r>
            <w:r>
              <w:rPr>
                <w:rFonts w:hint="eastAsia"/>
                <w:bCs/>
                <w:color w:val="auto"/>
                <w:sz w:val="24"/>
                <w:lang w:eastAsia="zh-CN"/>
              </w:rPr>
              <w:t>）</w:t>
            </w:r>
            <w:r>
              <w:rPr>
                <w:bCs/>
                <w:color w:val="auto"/>
                <w:sz w:val="24"/>
              </w:rPr>
              <w:t>。</w:t>
            </w:r>
          </w:p>
          <w:p w14:paraId="30D1DC2E">
            <w:pPr>
              <w:adjustRightInd w:val="0"/>
              <w:snapToGrid w:val="0"/>
              <w:spacing w:line="360" w:lineRule="auto"/>
              <w:ind w:firstLine="480" w:firstLineChars="200"/>
              <w:jc w:val="left"/>
              <w:rPr>
                <w:bCs/>
                <w:color w:val="auto"/>
                <w:sz w:val="24"/>
              </w:rPr>
            </w:pPr>
            <w:r>
              <w:rPr>
                <w:rFonts w:hint="eastAsia"/>
                <w:bCs/>
                <w:color w:val="auto"/>
                <w:sz w:val="24"/>
                <w:lang w:eastAsia="zh-CN"/>
              </w:rPr>
              <w:t>（</w:t>
            </w:r>
            <w:r>
              <w:rPr>
                <w:rFonts w:hint="eastAsia"/>
                <w:bCs/>
                <w:color w:val="auto"/>
                <w:sz w:val="24"/>
              </w:rPr>
              <w:t>2</w:t>
            </w:r>
            <w:r>
              <w:rPr>
                <w:rFonts w:hint="eastAsia"/>
                <w:bCs/>
                <w:color w:val="auto"/>
                <w:sz w:val="24"/>
                <w:lang w:eastAsia="zh-CN"/>
              </w:rPr>
              <w:t>）</w:t>
            </w:r>
            <w:r>
              <w:rPr>
                <w:bCs/>
                <w:color w:val="auto"/>
                <w:sz w:val="24"/>
              </w:rPr>
              <w:t>外加剂</w:t>
            </w:r>
          </w:p>
          <w:p w14:paraId="33A574C2">
            <w:pPr>
              <w:adjustRightInd w:val="0"/>
              <w:snapToGrid w:val="0"/>
              <w:spacing w:line="360" w:lineRule="auto"/>
              <w:ind w:firstLine="480" w:firstLineChars="200"/>
              <w:jc w:val="left"/>
              <w:rPr>
                <w:b/>
                <w:bCs/>
                <w:color w:val="auto"/>
                <w:sz w:val="24"/>
              </w:rPr>
            </w:pPr>
            <w:r>
              <w:rPr>
                <w:bCs/>
                <w:color w:val="auto"/>
                <w:sz w:val="24"/>
              </w:rPr>
              <w:t>本项目外加剂主要为聚羧酸减水剂，聚羧酸减水剂是一种高性能减水剂，是水泥混凝土运用中的一种水泥分散剂</w:t>
            </w:r>
            <w:r>
              <w:rPr>
                <w:rFonts w:hint="eastAsia"/>
                <w:bCs/>
                <w:color w:val="auto"/>
                <w:sz w:val="24"/>
                <w:lang w:eastAsia="zh-CN"/>
              </w:rPr>
              <w:t>。</w:t>
            </w:r>
            <w:r>
              <w:rPr>
                <w:bCs/>
                <w:color w:val="auto"/>
                <w:sz w:val="24"/>
              </w:rPr>
              <w:t>羧酸减水剂是由聚乙烯醇单甲醚和甲基丙烯酸先酯化再和甲基丙烯酸缩合而成的大分子链化合物，聚羧酸作为高分子化合物</w:t>
            </w:r>
            <w:r>
              <w:rPr>
                <w:rFonts w:hint="eastAsia"/>
                <w:bCs/>
                <w:color w:val="auto"/>
                <w:sz w:val="24"/>
                <w:lang w:eastAsia="zh-CN"/>
              </w:rPr>
              <w:t>。</w:t>
            </w:r>
            <w:r>
              <w:rPr>
                <w:bCs/>
                <w:color w:val="auto"/>
                <w:sz w:val="24"/>
              </w:rPr>
              <w:t>往往呈树脂状，有很好的强度、韧性、化学稳定性，可作为多种用途的材料。</w:t>
            </w:r>
          </w:p>
          <w:p w14:paraId="6F84C1D9">
            <w:pPr>
              <w:autoSpaceDE w:val="0"/>
              <w:autoSpaceDN w:val="0"/>
              <w:spacing w:line="360" w:lineRule="auto"/>
              <w:ind w:firstLine="480" w:firstLineChars="200"/>
              <w:rPr>
                <w:color w:val="auto"/>
                <w:kern w:val="0"/>
                <w:sz w:val="24"/>
              </w:rPr>
            </w:pPr>
            <w:r>
              <w:rPr>
                <w:color w:val="auto"/>
                <w:kern w:val="0"/>
                <w:sz w:val="24"/>
              </w:rPr>
              <w:t>根据其产量估算其主要原、辅材料消耗量见表2-3。</w:t>
            </w:r>
          </w:p>
          <w:p w14:paraId="7CA68C0C">
            <w:pPr>
              <w:pStyle w:val="23"/>
              <w:rPr>
                <w:color w:val="auto"/>
              </w:rPr>
            </w:pPr>
            <w:r>
              <w:rPr>
                <w:color w:val="auto"/>
              </w:rPr>
              <w:t>表2-3 主要原辅材料及动力消耗情况表</w:t>
            </w:r>
          </w:p>
          <w:tbl>
            <w:tblPr>
              <w:tblStyle w:val="1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61"/>
              <w:gridCol w:w="1114"/>
              <w:gridCol w:w="1681"/>
              <w:gridCol w:w="2693"/>
              <w:gridCol w:w="1490"/>
            </w:tblGrid>
            <w:tr w14:paraId="423EC3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765" w:type="pct"/>
                  <w:vAlign w:val="center"/>
                </w:tcPr>
                <w:p w14:paraId="1EBC1959">
                  <w:pPr>
                    <w:autoSpaceDE w:val="0"/>
                    <w:autoSpaceDN w:val="0"/>
                    <w:jc w:val="center"/>
                    <w:rPr>
                      <w:color w:val="auto"/>
                      <w:kern w:val="0"/>
                      <w:szCs w:val="21"/>
                    </w:rPr>
                  </w:pPr>
                  <w:r>
                    <w:rPr>
                      <w:color w:val="auto"/>
                      <w:kern w:val="0"/>
                      <w:szCs w:val="21"/>
                    </w:rPr>
                    <w:t>类别</w:t>
                  </w:r>
                </w:p>
              </w:tc>
              <w:tc>
                <w:tcPr>
                  <w:tcW w:w="676" w:type="pct"/>
                  <w:vAlign w:val="center"/>
                </w:tcPr>
                <w:p w14:paraId="64CC78EA">
                  <w:pPr>
                    <w:autoSpaceDE w:val="0"/>
                    <w:autoSpaceDN w:val="0"/>
                    <w:jc w:val="center"/>
                    <w:rPr>
                      <w:color w:val="auto"/>
                      <w:kern w:val="0"/>
                      <w:szCs w:val="21"/>
                    </w:rPr>
                  </w:pPr>
                  <w:r>
                    <w:rPr>
                      <w:color w:val="auto"/>
                      <w:kern w:val="0"/>
                      <w:szCs w:val="21"/>
                    </w:rPr>
                    <w:t>名称</w:t>
                  </w:r>
                </w:p>
              </w:tc>
              <w:tc>
                <w:tcPr>
                  <w:tcW w:w="1020" w:type="pct"/>
                  <w:vAlign w:val="center"/>
                </w:tcPr>
                <w:p w14:paraId="376396CF">
                  <w:pPr>
                    <w:autoSpaceDE w:val="0"/>
                    <w:autoSpaceDN w:val="0"/>
                    <w:jc w:val="center"/>
                    <w:rPr>
                      <w:rFonts w:hint="eastAsia" w:eastAsia="宋体"/>
                      <w:color w:val="auto"/>
                      <w:kern w:val="0"/>
                      <w:szCs w:val="21"/>
                      <w:lang w:eastAsia="zh-CN"/>
                    </w:rPr>
                  </w:pPr>
                  <w:r>
                    <w:rPr>
                      <w:color w:val="auto"/>
                      <w:kern w:val="0"/>
                      <w:szCs w:val="21"/>
                    </w:rPr>
                    <w:t>年耗量</w:t>
                  </w:r>
                  <w:r>
                    <w:rPr>
                      <w:rFonts w:hint="eastAsia"/>
                      <w:color w:val="auto"/>
                      <w:kern w:val="0"/>
                      <w:szCs w:val="21"/>
                      <w:lang w:eastAsia="zh-CN"/>
                    </w:rPr>
                    <w:t>（</w:t>
                  </w:r>
                  <w:r>
                    <w:rPr>
                      <w:color w:val="auto"/>
                      <w:kern w:val="0"/>
                      <w:szCs w:val="21"/>
                    </w:rPr>
                    <w:t>t</w:t>
                  </w:r>
                  <w:r>
                    <w:rPr>
                      <w:rFonts w:hint="eastAsia"/>
                      <w:color w:val="auto"/>
                      <w:kern w:val="0"/>
                      <w:szCs w:val="21"/>
                      <w:lang w:eastAsia="zh-CN"/>
                    </w:rPr>
                    <w:t>）</w:t>
                  </w:r>
                </w:p>
              </w:tc>
              <w:tc>
                <w:tcPr>
                  <w:tcW w:w="1634" w:type="pct"/>
                  <w:vAlign w:val="center"/>
                </w:tcPr>
                <w:p w14:paraId="24E68872">
                  <w:pPr>
                    <w:autoSpaceDE w:val="0"/>
                    <w:autoSpaceDN w:val="0"/>
                    <w:jc w:val="center"/>
                    <w:rPr>
                      <w:color w:val="auto"/>
                      <w:kern w:val="0"/>
                      <w:szCs w:val="21"/>
                    </w:rPr>
                  </w:pPr>
                  <w:r>
                    <w:rPr>
                      <w:color w:val="auto"/>
                      <w:kern w:val="0"/>
                      <w:szCs w:val="21"/>
                    </w:rPr>
                    <w:t>来源</w:t>
                  </w:r>
                </w:p>
              </w:tc>
              <w:tc>
                <w:tcPr>
                  <w:tcW w:w="904" w:type="pct"/>
                  <w:vAlign w:val="center"/>
                </w:tcPr>
                <w:p w14:paraId="3CE0CC16">
                  <w:pPr>
                    <w:autoSpaceDE w:val="0"/>
                    <w:autoSpaceDN w:val="0"/>
                    <w:jc w:val="center"/>
                    <w:rPr>
                      <w:color w:val="auto"/>
                      <w:kern w:val="0"/>
                      <w:szCs w:val="21"/>
                    </w:rPr>
                  </w:pPr>
                  <w:r>
                    <w:rPr>
                      <w:color w:val="auto"/>
                      <w:kern w:val="0"/>
                      <w:szCs w:val="21"/>
                    </w:rPr>
                    <w:t>厂区储存形式</w:t>
                  </w:r>
                </w:p>
              </w:tc>
            </w:tr>
            <w:tr w14:paraId="61FF15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restart"/>
                  <w:vAlign w:val="center"/>
                </w:tcPr>
                <w:p w14:paraId="7DC7D71F">
                  <w:pPr>
                    <w:autoSpaceDE w:val="0"/>
                    <w:autoSpaceDN w:val="0"/>
                    <w:jc w:val="center"/>
                    <w:rPr>
                      <w:color w:val="auto"/>
                      <w:kern w:val="0"/>
                      <w:szCs w:val="21"/>
                    </w:rPr>
                  </w:pPr>
                  <w:r>
                    <w:rPr>
                      <w:bCs/>
                      <w:color w:val="auto"/>
                      <w:kern w:val="0"/>
                      <w:szCs w:val="21"/>
                    </w:rPr>
                    <w:t>商砼</w:t>
                  </w:r>
                  <w:r>
                    <w:rPr>
                      <w:color w:val="auto"/>
                      <w:kern w:val="0"/>
                      <w:szCs w:val="21"/>
                    </w:rPr>
                    <w:t>混凝土</w:t>
                  </w:r>
                </w:p>
              </w:tc>
              <w:tc>
                <w:tcPr>
                  <w:tcW w:w="676" w:type="pct"/>
                  <w:vAlign w:val="center"/>
                </w:tcPr>
                <w:p w14:paraId="55DE20D3">
                  <w:pPr>
                    <w:autoSpaceDE w:val="0"/>
                    <w:autoSpaceDN w:val="0"/>
                    <w:jc w:val="center"/>
                    <w:rPr>
                      <w:color w:val="auto"/>
                      <w:kern w:val="0"/>
                      <w:szCs w:val="21"/>
                    </w:rPr>
                  </w:pPr>
                  <w:r>
                    <w:rPr>
                      <w:color w:val="auto"/>
                      <w:kern w:val="0"/>
                      <w:szCs w:val="21"/>
                    </w:rPr>
                    <w:t>水泥</w:t>
                  </w:r>
                </w:p>
              </w:tc>
              <w:tc>
                <w:tcPr>
                  <w:tcW w:w="1020" w:type="pct"/>
                  <w:vAlign w:val="center"/>
                </w:tcPr>
                <w:p w14:paraId="737CEDDB">
                  <w:pPr>
                    <w:autoSpaceDE w:val="0"/>
                    <w:autoSpaceDN w:val="0"/>
                    <w:jc w:val="center"/>
                    <w:rPr>
                      <w:color w:val="auto"/>
                      <w:kern w:val="0"/>
                      <w:szCs w:val="21"/>
                    </w:rPr>
                  </w:pPr>
                  <w:r>
                    <w:rPr>
                      <w:rFonts w:hint="eastAsia"/>
                      <w:color w:val="auto"/>
                      <w:kern w:val="0"/>
                      <w:szCs w:val="21"/>
                    </w:rPr>
                    <w:t>3</w:t>
                  </w:r>
                  <w:r>
                    <w:rPr>
                      <w:color w:val="auto"/>
                      <w:kern w:val="0"/>
                      <w:szCs w:val="21"/>
                    </w:rPr>
                    <w:t>250</w:t>
                  </w:r>
                </w:p>
              </w:tc>
              <w:tc>
                <w:tcPr>
                  <w:tcW w:w="1634" w:type="pct"/>
                  <w:vAlign w:val="center"/>
                </w:tcPr>
                <w:p w14:paraId="6AA02863">
                  <w:pPr>
                    <w:autoSpaceDE w:val="0"/>
                    <w:autoSpaceDN w:val="0"/>
                    <w:jc w:val="center"/>
                    <w:rPr>
                      <w:color w:val="auto"/>
                      <w:kern w:val="0"/>
                      <w:szCs w:val="21"/>
                    </w:rPr>
                  </w:pPr>
                  <w:r>
                    <w:rPr>
                      <w:color w:val="auto"/>
                      <w:kern w:val="0"/>
                      <w:szCs w:val="21"/>
                    </w:rPr>
                    <w:t>水泥厂外购，汽运</w:t>
                  </w:r>
                  <w:r>
                    <w:rPr>
                      <w:rFonts w:hint="eastAsia"/>
                      <w:color w:val="auto"/>
                      <w:kern w:val="0"/>
                      <w:szCs w:val="21"/>
                      <w:lang w:eastAsia="zh-CN"/>
                    </w:rPr>
                    <w:t>（</w:t>
                  </w:r>
                  <w:r>
                    <w:rPr>
                      <w:color w:val="auto"/>
                      <w:kern w:val="0"/>
                      <w:szCs w:val="21"/>
                    </w:rPr>
                    <w:t>灌装</w:t>
                  </w:r>
                  <w:r>
                    <w:rPr>
                      <w:rFonts w:hint="eastAsia"/>
                      <w:color w:val="auto"/>
                      <w:kern w:val="0"/>
                      <w:szCs w:val="21"/>
                      <w:lang w:eastAsia="zh-CN"/>
                    </w:rPr>
                    <w:t>）</w:t>
                  </w:r>
                  <w:r>
                    <w:rPr>
                      <w:color w:val="auto"/>
                      <w:kern w:val="0"/>
                      <w:szCs w:val="21"/>
                    </w:rPr>
                    <w:t xml:space="preserve"> </w:t>
                  </w:r>
                </w:p>
              </w:tc>
              <w:tc>
                <w:tcPr>
                  <w:tcW w:w="904" w:type="pct"/>
                  <w:vAlign w:val="center"/>
                </w:tcPr>
                <w:p w14:paraId="1AFF5B0B">
                  <w:pPr>
                    <w:autoSpaceDE w:val="0"/>
                    <w:autoSpaceDN w:val="0"/>
                    <w:jc w:val="center"/>
                    <w:rPr>
                      <w:color w:val="auto"/>
                      <w:kern w:val="0"/>
                      <w:szCs w:val="21"/>
                    </w:rPr>
                  </w:pPr>
                  <w:r>
                    <w:rPr>
                      <w:color w:val="auto"/>
                      <w:kern w:val="0"/>
                      <w:szCs w:val="21"/>
                    </w:rPr>
                    <w:t>筒料仓</w:t>
                  </w:r>
                </w:p>
              </w:tc>
            </w:tr>
            <w:tr w14:paraId="693610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2B0C760C">
                  <w:pPr>
                    <w:autoSpaceDE w:val="0"/>
                    <w:autoSpaceDN w:val="0"/>
                    <w:jc w:val="center"/>
                    <w:rPr>
                      <w:color w:val="auto"/>
                      <w:kern w:val="0"/>
                      <w:szCs w:val="21"/>
                    </w:rPr>
                  </w:pPr>
                </w:p>
              </w:tc>
              <w:tc>
                <w:tcPr>
                  <w:tcW w:w="676" w:type="pct"/>
                  <w:vAlign w:val="center"/>
                </w:tcPr>
                <w:p w14:paraId="6D31A7A5">
                  <w:pPr>
                    <w:autoSpaceDE w:val="0"/>
                    <w:autoSpaceDN w:val="0"/>
                    <w:jc w:val="center"/>
                    <w:rPr>
                      <w:color w:val="auto"/>
                      <w:kern w:val="0"/>
                      <w:szCs w:val="21"/>
                    </w:rPr>
                  </w:pPr>
                  <w:r>
                    <w:rPr>
                      <w:color w:val="auto"/>
                      <w:kern w:val="0"/>
                      <w:szCs w:val="21"/>
                    </w:rPr>
                    <w:t>砂子</w:t>
                  </w:r>
                </w:p>
              </w:tc>
              <w:tc>
                <w:tcPr>
                  <w:tcW w:w="1020" w:type="pct"/>
                  <w:vAlign w:val="center"/>
                </w:tcPr>
                <w:p w14:paraId="53989B38">
                  <w:pPr>
                    <w:autoSpaceDE w:val="0"/>
                    <w:autoSpaceDN w:val="0"/>
                    <w:jc w:val="center"/>
                    <w:rPr>
                      <w:color w:val="auto"/>
                      <w:kern w:val="0"/>
                      <w:szCs w:val="21"/>
                    </w:rPr>
                  </w:pPr>
                  <w:r>
                    <w:rPr>
                      <w:color w:val="auto"/>
                      <w:kern w:val="0"/>
                      <w:szCs w:val="21"/>
                    </w:rPr>
                    <w:t>5000</w:t>
                  </w:r>
                </w:p>
              </w:tc>
              <w:tc>
                <w:tcPr>
                  <w:tcW w:w="1634" w:type="pct"/>
                  <w:vAlign w:val="center"/>
                </w:tcPr>
                <w:p w14:paraId="5DE49B4C">
                  <w:pPr>
                    <w:autoSpaceDE w:val="0"/>
                    <w:autoSpaceDN w:val="0"/>
                    <w:jc w:val="center"/>
                    <w:rPr>
                      <w:rFonts w:hint="eastAsia" w:eastAsia="宋体"/>
                      <w:color w:val="auto"/>
                      <w:kern w:val="0"/>
                      <w:szCs w:val="21"/>
                      <w:lang w:eastAsia="zh-CN"/>
                    </w:rPr>
                  </w:pPr>
                  <w:r>
                    <w:rPr>
                      <w:color w:val="auto"/>
                      <w:kern w:val="0"/>
                      <w:szCs w:val="21"/>
                    </w:rPr>
                    <w:t>砂石厂外购，汽运</w:t>
                  </w:r>
                  <w:r>
                    <w:rPr>
                      <w:rFonts w:hint="eastAsia"/>
                      <w:color w:val="auto"/>
                      <w:kern w:val="0"/>
                      <w:szCs w:val="21"/>
                      <w:lang w:eastAsia="zh-CN"/>
                    </w:rPr>
                    <w:t>（</w:t>
                  </w:r>
                  <w:r>
                    <w:rPr>
                      <w:color w:val="auto"/>
                      <w:kern w:val="0"/>
                      <w:szCs w:val="21"/>
                    </w:rPr>
                    <w:t>散运</w:t>
                  </w:r>
                  <w:r>
                    <w:rPr>
                      <w:rFonts w:hint="eastAsia"/>
                      <w:color w:val="auto"/>
                      <w:kern w:val="0"/>
                      <w:szCs w:val="21"/>
                      <w:lang w:eastAsia="zh-CN"/>
                    </w:rPr>
                    <w:t>）</w:t>
                  </w:r>
                </w:p>
              </w:tc>
              <w:tc>
                <w:tcPr>
                  <w:tcW w:w="904" w:type="pct"/>
                  <w:vAlign w:val="center"/>
                </w:tcPr>
                <w:p w14:paraId="6AAD3BF6">
                  <w:pPr>
                    <w:autoSpaceDE w:val="0"/>
                    <w:autoSpaceDN w:val="0"/>
                    <w:jc w:val="center"/>
                    <w:rPr>
                      <w:color w:val="auto"/>
                      <w:kern w:val="0"/>
                      <w:szCs w:val="21"/>
                    </w:rPr>
                  </w:pPr>
                  <w:r>
                    <w:rPr>
                      <w:color w:val="auto"/>
                      <w:kern w:val="0"/>
                      <w:szCs w:val="21"/>
                    </w:rPr>
                    <w:t>料场</w:t>
                  </w:r>
                </w:p>
              </w:tc>
            </w:tr>
            <w:tr w14:paraId="06952D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560ED5D2">
                  <w:pPr>
                    <w:autoSpaceDE w:val="0"/>
                    <w:autoSpaceDN w:val="0"/>
                    <w:jc w:val="center"/>
                    <w:rPr>
                      <w:color w:val="auto"/>
                      <w:kern w:val="0"/>
                      <w:szCs w:val="21"/>
                    </w:rPr>
                  </w:pPr>
                </w:p>
              </w:tc>
              <w:tc>
                <w:tcPr>
                  <w:tcW w:w="676" w:type="pct"/>
                  <w:vAlign w:val="center"/>
                </w:tcPr>
                <w:p w14:paraId="5F661AB7">
                  <w:pPr>
                    <w:autoSpaceDE w:val="0"/>
                    <w:autoSpaceDN w:val="0"/>
                    <w:jc w:val="center"/>
                    <w:rPr>
                      <w:color w:val="auto"/>
                      <w:kern w:val="0"/>
                      <w:szCs w:val="21"/>
                    </w:rPr>
                  </w:pPr>
                  <w:r>
                    <w:rPr>
                      <w:color w:val="auto"/>
                      <w:kern w:val="0"/>
                      <w:szCs w:val="21"/>
                    </w:rPr>
                    <w:t>碎石</w:t>
                  </w:r>
                </w:p>
              </w:tc>
              <w:tc>
                <w:tcPr>
                  <w:tcW w:w="1020" w:type="pct"/>
                  <w:vAlign w:val="center"/>
                </w:tcPr>
                <w:p w14:paraId="620D7E2D">
                  <w:pPr>
                    <w:autoSpaceDE w:val="0"/>
                    <w:autoSpaceDN w:val="0"/>
                    <w:jc w:val="center"/>
                    <w:rPr>
                      <w:color w:val="auto"/>
                      <w:kern w:val="0"/>
                      <w:szCs w:val="21"/>
                    </w:rPr>
                  </w:pPr>
                  <w:r>
                    <w:rPr>
                      <w:color w:val="auto"/>
                      <w:kern w:val="0"/>
                      <w:szCs w:val="21"/>
                    </w:rPr>
                    <w:t>5200</w:t>
                  </w:r>
                </w:p>
              </w:tc>
              <w:tc>
                <w:tcPr>
                  <w:tcW w:w="1634" w:type="pct"/>
                  <w:vAlign w:val="center"/>
                </w:tcPr>
                <w:p w14:paraId="7722F9CA">
                  <w:pPr>
                    <w:autoSpaceDE w:val="0"/>
                    <w:autoSpaceDN w:val="0"/>
                    <w:jc w:val="center"/>
                    <w:rPr>
                      <w:rFonts w:hint="eastAsia" w:eastAsia="宋体"/>
                      <w:color w:val="auto"/>
                      <w:kern w:val="0"/>
                      <w:szCs w:val="21"/>
                      <w:lang w:eastAsia="zh-CN"/>
                    </w:rPr>
                  </w:pPr>
                  <w:r>
                    <w:rPr>
                      <w:color w:val="auto"/>
                      <w:kern w:val="0"/>
                      <w:szCs w:val="21"/>
                    </w:rPr>
                    <w:t>砂石厂外购，汽运</w:t>
                  </w:r>
                  <w:r>
                    <w:rPr>
                      <w:rFonts w:hint="eastAsia"/>
                      <w:color w:val="auto"/>
                      <w:kern w:val="0"/>
                      <w:szCs w:val="21"/>
                      <w:lang w:eastAsia="zh-CN"/>
                    </w:rPr>
                    <w:t>（</w:t>
                  </w:r>
                  <w:r>
                    <w:rPr>
                      <w:color w:val="auto"/>
                      <w:kern w:val="0"/>
                      <w:szCs w:val="21"/>
                    </w:rPr>
                    <w:t>散运</w:t>
                  </w:r>
                  <w:r>
                    <w:rPr>
                      <w:rFonts w:hint="eastAsia"/>
                      <w:color w:val="auto"/>
                      <w:kern w:val="0"/>
                      <w:szCs w:val="21"/>
                      <w:lang w:eastAsia="zh-CN"/>
                    </w:rPr>
                    <w:t>）</w:t>
                  </w:r>
                </w:p>
              </w:tc>
              <w:tc>
                <w:tcPr>
                  <w:tcW w:w="904" w:type="pct"/>
                  <w:vAlign w:val="center"/>
                </w:tcPr>
                <w:p w14:paraId="15180262">
                  <w:pPr>
                    <w:autoSpaceDE w:val="0"/>
                    <w:autoSpaceDN w:val="0"/>
                    <w:jc w:val="center"/>
                    <w:rPr>
                      <w:color w:val="auto"/>
                      <w:kern w:val="0"/>
                      <w:szCs w:val="21"/>
                    </w:rPr>
                  </w:pPr>
                  <w:r>
                    <w:rPr>
                      <w:color w:val="auto"/>
                      <w:kern w:val="0"/>
                      <w:szCs w:val="21"/>
                    </w:rPr>
                    <w:t>料场</w:t>
                  </w:r>
                </w:p>
              </w:tc>
            </w:tr>
            <w:tr w14:paraId="282FD5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0015AD49">
                  <w:pPr>
                    <w:autoSpaceDE w:val="0"/>
                    <w:autoSpaceDN w:val="0"/>
                    <w:jc w:val="center"/>
                    <w:rPr>
                      <w:color w:val="auto"/>
                      <w:kern w:val="0"/>
                      <w:szCs w:val="21"/>
                    </w:rPr>
                  </w:pPr>
                </w:p>
              </w:tc>
              <w:tc>
                <w:tcPr>
                  <w:tcW w:w="676" w:type="pct"/>
                  <w:vAlign w:val="center"/>
                </w:tcPr>
                <w:p w14:paraId="2DC2DC3D">
                  <w:pPr>
                    <w:autoSpaceDE w:val="0"/>
                    <w:autoSpaceDN w:val="0"/>
                    <w:jc w:val="center"/>
                    <w:rPr>
                      <w:color w:val="auto"/>
                      <w:kern w:val="0"/>
                      <w:szCs w:val="21"/>
                    </w:rPr>
                  </w:pPr>
                  <w:r>
                    <w:rPr>
                      <w:color w:val="auto"/>
                      <w:kern w:val="0"/>
                      <w:szCs w:val="21"/>
                    </w:rPr>
                    <w:t>外加剂</w:t>
                  </w:r>
                </w:p>
              </w:tc>
              <w:tc>
                <w:tcPr>
                  <w:tcW w:w="1020" w:type="pct"/>
                  <w:vAlign w:val="center"/>
                </w:tcPr>
                <w:p w14:paraId="2621A942">
                  <w:pPr>
                    <w:autoSpaceDE w:val="0"/>
                    <w:autoSpaceDN w:val="0"/>
                    <w:jc w:val="center"/>
                    <w:rPr>
                      <w:color w:val="auto"/>
                      <w:kern w:val="0"/>
                      <w:szCs w:val="21"/>
                    </w:rPr>
                  </w:pPr>
                  <w:r>
                    <w:rPr>
                      <w:color w:val="auto"/>
                      <w:kern w:val="0"/>
                      <w:szCs w:val="21"/>
                    </w:rPr>
                    <w:t>300</w:t>
                  </w:r>
                </w:p>
              </w:tc>
              <w:tc>
                <w:tcPr>
                  <w:tcW w:w="1634" w:type="pct"/>
                  <w:vAlign w:val="center"/>
                </w:tcPr>
                <w:p w14:paraId="011CD12C">
                  <w:pPr>
                    <w:autoSpaceDE w:val="0"/>
                    <w:autoSpaceDN w:val="0"/>
                    <w:jc w:val="center"/>
                    <w:rPr>
                      <w:color w:val="auto"/>
                      <w:kern w:val="0"/>
                      <w:szCs w:val="21"/>
                    </w:rPr>
                  </w:pPr>
                  <w:r>
                    <w:rPr>
                      <w:color w:val="auto"/>
                      <w:kern w:val="0"/>
                      <w:szCs w:val="21"/>
                    </w:rPr>
                    <w:t>外加剂厂外购，汽运</w:t>
                  </w:r>
                </w:p>
              </w:tc>
              <w:tc>
                <w:tcPr>
                  <w:tcW w:w="904" w:type="pct"/>
                  <w:vAlign w:val="center"/>
                </w:tcPr>
                <w:p w14:paraId="68E2D371">
                  <w:pPr>
                    <w:autoSpaceDE w:val="0"/>
                    <w:autoSpaceDN w:val="0"/>
                    <w:jc w:val="center"/>
                    <w:rPr>
                      <w:color w:val="auto"/>
                      <w:kern w:val="0"/>
                      <w:szCs w:val="21"/>
                    </w:rPr>
                  </w:pPr>
                  <w:r>
                    <w:rPr>
                      <w:color w:val="auto"/>
                      <w:kern w:val="0"/>
                      <w:szCs w:val="21"/>
                    </w:rPr>
                    <w:t>罐装</w:t>
                  </w:r>
                </w:p>
              </w:tc>
            </w:tr>
            <w:tr w14:paraId="0253C0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06B00DB6">
                  <w:pPr>
                    <w:autoSpaceDE w:val="0"/>
                    <w:autoSpaceDN w:val="0"/>
                    <w:jc w:val="center"/>
                    <w:rPr>
                      <w:color w:val="auto"/>
                      <w:kern w:val="0"/>
                      <w:szCs w:val="21"/>
                    </w:rPr>
                  </w:pPr>
                </w:p>
              </w:tc>
              <w:tc>
                <w:tcPr>
                  <w:tcW w:w="676" w:type="pct"/>
                  <w:vAlign w:val="center"/>
                </w:tcPr>
                <w:p w14:paraId="0326D833">
                  <w:pPr>
                    <w:autoSpaceDE w:val="0"/>
                    <w:autoSpaceDN w:val="0"/>
                    <w:jc w:val="center"/>
                    <w:rPr>
                      <w:color w:val="auto"/>
                      <w:kern w:val="0"/>
                      <w:szCs w:val="21"/>
                    </w:rPr>
                  </w:pPr>
                  <w:r>
                    <w:rPr>
                      <w:color w:val="auto"/>
                      <w:kern w:val="0"/>
                      <w:szCs w:val="21"/>
                    </w:rPr>
                    <w:t>水</w:t>
                  </w:r>
                </w:p>
              </w:tc>
              <w:tc>
                <w:tcPr>
                  <w:tcW w:w="1020" w:type="pct"/>
                  <w:vAlign w:val="center"/>
                </w:tcPr>
                <w:p w14:paraId="42751B3E">
                  <w:pPr>
                    <w:autoSpaceDE w:val="0"/>
                    <w:autoSpaceDN w:val="0"/>
                    <w:jc w:val="center"/>
                    <w:rPr>
                      <w:color w:val="auto"/>
                      <w:kern w:val="0"/>
                      <w:szCs w:val="21"/>
                    </w:rPr>
                  </w:pPr>
                  <w:r>
                    <w:rPr>
                      <w:color w:val="auto"/>
                      <w:kern w:val="0"/>
                      <w:szCs w:val="21"/>
                    </w:rPr>
                    <w:t>1250</w:t>
                  </w:r>
                </w:p>
              </w:tc>
              <w:tc>
                <w:tcPr>
                  <w:tcW w:w="1634" w:type="pct"/>
                  <w:vAlign w:val="center"/>
                </w:tcPr>
                <w:p w14:paraId="5733FA8F">
                  <w:pPr>
                    <w:autoSpaceDE w:val="0"/>
                    <w:autoSpaceDN w:val="0"/>
                    <w:jc w:val="center"/>
                    <w:rPr>
                      <w:color w:val="auto"/>
                      <w:kern w:val="0"/>
                      <w:szCs w:val="21"/>
                    </w:rPr>
                  </w:pPr>
                  <w:r>
                    <w:rPr>
                      <w:color w:val="auto"/>
                      <w:kern w:val="0"/>
                      <w:szCs w:val="21"/>
                    </w:rPr>
                    <w:t>外购及回用水</w:t>
                  </w:r>
                </w:p>
              </w:tc>
              <w:tc>
                <w:tcPr>
                  <w:tcW w:w="904" w:type="pct"/>
                  <w:vAlign w:val="center"/>
                </w:tcPr>
                <w:p w14:paraId="757D1B20">
                  <w:pPr>
                    <w:autoSpaceDE w:val="0"/>
                    <w:autoSpaceDN w:val="0"/>
                    <w:jc w:val="center"/>
                    <w:rPr>
                      <w:color w:val="auto"/>
                      <w:kern w:val="0"/>
                      <w:szCs w:val="21"/>
                    </w:rPr>
                  </w:pPr>
                  <w:r>
                    <w:rPr>
                      <w:color w:val="auto"/>
                      <w:kern w:val="0"/>
                      <w:szCs w:val="21"/>
                    </w:rPr>
                    <w:t>水池</w:t>
                  </w:r>
                </w:p>
              </w:tc>
            </w:tr>
            <w:tr w14:paraId="5F4CC0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restart"/>
                  <w:vAlign w:val="center"/>
                </w:tcPr>
                <w:p w14:paraId="4D138815">
                  <w:pPr>
                    <w:autoSpaceDE w:val="0"/>
                    <w:autoSpaceDN w:val="0"/>
                    <w:jc w:val="center"/>
                    <w:rPr>
                      <w:color w:val="auto"/>
                      <w:kern w:val="0"/>
                      <w:szCs w:val="21"/>
                    </w:rPr>
                  </w:pPr>
                  <w:r>
                    <w:rPr>
                      <w:color w:val="auto"/>
                      <w:kern w:val="0"/>
                      <w:szCs w:val="21"/>
                    </w:rPr>
                    <w:t>水泥稳定土</w:t>
                  </w:r>
                </w:p>
              </w:tc>
              <w:tc>
                <w:tcPr>
                  <w:tcW w:w="676" w:type="pct"/>
                  <w:vAlign w:val="center"/>
                </w:tcPr>
                <w:p w14:paraId="1DC2BDF8">
                  <w:pPr>
                    <w:autoSpaceDE w:val="0"/>
                    <w:autoSpaceDN w:val="0"/>
                    <w:jc w:val="center"/>
                    <w:rPr>
                      <w:color w:val="auto"/>
                      <w:kern w:val="0"/>
                      <w:szCs w:val="21"/>
                    </w:rPr>
                  </w:pPr>
                  <w:r>
                    <w:rPr>
                      <w:color w:val="auto"/>
                      <w:kern w:val="0"/>
                      <w:szCs w:val="21"/>
                    </w:rPr>
                    <w:t>水泥</w:t>
                  </w:r>
                </w:p>
              </w:tc>
              <w:tc>
                <w:tcPr>
                  <w:tcW w:w="1020" w:type="pct"/>
                  <w:vAlign w:val="center"/>
                </w:tcPr>
                <w:p w14:paraId="347B8ECC">
                  <w:pPr>
                    <w:autoSpaceDE w:val="0"/>
                    <w:autoSpaceDN w:val="0"/>
                    <w:jc w:val="center"/>
                    <w:rPr>
                      <w:color w:val="auto"/>
                      <w:kern w:val="0"/>
                      <w:szCs w:val="21"/>
                    </w:rPr>
                  </w:pPr>
                  <w:r>
                    <w:rPr>
                      <w:color w:val="auto"/>
                      <w:kern w:val="0"/>
                      <w:szCs w:val="21"/>
                    </w:rPr>
                    <w:t>3750</w:t>
                  </w:r>
                </w:p>
              </w:tc>
              <w:tc>
                <w:tcPr>
                  <w:tcW w:w="1634" w:type="pct"/>
                  <w:vAlign w:val="center"/>
                </w:tcPr>
                <w:p w14:paraId="120A1B72">
                  <w:pPr>
                    <w:autoSpaceDE w:val="0"/>
                    <w:autoSpaceDN w:val="0"/>
                    <w:jc w:val="center"/>
                    <w:rPr>
                      <w:color w:val="auto"/>
                      <w:kern w:val="0"/>
                      <w:szCs w:val="21"/>
                    </w:rPr>
                  </w:pPr>
                  <w:r>
                    <w:rPr>
                      <w:color w:val="auto"/>
                      <w:kern w:val="0"/>
                      <w:szCs w:val="21"/>
                    </w:rPr>
                    <w:t>水泥厂外购，汽运</w:t>
                  </w:r>
                  <w:r>
                    <w:rPr>
                      <w:rFonts w:hint="eastAsia"/>
                      <w:color w:val="auto"/>
                      <w:kern w:val="0"/>
                      <w:szCs w:val="21"/>
                      <w:lang w:eastAsia="zh-CN"/>
                    </w:rPr>
                    <w:t>（</w:t>
                  </w:r>
                  <w:r>
                    <w:rPr>
                      <w:color w:val="auto"/>
                      <w:kern w:val="0"/>
                      <w:szCs w:val="21"/>
                    </w:rPr>
                    <w:t>灌装</w:t>
                  </w:r>
                  <w:r>
                    <w:rPr>
                      <w:rFonts w:hint="eastAsia"/>
                      <w:color w:val="auto"/>
                      <w:kern w:val="0"/>
                      <w:szCs w:val="21"/>
                      <w:lang w:eastAsia="zh-CN"/>
                    </w:rPr>
                    <w:t>）</w:t>
                  </w:r>
                  <w:r>
                    <w:rPr>
                      <w:color w:val="auto"/>
                      <w:kern w:val="0"/>
                      <w:szCs w:val="21"/>
                    </w:rPr>
                    <w:t xml:space="preserve"> </w:t>
                  </w:r>
                </w:p>
              </w:tc>
              <w:tc>
                <w:tcPr>
                  <w:tcW w:w="904" w:type="pct"/>
                  <w:vAlign w:val="center"/>
                </w:tcPr>
                <w:p w14:paraId="5EA1B9BF">
                  <w:pPr>
                    <w:autoSpaceDE w:val="0"/>
                    <w:autoSpaceDN w:val="0"/>
                    <w:jc w:val="center"/>
                    <w:rPr>
                      <w:color w:val="auto"/>
                      <w:kern w:val="0"/>
                      <w:szCs w:val="21"/>
                    </w:rPr>
                  </w:pPr>
                  <w:r>
                    <w:rPr>
                      <w:color w:val="auto"/>
                      <w:kern w:val="0"/>
                      <w:szCs w:val="21"/>
                    </w:rPr>
                    <w:t>筒料仓</w:t>
                  </w:r>
                </w:p>
              </w:tc>
            </w:tr>
            <w:tr w14:paraId="4A0BB6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5E0BD4B3">
                  <w:pPr>
                    <w:autoSpaceDE w:val="0"/>
                    <w:autoSpaceDN w:val="0"/>
                    <w:jc w:val="center"/>
                    <w:rPr>
                      <w:color w:val="auto"/>
                      <w:kern w:val="0"/>
                      <w:szCs w:val="21"/>
                    </w:rPr>
                  </w:pPr>
                </w:p>
              </w:tc>
              <w:tc>
                <w:tcPr>
                  <w:tcW w:w="676" w:type="pct"/>
                  <w:vAlign w:val="center"/>
                </w:tcPr>
                <w:p w14:paraId="22BD772B">
                  <w:pPr>
                    <w:autoSpaceDE w:val="0"/>
                    <w:autoSpaceDN w:val="0"/>
                    <w:jc w:val="center"/>
                    <w:rPr>
                      <w:color w:val="auto"/>
                      <w:kern w:val="0"/>
                      <w:szCs w:val="21"/>
                    </w:rPr>
                  </w:pPr>
                  <w:r>
                    <w:rPr>
                      <w:color w:val="auto"/>
                      <w:kern w:val="0"/>
                      <w:szCs w:val="21"/>
                    </w:rPr>
                    <w:t>砂子</w:t>
                  </w:r>
                </w:p>
              </w:tc>
              <w:tc>
                <w:tcPr>
                  <w:tcW w:w="1020" w:type="pct"/>
                  <w:vAlign w:val="center"/>
                </w:tcPr>
                <w:p w14:paraId="59FAF49A">
                  <w:pPr>
                    <w:autoSpaceDE w:val="0"/>
                    <w:autoSpaceDN w:val="0"/>
                    <w:jc w:val="center"/>
                    <w:rPr>
                      <w:color w:val="auto"/>
                      <w:kern w:val="0"/>
                      <w:szCs w:val="21"/>
                    </w:rPr>
                  </w:pPr>
                  <w:r>
                    <w:rPr>
                      <w:color w:val="auto"/>
                      <w:kern w:val="0"/>
                      <w:szCs w:val="21"/>
                    </w:rPr>
                    <w:t>78750</w:t>
                  </w:r>
                </w:p>
              </w:tc>
              <w:tc>
                <w:tcPr>
                  <w:tcW w:w="1634" w:type="pct"/>
                  <w:vAlign w:val="center"/>
                </w:tcPr>
                <w:p w14:paraId="7CCAC35C">
                  <w:pPr>
                    <w:autoSpaceDE w:val="0"/>
                    <w:autoSpaceDN w:val="0"/>
                    <w:jc w:val="center"/>
                    <w:rPr>
                      <w:rFonts w:hint="eastAsia" w:eastAsia="宋体"/>
                      <w:color w:val="auto"/>
                      <w:kern w:val="0"/>
                      <w:szCs w:val="21"/>
                      <w:lang w:eastAsia="zh-CN"/>
                    </w:rPr>
                  </w:pPr>
                  <w:r>
                    <w:rPr>
                      <w:color w:val="auto"/>
                      <w:kern w:val="0"/>
                      <w:szCs w:val="21"/>
                    </w:rPr>
                    <w:t>砂石厂外购，汽运</w:t>
                  </w:r>
                  <w:r>
                    <w:rPr>
                      <w:rFonts w:hint="eastAsia"/>
                      <w:color w:val="auto"/>
                      <w:kern w:val="0"/>
                      <w:szCs w:val="21"/>
                      <w:lang w:eastAsia="zh-CN"/>
                    </w:rPr>
                    <w:t>（</w:t>
                  </w:r>
                  <w:r>
                    <w:rPr>
                      <w:color w:val="auto"/>
                      <w:kern w:val="0"/>
                      <w:szCs w:val="21"/>
                    </w:rPr>
                    <w:t>散运</w:t>
                  </w:r>
                  <w:r>
                    <w:rPr>
                      <w:rFonts w:hint="eastAsia"/>
                      <w:color w:val="auto"/>
                      <w:kern w:val="0"/>
                      <w:szCs w:val="21"/>
                      <w:lang w:eastAsia="zh-CN"/>
                    </w:rPr>
                    <w:t>）</w:t>
                  </w:r>
                </w:p>
              </w:tc>
              <w:tc>
                <w:tcPr>
                  <w:tcW w:w="904" w:type="pct"/>
                  <w:vAlign w:val="center"/>
                </w:tcPr>
                <w:p w14:paraId="5B7F1A7C">
                  <w:pPr>
                    <w:autoSpaceDE w:val="0"/>
                    <w:autoSpaceDN w:val="0"/>
                    <w:jc w:val="center"/>
                    <w:rPr>
                      <w:color w:val="auto"/>
                      <w:kern w:val="0"/>
                      <w:szCs w:val="21"/>
                    </w:rPr>
                  </w:pPr>
                  <w:r>
                    <w:rPr>
                      <w:color w:val="auto"/>
                      <w:kern w:val="0"/>
                      <w:szCs w:val="21"/>
                    </w:rPr>
                    <w:t>料场</w:t>
                  </w:r>
                </w:p>
              </w:tc>
            </w:tr>
            <w:tr w14:paraId="2521CC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0128B198">
                  <w:pPr>
                    <w:autoSpaceDE w:val="0"/>
                    <w:autoSpaceDN w:val="0"/>
                    <w:jc w:val="center"/>
                    <w:rPr>
                      <w:color w:val="auto"/>
                      <w:kern w:val="0"/>
                      <w:szCs w:val="21"/>
                    </w:rPr>
                  </w:pPr>
                </w:p>
              </w:tc>
              <w:tc>
                <w:tcPr>
                  <w:tcW w:w="676" w:type="pct"/>
                  <w:vAlign w:val="center"/>
                </w:tcPr>
                <w:p w14:paraId="1A86B10B">
                  <w:pPr>
                    <w:autoSpaceDE w:val="0"/>
                    <w:autoSpaceDN w:val="0"/>
                    <w:jc w:val="center"/>
                    <w:rPr>
                      <w:color w:val="auto"/>
                      <w:kern w:val="0"/>
                      <w:szCs w:val="21"/>
                    </w:rPr>
                  </w:pPr>
                  <w:r>
                    <w:rPr>
                      <w:color w:val="auto"/>
                      <w:kern w:val="0"/>
                      <w:szCs w:val="21"/>
                    </w:rPr>
                    <w:t>碎石</w:t>
                  </w:r>
                </w:p>
              </w:tc>
              <w:tc>
                <w:tcPr>
                  <w:tcW w:w="1020" w:type="pct"/>
                  <w:vAlign w:val="center"/>
                </w:tcPr>
                <w:p w14:paraId="3AB0DE4C">
                  <w:pPr>
                    <w:autoSpaceDE w:val="0"/>
                    <w:autoSpaceDN w:val="0"/>
                    <w:jc w:val="center"/>
                    <w:rPr>
                      <w:color w:val="auto"/>
                      <w:kern w:val="0"/>
                      <w:szCs w:val="21"/>
                    </w:rPr>
                  </w:pPr>
                  <w:r>
                    <w:rPr>
                      <w:color w:val="auto"/>
                      <w:kern w:val="0"/>
                      <w:szCs w:val="21"/>
                    </w:rPr>
                    <w:t>40000</w:t>
                  </w:r>
                </w:p>
              </w:tc>
              <w:tc>
                <w:tcPr>
                  <w:tcW w:w="1634" w:type="pct"/>
                  <w:vAlign w:val="center"/>
                </w:tcPr>
                <w:p w14:paraId="6FFBC0BD">
                  <w:pPr>
                    <w:autoSpaceDE w:val="0"/>
                    <w:autoSpaceDN w:val="0"/>
                    <w:jc w:val="center"/>
                    <w:rPr>
                      <w:rFonts w:hint="eastAsia" w:eastAsia="宋体"/>
                      <w:color w:val="auto"/>
                      <w:kern w:val="0"/>
                      <w:szCs w:val="21"/>
                      <w:lang w:eastAsia="zh-CN"/>
                    </w:rPr>
                  </w:pPr>
                  <w:r>
                    <w:rPr>
                      <w:color w:val="auto"/>
                      <w:kern w:val="0"/>
                      <w:szCs w:val="21"/>
                    </w:rPr>
                    <w:t>砂石厂外购，汽运</w:t>
                  </w:r>
                  <w:r>
                    <w:rPr>
                      <w:rFonts w:hint="eastAsia"/>
                      <w:color w:val="auto"/>
                      <w:kern w:val="0"/>
                      <w:szCs w:val="21"/>
                      <w:lang w:eastAsia="zh-CN"/>
                    </w:rPr>
                    <w:t>（</w:t>
                  </w:r>
                  <w:r>
                    <w:rPr>
                      <w:color w:val="auto"/>
                      <w:kern w:val="0"/>
                      <w:szCs w:val="21"/>
                    </w:rPr>
                    <w:t>散运</w:t>
                  </w:r>
                  <w:r>
                    <w:rPr>
                      <w:rFonts w:hint="eastAsia"/>
                      <w:color w:val="auto"/>
                      <w:kern w:val="0"/>
                      <w:szCs w:val="21"/>
                      <w:lang w:eastAsia="zh-CN"/>
                    </w:rPr>
                    <w:t>）</w:t>
                  </w:r>
                </w:p>
              </w:tc>
              <w:tc>
                <w:tcPr>
                  <w:tcW w:w="904" w:type="pct"/>
                  <w:vAlign w:val="center"/>
                </w:tcPr>
                <w:p w14:paraId="7757E145">
                  <w:pPr>
                    <w:autoSpaceDE w:val="0"/>
                    <w:autoSpaceDN w:val="0"/>
                    <w:jc w:val="center"/>
                    <w:rPr>
                      <w:color w:val="auto"/>
                      <w:kern w:val="0"/>
                      <w:szCs w:val="21"/>
                    </w:rPr>
                  </w:pPr>
                  <w:r>
                    <w:rPr>
                      <w:color w:val="auto"/>
                      <w:kern w:val="0"/>
                      <w:szCs w:val="21"/>
                    </w:rPr>
                    <w:t>料场</w:t>
                  </w:r>
                </w:p>
              </w:tc>
            </w:tr>
            <w:tr w14:paraId="7237D6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5A266E49">
                  <w:pPr>
                    <w:autoSpaceDE w:val="0"/>
                    <w:autoSpaceDN w:val="0"/>
                    <w:jc w:val="center"/>
                    <w:rPr>
                      <w:color w:val="auto"/>
                      <w:kern w:val="0"/>
                      <w:szCs w:val="21"/>
                    </w:rPr>
                  </w:pPr>
                </w:p>
              </w:tc>
              <w:tc>
                <w:tcPr>
                  <w:tcW w:w="676" w:type="pct"/>
                  <w:vAlign w:val="center"/>
                </w:tcPr>
                <w:p w14:paraId="326E2B6F">
                  <w:pPr>
                    <w:autoSpaceDE w:val="0"/>
                    <w:autoSpaceDN w:val="0"/>
                    <w:jc w:val="center"/>
                    <w:rPr>
                      <w:color w:val="auto"/>
                      <w:kern w:val="0"/>
                      <w:szCs w:val="21"/>
                    </w:rPr>
                  </w:pPr>
                  <w:r>
                    <w:rPr>
                      <w:color w:val="auto"/>
                      <w:kern w:val="0"/>
                      <w:szCs w:val="21"/>
                    </w:rPr>
                    <w:t>水</w:t>
                  </w:r>
                </w:p>
              </w:tc>
              <w:tc>
                <w:tcPr>
                  <w:tcW w:w="1020" w:type="pct"/>
                  <w:vAlign w:val="center"/>
                </w:tcPr>
                <w:p w14:paraId="523FDD0B">
                  <w:pPr>
                    <w:autoSpaceDE w:val="0"/>
                    <w:autoSpaceDN w:val="0"/>
                    <w:jc w:val="center"/>
                    <w:rPr>
                      <w:color w:val="auto"/>
                      <w:kern w:val="0"/>
                      <w:szCs w:val="21"/>
                    </w:rPr>
                  </w:pPr>
                  <w:r>
                    <w:rPr>
                      <w:color w:val="auto"/>
                      <w:kern w:val="0"/>
                      <w:szCs w:val="21"/>
                    </w:rPr>
                    <w:t>2500</w:t>
                  </w:r>
                </w:p>
              </w:tc>
              <w:tc>
                <w:tcPr>
                  <w:tcW w:w="1634" w:type="pct"/>
                  <w:vAlign w:val="center"/>
                </w:tcPr>
                <w:p w14:paraId="0675953C">
                  <w:pPr>
                    <w:autoSpaceDE w:val="0"/>
                    <w:autoSpaceDN w:val="0"/>
                    <w:jc w:val="center"/>
                    <w:rPr>
                      <w:color w:val="auto"/>
                      <w:kern w:val="0"/>
                      <w:szCs w:val="21"/>
                    </w:rPr>
                  </w:pPr>
                  <w:r>
                    <w:rPr>
                      <w:color w:val="auto"/>
                      <w:kern w:val="0"/>
                      <w:szCs w:val="21"/>
                    </w:rPr>
                    <w:t>外购及回用水</w:t>
                  </w:r>
                </w:p>
              </w:tc>
              <w:tc>
                <w:tcPr>
                  <w:tcW w:w="904" w:type="pct"/>
                  <w:vAlign w:val="center"/>
                </w:tcPr>
                <w:p w14:paraId="3E015667">
                  <w:pPr>
                    <w:autoSpaceDE w:val="0"/>
                    <w:autoSpaceDN w:val="0"/>
                    <w:jc w:val="center"/>
                    <w:rPr>
                      <w:color w:val="auto"/>
                      <w:kern w:val="0"/>
                      <w:szCs w:val="21"/>
                    </w:rPr>
                  </w:pPr>
                  <w:r>
                    <w:rPr>
                      <w:rFonts w:hint="eastAsia"/>
                      <w:color w:val="auto"/>
                      <w:kern w:val="0"/>
                      <w:szCs w:val="21"/>
                    </w:rPr>
                    <w:t>水池</w:t>
                  </w:r>
                </w:p>
              </w:tc>
            </w:tr>
          </w:tbl>
          <w:p w14:paraId="6DC27276">
            <w:pPr>
              <w:autoSpaceDE w:val="0"/>
              <w:autoSpaceDN w:val="0"/>
              <w:adjustRightInd w:val="0"/>
              <w:snapToGrid w:val="0"/>
              <w:spacing w:before="240" w:line="360" w:lineRule="auto"/>
              <w:ind w:firstLine="480" w:firstLineChars="200"/>
              <w:rPr>
                <w:color w:val="auto"/>
                <w:kern w:val="0"/>
                <w:sz w:val="24"/>
              </w:rPr>
            </w:pPr>
            <w:r>
              <w:rPr>
                <w:color w:val="auto"/>
                <w:kern w:val="0"/>
                <w:sz w:val="24"/>
              </w:rPr>
              <w:t>本项目动力消耗见表2-4：</w:t>
            </w:r>
          </w:p>
          <w:p w14:paraId="1900F75C">
            <w:pPr>
              <w:pStyle w:val="23"/>
              <w:rPr>
                <w:color w:val="auto"/>
              </w:rPr>
            </w:pPr>
          </w:p>
          <w:p w14:paraId="7422A592">
            <w:pPr>
              <w:pStyle w:val="23"/>
              <w:rPr>
                <w:color w:val="auto"/>
              </w:rPr>
            </w:pPr>
            <w:r>
              <w:rPr>
                <w:color w:val="auto"/>
              </w:rPr>
              <w:t>表2-4 主要动力消耗情况表</w:t>
            </w:r>
          </w:p>
          <w:tbl>
            <w:tblPr>
              <w:tblStyle w:val="16"/>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11"/>
              <w:gridCol w:w="1114"/>
              <w:gridCol w:w="1827"/>
              <w:gridCol w:w="3086"/>
              <w:gridCol w:w="1101"/>
            </w:tblGrid>
            <w:tr w14:paraId="5FB1F2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4" w:type="pct"/>
                  <w:vAlign w:val="center"/>
                </w:tcPr>
                <w:p w14:paraId="6F8FAA80">
                  <w:pPr>
                    <w:autoSpaceDE w:val="0"/>
                    <w:autoSpaceDN w:val="0"/>
                    <w:jc w:val="center"/>
                    <w:rPr>
                      <w:color w:val="auto"/>
                      <w:kern w:val="0"/>
                      <w:szCs w:val="21"/>
                    </w:rPr>
                  </w:pPr>
                  <w:r>
                    <w:rPr>
                      <w:color w:val="auto"/>
                      <w:kern w:val="0"/>
                      <w:szCs w:val="21"/>
                    </w:rPr>
                    <w:t>类别</w:t>
                  </w:r>
                </w:p>
              </w:tc>
              <w:tc>
                <w:tcPr>
                  <w:tcW w:w="676" w:type="pct"/>
                  <w:vAlign w:val="center"/>
                </w:tcPr>
                <w:p w14:paraId="62B468EC">
                  <w:pPr>
                    <w:autoSpaceDE w:val="0"/>
                    <w:autoSpaceDN w:val="0"/>
                    <w:jc w:val="center"/>
                    <w:rPr>
                      <w:color w:val="auto"/>
                      <w:kern w:val="0"/>
                      <w:szCs w:val="21"/>
                    </w:rPr>
                  </w:pPr>
                  <w:r>
                    <w:rPr>
                      <w:color w:val="auto"/>
                      <w:kern w:val="0"/>
                      <w:szCs w:val="21"/>
                    </w:rPr>
                    <w:t>名称</w:t>
                  </w:r>
                </w:p>
              </w:tc>
              <w:tc>
                <w:tcPr>
                  <w:tcW w:w="1109" w:type="pct"/>
                  <w:vAlign w:val="center"/>
                </w:tcPr>
                <w:p w14:paraId="7863706F">
                  <w:pPr>
                    <w:autoSpaceDE w:val="0"/>
                    <w:autoSpaceDN w:val="0"/>
                    <w:jc w:val="center"/>
                    <w:rPr>
                      <w:rFonts w:hint="eastAsia" w:eastAsia="宋体"/>
                      <w:color w:val="auto"/>
                      <w:kern w:val="0"/>
                      <w:szCs w:val="21"/>
                      <w:lang w:eastAsia="zh-CN"/>
                    </w:rPr>
                  </w:pPr>
                  <w:r>
                    <w:rPr>
                      <w:color w:val="auto"/>
                      <w:kern w:val="0"/>
                      <w:szCs w:val="21"/>
                    </w:rPr>
                    <w:t>年耗量</w:t>
                  </w:r>
                  <w:r>
                    <w:rPr>
                      <w:rFonts w:hint="eastAsia"/>
                      <w:color w:val="auto"/>
                      <w:kern w:val="0"/>
                      <w:szCs w:val="21"/>
                      <w:lang w:eastAsia="zh-CN"/>
                    </w:rPr>
                    <w:t>（</w:t>
                  </w:r>
                  <w:r>
                    <w:rPr>
                      <w:color w:val="auto"/>
                      <w:kern w:val="0"/>
                      <w:szCs w:val="21"/>
                    </w:rPr>
                    <w:t>单位</w:t>
                  </w:r>
                  <w:r>
                    <w:rPr>
                      <w:rFonts w:hint="eastAsia"/>
                      <w:color w:val="auto"/>
                      <w:kern w:val="0"/>
                      <w:szCs w:val="21"/>
                      <w:lang w:eastAsia="zh-CN"/>
                    </w:rPr>
                    <w:t>）</w:t>
                  </w:r>
                </w:p>
              </w:tc>
              <w:tc>
                <w:tcPr>
                  <w:tcW w:w="1873" w:type="pct"/>
                  <w:vAlign w:val="center"/>
                </w:tcPr>
                <w:p w14:paraId="3B27809A">
                  <w:pPr>
                    <w:autoSpaceDE w:val="0"/>
                    <w:autoSpaceDN w:val="0"/>
                    <w:jc w:val="center"/>
                    <w:rPr>
                      <w:color w:val="auto"/>
                      <w:kern w:val="0"/>
                      <w:szCs w:val="21"/>
                    </w:rPr>
                  </w:pPr>
                  <w:r>
                    <w:rPr>
                      <w:color w:val="auto"/>
                      <w:kern w:val="0"/>
                      <w:szCs w:val="21"/>
                    </w:rPr>
                    <w:t>来源</w:t>
                  </w:r>
                </w:p>
              </w:tc>
              <w:tc>
                <w:tcPr>
                  <w:tcW w:w="669" w:type="pct"/>
                  <w:vAlign w:val="center"/>
                </w:tcPr>
                <w:p w14:paraId="75C97E47">
                  <w:pPr>
                    <w:autoSpaceDE w:val="0"/>
                    <w:autoSpaceDN w:val="0"/>
                    <w:jc w:val="center"/>
                    <w:rPr>
                      <w:color w:val="auto"/>
                      <w:kern w:val="0"/>
                      <w:szCs w:val="21"/>
                    </w:rPr>
                  </w:pPr>
                  <w:r>
                    <w:rPr>
                      <w:color w:val="auto"/>
                      <w:kern w:val="0"/>
                      <w:szCs w:val="21"/>
                    </w:rPr>
                    <w:t>备注</w:t>
                  </w:r>
                </w:p>
              </w:tc>
            </w:tr>
            <w:tr w14:paraId="1C4242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4" w:type="pct"/>
                  <w:vMerge w:val="restart"/>
                  <w:vAlign w:val="center"/>
                </w:tcPr>
                <w:p w14:paraId="309C5897">
                  <w:pPr>
                    <w:autoSpaceDE w:val="0"/>
                    <w:autoSpaceDN w:val="0"/>
                    <w:jc w:val="center"/>
                    <w:rPr>
                      <w:color w:val="auto"/>
                      <w:kern w:val="0"/>
                      <w:szCs w:val="21"/>
                    </w:rPr>
                  </w:pPr>
                  <w:r>
                    <w:rPr>
                      <w:color w:val="auto"/>
                      <w:kern w:val="0"/>
                      <w:szCs w:val="21"/>
                    </w:rPr>
                    <w:t>动力消耗</w:t>
                  </w:r>
                </w:p>
              </w:tc>
              <w:tc>
                <w:tcPr>
                  <w:tcW w:w="676" w:type="pct"/>
                  <w:vAlign w:val="center"/>
                </w:tcPr>
                <w:p w14:paraId="783C4898">
                  <w:pPr>
                    <w:autoSpaceDE w:val="0"/>
                    <w:autoSpaceDN w:val="0"/>
                    <w:jc w:val="center"/>
                    <w:rPr>
                      <w:color w:val="auto"/>
                      <w:kern w:val="0"/>
                      <w:szCs w:val="21"/>
                    </w:rPr>
                  </w:pPr>
                  <w:r>
                    <w:rPr>
                      <w:color w:val="auto"/>
                      <w:kern w:val="0"/>
                      <w:szCs w:val="21"/>
                    </w:rPr>
                    <w:t>电</w:t>
                  </w:r>
                </w:p>
              </w:tc>
              <w:tc>
                <w:tcPr>
                  <w:tcW w:w="1109" w:type="pct"/>
                  <w:vAlign w:val="center"/>
                </w:tcPr>
                <w:p w14:paraId="4B6B1C41">
                  <w:pPr>
                    <w:autoSpaceDE w:val="0"/>
                    <w:autoSpaceDN w:val="0"/>
                    <w:jc w:val="center"/>
                    <w:rPr>
                      <w:color w:val="auto"/>
                      <w:kern w:val="0"/>
                      <w:szCs w:val="21"/>
                    </w:rPr>
                  </w:pPr>
                  <w:r>
                    <w:rPr>
                      <w:color w:val="auto"/>
                      <w:kern w:val="0"/>
                      <w:szCs w:val="21"/>
                    </w:rPr>
                    <w:t>50000KWh</w:t>
                  </w:r>
                </w:p>
              </w:tc>
              <w:tc>
                <w:tcPr>
                  <w:tcW w:w="1873" w:type="pct"/>
                  <w:vAlign w:val="center"/>
                </w:tcPr>
                <w:p w14:paraId="59202BF0">
                  <w:pPr>
                    <w:autoSpaceDE w:val="0"/>
                    <w:autoSpaceDN w:val="0"/>
                    <w:jc w:val="center"/>
                    <w:rPr>
                      <w:color w:val="auto"/>
                      <w:kern w:val="0"/>
                      <w:szCs w:val="21"/>
                    </w:rPr>
                  </w:pPr>
                  <w:r>
                    <w:rPr>
                      <w:color w:val="auto"/>
                      <w:kern w:val="0"/>
                      <w:szCs w:val="21"/>
                    </w:rPr>
                    <w:t>当地电网供给</w:t>
                  </w:r>
                </w:p>
              </w:tc>
              <w:tc>
                <w:tcPr>
                  <w:tcW w:w="669" w:type="pct"/>
                  <w:vAlign w:val="center"/>
                </w:tcPr>
                <w:p w14:paraId="7F8E068D">
                  <w:pPr>
                    <w:autoSpaceDE w:val="0"/>
                    <w:autoSpaceDN w:val="0"/>
                    <w:jc w:val="center"/>
                    <w:rPr>
                      <w:color w:val="auto"/>
                      <w:kern w:val="0"/>
                      <w:szCs w:val="21"/>
                    </w:rPr>
                  </w:pPr>
                  <w:r>
                    <w:rPr>
                      <w:color w:val="auto"/>
                      <w:kern w:val="0"/>
                      <w:szCs w:val="21"/>
                    </w:rPr>
                    <w:t>/</w:t>
                  </w:r>
                </w:p>
              </w:tc>
            </w:tr>
            <w:tr w14:paraId="22F217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4" w:type="pct"/>
                  <w:vMerge w:val="continue"/>
                  <w:vAlign w:val="center"/>
                </w:tcPr>
                <w:p w14:paraId="002EE9B9">
                  <w:pPr>
                    <w:autoSpaceDE w:val="0"/>
                    <w:autoSpaceDN w:val="0"/>
                    <w:jc w:val="center"/>
                    <w:rPr>
                      <w:color w:val="auto"/>
                      <w:kern w:val="0"/>
                      <w:szCs w:val="21"/>
                    </w:rPr>
                  </w:pPr>
                </w:p>
              </w:tc>
              <w:tc>
                <w:tcPr>
                  <w:tcW w:w="676" w:type="pct"/>
                  <w:vAlign w:val="center"/>
                </w:tcPr>
                <w:p w14:paraId="543FA80A">
                  <w:pPr>
                    <w:autoSpaceDE w:val="0"/>
                    <w:autoSpaceDN w:val="0"/>
                    <w:jc w:val="center"/>
                    <w:rPr>
                      <w:color w:val="auto"/>
                      <w:kern w:val="0"/>
                      <w:szCs w:val="21"/>
                    </w:rPr>
                  </w:pPr>
                  <w:r>
                    <w:rPr>
                      <w:color w:val="auto"/>
                      <w:kern w:val="0"/>
                      <w:szCs w:val="21"/>
                    </w:rPr>
                    <w:t>新水</w:t>
                  </w:r>
                </w:p>
              </w:tc>
              <w:tc>
                <w:tcPr>
                  <w:tcW w:w="1109" w:type="pct"/>
                  <w:vAlign w:val="center"/>
                </w:tcPr>
                <w:p w14:paraId="24F748C2">
                  <w:pPr>
                    <w:autoSpaceDE w:val="0"/>
                    <w:autoSpaceDN w:val="0"/>
                    <w:jc w:val="center"/>
                    <w:rPr>
                      <w:color w:val="auto"/>
                      <w:kern w:val="0"/>
                      <w:szCs w:val="21"/>
                    </w:rPr>
                  </w:pPr>
                  <w:r>
                    <w:rPr>
                      <w:rFonts w:hint="eastAsia"/>
                      <w:color w:val="auto"/>
                      <w:kern w:val="0"/>
                      <w:szCs w:val="21"/>
                    </w:rPr>
                    <w:t>4701.9</w:t>
                  </w:r>
                  <w:r>
                    <w:rPr>
                      <w:color w:val="auto"/>
                      <w:kern w:val="0"/>
                      <w:szCs w:val="21"/>
                    </w:rPr>
                    <w:t>m</w:t>
                  </w:r>
                  <w:r>
                    <w:rPr>
                      <w:color w:val="auto"/>
                      <w:kern w:val="0"/>
                      <w:szCs w:val="21"/>
                      <w:vertAlign w:val="superscript"/>
                    </w:rPr>
                    <w:t>3</w:t>
                  </w:r>
                  <w:r>
                    <w:rPr>
                      <w:color w:val="auto"/>
                      <w:kern w:val="0"/>
                      <w:szCs w:val="21"/>
                    </w:rPr>
                    <w:t>/a</w:t>
                  </w:r>
                </w:p>
                <w:p w14:paraId="5F86A2DF">
                  <w:pPr>
                    <w:autoSpaceDE w:val="0"/>
                    <w:autoSpaceDN w:val="0"/>
                    <w:jc w:val="center"/>
                    <w:rPr>
                      <w:rFonts w:hint="eastAsia" w:eastAsia="宋体"/>
                      <w:color w:val="auto"/>
                      <w:kern w:val="0"/>
                      <w:szCs w:val="21"/>
                      <w:lang w:eastAsia="zh-CN"/>
                    </w:rPr>
                  </w:pPr>
                  <w:r>
                    <w:rPr>
                      <w:rFonts w:hint="eastAsia"/>
                      <w:color w:val="auto"/>
                      <w:kern w:val="0"/>
                      <w:szCs w:val="21"/>
                      <w:lang w:eastAsia="zh-CN"/>
                    </w:rPr>
                    <w:t>（</w:t>
                  </w:r>
                  <w:r>
                    <w:rPr>
                      <w:color w:val="auto"/>
                      <w:kern w:val="0"/>
                      <w:szCs w:val="21"/>
                    </w:rPr>
                    <w:t>含生产用水</w:t>
                  </w:r>
                  <w:r>
                    <w:rPr>
                      <w:rFonts w:hint="eastAsia"/>
                      <w:color w:val="auto"/>
                      <w:kern w:val="0"/>
                      <w:szCs w:val="21"/>
                      <w:lang w:eastAsia="zh-CN"/>
                    </w:rPr>
                    <w:t>）</w:t>
                  </w:r>
                </w:p>
              </w:tc>
              <w:tc>
                <w:tcPr>
                  <w:tcW w:w="1873" w:type="pct"/>
                  <w:vAlign w:val="center"/>
                </w:tcPr>
                <w:p w14:paraId="77F55679">
                  <w:pPr>
                    <w:autoSpaceDE w:val="0"/>
                    <w:autoSpaceDN w:val="0"/>
                    <w:jc w:val="center"/>
                    <w:rPr>
                      <w:color w:val="auto"/>
                      <w:kern w:val="0"/>
                      <w:szCs w:val="21"/>
                    </w:rPr>
                  </w:pPr>
                  <w:r>
                    <w:rPr>
                      <w:rFonts w:hint="eastAsia"/>
                      <w:color w:val="auto"/>
                      <w:kern w:val="0"/>
                      <w:szCs w:val="21"/>
                      <w:lang w:eastAsia="zh-CN"/>
                    </w:rPr>
                    <w:t>厂区生活用水为</w:t>
                  </w:r>
                  <w:r>
                    <w:rPr>
                      <w:rFonts w:hint="eastAsia"/>
                      <w:color w:val="auto"/>
                      <w:kern w:val="0"/>
                      <w:szCs w:val="21"/>
                    </w:rPr>
                    <w:t>外购桶装水</w:t>
                  </w:r>
                  <w:r>
                    <w:rPr>
                      <w:color w:val="auto"/>
                      <w:kern w:val="0"/>
                      <w:szCs w:val="21"/>
                    </w:rPr>
                    <w:t>，生产用水为外购中水。</w:t>
                  </w:r>
                </w:p>
              </w:tc>
              <w:tc>
                <w:tcPr>
                  <w:tcW w:w="669" w:type="pct"/>
                  <w:vAlign w:val="center"/>
                </w:tcPr>
                <w:p w14:paraId="1046A6AF">
                  <w:pPr>
                    <w:autoSpaceDE w:val="0"/>
                    <w:autoSpaceDN w:val="0"/>
                    <w:jc w:val="center"/>
                    <w:rPr>
                      <w:color w:val="auto"/>
                      <w:kern w:val="0"/>
                      <w:szCs w:val="21"/>
                    </w:rPr>
                  </w:pPr>
                  <w:r>
                    <w:rPr>
                      <w:color w:val="auto"/>
                      <w:kern w:val="0"/>
                      <w:szCs w:val="21"/>
                    </w:rPr>
                    <w:t>/</w:t>
                  </w:r>
                </w:p>
              </w:tc>
            </w:tr>
          </w:tbl>
          <w:p w14:paraId="119CC996">
            <w:pPr>
              <w:spacing w:line="360" w:lineRule="auto"/>
              <w:jc w:val="left"/>
              <w:rPr>
                <w:b/>
                <w:bCs/>
                <w:color w:val="auto"/>
                <w:sz w:val="24"/>
              </w:rPr>
            </w:pPr>
            <w:r>
              <w:rPr>
                <w:rFonts w:hint="eastAsia"/>
                <w:b/>
                <w:bCs/>
                <w:color w:val="auto"/>
                <w:sz w:val="24"/>
                <w:lang w:val="en-US" w:eastAsia="zh-CN"/>
              </w:rPr>
              <w:t>5.</w:t>
            </w:r>
            <w:r>
              <w:rPr>
                <w:b/>
                <w:bCs/>
                <w:color w:val="auto"/>
                <w:sz w:val="24"/>
              </w:rPr>
              <w:t>主要生产设备</w:t>
            </w:r>
          </w:p>
          <w:p w14:paraId="5D55F4C6">
            <w:pPr>
              <w:spacing w:line="360" w:lineRule="auto"/>
              <w:ind w:firstLine="480" w:firstLineChars="200"/>
              <w:jc w:val="left"/>
              <w:rPr>
                <w:bCs/>
                <w:color w:val="auto"/>
                <w:sz w:val="24"/>
              </w:rPr>
            </w:pPr>
            <w:r>
              <w:rPr>
                <w:bCs/>
                <w:color w:val="auto"/>
                <w:sz w:val="24"/>
              </w:rPr>
              <w:t>本项目各种设备以国内先进设备为主，完全能够满足本项目所制定的产品方案要求，也可适应生产品种的变化要求。主要设备选择如下：</w:t>
            </w:r>
          </w:p>
          <w:p w14:paraId="35448507">
            <w:pPr>
              <w:pStyle w:val="23"/>
              <w:rPr>
                <w:color w:val="auto"/>
              </w:rPr>
            </w:pPr>
            <w:r>
              <w:rPr>
                <w:color w:val="auto"/>
              </w:rPr>
              <w:t>表2-5 项目主要设备一览表</w:t>
            </w:r>
          </w:p>
          <w:tbl>
            <w:tblPr>
              <w:tblStyle w:val="1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26"/>
              <w:gridCol w:w="3362"/>
              <w:gridCol w:w="1633"/>
              <w:gridCol w:w="1618"/>
            </w:tblGrid>
            <w:tr w14:paraId="2F7391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5A4C96A9">
                  <w:pPr>
                    <w:topLinePunct/>
                    <w:jc w:val="center"/>
                    <w:rPr>
                      <w:color w:val="auto"/>
                      <w:szCs w:val="21"/>
                    </w:rPr>
                  </w:pPr>
                  <w:bookmarkStart w:id="7" w:name="_Hlk137585380"/>
                  <w:r>
                    <w:rPr>
                      <w:color w:val="auto"/>
                      <w:szCs w:val="21"/>
                    </w:rPr>
                    <w:t>序号</w:t>
                  </w:r>
                </w:p>
              </w:tc>
              <w:tc>
                <w:tcPr>
                  <w:tcW w:w="2040" w:type="pct"/>
                  <w:vAlign w:val="center"/>
                </w:tcPr>
                <w:p w14:paraId="62430C9A">
                  <w:pPr>
                    <w:kinsoku w:val="0"/>
                    <w:overflowPunct w:val="0"/>
                    <w:autoSpaceDE w:val="0"/>
                    <w:autoSpaceDN w:val="0"/>
                    <w:adjustRightInd w:val="0"/>
                    <w:snapToGrid w:val="0"/>
                    <w:jc w:val="center"/>
                    <w:rPr>
                      <w:color w:val="auto"/>
                      <w:kern w:val="0"/>
                      <w:szCs w:val="21"/>
                    </w:rPr>
                  </w:pPr>
                  <w:r>
                    <w:rPr>
                      <w:color w:val="auto"/>
                      <w:kern w:val="0"/>
                      <w:szCs w:val="21"/>
                    </w:rPr>
                    <w:t>名称</w:t>
                  </w:r>
                </w:p>
              </w:tc>
              <w:tc>
                <w:tcPr>
                  <w:tcW w:w="991" w:type="pct"/>
                  <w:vAlign w:val="center"/>
                </w:tcPr>
                <w:p w14:paraId="5A4009AD">
                  <w:pPr>
                    <w:kinsoku w:val="0"/>
                    <w:overflowPunct w:val="0"/>
                    <w:autoSpaceDE w:val="0"/>
                    <w:autoSpaceDN w:val="0"/>
                    <w:adjustRightInd w:val="0"/>
                    <w:snapToGrid w:val="0"/>
                    <w:jc w:val="center"/>
                    <w:rPr>
                      <w:color w:val="auto"/>
                      <w:kern w:val="0"/>
                      <w:szCs w:val="21"/>
                    </w:rPr>
                  </w:pPr>
                  <w:r>
                    <w:rPr>
                      <w:color w:val="auto"/>
                      <w:kern w:val="0"/>
                      <w:szCs w:val="21"/>
                    </w:rPr>
                    <w:t>数量</w:t>
                  </w:r>
                </w:p>
              </w:tc>
              <w:tc>
                <w:tcPr>
                  <w:tcW w:w="982" w:type="pct"/>
                  <w:vAlign w:val="center"/>
                </w:tcPr>
                <w:p w14:paraId="67F169EF">
                  <w:pPr>
                    <w:kinsoku w:val="0"/>
                    <w:overflowPunct w:val="0"/>
                    <w:autoSpaceDE w:val="0"/>
                    <w:autoSpaceDN w:val="0"/>
                    <w:adjustRightInd w:val="0"/>
                    <w:snapToGrid w:val="0"/>
                    <w:jc w:val="center"/>
                    <w:rPr>
                      <w:color w:val="auto"/>
                      <w:kern w:val="0"/>
                      <w:szCs w:val="21"/>
                    </w:rPr>
                  </w:pPr>
                  <w:r>
                    <w:rPr>
                      <w:color w:val="auto"/>
                      <w:kern w:val="0"/>
                      <w:szCs w:val="21"/>
                    </w:rPr>
                    <w:t>单位</w:t>
                  </w:r>
                </w:p>
              </w:tc>
            </w:tr>
            <w:tr w14:paraId="1E779F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790E4C1A">
                  <w:pPr>
                    <w:topLinePunct/>
                    <w:jc w:val="center"/>
                    <w:rPr>
                      <w:color w:val="auto"/>
                      <w:szCs w:val="21"/>
                    </w:rPr>
                  </w:pPr>
                  <w:r>
                    <w:rPr>
                      <w:color w:val="auto"/>
                      <w:szCs w:val="21"/>
                    </w:rPr>
                    <w:t>1</w:t>
                  </w:r>
                </w:p>
              </w:tc>
              <w:tc>
                <w:tcPr>
                  <w:tcW w:w="2040" w:type="pct"/>
                  <w:vAlign w:val="center"/>
                </w:tcPr>
                <w:p w14:paraId="3AE6A1F1">
                  <w:pPr>
                    <w:kinsoku w:val="0"/>
                    <w:overflowPunct w:val="0"/>
                    <w:autoSpaceDE w:val="0"/>
                    <w:autoSpaceDN w:val="0"/>
                    <w:adjustRightInd w:val="0"/>
                    <w:snapToGrid w:val="0"/>
                    <w:jc w:val="center"/>
                    <w:rPr>
                      <w:color w:val="auto"/>
                      <w:kern w:val="0"/>
                      <w:szCs w:val="21"/>
                    </w:rPr>
                  </w:pPr>
                  <w:r>
                    <w:rPr>
                      <w:bCs/>
                      <w:color w:val="auto"/>
                      <w:kern w:val="0"/>
                      <w:szCs w:val="21"/>
                    </w:rPr>
                    <w:t>90型混凝土拌合站</w:t>
                  </w:r>
                </w:p>
              </w:tc>
              <w:tc>
                <w:tcPr>
                  <w:tcW w:w="991" w:type="pct"/>
                  <w:vAlign w:val="center"/>
                </w:tcPr>
                <w:p w14:paraId="43320689">
                  <w:pPr>
                    <w:kinsoku w:val="0"/>
                    <w:overflowPunct w:val="0"/>
                    <w:autoSpaceDE w:val="0"/>
                    <w:autoSpaceDN w:val="0"/>
                    <w:adjustRightInd w:val="0"/>
                    <w:snapToGrid w:val="0"/>
                    <w:jc w:val="center"/>
                    <w:rPr>
                      <w:color w:val="auto"/>
                      <w:kern w:val="0"/>
                      <w:szCs w:val="21"/>
                    </w:rPr>
                  </w:pPr>
                  <w:r>
                    <w:rPr>
                      <w:color w:val="auto"/>
                      <w:kern w:val="0"/>
                      <w:szCs w:val="21"/>
                    </w:rPr>
                    <w:t>1</w:t>
                  </w:r>
                </w:p>
              </w:tc>
              <w:tc>
                <w:tcPr>
                  <w:tcW w:w="982" w:type="pct"/>
                  <w:vAlign w:val="center"/>
                </w:tcPr>
                <w:p w14:paraId="1F72DEC6">
                  <w:pPr>
                    <w:kinsoku w:val="0"/>
                    <w:overflowPunct w:val="0"/>
                    <w:autoSpaceDE w:val="0"/>
                    <w:autoSpaceDN w:val="0"/>
                    <w:adjustRightInd w:val="0"/>
                    <w:snapToGrid w:val="0"/>
                    <w:jc w:val="center"/>
                    <w:rPr>
                      <w:color w:val="auto"/>
                      <w:kern w:val="0"/>
                      <w:szCs w:val="21"/>
                    </w:rPr>
                  </w:pPr>
                  <w:r>
                    <w:rPr>
                      <w:color w:val="auto"/>
                      <w:kern w:val="0"/>
                      <w:szCs w:val="21"/>
                    </w:rPr>
                    <w:t>套</w:t>
                  </w:r>
                </w:p>
              </w:tc>
            </w:tr>
            <w:tr w14:paraId="794515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3588FC26">
                  <w:pPr>
                    <w:topLinePunct/>
                    <w:jc w:val="center"/>
                    <w:rPr>
                      <w:color w:val="auto"/>
                      <w:szCs w:val="21"/>
                    </w:rPr>
                  </w:pPr>
                  <w:r>
                    <w:rPr>
                      <w:color w:val="auto"/>
                      <w:szCs w:val="21"/>
                    </w:rPr>
                    <w:t>2</w:t>
                  </w:r>
                </w:p>
              </w:tc>
              <w:tc>
                <w:tcPr>
                  <w:tcW w:w="2040" w:type="pct"/>
                  <w:vAlign w:val="center"/>
                </w:tcPr>
                <w:p w14:paraId="62240852">
                  <w:pPr>
                    <w:kinsoku w:val="0"/>
                    <w:overflowPunct w:val="0"/>
                    <w:autoSpaceDE w:val="0"/>
                    <w:autoSpaceDN w:val="0"/>
                    <w:adjustRightInd w:val="0"/>
                    <w:snapToGrid w:val="0"/>
                    <w:jc w:val="center"/>
                    <w:rPr>
                      <w:color w:val="auto"/>
                      <w:kern w:val="0"/>
                      <w:szCs w:val="21"/>
                    </w:rPr>
                  </w:pPr>
                  <w:r>
                    <w:rPr>
                      <w:bCs/>
                      <w:color w:val="auto"/>
                      <w:kern w:val="0"/>
                      <w:szCs w:val="21"/>
                    </w:rPr>
                    <w:t>600型水泥稳定土拌合站</w:t>
                  </w:r>
                </w:p>
              </w:tc>
              <w:tc>
                <w:tcPr>
                  <w:tcW w:w="991" w:type="pct"/>
                  <w:vAlign w:val="center"/>
                </w:tcPr>
                <w:p w14:paraId="04613C0E">
                  <w:pPr>
                    <w:kinsoku w:val="0"/>
                    <w:overflowPunct w:val="0"/>
                    <w:autoSpaceDE w:val="0"/>
                    <w:autoSpaceDN w:val="0"/>
                    <w:adjustRightInd w:val="0"/>
                    <w:snapToGrid w:val="0"/>
                    <w:jc w:val="center"/>
                    <w:rPr>
                      <w:color w:val="auto"/>
                      <w:kern w:val="0"/>
                      <w:szCs w:val="21"/>
                    </w:rPr>
                  </w:pPr>
                  <w:r>
                    <w:rPr>
                      <w:color w:val="auto"/>
                      <w:kern w:val="0"/>
                      <w:szCs w:val="21"/>
                    </w:rPr>
                    <w:t>1</w:t>
                  </w:r>
                </w:p>
              </w:tc>
              <w:tc>
                <w:tcPr>
                  <w:tcW w:w="982" w:type="pct"/>
                  <w:vAlign w:val="center"/>
                </w:tcPr>
                <w:p w14:paraId="7AB63DD3">
                  <w:pPr>
                    <w:kinsoku w:val="0"/>
                    <w:overflowPunct w:val="0"/>
                    <w:autoSpaceDE w:val="0"/>
                    <w:autoSpaceDN w:val="0"/>
                    <w:adjustRightInd w:val="0"/>
                    <w:snapToGrid w:val="0"/>
                    <w:jc w:val="center"/>
                    <w:rPr>
                      <w:color w:val="auto"/>
                      <w:kern w:val="0"/>
                      <w:szCs w:val="21"/>
                    </w:rPr>
                  </w:pPr>
                  <w:r>
                    <w:rPr>
                      <w:color w:val="auto"/>
                      <w:kern w:val="0"/>
                      <w:szCs w:val="21"/>
                    </w:rPr>
                    <w:t>套</w:t>
                  </w:r>
                </w:p>
              </w:tc>
            </w:tr>
            <w:tr w14:paraId="6ECF88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1F1FD8F6">
                  <w:pPr>
                    <w:topLinePunct/>
                    <w:jc w:val="center"/>
                    <w:rPr>
                      <w:color w:val="auto"/>
                      <w:szCs w:val="21"/>
                    </w:rPr>
                  </w:pPr>
                  <w:r>
                    <w:rPr>
                      <w:color w:val="auto"/>
                      <w:szCs w:val="21"/>
                    </w:rPr>
                    <w:t>3</w:t>
                  </w:r>
                </w:p>
              </w:tc>
              <w:tc>
                <w:tcPr>
                  <w:tcW w:w="2040" w:type="pct"/>
                  <w:vAlign w:val="center"/>
                </w:tcPr>
                <w:p w14:paraId="057252AE">
                  <w:pPr>
                    <w:kinsoku w:val="0"/>
                    <w:overflowPunct w:val="0"/>
                    <w:autoSpaceDE w:val="0"/>
                    <w:autoSpaceDN w:val="0"/>
                    <w:adjustRightInd w:val="0"/>
                    <w:snapToGrid w:val="0"/>
                    <w:jc w:val="center"/>
                    <w:rPr>
                      <w:color w:val="auto"/>
                      <w:kern w:val="0"/>
                      <w:szCs w:val="21"/>
                    </w:rPr>
                  </w:pPr>
                  <w:r>
                    <w:rPr>
                      <w:color w:val="auto"/>
                      <w:kern w:val="0"/>
                      <w:szCs w:val="21"/>
                    </w:rPr>
                    <w:t>筒仓</w:t>
                  </w:r>
                </w:p>
              </w:tc>
              <w:tc>
                <w:tcPr>
                  <w:tcW w:w="991" w:type="pct"/>
                  <w:vAlign w:val="center"/>
                </w:tcPr>
                <w:p w14:paraId="0339C2A0">
                  <w:pPr>
                    <w:kinsoku w:val="0"/>
                    <w:overflowPunct w:val="0"/>
                    <w:autoSpaceDE w:val="0"/>
                    <w:autoSpaceDN w:val="0"/>
                    <w:adjustRightInd w:val="0"/>
                    <w:snapToGrid w:val="0"/>
                    <w:jc w:val="center"/>
                    <w:rPr>
                      <w:color w:val="auto"/>
                      <w:kern w:val="0"/>
                      <w:szCs w:val="21"/>
                    </w:rPr>
                  </w:pPr>
                  <w:r>
                    <w:rPr>
                      <w:rFonts w:hint="eastAsia"/>
                      <w:color w:val="auto"/>
                      <w:kern w:val="0"/>
                      <w:szCs w:val="21"/>
                    </w:rPr>
                    <w:t>4</w:t>
                  </w:r>
                </w:p>
              </w:tc>
              <w:tc>
                <w:tcPr>
                  <w:tcW w:w="982" w:type="pct"/>
                  <w:vAlign w:val="center"/>
                </w:tcPr>
                <w:p w14:paraId="40527011">
                  <w:pPr>
                    <w:kinsoku w:val="0"/>
                    <w:overflowPunct w:val="0"/>
                    <w:autoSpaceDE w:val="0"/>
                    <w:autoSpaceDN w:val="0"/>
                    <w:adjustRightInd w:val="0"/>
                    <w:snapToGrid w:val="0"/>
                    <w:jc w:val="center"/>
                    <w:rPr>
                      <w:color w:val="auto"/>
                      <w:kern w:val="0"/>
                      <w:szCs w:val="21"/>
                    </w:rPr>
                  </w:pPr>
                  <w:r>
                    <w:rPr>
                      <w:color w:val="auto"/>
                      <w:kern w:val="0"/>
                      <w:szCs w:val="21"/>
                    </w:rPr>
                    <w:t>个</w:t>
                  </w:r>
                </w:p>
              </w:tc>
            </w:tr>
            <w:tr w14:paraId="00C957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37A8DA19">
                  <w:pPr>
                    <w:topLinePunct/>
                    <w:jc w:val="center"/>
                    <w:rPr>
                      <w:color w:val="auto"/>
                      <w:szCs w:val="21"/>
                    </w:rPr>
                  </w:pPr>
                  <w:r>
                    <w:rPr>
                      <w:color w:val="auto"/>
                      <w:szCs w:val="21"/>
                    </w:rPr>
                    <w:t>4</w:t>
                  </w:r>
                </w:p>
              </w:tc>
              <w:tc>
                <w:tcPr>
                  <w:tcW w:w="2040" w:type="pct"/>
                  <w:vAlign w:val="center"/>
                </w:tcPr>
                <w:p w14:paraId="1B66FC5D">
                  <w:pPr>
                    <w:kinsoku w:val="0"/>
                    <w:overflowPunct w:val="0"/>
                    <w:autoSpaceDE w:val="0"/>
                    <w:autoSpaceDN w:val="0"/>
                    <w:adjustRightInd w:val="0"/>
                    <w:snapToGrid w:val="0"/>
                    <w:jc w:val="center"/>
                    <w:rPr>
                      <w:color w:val="auto"/>
                      <w:kern w:val="0"/>
                      <w:szCs w:val="21"/>
                    </w:rPr>
                  </w:pPr>
                  <w:r>
                    <w:rPr>
                      <w:color w:val="auto"/>
                      <w:kern w:val="0"/>
                      <w:szCs w:val="21"/>
                    </w:rPr>
                    <w:t>搅拌运输车</w:t>
                  </w:r>
                </w:p>
              </w:tc>
              <w:tc>
                <w:tcPr>
                  <w:tcW w:w="991" w:type="pct"/>
                  <w:vAlign w:val="center"/>
                </w:tcPr>
                <w:p w14:paraId="1924DD99">
                  <w:pPr>
                    <w:kinsoku w:val="0"/>
                    <w:overflowPunct w:val="0"/>
                    <w:autoSpaceDE w:val="0"/>
                    <w:autoSpaceDN w:val="0"/>
                    <w:adjustRightInd w:val="0"/>
                    <w:snapToGrid w:val="0"/>
                    <w:jc w:val="center"/>
                    <w:rPr>
                      <w:color w:val="auto"/>
                      <w:kern w:val="0"/>
                      <w:szCs w:val="21"/>
                    </w:rPr>
                  </w:pPr>
                  <w:r>
                    <w:rPr>
                      <w:color w:val="auto"/>
                      <w:kern w:val="0"/>
                      <w:szCs w:val="21"/>
                    </w:rPr>
                    <w:t>10</w:t>
                  </w:r>
                </w:p>
              </w:tc>
              <w:tc>
                <w:tcPr>
                  <w:tcW w:w="982" w:type="pct"/>
                  <w:vAlign w:val="center"/>
                </w:tcPr>
                <w:p w14:paraId="31781BF0">
                  <w:pPr>
                    <w:kinsoku w:val="0"/>
                    <w:overflowPunct w:val="0"/>
                    <w:autoSpaceDE w:val="0"/>
                    <w:autoSpaceDN w:val="0"/>
                    <w:adjustRightInd w:val="0"/>
                    <w:snapToGrid w:val="0"/>
                    <w:jc w:val="center"/>
                    <w:rPr>
                      <w:color w:val="auto"/>
                      <w:kern w:val="0"/>
                      <w:szCs w:val="21"/>
                    </w:rPr>
                  </w:pPr>
                  <w:r>
                    <w:rPr>
                      <w:color w:val="auto"/>
                      <w:kern w:val="0"/>
                      <w:szCs w:val="21"/>
                    </w:rPr>
                    <w:t>台</w:t>
                  </w:r>
                </w:p>
              </w:tc>
            </w:tr>
            <w:tr w14:paraId="6B2027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2F2418DA">
                  <w:pPr>
                    <w:topLinePunct/>
                    <w:jc w:val="center"/>
                    <w:rPr>
                      <w:color w:val="auto"/>
                      <w:szCs w:val="21"/>
                    </w:rPr>
                  </w:pPr>
                  <w:r>
                    <w:rPr>
                      <w:color w:val="auto"/>
                      <w:szCs w:val="21"/>
                    </w:rPr>
                    <w:t>5</w:t>
                  </w:r>
                </w:p>
              </w:tc>
              <w:tc>
                <w:tcPr>
                  <w:tcW w:w="2040" w:type="pct"/>
                  <w:vAlign w:val="center"/>
                </w:tcPr>
                <w:p w14:paraId="2BB1F571">
                  <w:pPr>
                    <w:kinsoku w:val="0"/>
                    <w:overflowPunct w:val="0"/>
                    <w:autoSpaceDE w:val="0"/>
                    <w:autoSpaceDN w:val="0"/>
                    <w:adjustRightInd w:val="0"/>
                    <w:snapToGrid w:val="0"/>
                    <w:jc w:val="center"/>
                    <w:rPr>
                      <w:color w:val="auto"/>
                      <w:kern w:val="0"/>
                      <w:szCs w:val="21"/>
                    </w:rPr>
                  </w:pPr>
                  <w:r>
                    <w:rPr>
                      <w:color w:val="auto"/>
                      <w:kern w:val="0"/>
                      <w:szCs w:val="21"/>
                    </w:rPr>
                    <w:t>配料斗</w:t>
                  </w:r>
                </w:p>
              </w:tc>
              <w:tc>
                <w:tcPr>
                  <w:tcW w:w="991" w:type="pct"/>
                  <w:vAlign w:val="center"/>
                </w:tcPr>
                <w:p w14:paraId="79BD5F46">
                  <w:pPr>
                    <w:kinsoku w:val="0"/>
                    <w:overflowPunct w:val="0"/>
                    <w:autoSpaceDE w:val="0"/>
                    <w:autoSpaceDN w:val="0"/>
                    <w:adjustRightInd w:val="0"/>
                    <w:snapToGrid w:val="0"/>
                    <w:jc w:val="center"/>
                    <w:rPr>
                      <w:color w:val="auto"/>
                      <w:kern w:val="0"/>
                      <w:szCs w:val="21"/>
                    </w:rPr>
                  </w:pPr>
                  <w:r>
                    <w:rPr>
                      <w:color w:val="auto"/>
                      <w:kern w:val="0"/>
                      <w:szCs w:val="21"/>
                    </w:rPr>
                    <w:t>2</w:t>
                  </w:r>
                </w:p>
              </w:tc>
              <w:tc>
                <w:tcPr>
                  <w:tcW w:w="982" w:type="pct"/>
                  <w:vAlign w:val="center"/>
                </w:tcPr>
                <w:p w14:paraId="53F15374">
                  <w:pPr>
                    <w:kinsoku w:val="0"/>
                    <w:overflowPunct w:val="0"/>
                    <w:autoSpaceDE w:val="0"/>
                    <w:autoSpaceDN w:val="0"/>
                    <w:adjustRightInd w:val="0"/>
                    <w:snapToGrid w:val="0"/>
                    <w:jc w:val="center"/>
                    <w:rPr>
                      <w:color w:val="auto"/>
                      <w:kern w:val="0"/>
                      <w:szCs w:val="21"/>
                    </w:rPr>
                  </w:pPr>
                  <w:r>
                    <w:rPr>
                      <w:color w:val="auto"/>
                      <w:kern w:val="0"/>
                      <w:szCs w:val="21"/>
                    </w:rPr>
                    <w:t>套</w:t>
                  </w:r>
                </w:p>
              </w:tc>
            </w:tr>
            <w:tr w14:paraId="7CAEC4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6EFF43D0">
                  <w:pPr>
                    <w:topLinePunct/>
                    <w:jc w:val="center"/>
                    <w:rPr>
                      <w:color w:val="auto"/>
                      <w:szCs w:val="21"/>
                    </w:rPr>
                  </w:pPr>
                  <w:r>
                    <w:rPr>
                      <w:color w:val="auto"/>
                      <w:szCs w:val="21"/>
                    </w:rPr>
                    <w:t>6</w:t>
                  </w:r>
                </w:p>
              </w:tc>
              <w:tc>
                <w:tcPr>
                  <w:tcW w:w="2040" w:type="pct"/>
                  <w:vAlign w:val="center"/>
                </w:tcPr>
                <w:p w14:paraId="36A04AA8">
                  <w:pPr>
                    <w:kinsoku w:val="0"/>
                    <w:overflowPunct w:val="0"/>
                    <w:autoSpaceDE w:val="0"/>
                    <w:autoSpaceDN w:val="0"/>
                    <w:adjustRightInd w:val="0"/>
                    <w:snapToGrid w:val="0"/>
                    <w:jc w:val="center"/>
                    <w:rPr>
                      <w:color w:val="auto"/>
                      <w:kern w:val="0"/>
                      <w:szCs w:val="21"/>
                    </w:rPr>
                  </w:pPr>
                  <w:r>
                    <w:rPr>
                      <w:color w:val="auto"/>
                      <w:kern w:val="0"/>
                      <w:szCs w:val="21"/>
                    </w:rPr>
                    <w:t>装载机</w:t>
                  </w:r>
                </w:p>
              </w:tc>
              <w:tc>
                <w:tcPr>
                  <w:tcW w:w="991" w:type="pct"/>
                  <w:vAlign w:val="center"/>
                </w:tcPr>
                <w:p w14:paraId="0344180E">
                  <w:pPr>
                    <w:kinsoku w:val="0"/>
                    <w:overflowPunct w:val="0"/>
                    <w:autoSpaceDE w:val="0"/>
                    <w:autoSpaceDN w:val="0"/>
                    <w:adjustRightInd w:val="0"/>
                    <w:snapToGrid w:val="0"/>
                    <w:jc w:val="center"/>
                    <w:rPr>
                      <w:color w:val="auto"/>
                      <w:kern w:val="0"/>
                      <w:szCs w:val="21"/>
                    </w:rPr>
                  </w:pPr>
                  <w:r>
                    <w:rPr>
                      <w:color w:val="auto"/>
                      <w:kern w:val="0"/>
                      <w:szCs w:val="21"/>
                    </w:rPr>
                    <w:t>2</w:t>
                  </w:r>
                </w:p>
              </w:tc>
              <w:tc>
                <w:tcPr>
                  <w:tcW w:w="982" w:type="pct"/>
                  <w:vAlign w:val="center"/>
                </w:tcPr>
                <w:p w14:paraId="52D41197">
                  <w:pPr>
                    <w:kinsoku w:val="0"/>
                    <w:overflowPunct w:val="0"/>
                    <w:autoSpaceDE w:val="0"/>
                    <w:autoSpaceDN w:val="0"/>
                    <w:adjustRightInd w:val="0"/>
                    <w:snapToGrid w:val="0"/>
                    <w:jc w:val="center"/>
                    <w:rPr>
                      <w:color w:val="auto"/>
                      <w:kern w:val="0"/>
                      <w:szCs w:val="21"/>
                    </w:rPr>
                  </w:pPr>
                  <w:r>
                    <w:rPr>
                      <w:color w:val="auto"/>
                      <w:kern w:val="0"/>
                      <w:szCs w:val="21"/>
                    </w:rPr>
                    <w:t>台</w:t>
                  </w:r>
                </w:p>
              </w:tc>
            </w:tr>
            <w:tr w14:paraId="0A53D4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79D986DD">
                  <w:pPr>
                    <w:topLinePunct/>
                    <w:jc w:val="center"/>
                    <w:rPr>
                      <w:color w:val="auto"/>
                      <w:szCs w:val="21"/>
                    </w:rPr>
                  </w:pPr>
                  <w:r>
                    <w:rPr>
                      <w:color w:val="auto"/>
                      <w:szCs w:val="21"/>
                    </w:rPr>
                    <w:t>7</w:t>
                  </w:r>
                </w:p>
              </w:tc>
              <w:tc>
                <w:tcPr>
                  <w:tcW w:w="2040" w:type="pct"/>
                  <w:vAlign w:val="center"/>
                </w:tcPr>
                <w:p w14:paraId="7F380C61">
                  <w:pPr>
                    <w:kinsoku w:val="0"/>
                    <w:overflowPunct w:val="0"/>
                    <w:autoSpaceDE w:val="0"/>
                    <w:autoSpaceDN w:val="0"/>
                    <w:adjustRightInd w:val="0"/>
                    <w:snapToGrid w:val="0"/>
                    <w:jc w:val="center"/>
                    <w:rPr>
                      <w:color w:val="auto"/>
                      <w:kern w:val="0"/>
                      <w:szCs w:val="21"/>
                    </w:rPr>
                  </w:pPr>
                  <w:r>
                    <w:rPr>
                      <w:color w:val="auto"/>
                      <w:kern w:val="0"/>
                      <w:szCs w:val="21"/>
                    </w:rPr>
                    <w:t>实验设备</w:t>
                  </w:r>
                </w:p>
              </w:tc>
              <w:tc>
                <w:tcPr>
                  <w:tcW w:w="991" w:type="pct"/>
                  <w:vAlign w:val="center"/>
                </w:tcPr>
                <w:p w14:paraId="7AB81070">
                  <w:pPr>
                    <w:kinsoku w:val="0"/>
                    <w:overflowPunct w:val="0"/>
                    <w:autoSpaceDE w:val="0"/>
                    <w:autoSpaceDN w:val="0"/>
                    <w:adjustRightInd w:val="0"/>
                    <w:snapToGrid w:val="0"/>
                    <w:jc w:val="center"/>
                    <w:rPr>
                      <w:color w:val="auto"/>
                      <w:kern w:val="0"/>
                      <w:szCs w:val="21"/>
                    </w:rPr>
                  </w:pPr>
                  <w:r>
                    <w:rPr>
                      <w:color w:val="auto"/>
                      <w:kern w:val="0"/>
                      <w:szCs w:val="21"/>
                    </w:rPr>
                    <w:t>1</w:t>
                  </w:r>
                </w:p>
              </w:tc>
              <w:tc>
                <w:tcPr>
                  <w:tcW w:w="982" w:type="pct"/>
                  <w:vAlign w:val="center"/>
                </w:tcPr>
                <w:p w14:paraId="0E26C1D0">
                  <w:pPr>
                    <w:kinsoku w:val="0"/>
                    <w:overflowPunct w:val="0"/>
                    <w:autoSpaceDE w:val="0"/>
                    <w:autoSpaceDN w:val="0"/>
                    <w:adjustRightInd w:val="0"/>
                    <w:snapToGrid w:val="0"/>
                    <w:jc w:val="center"/>
                    <w:rPr>
                      <w:color w:val="auto"/>
                      <w:kern w:val="0"/>
                      <w:szCs w:val="21"/>
                    </w:rPr>
                  </w:pPr>
                  <w:r>
                    <w:rPr>
                      <w:color w:val="auto"/>
                      <w:kern w:val="0"/>
                      <w:szCs w:val="21"/>
                    </w:rPr>
                    <w:t>套</w:t>
                  </w:r>
                </w:p>
              </w:tc>
            </w:tr>
            <w:tr w14:paraId="26F1BA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636D28A1">
                  <w:pPr>
                    <w:topLinePunct/>
                    <w:jc w:val="center"/>
                    <w:rPr>
                      <w:color w:val="auto"/>
                      <w:szCs w:val="21"/>
                    </w:rPr>
                  </w:pPr>
                  <w:r>
                    <w:rPr>
                      <w:color w:val="auto"/>
                      <w:szCs w:val="21"/>
                    </w:rPr>
                    <w:t>8</w:t>
                  </w:r>
                </w:p>
              </w:tc>
              <w:tc>
                <w:tcPr>
                  <w:tcW w:w="2040" w:type="pct"/>
                  <w:vAlign w:val="center"/>
                </w:tcPr>
                <w:p w14:paraId="762FC144">
                  <w:pPr>
                    <w:kinsoku w:val="0"/>
                    <w:overflowPunct w:val="0"/>
                    <w:autoSpaceDE w:val="0"/>
                    <w:autoSpaceDN w:val="0"/>
                    <w:adjustRightInd w:val="0"/>
                    <w:snapToGrid w:val="0"/>
                    <w:jc w:val="center"/>
                    <w:rPr>
                      <w:rFonts w:hint="eastAsia" w:eastAsia="宋体"/>
                      <w:color w:val="auto"/>
                      <w:kern w:val="0"/>
                      <w:szCs w:val="21"/>
                      <w:lang w:eastAsia="zh-CN"/>
                    </w:rPr>
                  </w:pPr>
                  <w:r>
                    <w:rPr>
                      <w:color w:val="auto"/>
                      <w:kern w:val="0"/>
                      <w:szCs w:val="21"/>
                    </w:rPr>
                    <w:t>电子汽车衡</w:t>
                  </w:r>
                  <w:r>
                    <w:rPr>
                      <w:rFonts w:hint="eastAsia"/>
                      <w:color w:val="auto"/>
                      <w:kern w:val="0"/>
                      <w:szCs w:val="21"/>
                      <w:lang w:eastAsia="zh-CN"/>
                    </w:rPr>
                    <w:t>（</w:t>
                  </w:r>
                  <w:r>
                    <w:rPr>
                      <w:color w:val="auto"/>
                      <w:kern w:val="0"/>
                      <w:szCs w:val="21"/>
                    </w:rPr>
                    <w:t>地磅</w:t>
                  </w:r>
                  <w:r>
                    <w:rPr>
                      <w:rFonts w:hint="eastAsia"/>
                      <w:color w:val="auto"/>
                      <w:kern w:val="0"/>
                      <w:szCs w:val="21"/>
                      <w:lang w:eastAsia="zh-CN"/>
                    </w:rPr>
                    <w:t>）</w:t>
                  </w:r>
                </w:p>
              </w:tc>
              <w:tc>
                <w:tcPr>
                  <w:tcW w:w="991" w:type="pct"/>
                  <w:vAlign w:val="center"/>
                </w:tcPr>
                <w:p w14:paraId="776D1373">
                  <w:pPr>
                    <w:kinsoku w:val="0"/>
                    <w:overflowPunct w:val="0"/>
                    <w:autoSpaceDE w:val="0"/>
                    <w:autoSpaceDN w:val="0"/>
                    <w:adjustRightInd w:val="0"/>
                    <w:snapToGrid w:val="0"/>
                    <w:jc w:val="center"/>
                    <w:rPr>
                      <w:color w:val="auto"/>
                      <w:kern w:val="0"/>
                      <w:szCs w:val="21"/>
                    </w:rPr>
                  </w:pPr>
                  <w:r>
                    <w:rPr>
                      <w:color w:val="auto"/>
                      <w:kern w:val="0"/>
                      <w:szCs w:val="21"/>
                    </w:rPr>
                    <w:t>1</w:t>
                  </w:r>
                </w:p>
              </w:tc>
              <w:tc>
                <w:tcPr>
                  <w:tcW w:w="982" w:type="pct"/>
                  <w:vAlign w:val="center"/>
                </w:tcPr>
                <w:p w14:paraId="5E630307">
                  <w:pPr>
                    <w:kinsoku w:val="0"/>
                    <w:overflowPunct w:val="0"/>
                    <w:autoSpaceDE w:val="0"/>
                    <w:autoSpaceDN w:val="0"/>
                    <w:adjustRightInd w:val="0"/>
                    <w:snapToGrid w:val="0"/>
                    <w:jc w:val="center"/>
                    <w:rPr>
                      <w:color w:val="auto"/>
                      <w:kern w:val="0"/>
                      <w:szCs w:val="21"/>
                    </w:rPr>
                  </w:pPr>
                  <w:r>
                    <w:rPr>
                      <w:color w:val="auto"/>
                      <w:kern w:val="0"/>
                      <w:szCs w:val="21"/>
                    </w:rPr>
                    <w:t>台</w:t>
                  </w:r>
                </w:p>
              </w:tc>
            </w:tr>
            <w:bookmarkEnd w:id="7"/>
          </w:tbl>
          <w:p w14:paraId="58983B4B">
            <w:pPr>
              <w:adjustRightInd w:val="0"/>
              <w:snapToGrid w:val="0"/>
              <w:spacing w:before="240" w:line="360" w:lineRule="auto"/>
              <w:jc w:val="left"/>
              <w:rPr>
                <w:b/>
                <w:bCs/>
                <w:color w:val="auto"/>
                <w:sz w:val="24"/>
              </w:rPr>
            </w:pPr>
            <w:r>
              <w:rPr>
                <w:rFonts w:hint="eastAsia"/>
                <w:b/>
                <w:bCs/>
                <w:color w:val="auto"/>
                <w:sz w:val="24"/>
                <w:lang w:val="en-US" w:eastAsia="zh-CN"/>
              </w:rPr>
              <w:t>6.</w:t>
            </w:r>
            <w:r>
              <w:rPr>
                <w:b/>
                <w:bCs/>
                <w:color w:val="auto"/>
                <w:sz w:val="24"/>
              </w:rPr>
              <w:t>厂区</w:t>
            </w:r>
            <w:r>
              <w:rPr>
                <w:rFonts w:hint="eastAsia"/>
                <w:b/>
                <w:bCs/>
                <w:color w:val="auto"/>
                <w:sz w:val="24"/>
                <w:lang w:eastAsia="zh-CN"/>
              </w:rPr>
              <w:t>总</w:t>
            </w:r>
            <w:r>
              <w:rPr>
                <w:b/>
                <w:bCs/>
                <w:color w:val="auto"/>
                <w:sz w:val="24"/>
              </w:rPr>
              <w:t>平面布置</w:t>
            </w:r>
          </w:p>
          <w:p w14:paraId="07B339CA">
            <w:pPr>
              <w:adjustRightInd w:val="0"/>
              <w:snapToGrid w:val="0"/>
              <w:spacing w:line="360" w:lineRule="auto"/>
              <w:ind w:firstLine="480" w:firstLineChars="200"/>
              <w:jc w:val="left"/>
              <w:rPr>
                <w:bCs/>
                <w:color w:val="auto"/>
                <w:sz w:val="24"/>
              </w:rPr>
            </w:pPr>
            <w:r>
              <w:rPr>
                <w:bCs/>
                <w:color w:val="auto"/>
                <w:sz w:val="24"/>
              </w:rPr>
              <w:t>本项目总占地面积</w:t>
            </w:r>
            <w:r>
              <w:rPr>
                <w:rFonts w:hint="eastAsia"/>
                <w:bCs/>
                <w:color w:val="auto"/>
                <w:sz w:val="24"/>
              </w:rPr>
              <w:t>10000</w:t>
            </w:r>
            <w:r>
              <w:rPr>
                <w:bCs/>
                <w:color w:val="auto"/>
                <w:sz w:val="24"/>
              </w:rPr>
              <w:t>m</w:t>
            </w:r>
            <w:r>
              <w:rPr>
                <w:bCs/>
                <w:color w:val="auto"/>
                <w:sz w:val="24"/>
                <w:vertAlign w:val="superscript"/>
              </w:rPr>
              <w:t>2</w:t>
            </w:r>
            <w:r>
              <w:rPr>
                <w:bCs/>
                <w:color w:val="auto"/>
                <w:sz w:val="24"/>
              </w:rPr>
              <w:t>，出入口位于场地东北部，西北部为办公生活区，西南部为砂石料场，搅拌机及筒仓布设于厂区东南部。本项目总平面布置基本合理。厂区平面示意</w:t>
            </w:r>
            <w:r>
              <w:rPr>
                <w:rFonts w:hint="eastAsia"/>
                <w:bCs/>
                <w:color w:val="auto"/>
                <w:sz w:val="24"/>
                <w:lang w:eastAsia="zh-CN"/>
              </w:rPr>
              <w:t>图</w:t>
            </w:r>
            <w:r>
              <w:rPr>
                <w:bCs/>
                <w:color w:val="auto"/>
                <w:sz w:val="24"/>
              </w:rPr>
              <w:t>见附图2。</w:t>
            </w:r>
          </w:p>
          <w:p w14:paraId="2AF52D5F">
            <w:pPr>
              <w:adjustRightInd w:val="0"/>
              <w:snapToGrid w:val="0"/>
              <w:spacing w:line="360" w:lineRule="auto"/>
              <w:jc w:val="left"/>
              <w:rPr>
                <w:b/>
                <w:bCs/>
                <w:color w:val="auto"/>
                <w:sz w:val="24"/>
              </w:rPr>
            </w:pPr>
            <w:r>
              <w:rPr>
                <w:rFonts w:hint="eastAsia"/>
                <w:b/>
                <w:bCs/>
                <w:color w:val="auto"/>
                <w:sz w:val="24"/>
                <w:lang w:val="en-US" w:eastAsia="zh-CN"/>
              </w:rPr>
              <w:t>7.</w:t>
            </w:r>
            <w:r>
              <w:rPr>
                <w:b/>
                <w:bCs/>
                <w:color w:val="auto"/>
                <w:sz w:val="24"/>
              </w:rPr>
              <w:t>劳动定员及生产制度</w:t>
            </w:r>
          </w:p>
          <w:p w14:paraId="7C38E050">
            <w:pPr>
              <w:adjustRightInd w:val="0"/>
              <w:snapToGrid w:val="0"/>
              <w:spacing w:line="360" w:lineRule="auto"/>
              <w:ind w:firstLine="480" w:firstLineChars="200"/>
              <w:jc w:val="left"/>
              <w:rPr>
                <w:bCs/>
                <w:color w:val="auto"/>
                <w:sz w:val="24"/>
              </w:rPr>
            </w:pPr>
            <w:r>
              <w:rPr>
                <w:bCs/>
                <w:color w:val="auto"/>
                <w:sz w:val="24"/>
              </w:rPr>
              <w:t>本项目运营期工作人员7名，年工作天数210天，每天工作8小时。</w:t>
            </w:r>
          </w:p>
          <w:p w14:paraId="5731B08B">
            <w:pPr>
              <w:adjustRightInd w:val="0"/>
              <w:snapToGrid w:val="0"/>
              <w:spacing w:line="360" w:lineRule="auto"/>
              <w:jc w:val="left"/>
              <w:rPr>
                <w:b/>
                <w:bCs/>
                <w:color w:val="auto"/>
                <w:sz w:val="24"/>
              </w:rPr>
            </w:pPr>
            <w:r>
              <w:rPr>
                <w:rFonts w:hint="eastAsia"/>
                <w:b/>
                <w:bCs/>
                <w:color w:val="auto"/>
                <w:sz w:val="24"/>
                <w:lang w:val="en-US" w:eastAsia="zh-CN"/>
              </w:rPr>
              <w:t>8.</w:t>
            </w:r>
            <w:r>
              <w:rPr>
                <w:b/>
                <w:bCs/>
                <w:color w:val="auto"/>
                <w:sz w:val="24"/>
              </w:rPr>
              <w:t>公用工程</w:t>
            </w:r>
          </w:p>
          <w:p w14:paraId="0C8F7E87">
            <w:pPr>
              <w:adjustRightInd w:val="0"/>
              <w:snapToGrid w:val="0"/>
              <w:spacing w:line="360" w:lineRule="auto"/>
              <w:ind w:firstLine="480" w:firstLineChars="200"/>
              <w:rPr>
                <w:bCs/>
                <w:color w:val="auto"/>
                <w:sz w:val="24"/>
              </w:rPr>
            </w:pPr>
            <w:r>
              <w:rPr>
                <w:rFonts w:hint="eastAsia"/>
                <w:bCs/>
                <w:color w:val="auto"/>
                <w:sz w:val="24"/>
                <w:lang w:eastAsia="zh-CN"/>
              </w:rPr>
              <w:t>（</w:t>
            </w:r>
            <w:r>
              <w:rPr>
                <w:bCs/>
                <w:color w:val="auto"/>
                <w:sz w:val="24"/>
              </w:rPr>
              <w:t>1</w:t>
            </w:r>
            <w:r>
              <w:rPr>
                <w:rFonts w:hint="eastAsia"/>
                <w:bCs/>
                <w:color w:val="auto"/>
                <w:sz w:val="24"/>
                <w:lang w:eastAsia="zh-CN"/>
              </w:rPr>
              <w:t>）</w:t>
            </w:r>
            <w:r>
              <w:rPr>
                <w:bCs/>
                <w:color w:val="auto"/>
                <w:sz w:val="24"/>
              </w:rPr>
              <w:t>供水</w:t>
            </w:r>
          </w:p>
          <w:p w14:paraId="11CF1864">
            <w:pPr>
              <w:adjustRightInd w:val="0"/>
              <w:snapToGrid w:val="0"/>
              <w:spacing w:line="360" w:lineRule="auto"/>
              <w:ind w:firstLine="480" w:firstLineChars="200"/>
              <w:rPr>
                <w:bCs/>
                <w:color w:val="auto"/>
                <w:sz w:val="24"/>
              </w:rPr>
            </w:pPr>
            <w:r>
              <w:rPr>
                <w:rFonts w:ascii="Cambria Math" w:hAnsi="Cambria Math" w:cs="Cambria Math"/>
                <w:bCs/>
                <w:color w:val="auto"/>
                <w:sz w:val="24"/>
              </w:rPr>
              <w:t>①</w:t>
            </w:r>
            <w:r>
              <w:rPr>
                <w:bCs/>
                <w:color w:val="auto"/>
                <w:sz w:val="24"/>
              </w:rPr>
              <w:t>生产用水</w:t>
            </w:r>
          </w:p>
          <w:p w14:paraId="5F88C8DB">
            <w:pPr>
              <w:adjustRightInd w:val="0"/>
              <w:snapToGrid w:val="0"/>
              <w:spacing w:line="360" w:lineRule="auto"/>
              <w:ind w:firstLine="480" w:firstLineChars="200"/>
              <w:rPr>
                <w:bCs/>
                <w:color w:val="auto"/>
                <w:sz w:val="24"/>
              </w:rPr>
            </w:pPr>
            <w:r>
              <w:rPr>
                <w:bCs/>
                <w:color w:val="auto"/>
                <w:sz w:val="24"/>
              </w:rPr>
              <w:t>生产用水主要是搅拌用水、搅拌机及运输车辆清洗用水、实验室用水、抑尘用水等。</w:t>
            </w:r>
          </w:p>
          <w:p w14:paraId="199122EC">
            <w:pPr>
              <w:adjustRightInd w:val="0"/>
              <w:snapToGrid w:val="0"/>
              <w:spacing w:line="360" w:lineRule="auto"/>
              <w:ind w:firstLine="480" w:firstLineChars="200"/>
              <w:rPr>
                <w:bCs/>
                <w:color w:val="auto"/>
                <w:sz w:val="24"/>
              </w:rPr>
            </w:pPr>
            <w:r>
              <w:rPr>
                <w:bCs/>
                <w:color w:val="auto"/>
                <w:sz w:val="24"/>
              </w:rPr>
              <w:t>搅拌用水：项目建成后年产混凝土1.5万</w:t>
            </w:r>
            <w:r>
              <w:rPr>
                <w:rFonts w:hint="eastAsia"/>
                <w:bCs/>
                <w:color w:val="auto"/>
                <w:sz w:val="24"/>
              </w:rPr>
              <w:t>t</w:t>
            </w:r>
            <w:r>
              <w:rPr>
                <w:bCs/>
                <w:color w:val="auto"/>
                <w:sz w:val="24"/>
              </w:rPr>
              <w:t>，根据查询相关资料得知，一般普通混凝土的密度是2000-2800kg/m³，也就是每立方混凝土的重量是2-2.8t，本项目1m³混凝土取2.4t，本项目1.5万吨约为6250m³。根据《内蒙古自治区行业用水定额</w:t>
            </w:r>
            <w:r>
              <w:rPr>
                <w:rFonts w:hint="eastAsia"/>
                <w:bCs/>
                <w:color w:val="auto"/>
                <w:sz w:val="24"/>
                <w:lang w:eastAsia="zh-CN"/>
              </w:rPr>
              <w:t>（</w:t>
            </w:r>
            <w:r>
              <w:rPr>
                <w:bCs/>
                <w:color w:val="auto"/>
                <w:sz w:val="24"/>
              </w:rPr>
              <w:t>2020年版</w:t>
            </w:r>
            <w:r>
              <w:rPr>
                <w:rFonts w:hint="eastAsia"/>
                <w:bCs/>
                <w:color w:val="auto"/>
                <w:sz w:val="24"/>
                <w:lang w:eastAsia="zh-CN"/>
              </w:rPr>
              <w:t>）</w:t>
            </w:r>
            <w:r>
              <w:rPr>
                <w:bCs/>
                <w:color w:val="auto"/>
                <w:sz w:val="24"/>
              </w:rPr>
              <w:t>》，“水泥制品制造中预拌混凝土”用水按0.2m</w:t>
            </w:r>
            <w:r>
              <w:rPr>
                <w:bCs/>
                <w:color w:val="auto"/>
                <w:sz w:val="24"/>
                <w:vertAlign w:val="superscript"/>
              </w:rPr>
              <w:t>3</w:t>
            </w:r>
            <w:r>
              <w:rPr>
                <w:bCs/>
                <w:color w:val="auto"/>
                <w:sz w:val="24"/>
              </w:rPr>
              <w:t>/m</w:t>
            </w:r>
            <w:r>
              <w:rPr>
                <w:bCs/>
                <w:color w:val="auto"/>
                <w:sz w:val="24"/>
                <w:vertAlign w:val="superscript"/>
              </w:rPr>
              <w:t>3</w:t>
            </w:r>
            <w:r>
              <w:rPr>
                <w:bCs/>
                <w:color w:val="auto"/>
                <w:sz w:val="24"/>
              </w:rPr>
              <w:t>计算，则年生产用水量为1250m</w:t>
            </w:r>
            <w:r>
              <w:rPr>
                <w:bCs/>
                <w:color w:val="auto"/>
                <w:sz w:val="24"/>
                <w:vertAlign w:val="superscript"/>
              </w:rPr>
              <w:t>3</w:t>
            </w:r>
            <w:r>
              <w:rPr>
                <w:bCs/>
                <w:color w:val="auto"/>
                <w:sz w:val="24"/>
              </w:rPr>
              <w:t>/a</w:t>
            </w:r>
            <w:r>
              <w:rPr>
                <w:rFonts w:hint="eastAsia"/>
                <w:bCs/>
                <w:color w:val="auto"/>
                <w:sz w:val="24"/>
                <w:lang w:eastAsia="zh-CN"/>
              </w:rPr>
              <w:t>（</w:t>
            </w:r>
            <w:r>
              <w:rPr>
                <w:bCs/>
                <w:color w:val="auto"/>
                <w:sz w:val="24"/>
              </w:rPr>
              <w:t>5.95m</w:t>
            </w:r>
            <w:r>
              <w:rPr>
                <w:bCs/>
                <w:color w:val="auto"/>
                <w:sz w:val="24"/>
                <w:vertAlign w:val="superscript"/>
              </w:rPr>
              <w:t>3</w:t>
            </w:r>
            <w:r>
              <w:rPr>
                <w:bCs/>
                <w:color w:val="auto"/>
                <w:sz w:val="24"/>
              </w:rPr>
              <w:t>/d</w:t>
            </w:r>
            <w:r>
              <w:rPr>
                <w:rFonts w:hint="eastAsia"/>
                <w:bCs/>
                <w:color w:val="auto"/>
                <w:sz w:val="24"/>
                <w:lang w:eastAsia="zh-CN"/>
              </w:rPr>
              <w:t>）</w:t>
            </w:r>
            <w:r>
              <w:rPr>
                <w:bCs/>
                <w:color w:val="auto"/>
                <w:sz w:val="24"/>
              </w:rPr>
              <w:t>。根据业主提供的现场运行数据，水稳料生产过程中，用水量约占产量的2%，本项目年生产水稳料125000t，则用水量为2500t/a</w:t>
            </w:r>
            <w:r>
              <w:rPr>
                <w:rFonts w:hint="eastAsia"/>
                <w:bCs/>
                <w:color w:val="auto"/>
                <w:sz w:val="24"/>
                <w:lang w:eastAsia="zh-CN"/>
              </w:rPr>
              <w:t>（</w:t>
            </w:r>
            <w:r>
              <w:rPr>
                <w:bCs/>
                <w:color w:val="auto"/>
                <w:sz w:val="24"/>
              </w:rPr>
              <w:t>11.91m</w:t>
            </w:r>
            <w:r>
              <w:rPr>
                <w:bCs/>
                <w:color w:val="auto"/>
                <w:sz w:val="24"/>
                <w:vertAlign w:val="superscript"/>
              </w:rPr>
              <w:t>3</w:t>
            </w:r>
            <w:r>
              <w:rPr>
                <w:bCs/>
                <w:color w:val="auto"/>
                <w:sz w:val="24"/>
              </w:rPr>
              <w:t>/d</w:t>
            </w:r>
            <w:r>
              <w:rPr>
                <w:rFonts w:hint="eastAsia"/>
                <w:bCs/>
                <w:color w:val="auto"/>
                <w:sz w:val="24"/>
                <w:lang w:eastAsia="zh-CN"/>
              </w:rPr>
              <w:t>）</w:t>
            </w:r>
            <w:r>
              <w:rPr>
                <w:bCs/>
                <w:color w:val="auto"/>
                <w:sz w:val="24"/>
              </w:rPr>
              <w:t>。合计搅拌用水量为3750t/a</w:t>
            </w:r>
            <w:r>
              <w:rPr>
                <w:rFonts w:hint="eastAsia"/>
                <w:bCs/>
                <w:color w:val="auto"/>
                <w:sz w:val="24"/>
                <w:lang w:eastAsia="zh-CN"/>
              </w:rPr>
              <w:t>（</w:t>
            </w:r>
            <w:r>
              <w:rPr>
                <w:bCs/>
                <w:color w:val="auto"/>
                <w:sz w:val="24"/>
              </w:rPr>
              <w:t>17.86m</w:t>
            </w:r>
            <w:r>
              <w:rPr>
                <w:bCs/>
                <w:color w:val="auto"/>
                <w:sz w:val="24"/>
                <w:vertAlign w:val="superscript"/>
              </w:rPr>
              <w:t>3</w:t>
            </w:r>
            <w:r>
              <w:rPr>
                <w:bCs/>
                <w:color w:val="auto"/>
                <w:sz w:val="24"/>
              </w:rPr>
              <w:t>/d</w:t>
            </w:r>
            <w:r>
              <w:rPr>
                <w:rFonts w:hint="eastAsia"/>
                <w:bCs/>
                <w:color w:val="auto"/>
                <w:sz w:val="24"/>
                <w:lang w:eastAsia="zh-CN"/>
              </w:rPr>
              <w:t>）</w:t>
            </w:r>
            <w:r>
              <w:rPr>
                <w:bCs/>
                <w:color w:val="auto"/>
                <w:sz w:val="24"/>
              </w:rPr>
              <w:t>。</w:t>
            </w:r>
          </w:p>
          <w:p w14:paraId="11FFC512">
            <w:pPr>
              <w:adjustRightInd w:val="0"/>
              <w:snapToGrid w:val="0"/>
              <w:spacing w:line="360" w:lineRule="auto"/>
              <w:ind w:firstLine="480" w:firstLineChars="200"/>
              <w:rPr>
                <w:bCs/>
                <w:color w:val="auto"/>
                <w:sz w:val="24"/>
              </w:rPr>
            </w:pPr>
            <w:r>
              <w:rPr>
                <w:bCs/>
                <w:color w:val="auto"/>
                <w:sz w:val="24"/>
              </w:rPr>
              <w:t>搅拌机及运输车辆清洗用水：</w:t>
            </w:r>
            <w:r>
              <w:rPr>
                <w:rFonts w:hint="eastAsia"/>
                <w:bCs/>
                <w:color w:val="auto"/>
                <w:sz w:val="24"/>
              </w:rPr>
              <w:t>2台</w:t>
            </w:r>
            <w:r>
              <w:rPr>
                <w:bCs/>
                <w:color w:val="auto"/>
                <w:sz w:val="24"/>
              </w:rPr>
              <w:t>搅拌机清洗用水量</w:t>
            </w:r>
            <w:r>
              <w:rPr>
                <w:rFonts w:hint="eastAsia"/>
                <w:bCs/>
                <w:color w:val="auto"/>
                <w:sz w:val="24"/>
              </w:rPr>
              <w:t>合计</w:t>
            </w:r>
            <w:r>
              <w:rPr>
                <w:bCs/>
                <w:color w:val="auto"/>
                <w:sz w:val="24"/>
              </w:rPr>
              <w:t>为</w:t>
            </w:r>
            <w:r>
              <w:rPr>
                <w:rFonts w:hint="eastAsia"/>
                <w:bCs/>
                <w:color w:val="auto"/>
                <w:sz w:val="24"/>
              </w:rPr>
              <w:t>2</w:t>
            </w:r>
            <w:r>
              <w:rPr>
                <w:bCs/>
                <w:color w:val="auto"/>
                <w:sz w:val="24"/>
              </w:rPr>
              <w:t>.0m</w:t>
            </w:r>
            <w:r>
              <w:rPr>
                <w:bCs/>
                <w:color w:val="auto"/>
                <w:sz w:val="24"/>
                <w:vertAlign w:val="superscript"/>
              </w:rPr>
              <w:t>3</w:t>
            </w:r>
            <w:r>
              <w:rPr>
                <w:bCs/>
                <w:color w:val="auto"/>
                <w:sz w:val="24"/>
              </w:rPr>
              <w:t>/d</w:t>
            </w:r>
            <w:r>
              <w:rPr>
                <w:rFonts w:hint="eastAsia"/>
                <w:bCs/>
                <w:color w:val="auto"/>
                <w:sz w:val="24"/>
                <w:lang w:eastAsia="zh-CN"/>
              </w:rPr>
              <w:t>（</w:t>
            </w:r>
            <w:r>
              <w:rPr>
                <w:rFonts w:hint="eastAsia"/>
                <w:bCs/>
                <w:color w:val="auto"/>
                <w:sz w:val="24"/>
              </w:rPr>
              <w:t>42</w:t>
            </w:r>
            <w:r>
              <w:rPr>
                <w:bCs/>
                <w:color w:val="auto"/>
                <w:sz w:val="24"/>
              </w:rPr>
              <w:t>0m</w:t>
            </w:r>
            <w:r>
              <w:rPr>
                <w:bCs/>
                <w:color w:val="auto"/>
                <w:sz w:val="24"/>
                <w:vertAlign w:val="superscript"/>
              </w:rPr>
              <w:t>3</w:t>
            </w:r>
            <w:r>
              <w:rPr>
                <w:bCs/>
                <w:color w:val="auto"/>
                <w:sz w:val="24"/>
              </w:rPr>
              <w:t>/a</w:t>
            </w:r>
            <w:r>
              <w:rPr>
                <w:rFonts w:hint="eastAsia"/>
                <w:bCs/>
                <w:color w:val="auto"/>
                <w:sz w:val="24"/>
                <w:lang w:eastAsia="zh-CN"/>
              </w:rPr>
              <w:t>）</w:t>
            </w:r>
            <w:r>
              <w:rPr>
                <w:bCs/>
                <w:color w:val="auto"/>
                <w:sz w:val="24"/>
              </w:rPr>
              <w:t>；项目共有混凝土罐车10辆，混凝土罐车四天冲洗一次，平均每辆冲洗用水量约0.5m</w:t>
            </w:r>
            <w:r>
              <w:rPr>
                <w:bCs/>
                <w:color w:val="auto"/>
                <w:sz w:val="24"/>
                <w:vertAlign w:val="superscript"/>
              </w:rPr>
              <w:t>3</w:t>
            </w:r>
            <w:r>
              <w:rPr>
                <w:bCs/>
                <w:color w:val="auto"/>
                <w:sz w:val="24"/>
              </w:rPr>
              <w:t>，折算日用水量为1.25m</w:t>
            </w:r>
            <w:r>
              <w:rPr>
                <w:bCs/>
                <w:color w:val="auto"/>
                <w:sz w:val="24"/>
                <w:vertAlign w:val="superscript"/>
              </w:rPr>
              <w:t>3</w:t>
            </w:r>
            <w:r>
              <w:rPr>
                <w:bCs/>
                <w:color w:val="auto"/>
                <w:sz w:val="24"/>
              </w:rPr>
              <w:t>/d</w:t>
            </w:r>
            <w:r>
              <w:rPr>
                <w:rFonts w:hint="eastAsia"/>
                <w:bCs/>
                <w:color w:val="auto"/>
                <w:sz w:val="24"/>
                <w:lang w:eastAsia="zh-CN"/>
              </w:rPr>
              <w:t>（</w:t>
            </w:r>
            <w:r>
              <w:rPr>
                <w:bCs/>
                <w:color w:val="auto"/>
                <w:sz w:val="24"/>
              </w:rPr>
              <w:t>262.5m</w:t>
            </w:r>
            <w:r>
              <w:rPr>
                <w:bCs/>
                <w:color w:val="auto"/>
                <w:sz w:val="24"/>
                <w:vertAlign w:val="superscript"/>
              </w:rPr>
              <w:t>3</w:t>
            </w:r>
            <w:r>
              <w:rPr>
                <w:bCs/>
                <w:color w:val="auto"/>
                <w:sz w:val="24"/>
              </w:rPr>
              <w:t>/a</w:t>
            </w:r>
            <w:r>
              <w:rPr>
                <w:rFonts w:hint="eastAsia"/>
                <w:bCs/>
                <w:color w:val="auto"/>
                <w:sz w:val="24"/>
                <w:lang w:eastAsia="zh-CN"/>
              </w:rPr>
              <w:t>）</w:t>
            </w:r>
            <w:r>
              <w:rPr>
                <w:bCs/>
                <w:color w:val="auto"/>
                <w:sz w:val="24"/>
              </w:rPr>
              <w:t>。则搅拌机、运输车辆清洗用水总量为</w:t>
            </w:r>
            <w:r>
              <w:rPr>
                <w:rFonts w:hint="eastAsia"/>
                <w:bCs/>
                <w:color w:val="auto"/>
                <w:sz w:val="24"/>
              </w:rPr>
              <w:t>68</w:t>
            </w:r>
            <w:r>
              <w:rPr>
                <w:bCs/>
                <w:color w:val="auto"/>
                <w:sz w:val="24"/>
              </w:rPr>
              <w:t>2.5m</w:t>
            </w:r>
            <w:r>
              <w:rPr>
                <w:bCs/>
                <w:color w:val="auto"/>
                <w:sz w:val="24"/>
                <w:vertAlign w:val="superscript"/>
              </w:rPr>
              <w:t>3</w:t>
            </w:r>
            <w:r>
              <w:rPr>
                <w:bCs/>
                <w:color w:val="auto"/>
                <w:sz w:val="24"/>
              </w:rPr>
              <w:t>/a</w:t>
            </w:r>
            <w:r>
              <w:rPr>
                <w:rFonts w:hint="eastAsia"/>
                <w:bCs/>
                <w:color w:val="auto"/>
                <w:sz w:val="24"/>
                <w:lang w:eastAsia="zh-CN"/>
              </w:rPr>
              <w:t>（</w:t>
            </w:r>
            <w:r>
              <w:rPr>
                <w:rFonts w:hint="eastAsia"/>
                <w:bCs/>
                <w:color w:val="auto"/>
                <w:sz w:val="24"/>
              </w:rPr>
              <w:t>3</w:t>
            </w:r>
            <w:r>
              <w:rPr>
                <w:bCs/>
                <w:color w:val="auto"/>
                <w:sz w:val="24"/>
              </w:rPr>
              <w:t>.25m</w:t>
            </w:r>
            <w:r>
              <w:rPr>
                <w:bCs/>
                <w:color w:val="auto"/>
                <w:sz w:val="24"/>
                <w:vertAlign w:val="superscript"/>
              </w:rPr>
              <w:t>3</w:t>
            </w:r>
            <w:r>
              <w:rPr>
                <w:bCs/>
                <w:color w:val="auto"/>
                <w:sz w:val="24"/>
              </w:rPr>
              <w:t>/d</w:t>
            </w:r>
            <w:r>
              <w:rPr>
                <w:rFonts w:hint="eastAsia"/>
                <w:bCs/>
                <w:color w:val="auto"/>
                <w:sz w:val="24"/>
                <w:lang w:eastAsia="zh-CN"/>
              </w:rPr>
              <w:t>）</w:t>
            </w:r>
            <w:r>
              <w:rPr>
                <w:bCs/>
                <w:color w:val="auto"/>
                <w:sz w:val="24"/>
              </w:rPr>
              <w:t>。</w:t>
            </w:r>
          </w:p>
          <w:p w14:paraId="60D2D5F3">
            <w:pPr>
              <w:adjustRightInd w:val="0"/>
              <w:snapToGrid w:val="0"/>
              <w:spacing w:line="360" w:lineRule="auto"/>
              <w:ind w:firstLine="480" w:firstLineChars="200"/>
              <w:rPr>
                <w:bCs/>
                <w:color w:val="auto"/>
                <w:sz w:val="24"/>
              </w:rPr>
            </w:pPr>
            <w:r>
              <w:rPr>
                <w:bCs/>
                <w:color w:val="auto"/>
                <w:sz w:val="24"/>
              </w:rPr>
              <w:t>实验室用水：实验室用水主要是混凝土试件、水泥试体的标准养护及恒温恒湿试验，为物理实验，不需要化学试剂和化学药品，本项目实验室用水量为105m</w:t>
            </w:r>
            <w:r>
              <w:rPr>
                <w:bCs/>
                <w:color w:val="auto"/>
                <w:sz w:val="24"/>
                <w:vertAlign w:val="superscript"/>
              </w:rPr>
              <w:t>3</w:t>
            </w:r>
            <w:r>
              <w:rPr>
                <w:bCs/>
                <w:color w:val="auto"/>
                <w:sz w:val="24"/>
              </w:rPr>
              <w:t>/a</w:t>
            </w:r>
            <w:r>
              <w:rPr>
                <w:rFonts w:hint="eastAsia"/>
                <w:bCs/>
                <w:color w:val="auto"/>
                <w:sz w:val="24"/>
                <w:lang w:eastAsia="zh-CN"/>
              </w:rPr>
              <w:t>（</w:t>
            </w:r>
            <w:r>
              <w:rPr>
                <w:bCs/>
                <w:color w:val="auto"/>
                <w:sz w:val="24"/>
              </w:rPr>
              <w:t>0.5m</w:t>
            </w:r>
            <w:r>
              <w:rPr>
                <w:bCs/>
                <w:color w:val="auto"/>
                <w:sz w:val="24"/>
                <w:vertAlign w:val="superscript"/>
              </w:rPr>
              <w:t>3</w:t>
            </w:r>
            <w:r>
              <w:rPr>
                <w:bCs/>
                <w:color w:val="auto"/>
                <w:sz w:val="24"/>
              </w:rPr>
              <w:t>/d</w:t>
            </w:r>
            <w:r>
              <w:rPr>
                <w:rFonts w:hint="eastAsia"/>
                <w:bCs/>
                <w:color w:val="auto"/>
                <w:sz w:val="24"/>
                <w:lang w:eastAsia="zh-CN"/>
              </w:rPr>
              <w:t>）</w:t>
            </w:r>
            <w:r>
              <w:rPr>
                <w:bCs/>
                <w:color w:val="auto"/>
                <w:sz w:val="24"/>
              </w:rPr>
              <w:t>。</w:t>
            </w:r>
          </w:p>
          <w:p w14:paraId="69B05860">
            <w:pPr>
              <w:pStyle w:val="3"/>
              <w:spacing w:line="360" w:lineRule="auto"/>
              <w:ind w:firstLine="480"/>
              <w:rPr>
                <w:rFonts w:ascii="Times New Roman" w:hAnsi="Times New Roman"/>
                <w:color w:val="auto"/>
                <w:sz w:val="24"/>
              </w:rPr>
            </w:pPr>
            <w:r>
              <w:rPr>
                <w:rFonts w:ascii="Times New Roman" w:hAnsi="Times New Roman"/>
                <w:color w:val="auto"/>
                <w:sz w:val="24"/>
              </w:rPr>
              <w:t>抑尘用水：砂石料场占地面积3500m</w:t>
            </w:r>
            <w:r>
              <w:rPr>
                <w:rFonts w:ascii="Times New Roman" w:hAnsi="Times New Roman"/>
                <w:color w:val="auto"/>
                <w:sz w:val="24"/>
                <w:vertAlign w:val="superscript"/>
              </w:rPr>
              <w:t>2</w:t>
            </w:r>
            <w:r>
              <w:rPr>
                <w:rFonts w:ascii="Times New Roman" w:hAnsi="Times New Roman"/>
                <w:color w:val="auto"/>
                <w:sz w:val="24"/>
              </w:rPr>
              <w:t>，</w:t>
            </w:r>
            <w:r>
              <w:rPr>
                <w:rFonts w:ascii="Times New Roman" w:hAnsi="Times New Roman"/>
                <w:bCs/>
                <w:color w:val="auto"/>
                <w:sz w:val="24"/>
              </w:rPr>
              <w:t>砂石料场</w:t>
            </w:r>
            <w:r>
              <w:rPr>
                <w:rFonts w:hint="eastAsia" w:ascii="Times New Roman" w:hAnsi="Times New Roman"/>
                <w:bCs/>
                <w:color w:val="auto"/>
                <w:sz w:val="24"/>
              </w:rPr>
              <w:t>采用三面挡墙，</w:t>
            </w:r>
            <w:r>
              <w:rPr>
                <w:rFonts w:ascii="Times New Roman" w:hAnsi="Times New Roman"/>
                <w:bCs/>
                <w:color w:val="auto"/>
                <w:sz w:val="24"/>
              </w:rPr>
              <w:t>上方苫盖密目网，并进行洒水抑尘</w:t>
            </w:r>
            <w:r>
              <w:rPr>
                <w:rFonts w:ascii="Times New Roman" w:hAnsi="Times New Roman"/>
                <w:color w:val="auto"/>
                <w:sz w:val="24"/>
              </w:rPr>
              <w:t>，抑尘用水定额按1L/m</w:t>
            </w:r>
            <w:r>
              <w:rPr>
                <w:rFonts w:ascii="Times New Roman" w:hAnsi="Times New Roman"/>
                <w:color w:val="auto"/>
                <w:sz w:val="24"/>
                <w:vertAlign w:val="superscript"/>
              </w:rPr>
              <w:t>2</w:t>
            </w:r>
            <w:r>
              <w:rPr>
                <w:rFonts w:ascii="Times New Roman" w:hAnsi="Times New Roman"/>
                <w:color w:val="auto"/>
                <w:sz w:val="24"/>
              </w:rPr>
              <w:t>·d计，则料场抑尘用水量为735m</w:t>
            </w:r>
            <w:r>
              <w:rPr>
                <w:rFonts w:ascii="Times New Roman" w:hAnsi="Times New Roman"/>
                <w:color w:val="auto"/>
                <w:sz w:val="24"/>
                <w:vertAlign w:val="superscript"/>
              </w:rPr>
              <w:t>3</w:t>
            </w:r>
            <w:r>
              <w:rPr>
                <w:rFonts w:ascii="Times New Roman" w:hAnsi="Times New Roman"/>
                <w:color w:val="auto"/>
                <w:sz w:val="24"/>
              </w:rPr>
              <w:t>/a</w:t>
            </w:r>
            <w:r>
              <w:rPr>
                <w:rFonts w:hint="eastAsia" w:ascii="Times New Roman" w:hAnsi="Times New Roman"/>
                <w:color w:val="auto"/>
                <w:sz w:val="24"/>
                <w:lang w:eastAsia="zh-CN"/>
              </w:rPr>
              <w:t>（</w:t>
            </w:r>
            <w:r>
              <w:rPr>
                <w:rFonts w:ascii="Times New Roman" w:hAnsi="Times New Roman"/>
                <w:color w:val="auto"/>
                <w:sz w:val="24"/>
              </w:rPr>
              <w:t>3.5m</w:t>
            </w:r>
            <w:r>
              <w:rPr>
                <w:rFonts w:ascii="Times New Roman" w:hAnsi="Times New Roman"/>
                <w:color w:val="auto"/>
                <w:sz w:val="24"/>
                <w:vertAlign w:val="superscript"/>
              </w:rPr>
              <w:t>3</w:t>
            </w:r>
            <w:r>
              <w:rPr>
                <w:rFonts w:ascii="Times New Roman" w:hAnsi="Times New Roman"/>
                <w:color w:val="auto"/>
                <w:sz w:val="24"/>
              </w:rPr>
              <w:t>/d</w:t>
            </w:r>
            <w:r>
              <w:rPr>
                <w:rFonts w:hint="eastAsia" w:ascii="Times New Roman" w:hAnsi="Times New Roman"/>
                <w:color w:val="auto"/>
                <w:sz w:val="24"/>
                <w:lang w:eastAsia="zh-CN"/>
              </w:rPr>
              <w:t>）</w:t>
            </w:r>
            <w:r>
              <w:rPr>
                <w:rFonts w:ascii="Times New Roman" w:hAnsi="Times New Roman"/>
                <w:color w:val="auto"/>
                <w:sz w:val="24"/>
              </w:rPr>
              <w:t>。</w:t>
            </w:r>
          </w:p>
          <w:p w14:paraId="212E77DB">
            <w:pPr>
              <w:spacing w:line="360" w:lineRule="auto"/>
              <w:ind w:firstLine="480" w:firstLineChars="200"/>
              <w:rPr>
                <w:bCs/>
                <w:color w:val="auto"/>
                <w:sz w:val="24"/>
              </w:rPr>
            </w:pPr>
            <w:r>
              <w:rPr>
                <w:rFonts w:ascii="Cambria Math" w:hAnsi="Cambria Math" w:cs="Cambria Math"/>
                <w:bCs/>
                <w:color w:val="auto"/>
                <w:sz w:val="24"/>
              </w:rPr>
              <w:t>②</w:t>
            </w:r>
            <w:r>
              <w:rPr>
                <w:bCs/>
                <w:color w:val="auto"/>
                <w:sz w:val="24"/>
              </w:rPr>
              <w:t>生活用水</w:t>
            </w:r>
          </w:p>
          <w:p w14:paraId="7B22C216">
            <w:pPr>
              <w:adjustRightInd w:val="0"/>
              <w:snapToGrid w:val="0"/>
              <w:spacing w:line="360" w:lineRule="auto"/>
              <w:ind w:firstLine="480" w:firstLineChars="200"/>
              <w:rPr>
                <w:b/>
                <w:bCs/>
                <w:color w:val="auto"/>
                <w:sz w:val="24"/>
              </w:rPr>
            </w:pPr>
            <w:r>
              <w:rPr>
                <w:bCs/>
                <w:color w:val="auto"/>
                <w:sz w:val="24"/>
              </w:rPr>
              <w:t>本项目劳动定员7人，根据《行业用水定额》</w:t>
            </w:r>
            <w:r>
              <w:rPr>
                <w:rFonts w:hint="eastAsia"/>
                <w:bCs/>
                <w:color w:val="auto"/>
                <w:sz w:val="24"/>
                <w:lang w:eastAsia="zh-CN"/>
              </w:rPr>
              <w:t>（</w:t>
            </w:r>
            <w:r>
              <w:rPr>
                <w:bCs/>
                <w:color w:val="auto"/>
                <w:sz w:val="24"/>
              </w:rPr>
              <w:t>DB15/T385 2020</w:t>
            </w:r>
            <w:r>
              <w:rPr>
                <w:rFonts w:hint="eastAsia"/>
                <w:bCs/>
                <w:color w:val="auto"/>
                <w:sz w:val="24"/>
                <w:lang w:eastAsia="zh-CN"/>
              </w:rPr>
              <w:t>）</w:t>
            </w:r>
            <w:r>
              <w:rPr>
                <w:bCs/>
                <w:color w:val="auto"/>
                <w:sz w:val="24"/>
              </w:rPr>
              <w:t>，本项目年工作210d，每天工作8小时，职工生活用水量按40L/人·d计，则用水量为58.8m</w:t>
            </w:r>
            <w:r>
              <w:rPr>
                <w:bCs/>
                <w:color w:val="auto"/>
                <w:sz w:val="24"/>
                <w:vertAlign w:val="superscript"/>
              </w:rPr>
              <w:t>3</w:t>
            </w:r>
            <w:r>
              <w:rPr>
                <w:bCs/>
                <w:color w:val="auto"/>
                <w:sz w:val="24"/>
              </w:rPr>
              <w:t>/a</w:t>
            </w:r>
            <w:r>
              <w:rPr>
                <w:rFonts w:hint="eastAsia"/>
                <w:bCs/>
                <w:color w:val="auto"/>
                <w:sz w:val="24"/>
                <w:lang w:eastAsia="zh-CN"/>
              </w:rPr>
              <w:t>（</w:t>
            </w:r>
            <w:r>
              <w:rPr>
                <w:bCs/>
                <w:color w:val="auto"/>
                <w:sz w:val="24"/>
              </w:rPr>
              <w:t>0.28m</w:t>
            </w:r>
            <w:r>
              <w:rPr>
                <w:bCs/>
                <w:color w:val="auto"/>
                <w:sz w:val="24"/>
                <w:vertAlign w:val="superscript"/>
              </w:rPr>
              <w:t>3</w:t>
            </w:r>
            <w:r>
              <w:rPr>
                <w:bCs/>
                <w:color w:val="auto"/>
                <w:sz w:val="24"/>
              </w:rPr>
              <w:t>/d</w:t>
            </w:r>
            <w:r>
              <w:rPr>
                <w:rFonts w:hint="eastAsia"/>
                <w:bCs/>
                <w:color w:val="auto"/>
                <w:sz w:val="24"/>
                <w:lang w:eastAsia="zh-CN"/>
              </w:rPr>
              <w:t>）</w:t>
            </w:r>
            <w:r>
              <w:rPr>
                <w:bCs/>
                <w:color w:val="auto"/>
                <w:sz w:val="24"/>
              </w:rPr>
              <w:t>。</w:t>
            </w:r>
          </w:p>
          <w:p w14:paraId="7964C9E9">
            <w:pPr>
              <w:adjustRightInd w:val="0"/>
              <w:snapToGrid w:val="0"/>
              <w:spacing w:line="360" w:lineRule="auto"/>
              <w:ind w:firstLine="480" w:firstLineChars="200"/>
              <w:rPr>
                <w:bCs/>
                <w:color w:val="auto"/>
                <w:sz w:val="24"/>
              </w:rPr>
            </w:pPr>
            <w:r>
              <w:rPr>
                <w:bCs/>
                <w:color w:val="auto"/>
                <w:sz w:val="24"/>
              </w:rPr>
              <w:t>厂区生活</w:t>
            </w:r>
            <w:r>
              <w:rPr>
                <w:rFonts w:hint="eastAsia"/>
                <w:bCs/>
                <w:color w:val="auto"/>
                <w:sz w:val="24"/>
                <w:lang w:eastAsia="zh-CN"/>
              </w:rPr>
              <w:t>用水</w:t>
            </w:r>
            <w:r>
              <w:rPr>
                <w:rFonts w:hint="eastAsia"/>
                <w:bCs/>
                <w:color w:val="auto"/>
                <w:sz w:val="24"/>
              </w:rPr>
              <w:t>为外购桶装水</w:t>
            </w:r>
            <w:r>
              <w:rPr>
                <w:bCs/>
                <w:color w:val="auto"/>
                <w:sz w:val="24"/>
              </w:rPr>
              <w:t>，生产用水为外购中水</w:t>
            </w:r>
            <w:r>
              <w:rPr>
                <w:rFonts w:hint="eastAsia"/>
                <w:bCs/>
                <w:color w:val="auto"/>
                <w:sz w:val="24"/>
              </w:rPr>
              <w:t>。</w:t>
            </w:r>
            <w:r>
              <w:rPr>
                <w:bCs/>
                <w:color w:val="auto"/>
                <w:sz w:val="24"/>
              </w:rPr>
              <w:t>厂区新增用水量为</w:t>
            </w:r>
            <w:r>
              <w:rPr>
                <w:rFonts w:hint="eastAsia"/>
                <w:bCs/>
                <w:color w:val="auto"/>
                <w:sz w:val="24"/>
              </w:rPr>
              <w:t>4701.9</w:t>
            </w:r>
            <w:r>
              <w:rPr>
                <w:bCs/>
                <w:color w:val="auto"/>
                <w:sz w:val="24"/>
              </w:rPr>
              <w:t>m</w:t>
            </w:r>
            <w:r>
              <w:rPr>
                <w:bCs/>
                <w:color w:val="auto"/>
                <w:sz w:val="24"/>
                <w:vertAlign w:val="superscript"/>
              </w:rPr>
              <w:t>3</w:t>
            </w:r>
            <w:r>
              <w:rPr>
                <w:bCs/>
                <w:color w:val="auto"/>
                <w:sz w:val="24"/>
              </w:rPr>
              <w:t>/a</w:t>
            </w:r>
            <w:r>
              <w:rPr>
                <w:rFonts w:hint="eastAsia"/>
                <w:bCs/>
                <w:color w:val="auto"/>
                <w:sz w:val="24"/>
                <w:lang w:eastAsia="zh-CN"/>
              </w:rPr>
              <w:t>（</w:t>
            </w:r>
            <w:r>
              <w:rPr>
                <w:bCs/>
                <w:color w:val="auto"/>
                <w:sz w:val="24"/>
              </w:rPr>
              <w:t>22.</w:t>
            </w:r>
            <w:r>
              <w:rPr>
                <w:rFonts w:hint="eastAsia"/>
                <w:bCs/>
                <w:color w:val="auto"/>
                <w:sz w:val="24"/>
              </w:rPr>
              <w:t>3</w:t>
            </w:r>
            <w:r>
              <w:rPr>
                <w:bCs/>
                <w:color w:val="auto"/>
                <w:sz w:val="24"/>
              </w:rPr>
              <w:t>9m</w:t>
            </w:r>
            <w:r>
              <w:rPr>
                <w:bCs/>
                <w:color w:val="auto"/>
                <w:sz w:val="24"/>
                <w:vertAlign w:val="superscript"/>
              </w:rPr>
              <w:t>3</w:t>
            </w:r>
            <w:r>
              <w:rPr>
                <w:bCs/>
                <w:color w:val="auto"/>
                <w:sz w:val="24"/>
              </w:rPr>
              <w:t>/d</w:t>
            </w:r>
            <w:r>
              <w:rPr>
                <w:rFonts w:hint="eastAsia"/>
                <w:bCs/>
                <w:color w:val="auto"/>
                <w:sz w:val="24"/>
                <w:lang w:eastAsia="zh-CN"/>
              </w:rPr>
              <w:t>）</w:t>
            </w:r>
            <w:r>
              <w:rPr>
                <w:bCs/>
                <w:color w:val="auto"/>
                <w:sz w:val="24"/>
              </w:rPr>
              <w:t>，回用水量为</w:t>
            </w:r>
            <w:r>
              <w:rPr>
                <w:rFonts w:hint="eastAsia"/>
                <w:bCs/>
                <w:color w:val="auto"/>
                <w:sz w:val="24"/>
              </w:rPr>
              <w:t>630</w:t>
            </w:r>
            <w:r>
              <w:rPr>
                <w:bCs/>
                <w:color w:val="auto"/>
                <w:sz w:val="24"/>
              </w:rPr>
              <w:t>m</w:t>
            </w:r>
            <w:r>
              <w:rPr>
                <w:bCs/>
                <w:color w:val="auto"/>
                <w:sz w:val="24"/>
                <w:vertAlign w:val="superscript"/>
              </w:rPr>
              <w:t>3</w:t>
            </w:r>
            <w:r>
              <w:rPr>
                <w:bCs/>
                <w:color w:val="auto"/>
                <w:sz w:val="24"/>
              </w:rPr>
              <w:t>/a</w:t>
            </w:r>
            <w:r>
              <w:rPr>
                <w:rFonts w:hint="eastAsia"/>
                <w:bCs/>
                <w:color w:val="auto"/>
                <w:sz w:val="24"/>
                <w:lang w:eastAsia="zh-CN"/>
              </w:rPr>
              <w:t>（</w:t>
            </w:r>
            <w:r>
              <w:rPr>
                <w:rFonts w:hint="eastAsia"/>
                <w:bCs/>
                <w:color w:val="auto"/>
                <w:sz w:val="24"/>
              </w:rPr>
              <w:t>3</w:t>
            </w:r>
            <w:r>
              <w:rPr>
                <w:bCs/>
                <w:color w:val="auto"/>
                <w:sz w:val="24"/>
              </w:rPr>
              <w:t>m</w:t>
            </w:r>
            <w:r>
              <w:rPr>
                <w:bCs/>
                <w:color w:val="auto"/>
                <w:sz w:val="24"/>
                <w:vertAlign w:val="superscript"/>
              </w:rPr>
              <w:t>3</w:t>
            </w:r>
            <w:r>
              <w:rPr>
                <w:bCs/>
                <w:color w:val="auto"/>
                <w:sz w:val="24"/>
              </w:rPr>
              <w:t>/d</w:t>
            </w:r>
            <w:r>
              <w:rPr>
                <w:rFonts w:hint="eastAsia"/>
                <w:bCs/>
                <w:color w:val="auto"/>
                <w:sz w:val="24"/>
                <w:lang w:eastAsia="zh-CN"/>
              </w:rPr>
              <w:t>）</w:t>
            </w:r>
            <w:r>
              <w:rPr>
                <w:bCs/>
                <w:color w:val="auto"/>
                <w:sz w:val="24"/>
              </w:rPr>
              <w:t>。</w:t>
            </w:r>
          </w:p>
          <w:p w14:paraId="1F3A9516">
            <w:pPr>
              <w:adjustRightInd w:val="0"/>
              <w:snapToGrid w:val="0"/>
              <w:spacing w:line="360" w:lineRule="auto"/>
              <w:ind w:firstLine="480" w:firstLineChars="200"/>
              <w:rPr>
                <w:bCs/>
                <w:color w:val="auto"/>
                <w:sz w:val="24"/>
              </w:rPr>
            </w:pPr>
            <w:r>
              <w:rPr>
                <w:rFonts w:hint="eastAsia"/>
                <w:bCs/>
                <w:color w:val="auto"/>
                <w:sz w:val="24"/>
                <w:lang w:eastAsia="zh-CN"/>
              </w:rPr>
              <w:t>（</w:t>
            </w:r>
            <w:r>
              <w:rPr>
                <w:bCs/>
                <w:color w:val="auto"/>
                <w:sz w:val="24"/>
              </w:rPr>
              <w:t>2</w:t>
            </w:r>
            <w:r>
              <w:rPr>
                <w:rFonts w:hint="eastAsia"/>
                <w:bCs/>
                <w:color w:val="auto"/>
                <w:sz w:val="24"/>
                <w:lang w:eastAsia="zh-CN"/>
              </w:rPr>
              <w:t>）</w:t>
            </w:r>
            <w:r>
              <w:rPr>
                <w:bCs/>
                <w:color w:val="auto"/>
                <w:sz w:val="24"/>
              </w:rPr>
              <w:t>排水工程</w:t>
            </w:r>
          </w:p>
          <w:p w14:paraId="45539882">
            <w:pPr>
              <w:adjustRightInd w:val="0"/>
              <w:snapToGrid w:val="0"/>
              <w:spacing w:line="360" w:lineRule="auto"/>
              <w:ind w:firstLine="480" w:firstLineChars="200"/>
              <w:rPr>
                <w:bCs/>
                <w:color w:val="auto"/>
                <w:sz w:val="24"/>
              </w:rPr>
            </w:pPr>
            <w:r>
              <w:rPr>
                <w:bCs/>
                <w:color w:val="auto"/>
                <w:sz w:val="24"/>
              </w:rPr>
              <w:t>搅拌用水全部进入产品，不外排；抑尘用水全部自然蒸发，不外排；搅拌机及运输车辆清洗废水、实验室废水经沉淀后回用于生产，不外排。生活污水经化粪池收集后，定期拉运至杭锦旗独贵塔拉镇污水处理厂处理。</w:t>
            </w:r>
          </w:p>
          <w:p w14:paraId="718A9E2A">
            <w:pPr>
              <w:adjustRightInd w:val="0"/>
              <w:snapToGrid w:val="0"/>
              <w:spacing w:line="360" w:lineRule="auto"/>
              <w:ind w:firstLine="480" w:firstLineChars="200"/>
              <w:rPr>
                <w:bCs/>
                <w:color w:val="auto"/>
                <w:sz w:val="24"/>
              </w:rPr>
            </w:pPr>
            <w:r>
              <w:rPr>
                <w:rFonts w:ascii="Cambria Math" w:hAnsi="Cambria Math" w:cs="Cambria Math"/>
                <w:bCs/>
                <w:color w:val="auto"/>
                <w:sz w:val="24"/>
              </w:rPr>
              <w:t>①</w:t>
            </w:r>
            <w:r>
              <w:rPr>
                <w:bCs/>
                <w:color w:val="auto"/>
                <w:sz w:val="24"/>
              </w:rPr>
              <w:t>生产废水</w:t>
            </w:r>
          </w:p>
          <w:p w14:paraId="79ADCD21">
            <w:pPr>
              <w:adjustRightInd w:val="0"/>
              <w:snapToGrid w:val="0"/>
              <w:spacing w:line="360" w:lineRule="auto"/>
              <w:ind w:firstLine="480" w:firstLineChars="200"/>
              <w:rPr>
                <w:bCs/>
                <w:color w:val="auto"/>
                <w:sz w:val="24"/>
              </w:rPr>
            </w:pPr>
            <w:r>
              <w:rPr>
                <w:bCs/>
                <w:color w:val="auto"/>
                <w:sz w:val="24"/>
              </w:rPr>
              <w:t>搅拌机、运输车辆清洗废水：搅拌机、运输车辆清洗用水总量为</w:t>
            </w:r>
            <w:r>
              <w:rPr>
                <w:rFonts w:hint="eastAsia"/>
                <w:bCs/>
                <w:color w:val="auto"/>
                <w:sz w:val="24"/>
              </w:rPr>
              <w:t>68</w:t>
            </w:r>
            <w:r>
              <w:rPr>
                <w:bCs/>
                <w:color w:val="auto"/>
                <w:sz w:val="24"/>
              </w:rPr>
              <w:t>2.5m</w:t>
            </w:r>
            <w:r>
              <w:rPr>
                <w:bCs/>
                <w:color w:val="auto"/>
                <w:sz w:val="24"/>
                <w:vertAlign w:val="superscript"/>
              </w:rPr>
              <w:t>3</w:t>
            </w:r>
            <w:r>
              <w:rPr>
                <w:bCs/>
                <w:color w:val="auto"/>
                <w:sz w:val="24"/>
              </w:rPr>
              <w:t>/a</w:t>
            </w:r>
            <w:r>
              <w:rPr>
                <w:rFonts w:hint="eastAsia"/>
                <w:bCs/>
                <w:color w:val="auto"/>
                <w:sz w:val="24"/>
                <w:lang w:eastAsia="zh-CN"/>
              </w:rPr>
              <w:t>（</w:t>
            </w:r>
            <w:r>
              <w:rPr>
                <w:rFonts w:hint="eastAsia"/>
                <w:bCs/>
                <w:color w:val="auto"/>
                <w:sz w:val="24"/>
              </w:rPr>
              <w:t>3</w:t>
            </w:r>
            <w:r>
              <w:rPr>
                <w:bCs/>
                <w:color w:val="auto"/>
                <w:sz w:val="24"/>
              </w:rPr>
              <w:t>.25m</w:t>
            </w:r>
            <w:r>
              <w:rPr>
                <w:bCs/>
                <w:color w:val="auto"/>
                <w:sz w:val="24"/>
                <w:vertAlign w:val="superscript"/>
              </w:rPr>
              <w:t>3</w:t>
            </w:r>
            <w:r>
              <w:rPr>
                <w:bCs/>
                <w:color w:val="auto"/>
                <w:sz w:val="24"/>
              </w:rPr>
              <w:t>/d</w:t>
            </w:r>
            <w:r>
              <w:rPr>
                <w:rFonts w:hint="eastAsia"/>
                <w:bCs/>
                <w:color w:val="auto"/>
                <w:sz w:val="24"/>
                <w:lang w:eastAsia="zh-CN"/>
              </w:rPr>
              <w:t>）</w:t>
            </w:r>
            <w:r>
              <w:rPr>
                <w:bCs/>
                <w:color w:val="auto"/>
                <w:sz w:val="24"/>
              </w:rPr>
              <w:t>，废水的产生量按用水量的80%计算，则清洗废水产生量为</w:t>
            </w:r>
            <w:r>
              <w:rPr>
                <w:rFonts w:hint="eastAsia"/>
                <w:bCs/>
                <w:color w:val="auto"/>
                <w:sz w:val="24"/>
              </w:rPr>
              <w:t>546</w:t>
            </w:r>
            <w:r>
              <w:rPr>
                <w:bCs/>
                <w:color w:val="auto"/>
                <w:sz w:val="24"/>
              </w:rPr>
              <w:t>m</w:t>
            </w:r>
            <w:r>
              <w:rPr>
                <w:bCs/>
                <w:color w:val="auto"/>
                <w:sz w:val="24"/>
                <w:vertAlign w:val="superscript"/>
              </w:rPr>
              <w:t>3</w:t>
            </w:r>
            <w:r>
              <w:rPr>
                <w:bCs/>
                <w:color w:val="auto"/>
                <w:sz w:val="24"/>
              </w:rPr>
              <w:t>/a</w:t>
            </w:r>
            <w:r>
              <w:rPr>
                <w:rFonts w:hint="eastAsia"/>
                <w:bCs/>
                <w:color w:val="auto"/>
                <w:sz w:val="24"/>
                <w:lang w:eastAsia="zh-CN"/>
              </w:rPr>
              <w:t>（</w:t>
            </w:r>
            <w:r>
              <w:rPr>
                <w:rFonts w:hint="eastAsia"/>
                <w:bCs/>
                <w:color w:val="auto"/>
                <w:sz w:val="24"/>
              </w:rPr>
              <w:t>2.60</w:t>
            </w:r>
            <w:r>
              <w:rPr>
                <w:bCs/>
                <w:color w:val="auto"/>
                <w:sz w:val="24"/>
              </w:rPr>
              <w:t>m</w:t>
            </w:r>
            <w:r>
              <w:rPr>
                <w:bCs/>
                <w:color w:val="auto"/>
                <w:sz w:val="24"/>
                <w:vertAlign w:val="superscript"/>
              </w:rPr>
              <w:t>3</w:t>
            </w:r>
            <w:r>
              <w:rPr>
                <w:bCs/>
                <w:color w:val="auto"/>
                <w:sz w:val="24"/>
              </w:rPr>
              <w:t>/d</w:t>
            </w:r>
            <w:r>
              <w:rPr>
                <w:rFonts w:hint="eastAsia"/>
                <w:bCs/>
                <w:color w:val="auto"/>
                <w:sz w:val="24"/>
                <w:lang w:eastAsia="zh-CN"/>
              </w:rPr>
              <w:t>）</w:t>
            </w:r>
            <w:r>
              <w:rPr>
                <w:bCs/>
                <w:color w:val="auto"/>
                <w:sz w:val="24"/>
              </w:rPr>
              <w:t>；清洗废水经沉淀池处理取上清液回用生产。</w:t>
            </w:r>
          </w:p>
          <w:p w14:paraId="62C12A25">
            <w:pPr>
              <w:adjustRightInd w:val="0"/>
              <w:snapToGrid w:val="0"/>
              <w:spacing w:line="360" w:lineRule="auto"/>
              <w:ind w:firstLine="480" w:firstLineChars="200"/>
              <w:rPr>
                <w:bCs/>
                <w:color w:val="auto"/>
                <w:sz w:val="24"/>
              </w:rPr>
            </w:pPr>
            <w:r>
              <w:rPr>
                <w:bCs/>
                <w:color w:val="auto"/>
                <w:sz w:val="24"/>
              </w:rPr>
              <w:t>实验室废水：实验室废水量按用水量的80%计算，则实验室废水产生量为84m</w:t>
            </w:r>
            <w:r>
              <w:rPr>
                <w:bCs/>
                <w:color w:val="auto"/>
                <w:sz w:val="24"/>
                <w:vertAlign w:val="superscript"/>
              </w:rPr>
              <w:t>3</w:t>
            </w:r>
            <w:r>
              <w:rPr>
                <w:bCs/>
                <w:color w:val="auto"/>
                <w:sz w:val="24"/>
              </w:rPr>
              <w:t>/a</w:t>
            </w:r>
            <w:r>
              <w:rPr>
                <w:rFonts w:hint="eastAsia"/>
                <w:bCs/>
                <w:color w:val="auto"/>
                <w:sz w:val="24"/>
                <w:lang w:eastAsia="zh-CN"/>
              </w:rPr>
              <w:t>（</w:t>
            </w:r>
            <w:r>
              <w:rPr>
                <w:bCs/>
                <w:color w:val="auto"/>
                <w:sz w:val="24"/>
              </w:rPr>
              <w:t>0.4m</w:t>
            </w:r>
            <w:r>
              <w:rPr>
                <w:bCs/>
                <w:color w:val="auto"/>
                <w:sz w:val="24"/>
                <w:vertAlign w:val="superscript"/>
              </w:rPr>
              <w:t>3</w:t>
            </w:r>
            <w:r>
              <w:rPr>
                <w:bCs/>
                <w:color w:val="auto"/>
                <w:sz w:val="24"/>
              </w:rPr>
              <w:t>/d</w:t>
            </w:r>
            <w:r>
              <w:rPr>
                <w:rFonts w:hint="eastAsia"/>
                <w:bCs/>
                <w:color w:val="auto"/>
                <w:sz w:val="24"/>
                <w:lang w:eastAsia="zh-CN"/>
              </w:rPr>
              <w:t>）</w:t>
            </w:r>
            <w:r>
              <w:rPr>
                <w:bCs/>
                <w:color w:val="auto"/>
                <w:sz w:val="24"/>
              </w:rPr>
              <w:t>。实验室用水主要是混凝土试件、水泥试体的标准养护及恒温恒湿试验，不需要化学试剂和化学药品，所以实验室废水经沉淀池处理后取上清液可回用于生产。</w:t>
            </w:r>
          </w:p>
          <w:p w14:paraId="47CED7FF">
            <w:pPr>
              <w:adjustRightInd w:val="0"/>
              <w:snapToGrid w:val="0"/>
              <w:spacing w:line="360" w:lineRule="auto"/>
              <w:ind w:firstLine="480" w:firstLineChars="200"/>
              <w:rPr>
                <w:bCs/>
                <w:color w:val="auto"/>
                <w:sz w:val="24"/>
              </w:rPr>
            </w:pPr>
            <w:r>
              <w:rPr>
                <w:rFonts w:ascii="Cambria Math" w:hAnsi="Cambria Math" w:cs="Cambria Math"/>
                <w:bCs/>
                <w:color w:val="auto"/>
                <w:sz w:val="24"/>
              </w:rPr>
              <w:t>②</w:t>
            </w:r>
            <w:r>
              <w:rPr>
                <w:bCs/>
                <w:color w:val="auto"/>
                <w:sz w:val="24"/>
              </w:rPr>
              <w:t>生活污水</w:t>
            </w:r>
          </w:p>
          <w:p w14:paraId="2B9C468B">
            <w:pPr>
              <w:adjustRightInd w:val="0"/>
              <w:snapToGrid w:val="0"/>
              <w:spacing w:line="360" w:lineRule="auto"/>
              <w:ind w:firstLine="480" w:firstLineChars="200"/>
              <w:rPr>
                <w:bCs/>
                <w:color w:val="auto"/>
                <w:sz w:val="24"/>
              </w:rPr>
            </w:pPr>
            <w:r>
              <w:rPr>
                <w:bCs/>
                <w:color w:val="auto"/>
                <w:sz w:val="24"/>
              </w:rPr>
              <w:t>生活污水量按用水量的80%计算，则职工生活污水产生量为47.04m</w:t>
            </w:r>
            <w:r>
              <w:rPr>
                <w:bCs/>
                <w:color w:val="auto"/>
                <w:sz w:val="24"/>
                <w:vertAlign w:val="superscript"/>
              </w:rPr>
              <w:t>3</w:t>
            </w:r>
            <w:r>
              <w:rPr>
                <w:bCs/>
                <w:color w:val="auto"/>
                <w:sz w:val="24"/>
              </w:rPr>
              <w:t>/a</w:t>
            </w:r>
            <w:r>
              <w:rPr>
                <w:rFonts w:hint="eastAsia"/>
                <w:bCs/>
                <w:color w:val="auto"/>
                <w:sz w:val="24"/>
                <w:lang w:eastAsia="zh-CN"/>
              </w:rPr>
              <w:t>（</w:t>
            </w:r>
            <w:r>
              <w:rPr>
                <w:bCs/>
                <w:color w:val="auto"/>
                <w:sz w:val="24"/>
              </w:rPr>
              <w:t>0.224m</w:t>
            </w:r>
            <w:r>
              <w:rPr>
                <w:bCs/>
                <w:color w:val="auto"/>
                <w:sz w:val="24"/>
                <w:vertAlign w:val="superscript"/>
              </w:rPr>
              <w:t>3</w:t>
            </w:r>
            <w:r>
              <w:rPr>
                <w:bCs/>
                <w:color w:val="auto"/>
                <w:sz w:val="24"/>
              </w:rPr>
              <w:t>/d</w:t>
            </w:r>
            <w:r>
              <w:rPr>
                <w:rFonts w:hint="eastAsia"/>
                <w:bCs/>
                <w:color w:val="auto"/>
                <w:sz w:val="24"/>
                <w:lang w:eastAsia="zh-CN"/>
              </w:rPr>
              <w:t>）</w:t>
            </w:r>
            <w:r>
              <w:rPr>
                <w:bCs/>
                <w:color w:val="auto"/>
                <w:sz w:val="24"/>
              </w:rPr>
              <w:t>。生活污水经化粪池收集后，定期拉运至杭锦旗独贵塔拉镇污水处理厂处理。</w:t>
            </w:r>
          </w:p>
          <w:p w14:paraId="7436A4FA">
            <w:pPr>
              <w:autoSpaceDE w:val="0"/>
              <w:autoSpaceDN w:val="0"/>
              <w:adjustRightInd w:val="0"/>
              <w:snapToGrid w:val="0"/>
              <w:spacing w:line="360" w:lineRule="auto"/>
              <w:ind w:firstLine="480" w:firstLineChars="200"/>
              <w:rPr>
                <w:color w:val="auto"/>
                <w:sz w:val="24"/>
              </w:rPr>
            </w:pPr>
            <w:r>
              <w:rPr>
                <w:color w:val="auto"/>
                <w:sz w:val="24"/>
              </w:rPr>
              <w:t>项目用排水情况具体见表2-6，水平衡见图2-1。</w:t>
            </w:r>
          </w:p>
          <w:p w14:paraId="57014D37">
            <w:pPr>
              <w:pStyle w:val="23"/>
              <w:rPr>
                <w:color w:val="auto"/>
              </w:rPr>
            </w:pPr>
            <w:r>
              <w:rPr>
                <w:color w:val="auto"/>
              </w:rPr>
              <w:t>表2-6 项目用排水情况一览表</w:t>
            </w:r>
          </w:p>
          <w:tbl>
            <w:tblPr>
              <w:tblStyle w:val="1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8"/>
              <w:gridCol w:w="1328"/>
              <w:gridCol w:w="994"/>
              <w:gridCol w:w="990"/>
              <w:gridCol w:w="1124"/>
              <w:gridCol w:w="1125"/>
              <w:gridCol w:w="1125"/>
              <w:gridCol w:w="1125"/>
            </w:tblGrid>
            <w:tr w14:paraId="59437A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0" w:type="pct"/>
                  <w:vMerge w:val="restart"/>
                  <w:vAlign w:val="center"/>
                </w:tcPr>
                <w:p w14:paraId="6FC665EE">
                  <w:pPr>
                    <w:jc w:val="center"/>
                    <w:rPr>
                      <w:color w:val="auto"/>
                      <w:kern w:val="0"/>
                      <w:szCs w:val="21"/>
                    </w:rPr>
                  </w:pPr>
                  <w:r>
                    <w:rPr>
                      <w:color w:val="auto"/>
                      <w:kern w:val="0"/>
                      <w:szCs w:val="21"/>
                    </w:rPr>
                    <w:t>序号</w:t>
                  </w:r>
                </w:p>
              </w:tc>
              <w:tc>
                <w:tcPr>
                  <w:tcW w:w="805" w:type="pct"/>
                  <w:vMerge w:val="restart"/>
                  <w:vAlign w:val="center"/>
                </w:tcPr>
                <w:p w14:paraId="5BEA96EF">
                  <w:pPr>
                    <w:jc w:val="center"/>
                    <w:rPr>
                      <w:color w:val="auto"/>
                      <w:kern w:val="0"/>
                      <w:szCs w:val="21"/>
                    </w:rPr>
                  </w:pPr>
                  <w:r>
                    <w:rPr>
                      <w:color w:val="auto"/>
                      <w:kern w:val="0"/>
                      <w:szCs w:val="21"/>
                    </w:rPr>
                    <w:t>用水项目</w:t>
                  </w:r>
                </w:p>
              </w:tc>
              <w:tc>
                <w:tcPr>
                  <w:tcW w:w="1204" w:type="pct"/>
                  <w:gridSpan w:val="2"/>
                  <w:vAlign w:val="center"/>
                </w:tcPr>
                <w:p w14:paraId="1885468E">
                  <w:pPr>
                    <w:jc w:val="center"/>
                    <w:rPr>
                      <w:rFonts w:hint="eastAsia" w:eastAsia="宋体"/>
                      <w:color w:val="auto"/>
                      <w:kern w:val="0"/>
                      <w:szCs w:val="21"/>
                      <w:lang w:eastAsia="zh-CN"/>
                    </w:rPr>
                  </w:pPr>
                  <w:r>
                    <w:rPr>
                      <w:color w:val="auto"/>
                      <w:kern w:val="0"/>
                      <w:szCs w:val="21"/>
                    </w:rPr>
                    <w:t>用水量</w:t>
                  </w:r>
                  <w:r>
                    <w:rPr>
                      <w:rFonts w:hint="eastAsia"/>
                      <w:color w:val="auto"/>
                      <w:kern w:val="0"/>
                      <w:szCs w:val="21"/>
                      <w:lang w:eastAsia="zh-CN"/>
                    </w:rPr>
                    <w:t>（</w:t>
                  </w:r>
                  <w:r>
                    <w:rPr>
                      <w:color w:val="auto"/>
                      <w:kern w:val="0"/>
                      <w:szCs w:val="21"/>
                    </w:rPr>
                    <w:t>m</w:t>
                  </w:r>
                  <w:r>
                    <w:rPr>
                      <w:color w:val="auto"/>
                      <w:kern w:val="0"/>
                      <w:szCs w:val="21"/>
                      <w:vertAlign w:val="superscript"/>
                    </w:rPr>
                    <w:t>3</w:t>
                  </w:r>
                  <w:r>
                    <w:rPr>
                      <w:color w:val="auto"/>
                      <w:kern w:val="0"/>
                      <w:szCs w:val="21"/>
                    </w:rPr>
                    <w:t>/d</w:t>
                  </w:r>
                  <w:r>
                    <w:rPr>
                      <w:rFonts w:hint="eastAsia"/>
                      <w:color w:val="auto"/>
                      <w:kern w:val="0"/>
                      <w:szCs w:val="21"/>
                      <w:lang w:eastAsia="zh-CN"/>
                    </w:rPr>
                    <w:t>）</w:t>
                  </w:r>
                </w:p>
              </w:tc>
              <w:tc>
                <w:tcPr>
                  <w:tcW w:w="682" w:type="pct"/>
                  <w:vMerge w:val="restart"/>
                  <w:vAlign w:val="center"/>
                </w:tcPr>
                <w:p w14:paraId="222AAE6E">
                  <w:pPr>
                    <w:jc w:val="center"/>
                    <w:rPr>
                      <w:color w:val="auto"/>
                      <w:kern w:val="0"/>
                      <w:szCs w:val="21"/>
                    </w:rPr>
                  </w:pPr>
                  <w:r>
                    <w:rPr>
                      <w:color w:val="auto"/>
                      <w:kern w:val="0"/>
                      <w:szCs w:val="21"/>
                    </w:rPr>
                    <w:t>排污系数</w:t>
                  </w:r>
                </w:p>
              </w:tc>
              <w:tc>
                <w:tcPr>
                  <w:tcW w:w="683" w:type="pct"/>
                  <w:vMerge w:val="restart"/>
                  <w:vAlign w:val="center"/>
                </w:tcPr>
                <w:p w14:paraId="238504E5">
                  <w:pPr>
                    <w:jc w:val="center"/>
                    <w:rPr>
                      <w:rFonts w:hint="eastAsia" w:eastAsia="宋体"/>
                      <w:color w:val="auto"/>
                      <w:kern w:val="0"/>
                      <w:szCs w:val="21"/>
                      <w:lang w:eastAsia="zh-CN"/>
                    </w:rPr>
                  </w:pPr>
                  <w:r>
                    <w:rPr>
                      <w:rFonts w:hint="eastAsia"/>
                      <w:color w:val="auto"/>
                      <w:kern w:val="0"/>
                      <w:szCs w:val="21"/>
                    </w:rPr>
                    <w:t>损失</w:t>
                  </w:r>
                  <w:r>
                    <w:rPr>
                      <w:color w:val="auto"/>
                      <w:kern w:val="0"/>
                      <w:szCs w:val="21"/>
                    </w:rPr>
                    <w:t>量</w:t>
                  </w:r>
                  <w:r>
                    <w:rPr>
                      <w:rFonts w:hint="eastAsia"/>
                      <w:color w:val="auto"/>
                      <w:kern w:val="0"/>
                      <w:szCs w:val="21"/>
                      <w:lang w:eastAsia="zh-CN"/>
                    </w:rPr>
                    <w:t>（</w:t>
                  </w:r>
                  <w:r>
                    <w:rPr>
                      <w:color w:val="auto"/>
                      <w:kern w:val="0"/>
                      <w:szCs w:val="21"/>
                    </w:rPr>
                    <w:t>m</w:t>
                  </w:r>
                  <w:r>
                    <w:rPr>
                      <w:color w:val="auto"/>
                      <w:kern w:val="0"/>
                      <w:szCs w:val="21"/>
                      <w:vertAlign w:val="superscript"/>
                    </w:rPr>
                    <w:t>3</w:t>
                  </w:r>
                  <w:r>
                    <w:rPr>
                      <w:color w:val="auto"/>
                      <w:kern w:val="0"/>
                      <w:szCs w:val="21"/>
                    </w:rPr>
                    <w:t>/d</w:t>
                  </w:r>
                  <w:r>
                    <w:rPr>
                      <w:rFonts w:hint="eastAsia"/>
                      <w:color w:val="auto"/>
                      <w:kern w:val="0"/>
                      <w:szCs w:val="21"/>
                      <w:lang w:eastAsia="zh-CN"/>
                    </w:rPr>
                    <w:t>）</w:t>
                  </w:r>
                </w:p>
              </w:tc>
              <w:tc>
                <w:tcPr>
                  <w:tcW w:w="683" w:type="pct"/>
                  <w:vMerge w:val="restart"/>
                  <w:vAlign w:val="center"/>
                </w:tcPr>
                <w:p w14:paraId="13419DD3">
                  <w:pPr>
                    <w:jc w:val="center"/>
                    <w:rPr>
                      <w:rFonts w:hint="eastAsia" w:eastAsia="宋体"/>
                      <w:color w:val="auto"/>
                      <w:kern w:val="0"/>
                      <w:szCs w:val="21"/>
                      <w:lang w:eastAsia="zh-CN"/>
                    </w:rPr>
                  </w:pPr>
                  <w:r>
                    <w:rPr>
                      <w:color w:val="auto"/>
                      <w:kern w:val="0"/>
                      <w:szCs w:val="21"/>
                    </w:rPr>
                    <w:t>废水量</w:t>
                  </w:r>
                  <w:r>
                    <w:rPr>
                      <w:rFonts w:hint="eastAsia"/>
                      <w:color w:val="auto"/>
                      <w:kern w:val="0"/>
                      <w:szCs w:val="21"/>
                      <w:lang w:eastAsia="zh-CN"/>
                    </w:rPr>
                    <w:t>（</w:t>
                  </w:r>
                  <w:r>
                    <w:rPr>
                      <w:color w:val="auto"/>
                      <w:kern w:val="0"/>
                      <w:szCs w:val="21"/>
                    </w:rPr>
                    <w:t>m</w:t>
                  </w:r>
                  <w:r>
                    <w:rPr>
                      <w:color w:val="auto"/>
                      <w:kern w:val="0"/>
                      <w:szCs w:val="21"/>
                      <w:vertAlign w:val="superscript"/>
                    </w:rPr>
                    <w:t>3</w:t>
                  </w:r>
                  <w:r>
                    <w:rPr>
                      <w:color w:val="auto"/>
                      <w:kern w:val="0"/>
                      <w:szCs w:val="21"/>
                    </w:rPr>
                    <w:t>/d</w:t>
                  </w:r>
                  <w:r>
                    <w:rPr>
                      <w:rFonts w:hint="eastAsia"/>
                      <w:color w:val="auto"/>
                      <w:kern w:val="0"/>
                      <w:szCs w:val="21"/>
                      <w:lang w:eastAsia="zh-CN"/>
                    </w:rPr>
                    <w:t>）</w:t>
                  </w:r>
                </w:p>
              </w:tc>
              <w:tc>
                <w:tcPr>
                  <w:tcW w:w="683" w:type="pct"/>
                  <w:vMerge w:val="restart"/>
                  <w:vAlign w:val="center"/>
                </w:tcPr>
                <w:p w14:paraId="377D7A61">
                  <w:pPr>
                    <w:jc w:val="center"/>
                    <w:rPr>
                      <w:color w:val="auto"/>
                      <w:kern w:val="0"/>
                      <w:szCs w:val="21"/>
                    </w:rPr>
                  </w:pPr>
                  <w:r>
                    <w:rPr>
                      <w:color w:val="auto"/>
                      <w:kern w:val="0"/>
                      <w:szCs w:val="21"/>
                    </w:rPr>
                    <w:t>备注</w:t>
                  </w:r>
                </w:p>
              </w:tc>
            </w:tr>
            <w:tr w14:paraId="57DAB5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0" w:type="pct"/>
                  <w:vMerge w:val="continue"/>
                  <w:vAlign w:val="center"/>
                </w:tcPr>
                <w:p w14:paraId="7C8F9804">
                  <w:pPr>
                    <w:jc w:val="center"/>
                    <w:rPr>
                      <w:color w:val="auto"/>
                      <w:kern w:val="0"/>
                      <w:szCs w:val="21"/>
                    </w:rPr>
                  </w:pPr>
                </w:p>
              </w:tc>
              <w:tc>
                <w:tcPr>
                  <w:tcW w:w="805" w:type="pct"/>
                  <w:vMerge w:val="continue"/>
                  <w:vAlign w:val="center"/>
                </w:tcPr>
                <w:p w14:paraId="3028FF58">
                  <w:pPr>
                    <w:jc w:val="center"/>
                    <w:rPr>
                      <w:color w:val="auto"/>
                      <w:kern w:val="0"/>
                      <w:szCs w:val="21"/>
                    </w:rPr>
                  </w:pPr>
                </w:p>
              </w:tc>
              <w:tc>
                <w:tcPr>
                  <w:tcW w:w="603" w:type="pct"/>
                  <w:vAlign w:val="center"/>
                </w:tcPr>
                <w:p w14:paraId="0DA7E003">
                  <w:pPr>
                    <w:jc w:val="center"/>
                    <w:rPr>
                      <w:color w:val="auto"/>
                      <w:kern w:val="0"/>
                      <w:szCs w:val="21"/>
                    </w:rPr>
                  </w:pPr>
                  <w:r>
                    <w:rPr>
                      <w:color w:val="auto"/>
                      <w:kern w:val="0"/>
                      <w:szCs w:val="21"/>
                    </w:rPr>
                    <w:t>新鲜水</w:t>
                  </w:r>
                </w:p>
              </w:tc>
              <w:tc>
                <w:tcPr>
                  <w:tcW w:w="601" w:type="pct"/>
                  <w:vAlign w:val="center"/>
                </w:tcPr>
                <w:p w14:paraId="10B19981">
                  <w:pPr>
                    <w:jc w:val="center"/>
                    <w:rPr>
                      <w:color w:val="auto"/>
                      <w:kern w:val="0"/>
                      <w:szCs w:val="21"/>
                    </w:rPr>
                  </w:pPr>
                  <w:r>
                    <w:rPr>
                      <w:color w:val="auto"/>
                      <w:kern w:val="0"/>
                      <w:szCs w:val="21"/>
                    </w:rPr>
                    <w:t>回用水</w:t>
                  </w:r>
                </w:p>
              </w:tc>
              <w:tc>
                <w:tcPr>
                  <w:tcW w:w="682" w:type="pct"/>
                  <w:vMerge w:val="continue"/>
                  <w:vAlign w:val="center"/>
                </w:tcPr>
                <w:p w14:paraId="094C28BC">
                  <w:pPr>
                    <w:jc w:val="center"/>
                    <w:rPr>
                      <w:color w:val="auto"/>
                      <w:kern w:val="0"/>
                      <w:szCs w:val="21"/>
                    </w:rPr>
                  </w:pPr>
                </w:p>
              </w:tc>
              <w:tc>
                <w:tcPr>
                  <w:tcW w:w="683" w:type="pct"/>
                  <w:vMerge w:val="continue"/>
                  <w:vAlign w:val="center"/>
                </w:tcPr>
                <w:p w14:paraId="41687A9D">
                  <w:pPr>
                    <w:jc w:val="center"/>
                    <w:rPr>
                      <w:color w:val="auto"/>
                      <w:kern w:val="0"/>
                      <w:szCs w:val="21"/>
                    </w:rPr>
                  </w:pPr>
                </w:p>
              </w:tc>
              <w:tc>
                <w:tcPr>
                  <w:tcW w:w="683" w:type="pct"/>
                  <w:vMerge w:val="continue"/>
                  <w:vAlign w:val="center"/>
                </w:tcPr>
                <w:p w14:paraId="6F888189">
                  <w:pPr>
                    <w:jc w:val="center"/>
                    <w:rPr>
                      <w:color w:val="auto"/>
                      <w:kern w:val="0"/>
                      <w:szCs w:val="21"/>
                    </w:rPr>
                  </w:pPr>
                </w:p>
              </w:tc>
              <w:tc>
                <w:tcPr>
                  <w:tcW w:w="683" w:type="pct"/>
                  <w:vMerge w:val="continue"/>
                  <w:vAlign w:val="center"/>
                </w:tcPr>
                <w:p w14:paraId="7F18488C">
                  <w:pPr>
                    <w:jc w:val="center"/>
                    <w:rPr>
                      <w:color w:val="auto"/>
                      <w:kern w:val="0"/>
                      <w:szCs w:val="21"/>
                    </w:rPr>
                  </w:pPr>
                </w:p>
              </w:tc>
            </w:tr>
            <w:tr w14:paraId="682F7D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0" w:type="pct"/>
                  <w:vAlign w:val="center"/>
                </w:tcPr>
                <w:p w14:paraId="6E4ABA10">
                  <w:pPr>
                    <w:jc w:val="center"/>
                    <w:rPr>
                      <w:color w:val="auto"/>
                      <w:kern w:val="0"/>
                      <w:szCs w:val="21"/>
                    </w:rPr>
                  </w:pPr>
                  <w:r>
                    <w:rPr>
                      <w:rFonts w:eastAsia="等线"/>
                      <w:color w:val="auto"/>
                      <w:szCs w:val="21"/>
                    </w:rPr>
                    <w:t>1</w:t>
                  </w:r>
                </w:p>
              </w:tc>
              <w:tc>
                <w:tcPr>
                  <w:tcW w:w="805" w:type="pct"/>
                  <w:vAlign w:val="center"/>
                </w:tcPr>
                <w:p w14:paraId="756DB53D">
                  <w:pPr>
                    <w:jc w:val="center"/>
                    <w:rPr>
                      <w:color w:val="auto"/>
                      <w:kern w:val="0"/>
                      <w:szCs w:val="21"/>
                    </w:rPr>
                  </w:pPr>
                  <w:r>
                    <w:rPr>
                      <w:color w:val="auto"/>
                    </w:rPr>
                    <w:t>搅拌用水</w:t>
                  </w:r>
                </w:p>
              </w:tc>
              <w:tc>
                <w:tcPr>
                  <w:tcW w:w="603" w:type="pct"/>
                  <w:vAlign w:val="center"/>
                </w:tcPr>
                <w:p w14:paraId="2686B649">
                  <w:pPr>
                    <w:jc w:val="center"/>
                    <w:rPr>
                      <w:color w:val="auto"/>
                      <w:kern w:val="0"/>
                      <w:szCs w:val="21"/>
                    </w:rPr>
                  </w:pPr>
                  <w:r>
                    <w:rPr>
                      <w:rFonts w:hint="eastAsia" w:eastAsia="等线"/>
                      <w:color w:val="auto"/>
                      <w:szCs w:val="21"/>
                    </w:rPr>
                    <w:t>14.86</w:t>
                  </w:r>
                </w:p>
              </w:tc>
              <w:tc>
                <w:tcPr>
                  <w:tcW w:w="601" w:type="pct"/>
                  <w:vAlign w:val="center"/>
                </w:tcPr>
                <w:p w14:paraId="5445F95E">
                  <w:pPr>
                    <w:jc w:val="center"/>
                    <w:rPr>
                      <w:color w:val="auto"/>
                      <w:kern w:val="0"/>
                      <w:szCs w:val="21"/>
                    </w:rPr>
                  </w:pPr>
                  <w:r>
                    <w:rPr>
                      <w:rFonts w:hint="eastAsia" w:eastAsia="等线"/>
                      <w:color w:val="auto"/>
                      <w:szCs w:val="21"/>
                    </w:rPr>
                    <w:t>3</w:t>
                  </w:r>
                </w:p>
              </w:tc>
              <w:tc>
                <w:tcPr>
                  <w:tcW w:w="682" w:type="pct"/>
                  <w:vAlign w:val="center"/>
                </w:tcPr>
                <w:p w14:paraId="724282CA">
                  <w:pPr>
                    <w:jc w:val="center"/>
                    <w:rPr>
                      <w:rFonts w:hint="eastAsia" w:eastAsia="宋体"/>
                      <w:color w:val="auto"/>
                      <w:kern w:val="0"/>
                      <w:szCs w:val="21"/>
                      <w:lang w:eastAsia="zh-CN"/>
                    </w:rPr>
                  </w:pPr>
                  <w:r>
                    <w:rPr>
                      <w:rFonts w:hint="eastAsia" w:eastAsia="等线"/>
                      <w:color w:val="auto"/>
                      <w:szCs w:val="21"/>
                      <w:lang w:val="en-US" w:eastAsia="zh-CN"/>
                    </w:rPr>
                    <w:t>/</w:t>
                  </w:r>
                </w:p>
              </w:tc>
              <w:tc>
                <w:tcPr>
                  <w:tcW w:w="683" w:type="pct"/>
                  <w:vAlign w:val="center"/>
                </w:tcPr>
                <w:p w14:paraId="4C72EF72">
                  <w:pPr>
                    <w:jc w:val="center"/>
                    <w:rPr>
                      <w:rFonts w:eastAsia="等线"/>
                      <w:color w:val="auto"/>
                      <w:szCs w:val="21"/>
                    </w:rPr>
                  </w:pPr>
                  <w:r>
                    <w:rPr>
                      <w:rFonts w:hint="eastAsia" w:eastAsia="等线"/>
                      <w:color w:val="auto"/>
                      <w:szCs w:val="21"/>
                    </w:rPr>
                    <w:t>17.86</w:t>
                  </w:r>
                </w:p>
              </w:tc>
              <w:tc>
                <w:tcPr>
                  <w:tcW w:w="683" w:type="pct"/>
                  <w:vAlign w:val="center"/>
                </w:tcPr>
                <w:p w14:paraId="14C49B98">
                  <w:pPr>
                    <w:jc w:val="center"/>
                    <w:rPr>
                      <w:rFonts w:hint="eastAsia" w:eastAsia="宋体"/>
                      <w:color w:val="auto"/>
                      <w:kern w:val="0"/>
                      <w:szCs w:val="21"/>
                      <w:lang w:eastAsia="zh-CN"/>
                    </w:rPr>
                  </w:pPr>
                  <w:r>
                    <w:rPr>
                      <w:rFonts w:hint="eastAsia" w:eastAsia="等线"/>
                      <w:color w:val="auto"/>
                      <w:szCs w:val="21"/>
                      <w:lang w:val="en-US" w:eastAsia="zh-CN"/>
                    </w:rPr>
                    <w:t>/</w:t>
                  </w:r>
                </w:p>
              </w:tc>
              <w:tc>
                <w:tcPr>
                  <w:tcW w:w="683" w:type="pct"/>
                  <w:vAlign w:val="center"/>
                </w:tcPr>
                <w:p w14:paraId="3B9A14EB">
                  <w:pPr>
                    <w:jc w:val="center"/>
                    <w:rPr>
                      <w:rFonts w:hint="eastAsia" w:eastAsia="宋体"/>
                      <w:color w:val="auto"/>
                      <w:kern w:val="0"/>
                      <w:szCs w:val="21"/>
                      <w:lang w:eastAsia="zh-CN"/>
                    </w:rPr>
                  </w:pPr>
                  <w:r>
                    <w:rPr>
                      <w:rFonts w:hint="eastAsia" w:eastAsia="等线"/>
                      <w:color w:val="auto"/>
                      <w:szCs w:val="21"/>
                      <w:lang w:val="en-US" w:eastAsia="zh-CN"/>
                    </w:rPr>
                    <w:t>/</w:t>
                  </w:r>
                </w:p>
              </w:tc>
            </w:tr>
            <w:tr w14:paraId="431A2D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0" w:type="pct"/>
                  <w:vAlign w:val="center"/>
                </w:tcPr>
                <w:p w14:paraId="03A53DE9">
                  <w:pPr>
                    <w:jc w:val="center"/>
                    <w:rPr>
                      <w:color w:val="auto"/>
                      <w:kern w:val="0"/>
                      <w:szCs w:val="21"/>
                    </w:rPr>
                  </w:pPr>
                  <w:r>
                    <w:rPr>
                      <w:rFonts w:eastAsia="等线"/>
                      <w:color w:val="auto"/>
                      <w:szCs w:val="21"/>
                    </w:rPr>
                    <w:t>2</w:t>
                  </w:r>
                </w:p>
              </w:tc>
              <w:tc>
                <w:tcPr>
                  <w:tcW w:w="805" w:type="pct"/>
                  <w:vAlign w:val="center"/>
                </w:tcPr>
                <w:p w14:paraId="3604AB5F">
                  <w:pPr>
                    <w:jc w:val="center"/>
                    <w:rPr>
                      <w:color w:val="auto"/>
                      <w:kern w:val="0"/>
                      <w:szCs w:val="21"/>
                    </w:rPr>
                  </w:pPr>
                  <w:r>
                    <w:rPr>
                      <w:color w:val="auto"/>
                    </w:rPr>
                    <w:t>清洗用水</w:t>
                  </w:r>
                </w:p>
              </w:tc>
              <w:tc>
                <w:tcPr>
                  <w:tcW w:w="603" w:type="pct"/>
                  <w:vAlign w:val="center"/>
                </w:tcPr>
                <w:p w14:paraId="49C7ED95">
                  <w:pPr>
                    <w:jc w:val="center"/>
                    <w:rPr>
                      <w:color w:val="auto"/>
                      <w:kern w:val="0"/>
                      <w:szCs w:val="21"/>
                    </w:rPr>
                  </w:pPr>
                  <w:r>
                    <w:rPr>
                      <w:rFonts w:hint="eastAsia" w:eastAsia="等线"/>
                      <w:color w:val="auto"/>
                      <w:szCs w:val="21"/>
                    </w:rPr>
                    <w:t>3</w:t>
                  </w:r>
                  <w:r>
                    <w:rPr>
                      <w:rFonts w:eastAsia="等线"/>
                      <w:color w:val="auto"/>
                      <w:szCs w:val="21"/>
                    </w:rPr>
                    <w:t>.25</w:t>
                  </w:r>
                </w:p>
              </w:tc>
              <w:tc>
                <w:tcPr>
                  <w:tcW w:w="601" w:type="pct"/>
                  <w:vAlign w:val="center"/>
                </w:tcPr>
                <w:p w14:paraId="1D312A34">
                  <w:pPr>
                    <w:jc w:val="center"/>
                    <w:rPr>
                      <w:rFonts w:hint="eastAsia" w:eastAsia="宋体"/>
                      <w:color w:val="auto"/>
                      <w:kern w:val="0"/>
                      <w:szCs w:val="21"/>
                      <w:lang w:val="en-US" w:eastAsia="zh-CN"/>
                    </w:rPr>
                  </w:pPr>
                  <w:r>
                    <w:rPr>
                      <w:rFonts w:hint="eastAsia"/>
                      <w:color w:val="auto"/>
                      <w:kern w:val="0"/>
                      <w:szCs w:val="21"/>
                      <w:lang w:val="en-US" w:eastAsia="zh-CN"/>
                    </w:rPr>
                    <w:t>/</w:t>
                  </w:r>
                </w:p>
              </w:tc>
              <w:tc>
                <w:tcPr>
                  <w:tcW w:w="682" w:type="pct"/>
                  <w:vAlign w:val="center"/>
                </w:tcPr>
                <w:p w14:paraId="4037F609">
                  <w:pPr>
                    <w:jc w:val="center"/>
                    <w:rPr>
                      <w:color w:val="auto"/>
                      <w:kern w:val="0"/>
                      <w:szCs w:val="21"/>
                    </w:rPr>
                  </w:pPr>
                  <w:r>
                    <w:rPr>
                      <w:rFonts w:eastAsia="等线"/>
                      <w:color w:val="auto"/>
                      <w:szCs w:val="21"/>
                    </w:rPr>
                    <w:t>0.8</w:t>
                  </w:r>
                </w:p>
              </w:tc>
              <w:tc>
                <w:tcPr>
                  <w:tcW w:w="683" w:type="pct"/>
                  <w:vAlign w:val="center"/>
                </w:tcPr>
                <w:p w14:paraId="67D25B18">
                  <w:pPr>
                    <w:jc w:val="center"/>
                    <w:rPr>
                      <w:rFonts w:eastAsia="等线"/>
                      <w:color w:val="auto"/>
                      <w:szCs w:val="21"/>
                    </w:rPr>
                  </w:pPr>
                  <w:r>
                    <w:rPr>
                      <w:rFonts w:hint="eastAsia" w:eastAsia="等线"/>
                      <w:color w:val="auto"/>
                      <w:szCs w:val="21"/>
                    </w:rPr>
                    <w:t>0.65</w:t>
                  </w:r>
                </w:p>
              </w:tc>
              <w:tc>
                <w:tcPr>
                  <w:tcW w:w="683" w:type="pct"/>
                  <w:vAlign w:val="center"/>
                </w:tcPr>
                <w:p w14:paraId="770A79CA">
                  <w:pPr>
                    <w:jc w:val="center"/>
                    <w:rPr>
                      <w:color w:val="auto"/>
                      <w:kern w:val="0"/>
                      <w:szCs w:val="21"/>
                    </w:rPr>
                  </w:pPr>
                  <w:r>
                    <w:rPr>
                      <w:rFonts w:hint="eastAsia" w:eastAsia="等线"/>
                      <w:color w:val="auto"/>
                      <w:szCs w:val="21"/>
                    </w:rPr>
                    <w:t>2.6</w:t>
                  </w:r>
                </w:p>
              </w:tc>
              <w:tc>
                <w:tcPr>
                  <w:tcW w:w="683" w:type="pct"/>
                  <w:vAlign w:val="center"/>
                </w:tcPr>
                <w:p w14:paraId="6DB6C251">
                  <w:pPr>
                    <w:jc w:val="center"/>
                    <w:rPr>
                      <w:color w:val="auto"/>
                      <w:kern w:val="0"/>
                      <w:szCs w:val="21"/>
                    </w:rPr>
                  </w:pPr>
                  <w:r>
                    <w:rPr>
                      <w:color w:val="auto"/>
                      <w:szCs w:val="21"/>
                    </w:rPr>
                    <w:t>回用生产</w:t>
                  </w:r>
                </w:p>
              </w:tc>
            </w:tr>
            <w:tr w14:paraId="6DC35E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0" w:type="pct"/>
                  <w:vAlign w:val="center"/>
                </w:tcPr>
                <w:p w14:paraId="79A747DA">
                  <w:pPr>
                    <w:jc w:val="center"/>
                    <w:rPr>
                      <w:color w:val="auto"/>
                      <w:kern w:val="0"/>
                      <w:szCs w:val="21"/>
                    </w:rPr>
                  </w:pPr>
                  <w:r>
                    <w:rPr>
                      <w:rFonts w:eastAsia="等线"/>
                      <w:color w:val="auto"/>
                      <w:szCs w:val="21"/>
                    </w:rPr>
                    <w:t>3</w:t>
                  </w:r>
                </w:p>
              </w:tc>
              <w:tc>
                <w:tcPr>
                  <w:tcW w:w="805" w:type="pct"/>
                  <w:vAlign w:val="center"/>
                </w:tcPr>
                <w:p w14:paraId="2DB0AC12">
                  <w:pPr>
                    <w:jc w:val="center"/>
                    <w:rPr>
                      <w:color w:val="auto"/>
                      <w:kern w:val="0"/>
                      <w:szCs w:val="21"/>
                    </w:rPr>
                  </w:pPr>
                  <w:r>
                    <w:rPr>
                      <w:color w:val="auto"/>
                    </w:rPr>
                    <w:t>实验室用水</w:t>
                  </w:r>
                </w:p>
              </w:tc>
              <w:tc>
                <w:tcPr>
                  <w:tcW w:w="603" w:type="pct"/>
                  <w:vAlign w:val="center"/>
                </w:tcPr>
                <w:p w14:paraId="48E37002">
                  <w:pPr>
                    <w:jc w:val="center"/>
                    <w:rPr>
                      <w:color w:val="auto"/>
                      <w:kern w:val="0"/>
                      <w:szCs w:val="21"/>
                    </w:rPr>
                  </w:pPr>
                  <w:r>
                    <w:rPr>
                      <w:rFonts w:eastAsia="等线"/>
                      <w:color w:val="auto"/>
                      <w:szCs w:val="21"/>
                    </w:rPr>
                    <w:t>0.5</w:t>
                  </w:r>
                </w:p>
              </w:tc>
              <w:tc>
                <w:tcPr>
                  <w:tcW w:w="601" w:type="pct"/>
                  <w:vAlign w:val="center"/>
                </w:tcPr>
                <w:p w14:paraId="66BB72C2">
                  <w:pPr>
                    <w:jc w:val="center"/>
                    <w:rPr>
                      <w:rFonts w:hint="eastAsia" w:eastAsia="宋体"/>
                      <w:color w:val="auto"/>
                      <w:kern w:val="0"/>
                      <w:szCs w:val="21"/>
                      <w:lang w:val="en-US" w:eastAsia="zh-CN"/>
                    </w:rPr>
                  </w:pPr>
                  <w:r>
                    <w:rPr>
                      <w:rFonts w:hint="eastAsia"/>
                      <w:color w:val="auto"/>
                      <w:kern w:val="0"/>
                      <w:szCs w:val="21"/>
                      <w:lang w:val="en-US" w:eastAsia="zh-CN"/>
                    </w:rPr>
                    <w:t>/</w:t>
                  </w:r>
                </w:p>
              </w:tc>
              <w:tc>
                <w:tcPr>
                  <w:tcW w:w="682" w:type="pct"/>
                  <w:vAlign w:val="center"/>
                </w:tcPr>
                <w:p w14:paraId="684BCE76">
                  <w:pPr>
                    <w:jc w:val="center"/>
                    <w:rPr>
                      <w:color w:val="auto"/>
                      <w:kern w:val="0"/>
                      <w:szCs w:val="21"/>
                    </w:rPr>
                  </w:pPr>
                  <w:r>
                    <w:rPr>
                      <w:rFonts w:eastAsia="等线"/>
                      <w:color w:val="auto"/>
                      <w:szCs w:val="21"/>
                    </w:rPr>
                    <w:t>0.8</w:t>
                  </w:r>
                </w:p>
              </w:tc>
              <w:tc>
                <w:tcPr>
                  <w:tcW w:w="683" w:type="pct"/>
                  <w:vAlign w:val="center"/>
                </w:tcPr>
                <w:p w14:paraId="57B4CC45">
                  <w:pPr>
                    <w:jc w:val="center"/>
                    <w:rPr>
                      <w:rFonts w:eastAsia="等线"/>
                      <w:color w:val="auto"/>
                      <w:szCs w:val="21"/>
                    </w:rPr>
                  </w:pPr>
                  <w:r>
                    <w:rPr>
                      <w:rFonts w:hint="eastAsia" w:eastAsia="等线"/>
                      <w:color w:val="auto"/>
                      <w:szCs w:val="21"/>
                    </w:rPr>
                    <w:t>0.1</w:t>
                  </w:r>
                </w:p>
              </w:tc>
              <w:tc>
                <w:tcPr>
                  <w:tcW w:w="683" w:type="pct"/>
                  <w:vAlign w:val="center"/>
                </w:tcPr>
                <w:p w14:paraId="2628BE0B">
                  <w:pPr>
                    <w:jc w:val="center"/>
                    <w:rPr>
                      <w:color w:val="auto"/>
                      <w:kern w:val="0"/>
                      <w:szCs w:val="21"/>
                    </w:rPr>
                  </w:pPr>
                  <w:r>
                    <w:rPr>
                      <w:rFonts w:eastAsia="等线"/>
                      <w:color w:val="auto"/>
                      <w:szCs w:val="21"/>
                    </w:rPr>
                    <w:t>0.4</w:t>
                  </w:r>
                </w:p>
              </w:tc>
              <w:tc>
                <w:tcPr>
                  <w:tcW w:w="683" w:type="pct"/>
                  <w:vAlign w:val="center"/>
                </w:tcPr>
                <w:p w14:paraId="0BC614D7">
                  <w:pPr>
                    <w:jc w:val="center"/>
                    <w:rPr>
                      <w:color w:val="auto"/>
                      <w:kern w:val="0"/>
                      <w:szCs w:val="21"/>
                    </w:rPr>
                  </w:pPr>
                  <w:r>
                    <w:rPr>
                      <w:color w:val="auto"/>
                      <w:szCs w:val="21"/>
                    </w:rPr>
                    <w:t>回用生产</w:t>
                  </w:r>
                </w:p>
              </w:tc>
            </w:tr>
            <w:tr w14:paraId="3AA28A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0" w:type="pct"/>
                  <w:vAlign w:val="center"/>
                </w:tcPr>
                <w:p w14:paraId="14CA7B65">
                  <w:pPr>
                    <w:jc w:val="center"/>
                    <w:rPr>
                      <w:color w:val="auto"/>
                      <w:kern w:val="0"/>
                      <w:szCs w:val="21"/>
                    </w:rPr>
                  </w:pPr>
                  <w:r>
                    <w:rPr>
                      <w:rFonts w:eastAsia="等线"/>
                      <w:color w:val="auto"/>
                      <w:szCs w:val="21"/>
                    </w:rPr>
                    <w:t>4</w:t>
                  </w:r>
                </w:p>
              </w:tc>
              <w:tc>
                <w:tcPr>
                  <w:tcW w:w="805" w:type="pct"/>
                  <w:vAlign w:val="center"/>
                </w:tcPr>
                <w:p w14:paraId="73AAA2A2">
                  <w:pPr>
                    <w:jc w:val="center"/>
                    <w:rPr>
                      <w:color w:val="auto"/>
                      <w:kern w:val="0"/>
                      <w:szCs w:val="21"/>
                    </w:rPr>
                  </w:pPr>
                  <w:r>
                    <w:rPr>
                      <w:color w:val="auto"/>
                    </w:rPr>
                    <w:t>抑尘用水</w:t>
                  </w:r>
                </w:p>
              </w:tc>
              <w:tc>
                <w:tcPr>
                  <w:tcW w:w="603" w:type="pct"/>
                  <w:vAlign w:val="center"/>
                </w:tcPr>
                <w:p w14:paraId="53393252">
                  <w:pPr>
                    <w:jc w:val="center"/>
                    <w:rPr>
                      <w:color w:val="auto"/>
                      <w:kern w:val="0"/>
                      <w:szCs w:val="21"/>
                    </w:rPr>
                  </w:pPr>
                  <w:r>
                    <w:rPr>
                      <w:rFonts w:eastAsia="等线"/>
                      <w:color w:val="auto"/>
                      <w:szCs w:val="21"/>
                    </w:rPr>
                    <w:t>3.5</w:t>
                  </w:r>
                </w:p>
              </w:tc>
              <w:tc>
                <w:tcPr>
                  <w:tcW w:w="601" w:type="pct"/>
                  <w:vAlign w:val="center"/>
                </w:tcPr>
                <w:p w14:paraId="38E80BF4">
                  <w:pPr>
                    <w:jc w:val="center"/>
                    <w:rPr>
                      <w:rFonts w:hint="eastAsia" w:eastAsia="宋体"/>
                      <w:color w:val="auto"/>
                      <w:kern w:val="0"/>
                      <w:szCs w:val="21"/>
                      <w:lang w:val="en-US" w:eastAsia="zh-CN"/>
                    </w:rPr>
                  </w:pPr>
                  <w:r>
                    <w:rPr>
                      <w:rFonts w:hint="eastAsia"/>
                      <w:color w:val="auto"/>
                      <w:kern w:val="0"/>
                      <w:szCs w:val="21"/>
                      <w:lang w:val="en-US" w:eastAsia="zh-CN"/>
                    </w:rPr>
                    <w:t>/</w:t>
                  </w:r>
                </w:p>
              </w:tc>
              <w:tc>
                <w:tcPr>
                  <w:tcW w:w="682" w:type="pct"/>
                  <w:vAlign w:val="center"/>
                </w:tcPr>
                <w:p w14:paraId="1C32C189">
                  <w:pPr>
                    <w:jc w:val="center"/>
                    <w:rPr>
                      <w:color w:val="auto"/>
                      <w:kern w:val="0"/>
                      <w:szCs w:val="21"/>
                    </w:rPr>
                  </w:pPr>
                  <w:r>
                    <w:rPr>
                      <w:rFonts w:eastAsia="等线"/>
                      <w:color w:val="auto"/>
                      <w:szCs w:val="21"/>
                    </w:rPr>
                    <w:t>0</w:t>
                  </w:r>
                </w:p>
              </w:tc>
              <w:tc>
                <w:tcPr>
                  <w:tcW w:w="683" w:type="pct"/>
                  <w:vAlign w:val="center"/>
                </w:tcPr>
                <w:p w14:paraId="4B6C4277">
                  <w:pPr>
                    <w:jc w:val="center"/>
                    <w:rPr>
                      <w:rFonts w:eastAsia="等线"/>
                      <w:color w:val="auto"/>
                      <w:szCs w:val="21"/>
                    </w:rPr>
                  </w:pPr>
                  <w:r>
                    <w:rPr>
                      <w:rFonts w:hint="eastAsia" w:eastAsia="等线"/>
                      <w:color w:val="auto"/>
                      <w:szCs w:val="21"/>
                    </w:rPr>
                    <w:t>3.5</w:t>
                  </w:r>
                </w:p>
              </w:tc>
              <w:tc>
                <w:tcPr>
                  <w:tcW w:w="683" w:type="pct"/>
                  <w:vAlign w:val="center"/>
                </w:tcPr>
                <w:p w14:paraId="0148AFA0">
                  <w:pPr>
                    <w:jc w:val="center"/>
                    <w:rPr>
                      <w:color w:val="auto"/>
                      <w:kern w:val="0"/>
                      <w:szCs w:val="21"/>
                    </w:rPr>
                  </w:pPr>
                  <w:r>
                    <w:rPr>
                      <w:rFonts w:eastAsia="等线"/>
                      <w:color w:val="auto"/>
                      <w:szCs w:val="21"/>
                    </w:rPr>
                    <w:t>0</w:t>
                  </w:r>
                </w:p>
              </w:tc>
              <w:tc>
                <w:tcPr>
                  <w:tcW w:w="683" w:type="pct"/>
                  <w:vAlign w:val="center"/>
                </w:tcPr>
                <w:p w14:paraId="2EF5FC0F">
                  <w:pPr>
                    <w:jc w:val="center"/>
                    <w:rPr>
                      <w:rFonts w:hint="eastAsia" w:eastAsia="宋体"/>
                      <w:color w:val="auto"/>
                      <w:kern w:val="0"/>
                      <w:szCs w:val="21"/>
                      <w:lang w:eastAsia="zh-CN"/>
                    </w:rPr>
                  </w:pPr>
                  <w:r>
                    <w:rPr>
                      <w:rFonts w:hint="eastAsia" w:eastAsia="等线"/>
                      <w:color w:val="auto"/>
                      <w:szCs w:val="21"/>
                      <w:lang w:val="en-US" w:eastAsia="zh-CN"/>
                    </w:rPr>
                    <w:t>/</w:t>
                  </w:r>
                </w:p>
              </w:tc>
            </w:tr>
            <w:tr w14:paraId="64CCA2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0" w:type="pct"/>
                  <w:vAlign w:val="center"/>
                </w:tcPr>
                <w:p w14:paraId="3D886C76">
                  <w:pPr>
                    <w:jc w:val="center"/>
                    <w:rPr>
                      <w:color w:val="auto"/>
                      <w:kern w:val="0"/>
                      <w:szCs w:val="21"/>
                    </w:rPr>
                  </w:pPr>
                  <w:r>
                    <w:rPr>
                      <w:rFonts w:eastAsia="等线"/>
                      <w:color w:val="auto"/>
                      <w:szCs w:val="21"/>
                    </w:rPr>
                    <w:t>5</w:t>
                  </w:r>
                </w:p>
              </w:tc>
              <w:tc>
                <w:tcPr>
                  <w:tcW w:w="805" w:type="pct"/>
                  <w:vAlign w:val="center"/>
                </w:tcPr>
                <w:p w14:paraId="478B557F">
                  <w:pPr>
                    <w:jc w:val="center"/>
                    <w:rPr>
                      <w:color w:val="auto"/>
                      <w:kern w:val="0"/>
                      <w:szCs w:val="21"/>
                    </w:rPr>
                  </w:pPr>
                  <w:r>
                    <w:rPr>
                      <w:color w:val="auto"/>
                      <w:szCs w:val="21"/>
                    </w:rPr>
                    <w:t>生活用水</w:t>
                  </w:r>
                </w:p>
              </w:tc>
              <w:tc>
                <w:tcPr>
                  <w:tcW w:w="603" w:type="pct"/>
                  <w:vAlign w:val="center"/>
                </w:tcPr>
                <w:p w14:paraId="7328CA10">
                  <w:pPr>
                    <w:jc w:val="center"/>
                    <w:rPr>
                      <w:color w:val="auto"/>
                      <w:kern w:val="0"/>
                      <w:szCs w:val="21"/>
                    </w:rPr>
                  </w:pPr>
                  <w:r>
                    <w:rPr>
                      <w:rFonts w:eastAsia="等线"/>
                      <w:color w:val="auto"/>
                      <w:szCs w:val="21"/>
                    </w:rPr>
                    <w:t>0.28</w:t>
                  </w:r>
                </w:p>
              </w:tc>
              <w:tc>
                <w:tcPr>
                  <w:tcW w:w="601" w:type="pct"/>
                  <w:vAlign w:val="center"/>
                </w:tcPr>
                <w:p w14:paraId="1303A436">
                  <w:pPr>
                    <w:jc w:val="center"/>
                    <w:rPr>
                      <w:rFonts w:hint="eastAsia" w:eastAsia="宋体"/>
                      <w:color w:val="auto"/>
                      <w:kern w:val="0"/>
                      <w:szCs w:val="21"/>
                      <w:lang w:val="en-US" w:eastAsia="zh-CN"/>
                    </w:rPr>
                  </w:pPr>
                  <w:r>
                    <w:rPr>
                      <w:rFonts w:hint="eastAsia"/>
                      <w:color w:val="auto"/>
                      <w:kern w:val="0"/>
                      <w:szCs w:val="21"/>
                      <w:lang w:val="en-US" w:eastAsia="zh-CN"/>
                    </w:rPr>
                    <w:t>/</w:t>
                  </w:r>
                </w:p>
              </w:tc>
              <w:tc>
                <w:tcPr>
                  <w:tcW w:w="682" w:type="pct"/>
                  <w:vAlign w:val="center"/>
                </w:tcPr>
                <w:p w14:paraId="309E137B">
                  <w:pPr>
                    <w:jc w:val="center"/>
                    <w:rPr>
                      <w:color w:val="auto"/>
                      <w:kern w:val="0"/>
                      <w:szCs w:val="21"/>
                    </w:rPr>
                  </w:pPr>
                  <w:r>
                    <w:rPr>
                      <w:rFonts w:eastAsia="等线"/>
                      <w:color w:val="auto"/>
                      <w:szCs w:val="21"/>
                    </w:rPr>
                    <w:t>0.8</w:t>
                  </w:r>
                </w:p>
              </w:tc>
              <w:tc>
                <w:tcPr>
                  <w:tcW w:w="683" w:type="pct"/>
                  <w:vAlign w:val="center"/>
                </w:tcPr>
                <w:p w14:paraId="2FF22C64">
                  <w:pPr>
                    <w:jc w:val="center"/>
                    <w:rPr>
                      <w:rFonts w:eastAsia="等线"/>
                      <w:color w:val="auto"/>
                      <w:szCs w:val="21"/>
                    </w:rPr>
                  </w:pPr>
                  <w:r>
                    <w:rPr>
                      <w:rFonts w:hint="eastAsia" w:eastAsia="等线"/>
                      <w:color w:val="auto"/>
                      <w:szCs w:val="21"/>
                    </w:rPr>
                    <w:t>0.056</w:t>
                  </w:r>
                </w:p>
              </w:tc>
              <w:tc>
                <w:tcPr>
                  <w:tcW w:w="683" w:type="pct"/>
                  <w:vAlign w:val="center"/>
                </w:tcPr>
                <w:p w14:paraId="71F38C5D">
                  <w:pPr>
                    <w:jc w:val="center"/>
                    <w:rPr>
                      <w:color w:val="auto"/>
                      <w:kern w:val="0"/>
                      <w:szCs w:val="21"/>
                    </w:rPr>
                  </w:pPr>
                  <w:r>
                    <w:rPr>
                      <w:rFonts w:eastAsia="等线"/>
                      <w:color w:val="auto"/>
                      <w:szCs w:val="21"/>
                    </w:rPr>
                    <w:t>0.224</w:t>
                  </w:r>
                </w:p>
              </w:tc>
              <w:tc>
                <w:tcPr>
                  <w:tcW w:w="683" w:type="pct"/>
                  <w:vAlign w:val="center"/>
                </w:tcPr>
                <w:p w14:paraId="1BA08C73">
                  <w:pPr>
                    <w:jc w:val="center"/>
                    <w:rPr>
                      <w:rFonts w:hint="eastAsia" w:eastAsia="宋体"/>
                      <w:color w:val="auto"/>
                      <w:kern w:val="0"/>
                      <w:szCs w:val="21"/>
                      <w:lang w:eastAsia="zh-CN"/>
                    </w:rPr>
                  </w:pPr>
                  <w:r>
                    <w:rPr>
                      <w:rFonts w:hint="eastAsia" w:eastAsia="等线"/>
                      <w:color w:val="auto"/>
                      <w:szCs w:val="21"/>
                      <w:lang w:val="en-US" w:eastAsia="zh-CN"/>
                    </w:rPr>
                    <w:t>/</w:t>
                  </w:r>
                </w:p>
              </w:tc>
            </w:tr>
            <w:tr w14:paraId="1869C8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6" w:type="pct"/>
                  <w:gridSpan w:val="2"/>
                  <w:vAlign w:val="center"/>
                </w:tcPr>
                <w:p w14:paraId="59E6235D">
                  <w:pPr>
                    <w:jc w:val="center"/>
                    <w:rPr>
                      <w:color w:val="auto"/>
                      <w:kern w:val="0"/>
                      <w:szCs w:val="21"/>
                    </w:rPr>
                  </w:pPr>
                  <w:r>
                    <w:rPr>
                      <w:color w:val="auto"/>
                      <w:kern w:val="0"/>
                      <w:szCs w:val="21"/>
                    </w:rPr>
                    <w:t>合计</w:t>
                  </w:r>
                </w:p>
              </w:tc>
              <w:tc>
                <w:tcPr>
                  <w:tcW w:w="603" w:type="pct"/>
                  <w:vAlign w:val="center"/>
                </w:tcPr>
                <w:p w14:paraId="7C765284">
                  <w:pPr>
                    <w:widowControl/>
                    <w:jc w:val="center"/>
                    <w:rPr>
                      <w:rFonts w:eastAsia="等线"/>
                      <w:color w:val="auto"/>
                      <w:kern w:val="0"/>
                      <w:szCs w:val="21"/>
                    </w:rPr>
                  </w:pPr>
                  <w:r>
                    <w:rPr>
                      <w:rFonts w:hint="eastAsia" w:eastAsia="等线"/>
                      <w:color w:val="auto"/>
                      <w:szCs w:val="21"/>
                    </w:rPr>
                    <w:t>22.39</w:t>
                  </w:r>
                </w:p>
              </w:tc>
              <w:tc>
                <w:tcPr>
                  <w:tcW w:w="601" w:type="pct"/>
                  <w:vAlign w:val="center"/>
                </w:tcPr>
                <w:p w14:paraId="4607E9E4">
                  <w:pPr>
                    <w:jc w:val="center"/>
                    <w:rPr>
                      <w:color w:val="auto"/>
                      <w:kern w:val="0"/>
                      <w:szCs w:val="21"/>
                    </w:rPr>
                  </w:pPr>
                  <w:r>
                    <w:rPr>
                      <w:rFonts w:hint="eastAsia"/>
                      <w:color w:val="auto"/>
                      <w:kern w:val="0"/>
                      <w:szCs w:val="21"/>
                    </w:rPr>
                    <w:t>3</w:t>
                  </w:r>
                </w:p>
              </w:tc>
              <w:tc>
                <w:tcPr>
                  <w:tcW w:w="682" w:type="pct"/>
                  <w:vAlign w:val="center"/>
                </w:tcPr>
                <w:p w14:paraId="49CABB85">
                  <w:pPr>
                    <w:jc w:val="center"/>
                    <w:rPr>
                      <w:rFonts w:hint="eastAsia" w:eastAsia="宋体"/>
                      <w:color w:val="auto"/>
                      <w:kern w:val="0"/>
                      <w:szCs w:val="21"/>
                      <w:lang w:eastAsia="zh-CN"/>
                    </w:rPr>
                  </w:pPr>
                  <w:r>
                    <w:rPr>
                      <w:rFonts w:hint="eastAsia"/>
                      <w:color w:val="auto"/>
                      <w:kern w:val="0"/>
                      <w:szCs w:val="21"/>
                      <w:lang w:val="en-US" w:eastAsia="zh-CN"/>
                    </w:rPr>
                    <w:t>/</w:t>
                  </w:r>
                </w:p>
              </w:tc>
              <w:tc>
                <w:tcPr>
                  <w:tcW w:w="683" w:type="pct"/>
                  <w:vAlign w:val="center"/>
                </w:tcPr>
                <w:p w14:paraId="0CB5F9A2">
                  <w:pPr>
                    <w:jc w:val="center"/>
                    <w:rPr>
                      <w:color w:val="auto"/>
                      <w:kern w:val="0"/>
                      <w:szCs w:val="21"/>
                    </w:rPr>
                  </w:pPr>
                  <w:r>
                    <w:rPr>
                      <w:color w:val="auto"/>
                      <w:kern w:val="0"/>
                      <w:szCs w:val="21"/>
                    </w:rPr>
                    <w:fldChar w:fldCharType="begin"/>
                  </w:r>
                  <w:r>
                    <w:rPr>
                      <w:color w:val="auto"/>
                      <w:kern w:val="0"/>
                      <w:szCs w:val="21"/>
                    </w:rPr>
                    <w:instrText xml:space="preserve"> </w:instrText>
                  </w:r>
                  <w:r>
                    <w:rPr>
                      <w:rFonts w:hint="eastAsia"/>
                      <w:color w:val="auto"/>
                      <w:kern w:val="0"/>
                      <w:szCs w:val="21"/>
                    </w:rPr>
                    <w:instrText xml:space="preserve">=SUM(ABOVE)</w:instrText>
                  </w:r>
                  <w:r>
                    <w:rPr>
                      <w:color w:val="auto"/>
                      <w:kern w:val="0"/>
                      <w:szCs w:val="21"/>
                    </w:rPr>
                    <w:instrText xml:space="preserve"> </w:instrText>
                  </w:r>
                  <w:r>
                    <w:rPr>
                      <w:color w:val="auto"/>
                      <w:kern w:val="0"/>
                      <w:szCs w:val="21"/>
                    </w:rPr>
                    <w:fldChar w:fldCharType="separate"/>
                  </w:r>
                  <w:r>
                    <w:rPr>
                      <w:color w:val="auto"/>
                      <w:kern w:val="0"/>
                      <w:szCs w:val="21"/>
                    </w:rPr>
                    <w:t>22.166</w:t>
                  </w:r>
                  <w:r>
                    <w:rPr>
                      <w:color w:val="auto"/>
                      <w:kern w:val="0"/>
                      <w:szCs w:val="21"/>
                    </w:rPr>
                    <w:fldChar w:fldCharType="end"/>
                  </w:r>
                </w:p>
              </w:tc>
              <w:tc>
                <w:tcPr>
                  <w:tcW w:w="683" w:type="pct"/>
                  <w:vAlign w:val="center"/>
                </w:tcPr>
                <w:p w14:paraId="7A4C1C87">
                  <w:pPr>
                    <w:jc w:val="center"/>
                    <w:rPr>
                      <w:color w:val="auto"/>
                      <w:kern w:val="0"/>
                      <w:szCs w:val="21"/>
                    </w:rPr>
                  </w:pPr>
                  <w:r>
                    <w:rPr>
                      <w:color w:val="auto"/>
                      <w:kern w:val="0"/>
                      <w:szCs w:val="21"/>
                    </w:rPr>
                    <w:fldChar w:fldCharType="begin"/>
                  </w:r>
                  <w:r>
                    <w:rPr>
                      <w:color w:val="auto"/>
                      <w:kern w:val="0"/>
                      <w:szCs w:val="21"/>
                    </w:rPr>
                    <w:instrText xml:space="preserve"> =SUM(ABOVE) </w:instrText>
                  </w:r>
                  <w:r>
                    <w:rPr>
                      <w:color w:val="auto"/>
                      <w:kern w:val="0"/>
                      <w:szCs w:val="21"/>
                    </w:rPr>
                    <w:fldChar w:fldCharType="separate"/>
                  </w:r>
                  <w:r>
                    <w:rPr>
                      <w:color w:val="auto"/>
                      <w:kern w:val="0"/>
                      <w:szCs w:val="21"/>
                    </w:rPr>
                    <w:t>3.224</w:t>
                  </w:r>
                  <w:r>
                    <w:rPr>
                      <w:color w:val="auto"/>
                      <w:kern w:val="0"/>
                      <w:szCs w:val="21"/>
                    </w:rPr>
                    <w:fldChar w:fldCharType="end"/>
                  </w:r>
                </w:p>
              </w:tc>
              <w:tc>
                <w:tcPr>
                  <w:tcW w:w="683" w:type="pct"/>
                  <w:vAlign w:val="center"/>
                </w:tcPr>
                <w:p w14:paraId="5F6BE5B9">
                  <w:pPr>
                    <w:jc w:val="center"/>
                    <w:rPr>
                      <w:rFonts w:hint="eastAsia" w:eastAsia="宋体"/>
                      <w:color w:val="auto"/>
                      <w:kern w:val="0"/>
                      <w:szCs w:val="21"/>
                      <w:lang w:eastAsia="zh-CN"/>
                    </w:rPr>
                  </w:pPr>
                  <w:r>
                    <w:rPr>
                      <w:rFonts w:hint="eastAsia"/>
                      <w:color w:val="auto"/>
                      <w:kern w:val="0"/>
                      <w:szCs w:val="21"/>
                      <w:lang w:val="en-US" w:eastAsia="zh-CN"/>
                    </w:rPr>
                    <w:t>/</w:t>
                  </w:r>
                </w:p>
              </w:tc>
            </w:tr>
          </w:tbl>
          <w:p w14:paraId="57AE7AF3">
            <w:pPr>
              <w:autoSpaceDE w:val="0"/>
              <w:autoSpaceDN w:val="0"/>
              <w:adjustRightInd w:val="0"/>
              <w:snapToGrid w:val="0"/>
              <w:spacing w:line="360" w:lineRule="auto"/>
              <w:jc w:val="center"/>
              <w:rPr>
                <w:b/>
                <w:color w:val="auto"/>
                <w:kern w:val="0"/>
                <w:szCs w:val="21"/>
              </w:rPr>
            </w:pPr>
            <w:r>
              <w:rPr>
                <w:b/>
                <w:color w:val="auto"/>
                <w:kern w:val="0"/>
                <w:szCs w:val="21"/>
              </w:rPr>
              <w:drawing>
                <wp:inline distT="0" distB="0" distL="0" distR="0">
                  <wp:extent cx="4356100" cy="2280920"/>
                  <wp:effectExtent l="0" t="0" r="6350" b="508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9"/>
                          <a:stretch>
                            <a:fillRect/>
                          </a:stretch>
                        </pic:blipFill>
                        <pic:spPr>
                          <a:xfrm>
                            <a:off x="0" y="0"/>
                            <a:ext cx="4363260" cy="2284741"/>
                          </a:xfrm>
                          <a:prstGeom prst="rect">
                            <a:avLst/>
                          </a:prstGeom>
                        </pic:spPr>
                      </pic:pic>
                    </a:graphicData>
                  </a:graphic>
                </wp:inline>
              </w:drawing>
            </w:r>
          </w:p>
          <w:p w14:paraId="15273EA7">
            <w:pPr>
              <w:pStyle w:val="23"/>
              <w:rPr>
                <w:color w:val="auto"/>
              </w:rPr>
            </w:pPr>
            <w:r>
              <w:rPr>
                <w:color w:val="auto"/>
              </w:rPr>
              <w:t>图2-1 项目</w:t>
            </w:r>
            <w:r>
              <w:rPr>
                <w:rFonts w:hint="eastAsia"/>
                <w:color w:val="auto"/>
                <w:lang w:eastAsia="zh-CN"/>
              </w:rPr>
              <w:t>用</w:t>
            </w:r>
            <w:r>
              <w:rPr>
                <w:color w:val="auto"/>
              </w:rPr>
              <w:t>水平衡图  m</w:t>
            </w:r>
            <w:r>
              <w:rPr>
                <w:color w:val="auto"/>
                <w:vertAlign w:val="superscript"/>
              </w:rPr>
              <w:t>3</w:t>
            </w:r>
            <w:r>
              <w:rPr>
                <w:color w:val="auto"/>
              </w:rPr>
              <w:t>/d</w:t>
            </w:r>
          </w:p>
          <w:p w14:paraId="06EDAF45">
            <w:pPr>
              <w:adjustRightInd w:val="0"/>
              <w:snapToGrid w:val="0"/>
              <w:spacing w:line="360" w:lineRule="auto"/>
              <w:ind w:firstLine="480" w:firstLineChars="200"/>
              <w:rPr>
                <w:bCs/>
                <w:color w:val="auto"/>
                <w:sz w:val="24"/>
              </w:rPr>
            </w:pPr>
            <w:r>
              <w:rPr>
                <w:rFonts w:hint="eastAsia"/>
                <w:bCs/>
                <w:color w:val="auto"/>
                <w:sz w:val="24"/>
                <w:lang w:eastAsia="zh-CN"/>
              </w:rPr>
              <w:t>（</w:t>
            </w:r>
            <w:r>
              <w:rPr>
                <w:bCs/>
                <w:color w:val="auto"/>
                <w:sz w:val="24"/>
              </w:rPr>
              <w:t>3</w:t>
            </w:r>
            <w:r>
              <w:rPr>
                <w:rFonts w:hint="eastAsia"/>
                <w:bCs/>
                <w:color w:val="auto"/>
                <w:sz w:val="24"/>
                <w:lang w:eastAsia="zh-CN"/>
              </w:rPr>
              <w:t>）</w:t>
            </w:r>
            <w:r>
              <w:rPr>
                <w:bCs/>
                <w:color w:val="auto"/>
                <w:sz w:val="24"/>
              </w:rPr>
              <w:t>供电工程</w:t>
            </w:r>
          </w:p>
          <w:p w14:paraId="4C0EDC6E">
            <w:pPr>
              <w:spacing w:line="360" w:lineRule="auto"/>
              <w:ind w:firstLine="480" w:firstLineChars="200"/>
              <w:rPr>
                <w:bCs/>
                <w:color w:val="auto"/>
                <w:sz w:val="24"/>
              </w:rPr>
            </w:pPr>
            <w:r>
              <w:rPr>
                <w:bCs/>
                <w:color w:val="auto"/>
                <w:sz w:val="24"/>
              </w:rPr>
              <w:t>项目总用电量为50000KWh，由当地电网供给。</w:t>
            </w:r>
          </w:p>
          <w:p w14:paraId="76BADBAB">
            <w:pPr>
              <w:spacing w:line="360" w:lineRule="auto"/>
              <w:ind w:firstLine="480" w:firstLineChars="200"/>
              <w:rPr>
                <w:bCs/>
                <w:color w:val="auto"/>
                <w:sz w:val="24"/>
              </w:rPr>
            </w:pPr>
            <w:r>
              <w:rPr>
                <w:rFonts w:hint="eastAsia"/>
                <w:bCs/>
                <w:color w:val="auto"/>
                <w:sz w:val="24"/>
                <w:lang w:eastAsia="zh-CN"/>
              </w:rPr>
              <w:t>（</w:t>
            </w:r>
            <w:r>
              <w:rPr>
                <w:bCs/>
                <w:color w:val="auto"/>
                <w:sz w:val="24"/>
              </w:rPr>
              <w:t>4</w:t>
            </w:r>
            <w:r>
              <w:rPr>
                <w:rFonts w:hint="eastAsia"/>
                <w:bCs/>
                <w:color w:val="auto"/>
                <w:sz w:val="24"/>
                <w:lang w:eastAsia="zh-CN"/>
              </w:rPr>
              <w:t>）</w:t>
            </w:r>
            <w:r>
              <w:rPr>
                <w:bCs/>
                <w:color w:val="auto"/>
                <w:sz w:val="24"/>
              </w:rPr>
              <w:t>供暖工程</w:t>
            </w:r>
          </w:p>
          <w:p w14:paraId="4912072D">
            <w:pPr>
              <w:spacing w:line="360" w:lineRule="auto"/>
              <w:ind w:firstLine="480" w:firstLineChars="200"/>
              <w:rPr>
                <w:bCs/>
                <w:color w:val="auto"/>
                <w:sz w:val="24"/>
              </w:rPr>
            </w:pPr>
            <w:r>
              <w:rPr>
                <w:color w:val="auto"/>
                <w:sz w:val="24"/>
              </w:rPr>
              <w:t>本项目冬季不生产，无需取暖。</w:t>
            </w:r>
          </w:p>
          <w:p w14:paraId="13F4F827">
            <w:pPr>
              <w:pStyle w:val="23"/>
              <w:rPr>
                <w:color w:val="auto"/>
              </w:rPr>
            </w:pPr>
          </w:p>
        </w:tc>
      </w:tr>
      <w:tr w14:paraId="6DC7E5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239" w:type="pct"/>
            <w:vAlign w:val="center"/>
          </w:tcPr>
          <w:p w14:paraId="3029F7D8">
            <w:pPr>
              <w:pStyle w:val="13"/>
              <w:adjustRightInd w:val="0"/>
              <w:snapToGrid w:val="0"/>
              <w:spacing w:before="0" w:beforeAutospacing="0" w:after="0" w:afterAutospacing="0"/>
              <w:jc w:val="center"/>
              <w:rPr>
                <w:rFonts w:ascii="Times New Roman" w:hAnsi="Times New Roman"/>
                <w:color w:val="auto"/>
                <w:sz w:val="21"/>
                <w:szCs w:val="21"/>
              </w:rPr>
            </w:pPr>
            <w:r>
              <w:rPr>
                <w:rFonts w:ascii="Times New Roman" w:hAnsi="Times New Roman"/>
                <w:color w:val="auto"/>
                <w:sz w:val="21"/>
                <w:szCs w:val="21"/>
              </w:rPr>
              <w:t>工艺流程和产排污环节</w:t>
            </w:r>
          </w:p>
        </w:tc>
        <w:tc>
          <w:tcPr>
            <w:tcW w:w="4760" w:type="pct"/>
          </w:tcPr>
          <w:p w14:paraId="2759D7D1">
            <w:pPr>
              <w:spacing w:line="360" w:lineRule="auto"/>
              <w:jc w:val="left"/>
              <w:rPr>
                <w:b/>
                <w:color w:val="auto"/>
                <w:sz w:val="24"/>
              </w:rPr>
            </w:pPr>
            <w:bookmarkStart w:id="8" w:name="_Toc65446908"/>
            <w:r>
              <w:rPr>
                <w:b/>
                <w:color w:val="auto"/>
                <w:sz w:val="24"/>
              </w:rPr>
              <w:t>项目生产工艺及流程</w:t>
            </w:r>
            <w:bookmarkEnd w:id="8"/>
          </w:p>
          <w:p w14:paraId="6488EC40">
            <w:pPr>
              <w:spacing w:line="360" w:lineRule="auto"/>
              <w:jc w:val="left"/>
              <w:rPr>
                <w:b/>
                <w:color w:val="auto"/>
                <w:sz w:val="24"/>
              </w:rPr>
            </w:pPr>
            <w:r>
              <w:rPr>
                <w:b/>
                <w:color w:val="auto"/>
                <w:sz w:val="24"/>
              </w:rPr>
              <w:t>一、施工期工程分析</w:t>
            </w:r>
          </w:p>
          <w:p w14:paraId="2CB79CF5">
            <w:pPr>
              <w:adjustRightInd w:val="0"/>
              <w:snapToGrid w:val="0"/>
              <w:spacing w:line="360" w:lineRule="auto"/>
              <w:ind w:firstLine="480" w:firstLineChars="200"/>
              <w:rPr>
                <w:color w:val="auto"/>
                <w:sz w:val="24"/>
              </w:rPr>
            </w:pPr>
            <w:r>
              <w:rPr>
                <w:color w:val="auto"/>
                <w:sz w:val="24"/>
              </w:rPr>
              <w:t>施工流程及各阶段主要污染物产生见图2-2。</w:t>
            </w:r>
          </w:p>
          <w:p w14:paraId="7B3F4234">
            <w:pPr>
              <w:adjustRightInd w:val="0"/>
              <w:snapToGrid w:val="0"/>
              <w:spacing w:line="360" w:lineRule="auto"/>
              <w:ind w:firstLine="480" w:firstLineChars="200"/>
              <w:jc w:val="center"/>
              <w:rPr>
                <w:color w:val="auto"/>
                <w:sz w:val="24"/>
              </w:rPr>
            </w:pPr>
            <w:r>
              <w:rPr>
                <w:color w:val="auto"/>
                <w:sz w:val="24"/>
              </w:rPr>
              <w:drawing>
                <wp:inline distT="0" distB="0" distL="0" distR="0">
                  <wp:extent cx="3376930" cy="1993265"/>
                  <wp:effectExtent l="0" t="0" r="0" b="698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0"/>
                          <a:stretch>
                            <a:fillRect/>
                          </a:stretch>
                        </pic:blipFill>
                        <pic:spPr>
                          <a:xfrm>
                            <a:off x="0" y="0"/>
                            <a:ext cx="3376930" cy="1993265"/>
                          </a:xfrm>
                          <a:prstGeom prst="rect">
                            <a:avLst/>
                          </a:prstGeom>
                        </pic:spPr>
                      </pic:pic>
                    </a:graphicData>
                  </a:graphic>
                </wp:inline>
              </w:drawing>
            </w:r>
          </w:p>
          <w:p w14:paraId="00A6F607">
            <w:pPr>
              <w:pStyle w:val="23"/>
              <w:rPr>
                <w:color w:val="auto"/>
              </w:rPr>
            </w:pPr>
            <w:r>
              <w:rPr>
                <w:color w:val="auto"/>
              </w:rPr>
              <w:t>图2-2 施工期工艺流程图</w:t>
            </w:r>
          </w:p>
          <w:p w14:paraId="7DD9A479">
            <w:pPr>
              <w:adjustRightInd w:val="0"/>
              <w:snapToGrid w:val="0"/>
              <w:spacing w:line="360" w:lineRule="auto"/>
              <w:jc w:val="left"/>
              <w:rPr>
                <w:b/>
                <w:bCs/>
                <w:color w:val="auto"/>
                <w:sz w:val="24"/>
              </w:rPr>
            </w:pPr>
            <w:r>
              <w:rPr>
                <w:b/>
                <w:bCs/>
                <w:color w:val="auto"/>
                <w:sz w:val="24"/>
              </w:rPr>
              <w:t>二、运营期工程分析</w:t>
            </w:r>
          </w:p>
          <w:p w14:paraId="4B0B306F">
            <w:pPr>
              <w:adjustRightInd w:val="0"/>
              <w:snapToGrid w:val="0"/>
              <w:spacing w:line="360" w:lineRule="auto"/>
              <w:ind w:firstLine="482" w:firstLineChars="200"/>
              <w:jc w:val="left"/>
              <w:rPr>
                <w:b/>
                <w:color w:val="auto"/>
                <w:sz w:val="24"/>
              </w:rPr>
            </w:pPr>
            <w:r>
              <w:rPr>
                <w:b/>
                <w:color w:val="auto"/>
                <w:sz w:val="24"/>
              </w:rPr>
              <w:t>1</w:t>
            </w:r>
            <w:r>
              <w:rPr>
                <w:rFonts w:hint="eastAsia"/>
                <w:b/>
                <w:color w:val="auto"/>
                <w:sz w:val="24"/>
                <w:lang w:val="en-US" w:eastAsia="zh-CN"/>
              </w:rPr>
              <w:t>.</w:t>
            </w:r>
            <w:r>
              <w:rPr>
                <w:b/>
                <w:color w:val="auto"/>
                <w:sz w:val="24"/>
              </w:rPr>
              <w:t>混凝土搅拌站工艺及产污环节</w:t>
            </w:r>
          </w:p>
          <w:p w14:paraId="72A4D6FE">
            <w:pPr>
              <w:adjustRightInd w:val="0"/>
              <w:snapToGrid w:val="0"/>
              <w:spacing w:line="360" w:lineRule="auto"/>
              <w:ind w:firstLine="480" w:firstLineChars="200"/>
              <w:jc w:val="left"/>
              <w:rPr>
                <w:bCs/>
                <w:color w:val="auto"/>
                <w:sz w:val="24"/>
              </w:rPr>
            </w:pPr>
            <w:r>
              <w:rPr>
                <w:bCs/>
                <w:color w:val="auto"/>
                <w:sz w:val="24"/>
              </w:rPr>
              <w:t>本项目混凝土搅拌站工艺流程如下：</w:t>
            </w:r>
          </w:p>
          <w:p w14:paraId="64B26C4B">
            <w:pPr>
              <w:adjustRightInd w:val="0"/>
              <w:snapToGrid w:val="0"/>
              <w:spacing w:line="360" w:lineRule="auto"/>
              <w:ind w:firstLine="480" w:firstLineChars="200"/>
              <w:jc w:val="left"/>
              <w:rPr>
                <w:b/>
                <w:bCs/>
                <w:color w:val="auto"/>
                <w:sz w:val="24"/>
              </w:rPr>
            </w:pPr>
            <w:r>
              <w:rPr>
                <w:rFonts w:hint="eastAsia"/>
                <w:bCs/>
                <w:color w:val="auto"/>
                <w:sz w:val="24"/>
                <w:lang w:eastAsia="zh-CN"/>
              </w:rPr>
              <w:t>（</w:t>
            </w:r>
            <w:r>
              <w:rPr>
                <w:bCs/>
                <w:color w:val="auto"/>
                <w:sz w:val="24"/>
              </w:rPr>
              <w:t>1</w:t>
            </w:r>
            <w:r>
              <w:rPr>
                <w:rFonts w:hint="eastAsia"/>
                <w:bCs/>
                <w:color w:val="auto"/>
                <w:sz w:val="24"/>
                <w:lang w:eastAsia="zh-CN"/>
              </w:rPr>
              <w:t>）</w:t>
            </w:r>
            <w:r>
              <w:rPr>
                <w:bCs/>
                <w:color w:val="auto"/>
                <w:sz w:val="24"/>
              </w:rPr>
              <w:t xml:space="preserve">原料 </w:t>
            </w:r>
          </w:p>
          <w:p w14:paraId="47849EC3">
            <w:pPr>
              <w:adjustRightInd w:val="0"/>
              <w:snapToGrid w:val="0"/>
              <w:spacing w:line="360" w:lineRule="auto"/>
              <w:ind w:firstLine="480" w:firstLineChars="200"/>
              <w:jc w:val="left"/>
              <w:rPr>
                <w:bCs/>
                <w:color w:val="auto"/>
                <w:sz w:val="24"/>
              </w:rPr>
            </w:pPr>
            <w:r>
              <w:rPr>
                <w:bCs/>
                <w:color w:val="auto"/>
                <w:sz w:val="24"/>
              </w:rPr>
              <w:t>本项目生产所需要的原料有水泥、砂子、碎石、外加剂和水，其中水泥原料采用罐装车运输到厂区后，正压吹入相应原料筒仓内储存；砂子、碎石等由运输车辆运至原料堆场内堆存，</w:t>
            </w:r>
            <w:r>
              <w:rPr>
                <w:rFonts w:hint="eastAsia"/>
                <w:bCs/>
                <w:color w:val="auto"/>
                <w:sz w:val="24"/>
              </w:rPr>
              <w:t>砂石料场采用三面挡墙，上方苫盖密目网</w:t>
            </w:r>
            <w:r>
              <w:rPr>
                <w:bCs/>
                <w:color w:val="auto"/>
                <w:sz w:val="24"/>
              </w:rPr>
              <w:t>，并进行洒水抑尘；外加剂存放于外加剂罐中备用。</w:t>
            </w:r>
          </w:p>
          <w:p w14:paraId="31DF7B60">
            <w:pPr>
              <w:adjustRightInd w:val="0"/>
              <w:snapToGrid w:val="0"/>
              <w:spacing w:line="360" w:lineRule="auto"/>
              <w:ind w:firstLine="480" w:firstLineChars="200"/>
              <w:jc w:val="left"/>
              <w:rPr>
                <w:b/>
                <w:bCs/>
                <w:color w:val="auto"/>
                <w:sz w:val="24"/>
              </w:rPr>
            </w:pPr>
            <w:r>
              <w:rPr>
                <w:rFonts w:hint="eastAsia"/>
                <w:bCs/>
                <w:color w:val="auto"/>
                <w:sz w:val="24"/>
                <w:lang w:eastAsia="zh-CN"/>
              </w:rPr>
              <w:t>（</w:t>
            </w:r>
            <w:r>
              <w:rPr>
                <w:bCs/>
                <w:color w:val="auto"/>
                <w:sz w:val="24"/>
              </w:rPr>
              <w:t>2</w:t>
            </w:r>
            <w:r>
              <w:rPr>
                <w:rFonts w:hint="eastAsia"/>
                <w:bCs/>
                <w:color w:val="auto"/>
                <w:sz w:val="24"/>
                <w:lang w:eastAsia="zh-CN"/>
              </w:rPr>
              <w:t>）</w:t>
            </w:r>
            <w:r>
              <w:rPr>
                <w:bCs/>
                <w:color w:val="auto"/>
                <w:sz w:val="24"/>
              </w:rPr>
              <w:t>加料</w:t>
            </w:r>
          </w:p>
          <w:p w14:paraId="0C610ACE">
            <w:pPr>
              <w:adjustRightInd w:val="0"/>
              <w:snapToGrid w:val="0"/>
              <w:spacing w:line="360" w:lineRule="auto"/>
              <w:ind w:firstLine="480" w:firstLineChars="200"/>
              <w:jc w:val="left"/>
              <w:rPr>
                <w:bCs/>
                <w:color w:val="auto"/>
                <w:sz w:val="24"/>
              </w:rPr>
            </w:pPr>
            <w:r>
              <w:rPr>
                <w:bCs/>
                <w:color w:val="auto"/>
                <w:sz w:val="24"/>
              </w:rPr>
              <w:t>储存于原料储料场的砂子、碎石由装载机铲入配料斗，进行称量，称量完毕后再通过输送带输送至搅拌机；水泥等粉状原料则通过螺旋输送机密闭上料至搅拌主机内，经称量后放料进搅拌机；搅拌用水及外加剂采用压力供水及水泵上料。整个过程均采用计算机监控，全程自动化操作。</w:t>
            </w:r>
          </w:p>
          <w:p w14:paraId="34B92FCC">
            <w:pPr>
              <w:adjustRightInd w:val="0"/>
              <w:snapToGrid w:val="0"/>
              <w:spacing w:line="360" w:lineRule="auto"/>
              <w:ind w:firstLine="480" w:firstLineChars="200"/>
              <w:jc w:val="left"/>
              <w:rPr>
                <w:b/>
                <w:bCs/>
                <w:color w:val="auto"/>
                <w:sz w:val="24"/>
              </w:rPr>
            </w:pPr>
            <w:r>
              <w:rPr>
                <w:rFonts w:hint="eastAsia"/>
                <w:bCs/>
                <w:color w:val="auto"/>
                <w:sz w:val="24"/>
                <w:lang w:eastAsia="zh-CN"/>
              </w:rPr>
              <w:t>（</w:t>
            </w:r>
            <w:r>
              <w:rPr>
                <w:bCs/>
                <w:color w:val="auto"/>
                <w:sz w:val="24"/>
              </w:rPr>
              <w:t>3</w:t>
            </w:r>
            <w:r>
              <w:rPr>
                <w:rFonts w:hint="eastAsia"/>
                <w:bCs/>
                <w:color w:val="auto"/>
                <w:sz w:val="24"/>
                <w:lang w:eastAsia="zh-CN"/>
              </w:rPr>
              <w:t>）</w:t>
            </w:r>
            <w:r>
              <w:rPr>
                <w:bCs/>
                <w:color w:val="auto"/>
                <w:sz w:val="24"/>
              </w:rPr>
              <w:t>搅拌</w:t>
            </w:r>
          </w:p>
          <w:p w14:paraId="65A6DAFD">
            <w:pPr>
              <w:adjustRightInd w:val="0"/>
              <w:snapToGrid w:val="0"/>
              <w:spacing w:line="360" w:lineRule="auto"/>
              <w:ind w:firstLine="480" w:firstLineChars="200"/>
              <w:jc w:val="left"/>
              <w:rPr>
                <w:bCs/>
                <w:color w:val="auto"/>
                <w:sz w:val="24"/>
              </w:rPr>
            </w:pPr>
            <w:r>
              <w:rPr>
                <w:bCs/>
                <w:color w:val="auto"/>
                <w:sz w:val="24"/>
              </w:rPr>
              <w:t>经过计量后的各种原料进入搅拌仓中进行机械式强制搅拌</w:t>
            </w:r>
            <w:r>
              <w:rPr>
                <w:rFonts w:hint="eastAsia"/>
                <w:bCs/>
                <w:color w:val="auto"/>
                <w:sz w:val="24"/>
                <w:lang w:eastAsia="zh-CN"/>
              </w:rPr>
              <w:t>。</w:t>
            </w:r>
            <w:r>
              <w:rPr>
                <w:bCs/>
                <w:color w:val="auto"/>
                <w:sz w:val="24"/>
              </w:rPr>
              <w:t>原料进入搅拌机时按设定的顺序进料，以减少进料时产生的粉尘。本工艺搅拌过程全部采用电脑自动控制，以有效保证混凝土的质量。</w:t>
            </w:r>
          </w:p>
          <w:p w14:paraId="2DFC3C5A">
            <w:pPr>
              <w:adjustRightInd w:val="0"/>
              <w:snapToGrid w:val="0"/>
              <w:spacing w:line="360" w:lineRule="auto"/>
              <w:ind w:firstLine="480" w:firstLineChars="200"/>
              <w:jc w:val="left"/>
              <w:rPr>
                <w:b/>
                <w:bCs/>
                <w:color w:val="auto"/>
                <w:sz w:val="24"/>
              </w:rPr>
            </w:pPr>
            <w:r>
              <w:rPr>
                <w:rFonts w:hint="eastAsia"/>
                <w:bCs/>
                <w:color w:val="auto"/>
                <w:sz w:val="24"/>
                <w:lang w:eastAsia="zh-CN"/>
              </w:rPr>
              <w:t>（</w:t>
            </w:r>
            <w:r>
              <w:rPr>
                <w:bCs/>
                <w:color w:val="auto"/>
                <w:sz w:val="24"/>
              </w:rPr>
              <w:t>4</w:t>
            </w:r>
            <w:r>
              <w:rPr>
                <w:rFonts w:hint="eastAsia"/>
                <w:bCs/>
                <w:color w:val="auto"/>
                <w:sz w:val="24"/>
                <w:lang w:eastAsia="zh-CN"/>
              </w:rPr>
              <w:t>）</w:t>
            </w:r>
            <w:r>
              <w:rPr>
                <w:bCs/>
                <w:color w:val="auto"/>
                <w:sz w:val="24"/>
              </w:rPr>
              <w:t>卸料</w:t>
            </w:r>
          </w:p>
          <w:p w14:paraId="4BF1016D">
            <w:pPr>
              <w:adjustRightInd w:val="0"/>
              <w:snapToGrid w:val="0"/>
              <w:spacing w:line="360" w:lineRule="auto"/>
              <w:ind w:firstLine="480" w:firstLineChars="200"/>
              <w:jc w:val="left"/>
              <w:rPr>
                <w:bCs/>
                <w:color w:val="auto"/>
                <w:sz w:val="24"/>
              </w:rPr>
            </w:pPr>
            <w:r>
              <w:rPr>
                <w:bCs/>
                <w:color w:val="auto"/>
                <w:sz w:val="24"/>
              </w:rPr>
              <w:t>生产出的混凝土成品由混凝土罐车直接装运，送到建筑工地进行砼浇筑。</w:t>
            </w:r>
          </w:p>
          <w:p w14:paraId="112B5889">
            <w:pPr>
              <w:adjustRightInd w:val="0"/>
              <w:snapToGrid w:val="0"/>
              <w:spacing w:line="360" w:lineRule="auto"/>
              <w:ind w:firstLine="480" w:firstLineChars="200"/>
              <w:jc w:val="left"/>
              <w:rPr>
                <w:bCs/>
                <w:color w:val="auto"/>
                <w:sz w:val="24"/>
              </w:rPr>
            </w:pPr>
            <w:r>
              <w:rPr>
                <w:bCs/>
                <w:color w:val="auto"/>
                <w:sz w:val="24"/>
              </w:rPr>
              <w:t>为保证原料及产品质量，厂区内对原料及产品进行质量检测</w:t>
            </w:r>
            <w:r>
              <w:rPr>
                <w:rFonts w:hint="eastAsia"/>
                <w:bCs/>
                <w:color w:val="auto"/>
                <w:sz w:val="24"/>
                <w:lang w:eastAsia="zh-CN"/>
              </w:rPr>
              <w:t>。</w:t>
            </w:r>
            <w:r>
              <w:rPr>
                <w:bCs/>
                <w:color w:val="auto"/>
                <w:sz w:val="24"/>
              </w:rPr>
              <w:t>主要包括原料细度、稠度检测，产品强度检测等，检测合格的原料及产品方可使用。整个检测过程均不使用任何化学药品。</w:t>
            </w:r>
          </w:p>
          <w:p w14:paraId="05377C37">
            <w:pPr>
              <w:adjustRightInd w:val="0"/>
              <w:snapToGrid w:val="0"/>
              <w:jc w:val="center"/>
              <w:rPr>
                <w:bCs/>
                <w:color w:val="auto"/>
                <w:szCs w:val="21"/>
              </w:rPr>
            </w:pPr>
            <w:r>
              <w:rPr>
                <w:bCs/>
                <w:color w:val="auto"/>
                <w:szCs w:val="21"/>
              </w:rPr>
              <w:drawing>
                <wp:inline distT="0" distB="0" distL="0" distR="0">
                  <wp:extent cx="4393565" cy="3037840"/>
                  <wp:effectExtent l="0" t="0" r="6985" b="0"/>
                  <wp:docPr id="128078999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789992" name="图片 6"/>
                          <pic:cNvPicPr>
                            <a:picLocks noChangeAspect="1"/>
                          </pic:cNvPicPr>
                        </pic:nvPicPr>
                        <pic:blipFill>
                          <a:blip r:embed="rId11"/>
                          <a:stretch>
                            <a:fillRect/>
                          </a:stretch>
                        </pic:blipFill>
                        <pic:spPr>
                          <a:xfrm>
                            <a:off x="0" y="0"/>
                            <a:ext cx="4398002" cy="3041405"/>
                          </a:xfrm>
                          <a:prstGeom prst="rect">
                            <a:avLst/>
                          </a:prstGeom>
                        </pic:spPr>
                      </pic:pic>
                    </a:graphicData>
                  </a:graphic>
                </wp:inline>
              </w:drawing>
            </w:r>
          </w:p>
          <w:p w14:paraId="71CB782F">
            <w:pPr>
              <w:pStyle w:val="23"/>
              <w:rPr>
                <w:color w:val="auto"/>
              </w:rPr>
            </w:pPr>
            <w:r>
              <w:rPr>
                <w:color w:val="auto"/>
              </w:rPr>
              <w:t>图2-3 混凝土搅拌站工艺流程及产污环节图</w:t>
            </w:r>
          </w:p>
          <w:p w14:paraId="799EFC4D">
            <w:pPr>
              <w:adjustRightInd w:val="0"/>
              <w:snapToGrid w:val="0"/>
              <w:spacing w:line="360" w:lineRule="auto"/>
              <w:ind w:firstLine="482" w:firstLineChars="200"/>
              <w:jc w:val="left"/>
              <w:rPr>
                <w:b/>
                <w:bCs/>
                <w:color w:val="auto"/>
                <w:sz w:val="24"/>
              </w:rPr>
            </w:pPr>
            <w:r>
              <w:rPr>
                <w:b/>
                <w:bCs/>
                <w:color w:val="auto"/>
                <w:sz w:val="24"/>
              </w:rPr>
              <w:t>2</w:t>
            </w:r>
            <w:r>
              <w:rPr>
                <w:rFonts w:hint="eastAsia"/>
                <w:b/>
                <w:bCs/>
                <w:color w:val="auto"/>
                <w:sz w:val="24"/>
                <w:lang w:val="en-US" w:eastAsia="zh-CN"/>
              </w:rPr>
              <w:t>.水</w:t>
            </w:r>
            <w:r>
              <w:rPr>
                <w:b/>
                <w:bCs/>
                <w:color w:val="auto"/>
                <w:sz w:val="24"/>
              </w:rPr>
              <w:t>泥稳定土搅拌站工艺及产污环节</w:t>
            </w:r>
          </w:p>
          <w:p w14:paraId="6ED7707D">
            <w:pPr>
              <w:adjustRightInd w:val="0"/>
              <w:snapToGrid w:val="0"/>
              <w:spacing w:line="360" w:lineRule="auto"/>
              <w:ind w:firstLine="480" w:firstLineChars="200"/>
              <w:rPr>
                <w:b/>
                <w:bCs/>
                <w:color w:val="auto"/>
                <w:sz w:val="24"/>
              </w:rPr>
            </w:pPr>
            <w:r>
              <w:rPr>
                <w:rFonts w:hint="eastAsia"/>
                <w:bCs/>
                <w:color w:val="auto"/>
                <w:sz w:val="24"/>
                <w:lang w:eastAsia="zh-CN"/>
              </w:rPr>
              <w:t>（</w:t>
            </w:r>
            <w:r>
              <w:rPr>
                <w:bCs/>
                <w:color w:val="auto"/>
                <w:sz w:val="24"/>
              </w:rPr>
              <w:t>1</w:t>
            </w:r>
            <w:r>
              <w:rPr>
                <w:rFonts w:hint="eastAsia"/>
                <w:bCs/>
                <w:color w:val="auto"/>
                <w:sz w:val="24"/>
                <w:lang w:eastAsia="zh-CN"/>
              </w:rPr>
              <w:t>）</w:t>
            </w:r>
            <w:r>
              <w:rPr>
                <w:bCs/>
                <w:color w:val="auto"/>
                <w:sz w:val="24"/>
              </w:rPr>
              <w:t xml:space="preserve">原料 </w:t>
            </w:r>
          </w:p>
          <w:p w14:paraId="24ACFCFC">
            <w:pPr>
              <w:adjustRightInd w:val="0"/>
              <w:snapToGrid w:val="0"/>
              <w:spacing w:line="360" w:lineRule="auto"/>
              <w:ind w:firstLine="480" w:firstLineChars="200"/>
              <w:rPr>
                <w:bCs/>
                <w:color w:val="auto"/>
                <w:sz w:val="24"/>
              </w:rPr>
            </w:pPr>
            <w:r>
              <w:rPr>
                <w:bCs/>
                <w:color w:val="auto"/>
                <w:sz w:val="24"/>
              </w:rPr>
              <w:t>本项目生产所需要的原料有水泥、砂子、碎石和水，其中水泥原料采用罐装车运输到厂区后，正压吹入相应原料筒仓内储存；砂子、碎石等由运输车辆运至原料堆场内分区堆存，采用密目网苫盖，并进行洒水抑尘</w:t>
            </w:r>
          </w:p>
          <w:p w14:paraId="3F39912F">
            <w:pPr>
              <w:adjustRightInd w:val="0"/>
              <w:snapToGrid w:val="0"/>
              <w:spacing w:line="360" w:lineRule="auto"/>
              <w:ind w:firstLine="480" w:firstLineChars="200"/>
              <w:rPr>
                <w:b/>
                <w:bCs/>
                <w:color w:val="auto"/>
                <w:sz w:val="24"/>
              </w:rPr>
            </w:pPr>
            <w:r>
              <w:rPr>
                <w:rFonts w:hint="eastAsia"/>
                <w:bCs/>
                <w:color w:val="auto"/>
                <w:sz w:val="24"/>
                <w:lang w:eastAsia="zh-CN"/>
              </w:rPr>
              <w:t>（</w:t>
            </w:r>
            <w:r>
              <w:rPr>
                <w:bCs/>
                <w:color w:val="auto"/>
                <w:sz w:val="24"/>
              </w:rPr>
              <w:t>2</w:t>
            </w:r>
            <w:r>
              <w:rPr>
                <w:rFonts w:hint="eastAsia"/>
                <w:bCs/>
                <w:color w:val="auto"/>
                <w:sz w:val="24"/>
                <w:lang w:eastAsia="zh-CN"/>
              </w:rPr>
              <w:t>）</w:t>
            </w:r>
            <w:r>
              <w:rPr>
                <w:bCs/>
                <w:color w:val="auto"/>
                <w:sz w:val="24"/>
              </w:rPr>
              <w:t>加料</w:t>
            </w:r>
          </w:p>
          <w:p w14:paraId="0A028785">
            <w:pPr>
              <w:adjustRightInd w:val="0"/>
              <w:snapToGrid w:val="0"/>
              <w:spacing w:line="360" w:lineRule="auto"/>
              <w:ind w:firstLine="480" w:firstLineChars="200"/>
              <w:rPr>
                <w:bCs/>
                <w:color w:val="auto"/>
                <w:sz w:val="24"/>
              </w:rPr>
            </w:pPr>
            <w:r>
              <w:rPr>
                <w:bCs/>
                <w:color w:val="auto"/>
                <w:sz w:val="24"/>
              </w:rPr>
              <w:t>储存于原料储料场的砂子、碎石由装载机铲入配料斗，进行称量，称量完毕后再通过输送带输送至搅拌机；水泥通过螺旋输送机密闭上料至搅拌主机内，经称量后放料进搅拌机；搅拌用水采用压力供水及水泵上料。整个过程均采用计算机监控，全程自动化操作。</w:t>
            </w:r>
          </w:p>
          <w:p w14:paraId="792CC562">
            <w:pPr>
              <w:adjustRightInd w:val="0"/>
              <w:snapToGrid w:val="0"/>
              <w:spacing w:line="360" w:lineRule="auto"/>
              <w:ind w:firstLine="480" w:firstLineChars="200"/>
              <w:rPr>
                <w:bCs/>
                <w:color w:val="auto"/>
                <w:sz w:val="24"/>
              </w:rPr>
            </w:pPr>
            <w:r>
              <w:rPr>
                <w:rFonts w:hint="eastAsia"/>
                <w:bCs/>
                <w:color w:val="auto"/>
                <w:sz w:val="24"/>
                <w:lang w:eastAsia="zh-CN"/>
              </w:rPr>
              <w:t>（</w:t>
            </w:r>
            <w:r>
              <w:rPr>
                <w:bCs/>
                <w:color w:val="auto"/>
                <w:sz w:val="24"/>
              </w:rPr>
              <w:t>3</w:t>
            </w:r>
            <w:r>
              <w:rPr>
                <w:rFonts w:hint="eastAsia"/>
                <w:bCs/>
                <w:color w:val="auto"/>
                <w:sz w:val="24"/>
                <w:lang w:eastAsia="zh-CN"/>
              </w:rPr>
              <w:t>）</w:t>
            </w:r>
            <w:r>
              <w:rPr>
                <w:bCs/>
                <w:color w:val="auto"/>
                <w:sz w:val="24"/>
              </w:rPr>
              <w:t>搅拌</w:t>
            </w:r>
          </w:p>
          <w:p w14:paraId="09993D51">
            <w:pPr>
              <w:adjustRightInd w:val="0"/>
              <w:snapToGrid w:val="0"/>
              <w:spacing w:line="360" w:lineRule="auto"/>
              <w:ind w:firstLine="480" w:firstLineChars="200"/>
              <w:rPr>
                <w:bCs/>
                <w:color w:val="auto"/>
                <w:sz w:val="24"/>
              </w:rPr>
            </w:pPr>
            <w:r>
              <w:rPr>
                <w:bCs/>
                <w:color w:val="auto"/>
                <w:sz w:val="24"/>
              </w:rPr>
              <w:t>原材料进入全封闭搅拌机完成搅拌过程，经过充分的搅拌，使水泥和砂子、碎石亲和力达到最大。</w:t>
            </w:r>
          </w:p>
          <w:p w14:paraId="426608D4">
            <w:pPr>
              <w:adjustRightInd w:val="0"/>
              <w:snapToGrid w:val="0"/>
              <w:spacing w:line="360" w:lineRule="auto"/>
              <w:ind w:firstLine="480" w:firstLineChars="200"/>
              <w:rPr>
                <w:bCs/>
                <w:color w:val="auto"/>
                <w:sz w:val="24"/>
              </w:rPr>
            </w:pPr>
            <w:r>
              <w:rPr>
                <w:rFonts w:hint="eastAsia"/>
                <w:bCs/>
                <w:color w:val="auto"/>
                <w:sz w:val="24"/>
                <w:lang w:eastAsia="zh-CN"/>
              </w:rPr>
              <w:t>（</w:t>
            </w:r>
            <w:r>
              <w:rPr>
                <w:bCs/>
                <w:color w:val="auto"/>
                <w:sz w:val="24"/>
              </w:rPr>
              <w:t>4</w:t>
            </w:r>
            <w:r>
              <w:rPr>
                <w:rFonts w:hint="eastAsia"/>
                <w:bCs/>
                <w:color w:val="auto"/>
                <w:sz w:val="24"/>
                <w:lang w:eastAsia="zh-CN"/>
              </w:rPr>
              <w:t>）</w:t>
            </w:r>
            <w:r>
              <w:rPr>
                <w:bCs/>
                <w:color w:val="auto"/>
                <w:sz w:val="24"/>
              </w:rPr>
              <w:t>卸料</w:t>
            </w:r>
          </w:p>
          <w:p w14:paraId="59AAB400">
            <w:pPr>
              <w:adjustRightInd w:val="0"/>
              <w:snapToGrid w:val="0"/>
              <w:spacing w:line="360" w:lineRule="auto"/>
              <w:ind w:firstLine="480" w:firstLineChars="200"/>
              <w:rPr>
                <w:bCs/>
                <w:color w:val="auto"/>
                <w:sz w:val="24"/>
              </w:rPr>
            </w:pPr>
            <w:r>
              <w:rPr>
                <w:bCs/>
                <w:color w:val="auto"/>
                <w:sz w:val="24"/>
              </w:rPr>
              <w:t>卸料过程由电脑控制，搅拌到程序设定时间，主机自动开门卸料。生产出的水泥稳定土由运输车运送到施工现场。</w:t>
            </w:r>
          </w:p>
          <w:p w14:paraId="301015D6">
            <w:pPr>
              <w:adjustRightInd w:val="0"/>
              <w:snapToGrid w:val="0"/>
              <w:spacing w:line="360" w:lineRule="auto"/>
              <w:jc w:val="center"/>
              <w:rPr>
                <w:bCs/>
                <w:color w:val="auto"/>
                <w:sz w:val="24"/>
              </w:rPr>
            </w:pPr>
            <w:r>
              <w:rPr>
                <w:bCs/>
                <w:color w:val="auto"/>
                <w:sz w:val="24"/>
              </w:rPr>
              <w:drawing>
                <wp:inline distT="0" distB="0" distL="0" distR="0">
                  <wp:extent cx="4542155" cy="3653155"/>
                  <wp:effectExtent l="0" t="0" r="0" b="4445"/>
                  <wp:docPr id="108412300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3004" name="图片 6"/>
                          <pic:cNvPicPr>
                            <a:picLocks noChangeAspect="1"/>
                          </pic:cNvPicPr>
                        </pic:nvPicPr>
                        <pic:blipFill>
                          <a:blip r:embed="rId12"/>
                          <a:stretch>
                            <a:fillRect/>
                          </a:stretch>
                        </pic:blipFill>
                        <pic:spPr>
                          <a:xfrm>
                            <a:off x="0" y="0"/>
                            <a:ext cx="4547153" cy="3657157"/>
                          </a:xfrm>
                          <a:prstGeom prst="rect">
                            <a:avLst/>
                          </a:prstGeom>
                        </pic:spPr>
                      </pic:pic>
                    </a:graphicData>
                  </a:graphic>
                </wp:inline>
              </w:drawing>
            </w:r>
          </w:p>
          <w:p w14:paraId="79B3AEC3">
            <w:pPr>
              <w:adjustRightInd w:val="0"/>
              <w:snapToGrid w:val="0"/>
              <w:spacing w:line="360" w:lineRule="auto"/>
              <w:jc w:val="center"/>
              <w:rPr>
                <w:b/>
                <w:bCs/>
                <w:color w:val="auto"/>
                <w:sz w:val="24"/>
              </w:rPr>
            </w:pPr>
            <w:r>
              <w:rPr>
                <w:b/>
                <w:bCs/>
                <w:color w:val="auto"/>
                <w:sz w:val="24"/>
              </w:rPr>
              <w:t>图2-4 水泥稳定土搅拌站工艺流程及产污环节图</w:t>
            </w:r>
          </w:p>
          <w:p w14:paraId="6558F129">
            <w:pPr>
              <w:adjustRightInd w:val="0"/>
              <w:snapToGrid w:val="0"/>
              <w:spacing w:line="360" w:lineRule="auto"/>
              <w:rPr>
                <w:b/>
                <w:bCs/>
                <w:color w:val="auto"/>
                <w:sz w:val="24"/>
              </w:rPr>
            </w:pPr>
            <w:r>
              <w:rPr>
                <w:b/>
                <w:bCs/>
                <w:color w:val="auto"/>
                <w:sz w:val="24"/>
              </w:rPr>
              <w:t>主要污染工序</w:t>
            </w:r>
          </w:p>
          <w:p w14:paraId="16324077">
            <w:pPr>
              <w:adjustRightInd w:val="0"/>
              <w:snapToGrid w:val="0"/>
              <w:spacing w:line="360" w:lineRule="auto"/>
              <w:ind w:firstLine="482" w:firstLineChars="200"/>
              <w:rPr>
                <w:b/>
                <w:bCs/>
                <w:color w:val="auto"/>
                <w:sz w:val="24"/>
              </w:rPr>
            </w:pPr>
            <w:r>
              <w:rPr>
                <w:b/>
                <w:bCs/>
                <w:color w:val="auto"/>
                <w:sz w:val="24"/>
              </w:rPr>
              <w:t>1.施工期主要污染工序</w:t>
            </w:r>
          </w:p>
          <w:p w14:paraId="391B2BFF">
            <w:pPr>
              <w:adjustRightInd w:val="0"/>
              <w:snapToGrid w:val="0"/>
              <w:spacing w:line="360" w:lineRule="auto"/>
              <w:ind w:firstLine="480" w:firstLineChars="200"/>
              <w:rPr>
                <w:bCs/>
                <w:color w:val="auto"/>
                <w:sz w:val="24"/>
              </w:rPr>
            </w:pPr>
            <w:r>
              <w:rPr>
                <w:rFonts w:hint="eastAsia"/>
                <w:bCs/>
                <w:color w:val="auto"/>
                <w:sz w:val="24"/>
                <w:lang w:eastAsia="zh-CN"/>
              </w:rPr>
              <w:t>（</w:t>
            </w:r>
            <w:r>
              <w:rPr>
                <w:bCs/>
                <w:color w:val="auto"/>
                <w:sz w:val="24"/>
              </w:rPr>
              <w:t>1</w:t>
            </w:r>
            <w:r>
              <w:rPr>
                <w:rFonts w:hint="eastAsia"/>
                <w:bCs/>
                <w:color w:val="auto"/>
                <w:sz w:val="24"/>
                <w:lang w:eastAsia="zh-CN"/>
              </w:rPr>
              <w:t>）</w:t>
            </w:r>
            <w:r>
              <w:rPr>
                <w:bCs/>
                <w:color w:val="auto"/>
                <w:sz w:val="24"/>
              </w:rPr>
              <w:t>废气：主要为扬尘以及施工机械、运输车辆废气。</w:t>
            </w:r>
          </w:p>
          <w:p w14:paraId="312386F8">
            <w:pPr>
              <w:adjustRightInd w:val="0"/>
              <w:snapToGrid w:val="0"/>
              <w:spacing w:line="360" w:lineRule="auto"/>
              <w:ind w:firstLine="480" w:firstLineChars="200"/>
              <w:rPr>
                <w:bCs/>
                <w:color w:val="auto"/>
                <w:sz w:val="24"/>
              </w:rPr>
            </w:pPr>
            <w:r>
              <w:rPr>
                <w:rFonts w:hint="eastAsia"/>
                <w:bCs/>
                <w:color w:val="auto"/>
                <w:sz w:val="24"/>
                <w:lang w:eastAsia="zh-CN"/>
              </w:rPr>
              <w:t>（</w:t>
            </w:r>
            <w:r>
              <w:rPr>
                <w:bCs/>
                <w:color w:val="auto"/>
                <w:sz w:val="24"/>
              </w:rPr>
              <w:t>2</w:t>
            </w:r>
            <w:r>
              <w:rPr>
                <w:rFonts w:hint="eastAsia"/>
                <w:bCs/>
                <w:color w:val="auto"/>
                <w:sz w:val="24"/>
                <w:lang w:eastAsia="zh-CN"/>
              </w:rPr>
              <w:t>）</w:t>
            </w:r>
            <w:r>
              <w:rPr>
                <w:bCs/>
                <w:color w:val="auto"/>
                <w:sz w:val="24"/>
              </w:rPr>
              <w:t>废水：主要为施工人员生活污水和施工废水。</w:t>
            </w:r>
          </w:p>
          <w:p w14:paraId="6A1BCB23">
            <w:pPr>
              <w:adjustRightInd w:val="0"/>
              <w:snapToGrid w:val="0"/>
              <w:spacing w:line="360" w:lineRule="auto"/>
              <w:ind w:firstLine="480" w:firstLineChars="200"/>
              <w:rPr>
                <w:bCs/>
                <w:color w:val="auto"/>
                <w:sz w:val="24"/>
              </w:rPr>
            </w:pPr>
            <w:r>
              <w:rPr>
                <w:rFonts w:hint="eastAsia"/>
                <w:bCs/>
                <w:color w:val="auto"/>
                <w:sz w:val="24"/>
                <w:lang w:eastAsia="zh-CN"/>
              </w:rPr>
              <w:t>（</w:t>
            </w:r>
            <w:r>
              <w:rPr>
                <w:bCs/>
                <w:color w:val="auto"/>
                <w:sz w:val="24"/>
              </w:rPr>
              <w:t>3</w:t>
            </w:r>
            <w:r>
              <w:rPr>
                <w:rFonts w:hint="eastAsia"/>
                <w:bCs/>
                <w:color w:val="auto"/>
                <w:sz w:val="24"/>
                <w:lang w:eastAsia="zh-CN"/>
              </w:rPr>
              <w:t>）</w:t>
            </w:r>
            <w:r>
              <w:rPr>
                <w:bCs/>
                <w:color w:val="auto"/>
                <w:sz w:val="24"/>
              </w:rPr>
              <w:t>噪声：主要为施工过程中作业机械运行时产生的噪声。</w:t>
            </w:r>
          </w:p>
          <w:p w14:paraId="39574E1A">
            <w:pPr>
              <w:adjustRightInd w:val="0"/>
              <w:snapToGrid w:val="0"/>
              <w:spacing w:line="360" w:lineRule="auto"/>
              <w:ind w:firstLine="480" w:firstLineChars="200"/>
              <w:rPr>
                <w:bCs/>
                <w:color w:val="auto"/>
                <w:sz w:val="24"/>
              </w:rPr>
            </w:pPr>
            <w:r>
              <w:rPr>
                <w:rFonts w:hint="eastAsia"/>
                <w:bCs/>
                <w:color w:val="auto"/>
                <w:sz w:val="24"/>
                <w:lang w:eastAsia="zh-CN"/>
              </w:rPr>
              <w:t>（</w:t>
            </w:r>
            <w:r>
              <w:rPr>
                <w:bCs/>
                <w:color w:val="auto"/>
                <w:sz w:val="24"/>
              </w:rPr>
              <w:t>4</w:t>
            </w:r>
            <w:r>
              <w:rPr>
                <w:rFonts w:hint="eastAsia"/>
                <w:bCs/>
                <w:color w:val="auto"/>
                <w:sz w:val="24"/>
                <w:lang w:eastAsia="zh-CN"/>
              </w:rPr>
              <w:t>）</w:t>
            </w:r>
            <w:r>
              <w:rPr>
                <w:bCs/>
                <w:color w:val="auto"/>
                <w:sz w:val="24"/>
              </w:rPr>
              <w:t>固体废物：主要为建筑垃圾和施工人员生活垃圾。</w:t>
            </w:r>
          </w:p>
          <w:p w14:paraId="619CA13E">
            <w:pPr>
              <w:adjustRightInd w:val="0"/>
              <w:snapToGrid w:val="0"/>
              <w:spacing w:line="360" w:lineRule="auto"/>
              <w:ind w:firstLine="482" w:firstLineChars="200"/>
              <w:rPr>
                <w:b/>
                <w:bCs/>
                <w:color w:val="auto"/>
                <w:sz w:val="24"/>
              </w:rPr>
            </w:pPr>
            <w:r>
              <w:rPr>
                <w:b/>
                <w:bCs/>
                <w:color w:val="auto"/>
                <w:sz w:val="24"/>
              </w:rPr>
              <w:t>2.运营期主要污染工序：</w:t>
            </w:r>
          </w:p>
          <w:p w14:paraId="61B13DC3">
            <w:pPr>
              <w:adjustRightInd w:val="0"/>
              <w:snapToGrid w:val="0"/>
              <w:spacing w:line="360" w:lineRule="auto"/>
              <w:ind w:firstLine="480" w:firstLineChars="200"/>
              <w:rPr>
                <w:bCs/>
                <w:color w:val="auto"/>
                <w:sz w:val="24"/>
              </w:rPr>
            </w:pPr>
            <w:r>
              <w:rPr>
                <w:rFonts w:hint="eastAsia"/>
                <w:bCs/>
                <w:color w:val="auto"/>
                <w:sz w:val="24"/>
                <w:lang w:eastAsia="zh-CN"/>
              </w:rPr>
              <w:t>（</w:t>
            </w:r>
            <w:r>
              <w:rPr>
                <w:bCs/>
                <w:color w:val="auto"/>
                <w:sz w:val="24"/>
              </w:rPr>
              <w:t>1</w:t>
            </w:r>
            <w:r>
              <w:rPr>
                <w:rFonts w:hint="eastAsia"/>
                <w:bCs/>
                <w:color w:val="auto"/>
                <w:sz w:val="24"/>
                <w:lang w:eastAsia="zh-CN"/>
              </w:rPr>
              <w:t>）</w:t>
            </w:r>
            <w:r>
              <w:rPr>
                <w:bCs/>
                <w:color w:val="auto"/>
                <w:sz w:val="24"/>
              </w:rPr>
              <w:t>废气：主要</w:t>
            </w:r>
            <w:r>
              <w:rPr>
                <w:rFonts w:hint="eastAsia"/>
                <w:bCs/>
                <w:color w:val="auto"/>
                <w:sz w:val="24"/>
              </w:rPr>
              <w:t>为原料堆存装卸粉尘、配料输送粉尘、物料混合搅拌粉尘、粉料筒仓呼吸孔粉尘、运输车辆动力起尘</w:t>
            </w:r>
            <w:r>
              <w:rPr>
                <w:bCs/>
                <w:color w:val="auto"/>
                <w:sz w:val="24"/>
              </w:rPr>
              <w:t>。</w:t>
            </w:r>
          </w:p>
          <w:p w14:paraId="2A449365">
            <w:pPr>
              <w:adjustRightInd w:val="0"/>
              <w:snapToGrid w:val="0"/>
              <w:spacing w:line="360" w:lineRule="auto"/>
              <w:ind w:firstLine="480" w:firstLineChars="200"/>
              <w:rPr>
                <w:bCs/>
                <w:color w:val="auto"/>
                <w:sz w:val="24"/>
              </w:rPr>
            </w:pPr>
            <w:r>
              <w:rPr>
                <w:rFonts w:hint="eastAsia"/>
                <w:bCs/>
                <w:color w:val="auto"/>
                <w:sz w:val="24"/>
                <w:lang w:eastAsia="zh-CN"/>
              </w:rPr>
              <w:t>（</w:t>
            </w:r>
            <w:r>
              <w:rPr>
                <w:bCs/>
                <w:color w:val="auto"/>
                <w:sz w:val="24"/>
              </w:rPr>
              <w:t>2</w:t>
            </w:r>
            <w:r>
              <w:rPr>
                <w:rFonts w:hint="eastAsia"/>
                <w:bCs/>
                <w:color w:val="auto"/>
                <w:sz w:val="24"/>
                <w:lang w:eastAsia="zh-CN"/>
              </w:rPr>
              <w:t>）</w:t>
            </w:r>
            <w:r>
              <w:rPr>
                <w:bCs/>
                <w:color w:val="auto"/>
                <w:sz w:val="24"/>
              </w:rPr>
              <w:t>废水：主要为</w:t>
            </w:r>
            <w:r>
              <w:rPr>
                <w:rFonts w:hint="eastAsia"/>
                <w:bCs/>
                <w:color w:val="auto"/>
                <w:sz w:val="24"/>
              </w:rPr>
              <w:t>生产废水和</w:t>
            </w:r>
            <w:r>
              <w:rPr>
                <w:bCs/>
                <w:color w:val="auto"/>
                <w:sz w:val="24"/>
              </w:rPr>
              <w:t>生活污水。</w:t>
            </w:r>
          </w:p>
          <w:p w14:paraId="2C74834A">
            <w:pPr>
              <w:adjustRightInd w:val="0"/>
              <w:snapToGrid w:val="0"/>
              <w:spacing w:line="360" w:lineRule="auto"/>
              <w:ind w:firstLine="480" w:firstLineChars="200"/>
              <w:rPr>
                <w:bCs/>
                <w:color w:val="auto"/>
                <w:sz w:val="24"/>
              </w:rPr>
            </w:pPr>
            <w:r>
              <w:rPr>
                <w:rFonts w:hint="eastAsia"/>
                <w:bCs/>
                <w:color w:val="auto"/>
                <w:sz w:val="24"/>
                <w:lang w:eastAsia="zh-CN"/>
              </w:rPr>
              <w:t>（</w:t>
            </w:r>
            <w:r>
              <w:rPr>
                <w:bCs/>
                <w:color w:val="auto"/>
                <w:sz w:val="24"/>
              </w:rPr>
              <w:t>3</w:t>
            </w:r>
            <w:r>
              <w:rPr>
                <w:rFonts w:hint="eastAsia"/>
                <w:bCs/>
                <w:color w:val="auto"/>
                <w:sz w:val="24"/>
                <w:lang w:eastAsia="zh-CN"/>
              </w:rPr>
              <w:t>）</w:t>
            </w:r>
            <w:r>
              <w:rPr>
                <w:bCs/>
                <w:color w:val="auto"/>
                <w:sz w:val="24"/>
              </w:rPr>
              <w:t>噪声：主要为搅拌机、装载机等设备运转过程中产生的噪声。</w:t>
            </w:r>
          </w:p>
          <w:p w14:paraId="7495C04E">
            <w:pPr>
              <w:adjustRightInd w:val="0"/>
              <w:snapToGrid w:val="0"/>
              <w:spacing w:line="360" w:lineRule="auto"/>
              <w:ind w:firstLine="480" w:firstLineChars="200"/>
              <w:rPr>
                <w:bCs/>
                <w:color w:val="auto"/>
                <w:sz w:val="24"/>
              </w:rPr>
            </w:pPr>
            <w:r>
              <w:rPr>
                <w:rFonts w:hint="eastAsia"/>
                <w:bCs/>
                <w:color w:val="auto"/>
                <w:sz w:val="24"/>
                <w:lang w:eastAsia="zh-CN"/>
              </w:rPr>
              <w:t>（</w:t>
            </w:r>
            <w:r>
              <w:rPr>
                <w:bCs/>
                <w:color w:val="auto"/>
                <w:sz w:val="24"/>
              </w:rPr>
              <w:t>4</w:t>
            </w:r>
            <w:r>
              <w:rPr>
                <w:rFonts w:hint="eastAsia"/>
                <w:bCs/>
                <w:color w:val="auto"/>
                <w:sz w:val="24"/>
                <w:lang w:eastAsia="zh-CN"/>
              </w:rPr>
              <w:t>）</w:t>
            </w:r>
            <w:r>
              <w:rPr>
                <w:bCs/>
                <w:color w:val="auto"/>
                <w:sz w:val="24"/>
              </w:rPr>
              <w:t>固体废物：主要为布袋除尘器收集的除尘灰、沉淀池沉渣、实验室混凝土块、生活垃圾等。</w:t>
            </w:r>
          </w:p>
        </w:tc>
      </w:tr>
      <w:tr w14:paraId="51A626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59" w:hRule="atLeast"/>
          <w:jc w:val="center"/>
        </w:trPr>
        <w:tc>
          <w:tcPr>
            <w:tcW w:w="239" w:type="pct"/>
            <w:vAlign w:val="center"/>
          </w:tcPr>
          <w:p w14:paraId="0919C83E">
            <w:pPr>
              <w:pStyle w:val="13"/>
              <w:adjustRightInd w:val="0"/>
              <w:snapToGrid w:val="0"/>
              <w:spacing w:before="0" w:beforeAutospacing="0" w:after="0" w:afterAutospacing="0"/>
              <w:jc w:val="center"/>
              <w:rPr>
                <w:rFonts w:ascii="Times New Roman" w:hAnsi="Times New Roman"/>
                <w:color w:val="auto"/>
                <w:sz w:val="21"/>
                <w:szCs w:val="21"/>
              </w:rPr>
            </w:pPr>
            <w:r>
              <w:rPr>
                <w:rFonts w:ascii="Times New Roman" w:hAnsi="Times New Roman"/>
                <w:bCs/>
                <w:color w:val="auto"/>
                <w:kern w:val="2"/>
                <w:sz w:val="21"/>
                <w:szCs w:val="21"/>
              </w:rPr>
              <w:t>与项目有关的原有环境污染问题</w:t>
            </w:r>
          </w:p>
        </w:tc>
        <w:tc>
          <w:tcPr>
            <w:tcW w:w="4760" w:type="pct"/>
            <w:vAlign w:val="center"/>
          </w:tcPr>
          <w:p w14:paraId="2616755E">
            <w:pPr>
              <w:spacing w:line="360" w:lineRule="auto"/>
              <w:ind w:firstLine="480" w:firstLineChars="200"/>
              <w:rPr>
                <w:color w:val="auto"/>
                <w:kern w:val="0"/>
                <w:sz w:val="24"/>
              </w:rPr>
            </w:pPr>
            <w:r>
              <w:rPr>
                <w:color w:val="auto"/>
                <w:kern w:val="0"/>
                <w:sz w:val="24"/>
              </w:rPr>
              <w:t>无。</w:t>
            </w:r>
          </w:p>
        </w:tc>
      </w:tr>
    </w:tbl>
    <w:p w14:paraId="534DF4C0">
      <w:pPr>
        <w:pStyle w:val="13"/>
        <w:jc w:val="center"/>
        <w:rPr>
          <w:rFonts w:ascii="Times New Roman" w:hAnsi="Times New Roman" w:eastAsia="黑体"/>
          <w:snapToGrid w:val="0"/>
          <w:sz w:val="36"/>
          <w:szCs w:val="36"/>
        </w:rPr>
        <w:sectPr>
          <w:pgSz w:w="11906" w:h="16838"/>
          <w:pgMar w:top="1701" w:right="1531" w:bottom="1701" w:left="1531" w:header="851" w:footer="851" w:gutter="0"/>
          <w:cols w:space="720" w:num="1"/>
          <w:docGrid w:linePitch="312" w:charSpace="0"/>
        </w:sectPr>
      </w:pPr>
    </w:p>
    <w:p w14:paraId="1D68DA01">
      <w:pPr>
        <w:pStyle w:val="13"/>
        <w:jc w:val="center"/>
        <w:outlineLvl w:val="0"/>
        <w:rPr>
          <w:rFonts w:ascii="Times New Roman" w:hAnsi="Times New Roman" w:eastAsia="黑体"/>
          <w:snapToGrid w:val="0"/>
          <w:sz w:val="30"/>
          <w:szCs w:val="30"/>
        </w:rPr>
      </w:pPr>
      <w:r>
        <w:rPr>
          <w:rFonts w:ascii="Times New Roman" w:hAnsi="Times New Roman" w:eastAsia="黑体"/>
          <w:snapToGrid w:val="0"/>
          <w:sz w:val="30"/>
          <w:szCs w:val="30"/>
        </w:rPr>
        <w:t>三、区域环境质量现状、环境保护目标及评价标准</w:t>
      </w:r>
    </w:p>
    <w:tbl>
      <w:tblPr>
        <w:tblStyle w:val="1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8527"/>
      </w:tblGrid>
      <w:tr w14:paraId="4B61F6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75" w:hRule="atLeast"/>
          <w:jc w:val="center"/>
        </w:trPr>
        <w:tc>
          <w:tcPr>
            <w:tcW w:w="534" w:type="dxa"/>
            <w:vAlign w:val="center"/>
          </w:tcPr>
          <w:p w14:paraId="51A0E184">
            <w:pPr>
              <w:adjustRightInd w:val="0"/>
              <w:snapToGrid w:val="0"/>
              <w:jc w:val="center"/>
              <w:rPr>
                <w:kern w:val="0"/>
                <w:szCs w:val="21"/>
              </w:rPr>
            </w:pPr>
            <w:r>
              <w:rPr>
                <w:kern w:val="0"/>
                <w:szCs w:val="21"/>
              </w:rPr>
              <w:t>区域</w:t>
            </w:r>
          </w:p>
          <w:p w14:paraId="09AFA409">
            <w:pPr>
              <w:adjustRightInd w:val="0"/>
              <w:snapToGrid w:val="0"/>
              <w:jc w:val="center"/>
              <w:rPr>
                <w:kern w:val="0"/>
                <w:szCs w:val="21"/>
              </w:rPr>
            </w:pPr>
            <w:r>
              <w:rPr>
                <w:kern w:val="0"/>
                <w:szCs w:val="21"/>
              </w:rPr>
              <w:t>环境</w:t>
            </w:r>
          </w:p>
          <w:p w14:paraId="5BE7E0F2">
            <w:pPr>
              <w:adjustRightInd w:val="0"/>
              <w:snapToGrid w:val="0"/>
              <w:jc w:val="center"/>
              <w:rPr>
                <w:kern w:val="0"/>
                <w:szCs w:val="21"/>
              </w:rPr>
            </w:pPr>
            <w:r>
              <w:rPr>
                <w:kern w:val="0"/>
                <w:szCs w:val="21"/>
              </w:rPr>
              <w:t>质量</w:t>
            </w:r>
          </w:p>
          <w:p w14:paraId="46925C20">
            <w:pPr>
              <w:adjustRightInd w:val="0"/>
              <w:snapToGrid w:val="0"/>
              <w:jc w:val="center"/>
              <w:rPr>
                <w:kern w:val="0"/>
                <w:szCs w:val="21"/>
              </w:rPr>
            </w:pPr>
            <w:r>
              <w:rPr>
                <w:kern w:val="0"/>
                <w:szCs w:val="21"/>
              </w:rPr>
              <w:t>现状</w:t>
            </w:r>
          </w:p>
        </w:tc>
        <w:tc>
          <w:tcPr>
            <w:tcW w:w="8527" w:type="dxa"/>
            <w:vAlign w:val="center"/>
          </w:tcPr>
          <w:p w14:paraId="41F60BB9">
            <w:pPr>
              <w:autoSpaceDE w:val="0"/>
              <w:autoSpaceDN w:val="0"/>
              <w:spacing w:line="360" w:lineRule="auto"/>
              <w:ind w:firstLine="482" w:firstLineChars="200"/>
              <w:jc w:val="left"/>
              <w:rPr>
                <w:b/>
                <w:kern w:val="0"/>
                <w:sz w:val="24"/>
              </w:rPr>
            </w:pPr>
            <w:r>
              <w:rPr>
                <w:b/>
                <w:kern w:val="0"/>
                <w:sz w:val="24"/>
              </w:rPr>
              <w:t>1</w:t>
            </w:r>
            <w:r>
              <w:rPr>
                <w:rFonts w:hint="eastAsia"/>
                <w:b/>
                <w:kern w:val="0"/>
                <w:sz w:val="24"/>
                <w:lang w:val="en-US" w:eastAsia="zh-CN"/>
              </w:rPr>
              <w:t>.</w:t>
            </w:r>
            <w:r>
              <w:rPr>
                <w:b/>
                <w:kern w:val="0"/>
                <w:sz w:val="24"/>
              </w:rPr>
              <w:t>环境空气质量现状监测与评价</w:t>
            </w:r>
          </w:p>
          <w:p w14:paraId="5526E72C">
            <w:pPr>
              <w:spacing w:line="360" w:lineRule="auto"/>
              <w:ind w:firstLine="480" w:firstLineChars="200"/>
              <w:rPr>
                <w:kern w:val="0"/>
                <w:sz w:val="24"/>
              </w:rPr>
            </w:pPr>
            <w:r>
              <w:rPr>
                <w:kern w:val="0"/>
                <w:sz w:val="24"/>
              </w:rPr>
              <w:t>1.1达标区判断及基本污染物环境空气质量</w:t>
            </w:r>
          </w:p>
          <w:p w14:paraId="3876EDE8">
            <w:pPr>
              <w:widowControl/>
              <w:spacing w:line="360" w:lineRule="auto"/>
              <w:ind w:firstLine="480" w:firstLineChars="200"/>
              <w:jc w:val="left"/>
            </w:pPr>
            <w:r>
              <w:rPr>
                <w:rFonts w:hint="eastAsia"/>
                <w:bCs/>
                <w:kern w:val="0"/>
                <w:sz w:val="24"/>
              </w:rPr>
              <w:t>根据2024年6月内蒙古自治区生态环境厅发布的《2023年内蒙古自治区生态环境状况公报》，报告指出“2023年，全区12</w:t>
            </w:r>
            <w:r>
              <w:rPr>
                <w:rFonts w:hint="eastAsia"/>
                <w:bCs/>
                <w:kern w:val="0"/>
                <w:sz w:val="24"/>
                <w:lang w:eastAsia="zh-CN"/>
              </w:rPr>
              <w:t>个</w:t>
            </w:r>
            <w:r>
              <w:rPr>
                <w:rFonts w:hint="eastAsia"/>
                <w:bCs/>
                <w:kern w:val="0"/>
                <w:sz w:val="24"/>
              </w:rPr>
              <w:t>盟市中，除乌海市</w:t>
            </w:r>
            <w:r>
              <w:rPr>
                <w:rFonts w:hint="eastAsia"/>
                <w:bCs/>
                <w:kern w:val="0"/>
                <w:sz w:val="24"/>
                <w:lang w:eastAsia="zh-CN"/>
              </w:rPr>
              <w:t>外</w:t>
            </w:r>
            <w:r>
              <w:rPr>
                <w:rFonts w:hint="eastAsia"/>
                <w:bCs/>
                <w:kern w:val="0"/>
                <w:sz w:val="24"/>
              </w:rPr>
              <w:t>，其他11个盟市环境空气质量均达标”。</w:t>
            </w:r>
          </w:p>
          <w:p w14:paraId="185969B1">
            <w:pPr>
              <w:adjustRightInd w:val="0"/>
              <w:snapToGrid w:val="0"/>
              <w:spacing w:line="360" w:lineRule="auto"/>
              <w:ind w:firstLine="480" w:firstLineChars="200"/>
              <w:rPr>
                <w:bCs/>
                <w:sz w:val="24"/>
              </w:rPr>
            </w:pPr>
            <w:r>
              <w:rPr>
                <w:kern w:val="0"/>
                <w:sz w:val="24"/>
              </w:rPr>
              <w:t>项目所在区域为达标区域</w:t>
            </w:r>
            <w:r>
              <w:rPr>
                <w:bCs/>
                <w:sz w:val="24"/>
              </w:rPr>
              <w:t>。</w:t>
            </w:r>
          </w:p>
          <w:p w14:paraId="5BF4578C">
            <w:pPr>
              <w:adjustRightInd w:val="0"/>
              <w:snapToGrid w:val="0"/>
              <w:spacing w:line="360" w:lineRule="auto"/>
              <w:ind w:firstLine="480" w:firstLineChars="200"/>
              <w:jc w:val="left"/>
              <w:rPr>
                <w:bCs/>
                <w:sz w:val="24"/>
              </w:rPr>
            </w:pPr>
            <w:r>
              <w:rPr>
                <w:bCs/>
                <w:sz w:val="24"/>
              </w:rPr>
              <w:t>1.2环境空气质量现状补充监测</w:t>
            </w:r>
          </w:p>
          <w:p w14:paraId="0048C323">
            <w:pPr>
              <w:adjustRightInd w:val="0"/>
              <w:snapToGrid w:val="0"/>
              <w:spacing w:line="360" w:lineRule="auto"/>
              <w:ind w:firstLine="482"/>
              <w:rPr>
                <w:sz w:val="24"/>
              </w:rPr>
            </w:pPr>
            <w:r>
              <w:rPr>
                <w:rFonts w:hint="eastAsia"/>
                <w:sz w:val="24"/>
                <w:lang w:eastAsia="zh-CN"/>
              </w:rPr>
              <w:t>（</w:t>
            </w:r>
            <w:r>
              <w:rPr>
                <w:sz w:val="24"/>
              </w:rPr>
              <w:t>1</w:t>
            </w:r>
            <w:r>
              <w:rPr>
                <w:rFonts w:hint="eastAsia"/>
                <w:sz w:val="24"/>
                <w:lang w:eastAsia="zh-CN"/>
              </w:rPr>
              <w:t>）</w:t>
            </w:r>
            <w:r>
              <w:rPr>
                <w:sz w:val="24"/>
              </w:rPr>
              <w:t>监测布点</w:t>
            </w:r>
          </w:p>
          <w:p w14:paraId="25391140">
            <w:pPr>
              <w:adjustRightInd w:val="0"/>
              <w:snapToGrid w:val="0"/>
              <w:spacing w:line="360" w:lineRule="auto"/>
              <w:ind w:firstLine="482"/>
              <w:rPr>
                <w:sz w:val="24"/>
              </w:rPr>
            </w:pPr>
            <w:r>
              <w:rPr>
                <w:sz w:val="24"/>
              </w:rPr>
              <w:t>按照《环境影响评价技术导则 大气环境》</w:t>
            </w:r>
            <w:r>
              <w:rPr>
                <w:rFonts w:hint="eastAsia"/>
                <w:sz w:val="24"/>
                <w:lang w:eastAsia="zh-CN"/>
              </w:rPr>
              <w:t>（</w:t>
            </w:r>
            <w:r>
              <w:rPr>
                <w:sz w:val="24"/>
              </w:rPr>
              <w:t>HJ2.2-2018</w:t>
            </w:r>
            <w:r>
              <w:rPr>
                <w:rFonts w:hint="eastAsia"/>
                <w:sz w:val="24"/>
                <w:lang w:eastAsia="zh-CN"/>
              </w:rPr>
              <w:t>）和</w:t>
            </w:r>
            <w:r>
              <w:rPr>
                <w:sz w:val="24"/>
              </w:rPr>
              <w:t>《建设项目环境影响报告表编制技术指南</w:t>
            </w:r>
            <w:r>
              <w:rPr>
                <w:rFonts w:hint="eastAsia"/>
                <w:sz w:val="24"/>
                <w:lang w:eastAsia="zh-CN"/>
              </w:rPr>
              <w:t>（</w:t>
            </w:r>
            <w:r>
              <w:rPr>
                <w:sz w:val="24"/>
              </w:rPr>
              <w:t>污染影响类</w:t>
            </w:r>
            <w:r>
              <w:rPr>
                <w:rFonts w:hint="eastAsia"/>
                <w:sz w:val="24"/>
                <w:lang w:eastAsia="zh-CN"/>
              </w:rPr>
              <w:t>）（</w:t>
            </w:r>
            <w:r>
              <w:rPr>
                <w:sz w:val="24"/>
              </w:rPr>
              <w:t>试行</w:t>
            </w:r>
            <w:r>
              <w:rPr>
                <w:rFonts w:hint="eastAsia"/>
                <w:sz w:val="24"/>
                <w:lang w:eastAsia="zh-CN"/>
              </w:rPr>
              <w:t>）</w:t>
            </w:r>
            <w:r>
              <w:rPr>
                <w:sz w:val="24"/>
              </w:rPr>
              <w:t>》的要求，结合厂址所在区域</w:t>
            </w:r>
            <w:r>
              <w:rPr>
                <w:rFonts w:hint="eastAsia"/>
                <w:sz w:val="24"/>
                <w:lang w:eastAsia="zh-CN"/>
              </w:rPr>
              <w:t>的</w:t>
            </w:r>
            <w:r>
              <w:rPr>
                <w:sz w:val="24"/>
              </w:rPr>
              <w:t>地形特点以及当地气象特征，本次评价共设置1个大气环境质量现状补充监测点。北京华成星科检测服务有限公司于2024年8月8日至2024年8月10日连续3天在项目厂区对TSP进行采样。</w:t>
            </w:r>
          </w:p>
          <w:p w14:paraId="69D0FB5F">
            <w:pPr>
              <w:adjustRightInd w:val="0"/>
              <w:snapToGrid w:val="0"/>
              <w:spacing w:line="360" w:lineRule="auto"/>
              <w:ind w:firstLine="482"/>
              <w:rPr>
                <w:sz w:val="24"/>
              </w:rPr>
            </w:pPr>
            <w:r>
              <w:rPr>
                <w:rFonts w:hint="eastAsia"/>
                <w:sz w:val="24"/>
                <w:lang w:eastAsia="zh-CN"/>
              </w:rPr>
              <w:t>（</w:t>
            </w:r>
            <w:r>
              <w:rPr>
                <w:sz w:val="24"/>
              </w:rPr>
              <w:t>2</w:t>
            </w:r>
            <w:r>
              <w:rPr>
                <w:rFonts w:hint="eastAsia"/>
                <w:sz w:val="24"/>
                <w:lang w:eastAsia="zh-CN"/>
              </w:rPr>
              <w:t>）</w:t>
            </w:r>
            <w:r>
              <w:rPr>
                <w:sz w:val="24"/>
              </w:rPr>
              <w:t>环境空气质量现状评价结果</w:t>
            </w:r>
          </w:p>
          <w:p w14:paraId="38642037">
            <w:pPr>
              <w:adjustRightInd w:val="0"/>
              <w:snapToGrid w:val="0"/>
              <w:spacing w:line="360" w:lineRule="auto"/>
              <w:ind w:firstLine="480" w:firstLineChars="200"/>
              <w:rPr>
                <w:sz w:val="24"/>
              </w:rPr>
            </w:pPr>
            <w:r>
              <w:rPr>
                <w:sz w:val="24"/>
              </w:rPr>
              <w:t>监测期间，监测点TSP日均浓度监测数据统计分析结果见表3-2。</w:t>
            </w:r>
          </w:p>
          <w:p w14:paraId="7BA5800D">
            <w:pPr>
              <w:pStyle w:val="23"/>
            </w:pPr>
            <w:r>
              <w:t>表3-2 环境空气质量现状评价表</w:t>
            </w:r>
          </w:p>
          <w:tbl>
            <w:tblPr>
              <w:tblStyle w:val="1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61"/>
              <w:gridCol w:w="992"/>
              <w:gridCol w:w="708"/>
              <w:gridCol w:w="1119"/>
              <w:gridCol w:w="1408"/>
              <w:gridCol w:w="1055"/>
              <w:gridCol w:w="818"/>
              <w:gridCol w:w="750"/>
            </w:tblGrid>
            <w:tr w14:paraId="765E29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79" w:type="pct"/>
                  <w:tcBorders>
                    <w:top w:val="single" w:color="auto" w:sz="12" w:space="0"/>
                    <w:bottom w:val="single" w:color="auto" w:sz="4" w:space="0"/>
                  </w:tcBorders>
                  <w:vAlign w:val="center"/>
                </w:tcPr>
                <w:p w14:paraId="5BCE0574">
                  <w:pPr>
                    <w:adjustRightInd w:val="0"/>
                    <w:snapToGrid w:val="0"/>
                    <w:spacing w:before="24" w:beforeLines="10" w:after="24" w:afterLines="10" w:line="259" w:lineRule="auto"/>
                    <w:jc w:val="center"/>
                    <w:rPr>
                      <w:kern w:val="0"/>
                      <w:sz w:val="18"/>
                      <w:szCs w:val="18"/>
                    </w:rPr>
                  </w:pPr>
                  <w:r>
                    <w:rPr>
                      <w:b/>
                      <w:kern w:val="0"/>
                      <w:sz w:val="18"/>
                      <w:szCs w:val="18"/>
                    </w:rPr>
                    <w:t>监测点位</w:t>
                  </w:r>
                </w:p>
              </w:tc>
              <w:tc>
                <w:tcPr>
                  <w:tcW w:w="597" w:type="pct"/>
                  <w:tcBorders>
                    <w:top w:val="single" w:color="auto" w:sz="12" w:space="0"/>
                    <w:bottom w:val="single" w:color="auto" w:sz="4" w:space="0"/>
                  </w:tcBorders>
                  <w:vAlign w:val="center"/>
                </w:tcPr>
                <w:p w14:paraId="37209BEE">
                  <w:pPr>
                    <w:jc w:val="center"/>
                    <w:rPr>
                      <w:b/>
                      <w:sz w:val="18"/>
                      <w:szCs w:val="18"/>
                    </w:rPr>
                  </w:pPr>
                  <w:r>
                    <w:rPr>
                      <w:b/>
                      <w:sz w:val="18"/>
                      <w:szCs w:val="18"/>
                    </w:rPr>
                    <w:t>污染物</w:t>
                  </w:r>
                </w:p>
              </w:tc>
              <w:tc>
                <w:tcPr>
                  <w:tcW w:w="426" w:type="pct"/>
                  <w:tcBorders>
                    <w:top w:val="single" w:color="auto" w:sz="12" w:space="0"/>
                    <w:bottom w:val="single" w:color="auto" w:sz="4" w:space="0"/>
                  </w:tcBorders>
                  <w:vAlign w:val="center"/>
                </w:tcPr>
                <w:p w14:paraId="4C1DC381">
                  <w:pPr>
                    <w:jc w:val="center"/>
                    <w:rPr>
                      <w:b/>
                      <w:sz w:val="18"/>
                      <w:szCs w:val="18"/>
                    </w:rPr>
                  </w:pPr>
                  <w:r>
                    <w:rPr>
                      <w:b/>
                      <w:sz w:val="18"/>
                      <w:szCs w:val="18"/>
                    </w:rPr>
                    <w:t>平均时间</w:t>
                  </w:r>
                </w:p>
              </w:tc>
              <w:tc>
                <w:tcPr>
                  <w:tcW w:w="673" w:type="pct"/>
                  <w:tcBorders>
                    <w:top w:val="single" w:color="auto" w:sz="12" w:space="0"/>
                    <w:bottom w:val="single" w:color="auto" w:sz="4" w:space="0"/>
                  </w:tcBorders>
                  <w:vAlign w:val="center"/>
                </w:tcPr>
                <w:p w14:paraId="54649A2E">
                  <w:pPr>
                    <w:spacing w:line="240" w:lineRule="exact"/>
                    <w:jc w:val="center"/>
                    <w:rPr>
                      <w:b/>
                      <w:sz w:val="18"/>
                      <w:szCs w:val="18"/>
                    </w:rPr>
                  </w:pPr>
                  <w:r>
                    <w:rPr>
                      <w:b/>
                      <w:sz w:val="18"/>
                      <w:szCs w:val="18"/>
                    </w:rPr>
                    <w:t>评价标准</w:t>
                  </w:r>
                </w:p>
                <w:p w14:paraId="20564CA3">
                  <w:pPr>
                    <w:spacing w:line="240" w:lineRule="exact"/>
                    <w:jc w:val="center"/>
                    <w:rPr>
                      <w:rFonts w:hint="eastAsia" w:eastAsia="宋体"/>
                      <w:b/>
                      <w:sz w:val="18"/>
                      <w:szCs w:val="18"/>
                      <w:lang w:eastAsia="zh-CN"/>
                    </w:rPr>
                  </w:pPr>
                  <w:r>
                    <w:rPr>
                      <w:rFonts w:hint="eastAsia"/>
                      <w:b/>
                      <w:sz w:val="18"/>
                      <w:szCs w:val="18"/>
                      <w:lang w:eastAsia="zh-CN"/>
                    </w:rPr>
                    <w:t>（</w:t>
                  </w:r>
                  <w:r>
                    <w:rPr>
                      <w:b/>
                      <w:sz w:val="18"/>
                      <w:szCs w:val="18"/>
                    </w:rPr>
                    <w:t>μg/m</w:t>
                  </w:r>
                  <w:r>
                    <w:rPr>
                      <w:b/>
                      <w:sz w:val="18"/>
                      <w:szCs w:val="18"/>
                      <w:vertAlign w:val="superscript"/>
                    </w:rPr>
                    <w:t>3</w:t>
                  </w:r>
                  <w:r>
                    <w:rPr>
                      <w:rFonts w:hint="eastAsia"/>
                      <w:b/>
                      <w:sz w:val="18"/>
                      <w:szCs w:val="18"/>
                      <w:lang w:eastAsia="zh-CN"/>
                    </w:rPr>
                    <w:t>）</w:t>
                  </w:r>
                </w:p>
              </w:tc>
              <w:tc>
                <w:tcPr>
                  <w:tcW w:w="847" w:type="pct"/>
                  <w:tcBorders>
                    <w:top w:val="single" w:color="auto" w:sz="12" w:space="0"/>
                    <w:bottom w:val="single" w:color="auto" w:sz="4" w:space="0"/>
                  </w:tcBorders>
                  <w:vAlign w:val="center"/>
                </w:tcPr>
                <w:p w14:paraId="06CCE398">
                  <w:pPr>
                    <w:spacing w:line="240" w:lineRule="exact"/>
                    <w:jc w:val="center"/>
                    <w:rPr>
                      <w:rFonts w:hint="eastAsia" w:eastAsia="宋体"/>
                      <w:b/>
                      <w:sz w:val="18"/>
                      <w:szCs w:val="18"/>
                      <w:lang w:eastAsia="zh-CN"/>
                    </w:rPr>
                  </w:pPr>
                  <w:r>
                    <w:rPr>
                      <w:b/>
                      <w:sz w:val="18"/>
                      <w:szCs w:val="18"/>
                    </w:rPr>
                    <w:t>监测浓度范围</w:t>
                  </w:r>
                  <w:r>
                    <w:rPr>
                      <w:rFonts w:hint="eastAsia"/>
                      <w:b/>
                      <w:sz w:val="18"/>
                      <w:szCs w:val="18"/>
                      <w:lang w:eastAsia="zh-CN"/>
                    </w:rPr>
                    <w:t>（</w:t>
                  </w:r>
                  <w:r>
                    <w:rPr>
                      <w:b/>
                      <w:sz w:val="18"/>
                      <w:szCs w:val="18"/>
                    </w:rPr>
                    <w:t>μg/m</w:t>
                  </w:r>
                  <w:r>
                    <w:rPr>
                      <w:b/>
                      <w:sz w:val="18"/>
                      <w:szCs w:val="18"/>
                      <w:vertAlign w:val="superscript"/>
                    </w:rPr>
                    <w:t>3</w:t>
                  </w:r>
                  <w:r>
                    <w:rPr>
                      <w:rFonts w:hint="eastAsia"/>
                      <w:b/>
                      <w:sz w:val="18"/>
                      <w:szCs w:val="18"/>
                      <w:lang w:eastAsia="zh-CN"/>
                    </w:rPr>
                    <w:t>）</w:t>
                  </w:r>
                </w:p>
              </w:tc>
              <w:tc>
                <w:tcPr>
                  <w:tcW w:w="635" w:type="pct"/>
                  <w:tcBorders>
                    <w:top w:val="single" w:color="auto" w:sz="12" w:space="0"/>
                    <w:bottom w:val="single" w:color="auto" w:sz="4" w:space="0"/>
                  </w:tcBorders>
                  <w:vAlign w:val="center"/>
                </w:tcPr>
                <w:p w14:paraId="1C26D479">
                  <w:pPr>
                    <w:spacing w:line="240" w:lineRule="exact"/>
                    <w:jc w:val="center"/>
                    <w:rPr>
                      <w:b/>
                      <w:sz w:val="18"/>
                      <w:szCs w:val="18"/>
                    </w:rPr>
                  </w:pPr>
                  <w:r>
                    <w:rPr>
                      <w:b/>
                      <w:sz w:val="18"/>
                      <w:szCs w:val="18"/>
                    </w:rPr>
                    <w:t>最大浓度占标率%</w:t>
                  </w:r>
                </w:p>
              </w:tc>
              <w:tc>
                <w:tcPr>
                  <w:tcW w:w="492" w:type="pct"/>
                  <w:tcBorders>
                    <w:top w:val="single" w:color="auto" w:sz="12" w:space="0"/>
                    <w:bottom w:val="single" w:color="auto" w:sz="4" w:space="0"/>
                  </w:tcBorders>
                  <w:vAlign w:val="center"/>
                </w:tcPr>
                <w:p w14:paraId="70DCBEB0">
                  <w:pPr>
                    <w:spacing w:line="240" w:lineRule="exact"/>
                    <w:jc w:val="center"/>
                    <w:rPr>
                      <w:b/>
                      <w:sz w:val="18"/>
                      <w:szCs w:val="18"/>
                    </w:rPr>
                  </w:pPr>
                  <w:r>
                    <w:rPr>
                      <w:b/>
                      <w:sz w:val="18"/>
                      <w:szCs w:val="18"/>
                    </w:rPr>
                    <w:t>超标频率%</w:t>
                  </w:r>
                </w:p>
              </w:tc>
              <w:tc>
                <w:tcPr>
                  <w:tcW w:w="451" w:type="pct"/>
                  <w:tcBorders>
                    <w:top w:val="single" w:color="auto" w:sz="12" w:space="0"/>
                    <w:bottom w:val="single" w:color="auto" w:sz="4" w:space="0"/>
                  </w:tcBorders>
                  <w:vAlign w:val="center"/>
                </w:tcPr>
                <w:p w14:paraId="6C832EE1">
                  <w:pPr>
                    <w:jc w:val="center"/>
                    <w:rPr>
                      <w:b/>
                      <w:sz w:val="18"/>
                      <w:szCs w:val="18"/>
                    </w:rPr>
                  </w:pPr>
                  <w:r>
                    <w:rPr>
                      <w:b/>
                      <w:sz w:val="18"/>
                      <w:szCs w:val="18"/>
                    </w:rPr>
                    <w:t>达标情况</w:t>
                  </w:r>
                </w:p>
              </w:tc>
            </w:tr>
            <w:tr w14:paraId="5F1031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79" w:type="pct"/>
                  <w:vAlign w:val="center"/>
                </w:tcPr>
                <w:p w14:paraId="47357706">
                  <w:pPr>
                    <w:adjustRightInd w:val="0"/>
                    <w:snapToGrid w:val="0"/>
                    <w:spacing w:before="24" w:beforeLines="10" w:after="24" w:afterLines="10" w:line="259" w:lineRule="auto"/>
                    <w:jc w:val="center"/>
                    <w:rPr>
                      <w:kern w:val="0"/>
                      <w:sz w:val="18"/>
                      <w:szCs w:val="18"/>
                    </w:rPr>
                  </w:pPr>
                  <w:r>
                    <w:rPr>
                      <w:kern w:val="0"/>
                      <w:sz w:val="18"/>
                      <w:szCs w:val="18"/>
                    </w:rPr>
                    <w:t>1#厂区内</w:t>
                  </w:r>
                </w:p>
              </w:tc>
              <w:tc>
                <w:tcPr>
                  <w:tcW w:w="597" w:type="pct"/>
                  <w:vAlign w:val="center"/>
                </w:tcPr>
                <w:p w14:paraId="29BE936E">
                  <w:pPr>
                    <w:adjustRightInd w:val="0"/>
                    <w:snapToGrid w:val="0"/>
                    <w:spacing w:before="24" w:beforeLines="10" w:after="24" w:afterLines="10" w:line="259" w:lineRule="auto"/>
                    <w:jc w:val="center"/>
                    <w:rPr>
                      <w:kern w:val="0"/>
                      <w:sz w:val="18"/>
                      <w:szCs w:val="18"/>
                    </w:rPr>
                  </w:pPr>
                  <w:r>
                    <w:rPr>
                      <w:kern w:val="0"/>
                      <w:sz w:val="18"/>
                      <w:szCs w:val="18"/>
                    </w:rPr>
                    <w:t>TSP</w:t>
                  </w:r>
                </w:p>
              </w:tc>
              <w:tc>
                <w:tcPr>
                  <w:tcW w:w="426" w:type="pct"/>
                  <w:vAlign w:val="center"/>
                </w:tcPr>
                <w:p w14:paraId="5DA13862">
                  <w:pPr>
                    <w:adjustRightInd w:val="0"/>
                    <w:snapToGrid w:val="0"/>
                    <w:spacing w:before="24" w:beforeLines="10" w:after="24" w:afterLines="10" w:line="259" w:lineRule="auto"/>
                    <w:jc w:val="center"/>
                    <w:rPr>
                      <w:kern w:val="0"/>
                      <w:sz w:val="18"/>
                      <w:szCs w:val="18"/>
                    </w:rPr>
                  </w:pPr>
                  <w:r>
                    <w:rPr>
                      <w:kern w:val="0"/>
                      <w:sz w:val="18"/>
                      <w:szCs w:val="18"/>
                    </w:rPr>
                    <w:t>24小时</w:t>
                  </w:r>
                </w:p>
              </w:tc>
              <w:tc>
                <w:tcPr>
                  <w:tcW w:w="673" w:type="pct"/>
                  <w:vAlign w:val="center"/>
                </w:tcPr>
                <w:p w14:paraId="430384EE">
                  <w:pPr>
                    <w:adjustRightInd w:val="0"/>
                    <w:snapToGrid w:val="0"/>
                    <w:spacing w:before="24" w:beforeLines="10" w:after="24" w:afterLines="10" w:line="259" w:lineRule="auto"/>
                    <w:jc w:val="center"/>
                    <w:rPr>
                      <w:kern w:val="0"/>
                      <w:sz w:val="18"/>
                      <w:szCs w:val="18"/>
                    </w:rPr>
                  </w:pPr>
                  <w:r>
                    <w:rPr>
                      <w:kern w:val="0"/>
                      <w:sz w:val="18"/>
                      <w:szCs w:val="18"/>
                    </w:rPr>
                    <w:t>300</w:t>
                  </w:r>
                </w:p>
              </w:tc>
              <w:tc>
                <w:tcPr>
                  <w:tcW w:w="847" w:type="pct"/>
                  <w:vAlign w:val="center"/>
                </w:tcPr>
                <w:p w14:paraId="44E77FF3">
                  <w:pPr>
                    <w:adjustRightInd w:val="0"/>
                    <w:snapToGrid w:val="0"/>
                    <w:jc w:val="center"/>
                    <w:rPr>
                      <w:sz w:val="18"/>
                      <w:szCs w:val="18"/>
                    </w:rPr>
                  </w:pPr>
                  <w:r>
                    <w:rPr>
                      <w:sz w:val="18"/>
                      <w:szCs w:val="18"/>
                    </w:rPr>
                    <w:t>87~103</w:t>
                  </w:r>
                </w:p>
              </w:tc>
              <w:tc>
                <w:tcPr>
                  <w:tcW w:w="635" w:type="pct"/>
                  <w:vAlign w:val="center"/>
                </w:tcPr>
                <w:p w14:paraId="78950296">
                  <w:pPr>
                    <w:adjustRightInd w:val="0"/>
                    <w:snapToGrid w:val="0"/>
                    <w:spacing w:before="24" w:beforeLines="10" w:after="24" w:afterLines="10" w:line="259" w:lineRule="auto"/>
                    <w:jc w:val="center"/>
                    <w:rPr>
                      <w:kern w:val="0"/>
                      <w:sz w:val="18"/>
                      <w:szCs w:val="18"/>
                    </w:rPr>
                  </w:pPr>
                  <w:r>
                    <w:rPr>
                      <w:kern w:val="0"/>
                      <w:sz w:val="18"/>
                      <w:szCs w:val="18"/>
                    </w:rPr>
                    <w:t>34.33</w:t>
                  </w:r>
                </w:p>
              </w:tc>
              <w:tc>
                <w:tcPr>
                  <w:tcW w:w="492" w:type="pct"/>
                  <w:vAlign w:val="center"/>
                </w:tcPr>
                <w:p w14:paraId="77BB9854">
                  <w:pPr>
                    <w:adjustRightInd w:val="0"/>
                    <w:snapToGrid w:val="0"/>
                    <w:spacing w:before="24" w:beforeLines="10" w:after="24" w:afterLines="10" w:line="259" w:lineRule="auto"/>
                    <w:jc w:val="center"/>
                    <w:rPr>
                      <w:kern w:val="0"/>
                      <w:sz w:val="18"/>
                      <w:szCs w:val="18"/>
                    </w:rPr>
                  </w:pPr>
                  <w:r>
                    <w:rPr>
                      <w:kern w:val="0"/>
                      <w:sz w:val="18"/>
                      <w:szCs w:val="18"/>
                    </w:rPr>
                    <w:t>0</w:t>
                  </w:r>
                </w:p>
              </w:tc>
              <w:tc>
                <w:tcPr>
                  <w:tcW w:w="451" w:type="pct"/>
                  <w:vAlign w:val="center"/>
                </w:tcPr>
                <w:p w14:paraId="48422D79">
                  <w:pPr>
                    <w:adjustRightInd w:val="0"/>
                    <w:snapToGrid w:val="0"/>
                    <w:spacing w:before="24" w:beforeLines="10" w:after="24" w:afterLines="10" w:line="259" w:lineRule="auto"/>
                    <w:jc w:val="center"/>
                    <w:rPr>
                      <w:kern w:val="0"/>
                      <w:sz w:val="18"/>
                      <w:szCs w:val="18"/>
                    </w:rPr>
                  </w:pPr>
                  <w:r>
                    <w:rPr>
                      <w:kern w:val="0"/>
                      <w:sz w:val="18"/>
                      <w:szCs w:val="18"/>
                    </w:rPr>
                    <w:t>达标</w:t>
                  </w:r>
                </w:p>
              </w:tc>
            </w:tr>
          </w:tbl>
          <w:p w14:paraId="799936F8">
            <w:pPr>
              <w:adjustRightInd w:val="0"/>
              <w:snapToGrid w:val="0"/>
              <w:spacing w:before="240" w:line="360" w:lineRule="auto"/>
              <w:ind w:firstLine="480" w:firstLineChars="200"/>
              <w:rPr>
                <w:sz w:val="24"/>
              </w:rPr>
            </w:pPr>
            <w:r>
              <w:rPr>
                <w:sz w:val="24"/>
              </w:rPr>
              <w:t>根据监测结果，环境空气中TSP的24小时平均值检测结果均可满足《环境空气质量标准》</w:t>
            </w:r>
            <w:r>
              <w:rPr>
                <w:rFonts w:hint="eastAsia"/>
                <w:sz w:val="24"/>
                <w:lang w:eastAsia="zh-CN"/>
              </w:rPr>
              <w:t>（</w:t>
            </w:r>
            <w:r>
              <w:rPr>
                <w:sz w:val="24"/>
              </w:rPr>
              <w:t>GB3095-2012</w:t>
            </w:r>
            <w:r>
              <w:rPr>
                <w:rFonts w:hint="eastAsia"/>
                <w:sz w:val="24"/>
                <w:lang w:eastAsia="zh-CN"/>
              </w:rPr>
              <w:t>）</w:t>
            </w:r>
            <w:r>
              <w:rPr>
                <w:sz w:val="24"/>
              </w:rPr>
              <w:t>二级标准限值要求，区域环境空气质量较好。</w:t>
            </w:r>
          </w:p>
          <w:p w14:paraId="1C8F4F07">
            <w:pPr>
              <w:spacing w:before="120" w:beforeLines="50" w:line="360" w:lineRule="auto"/>
              <w:ind w:firstLine="482" w:firstLineChars="200"/>
              <w:rPr>
                <w:b/>
                <w:sz w:val="24"/>
              </w:rPr>
            </w:pPr>
            <w:r>
              <w:rPr>
                <w:b/>
                <w:sz w:val="24"/>
              </w:rPr>
              <w:t>2</w:t>
            </w:r>
            <w:r>
              <w:rPr>
                <w:rFonts w:hint="eastAsia"/>
                <w:b/>
                <w:sz w:val="24"/>
                <w:lang w:val="en-US" w:eastAsia="zh-CN"/>
              </w:rPr>
              <w:t>.</w:t>
            </w:r>
            <w:r>
              <w:rPr>
                <w:b/>
                <w:sz w:val="24"/>
              </w:rPr>
              <w:t>声环境质量现状</w:t>
            </w:r>
          </w:p>
          <w:p w14:paraId="73AF51F0">
            <w:pPr>
              <w:spacing w:line="360" w:lineRule="auto"/>
              <w:ind w:firstLine="480" w:firstLineChars="200"/>
              <w:rPr>
                <w:sz w:val="24"/>
              </w:rPr>
            </w:pPr>
            <w:r>
              <w:rPr>
                <w:bCs/>
                <w:sz w:val="24"/>
              </w:rPr>
              <w:t>依照《建设项目环境影响报告表编制技术指南</w:t>
            </w:r>
            <w:r>
              <w:rPr>
                <w:rFonts w:hint="eastAsia"/>
                <w:bCs/>
                <w:sz w:val="24"/>
                <w:lang w:eastAsia="zh-CN"/>
              </w:rPr>
              <w:t>（</w:t>
            </w:r>
            <w:r>
              <w:rPr>
                <w:bCs/>
                <w:sz w:val="24"/>
              </w:rPr>
              <w:t>污染影响类</w:t>
            </w:r>
            <w:r>
              <w:rPr>
                <w:rFonts w:hint="eastAsia"/>
                <w:bCs/>
                <w:sz w:val="24"/>
                <w:lang w:eastAsia="zh-CN"/>
              </w:rPr>
              <w:t>）</w:t>
            </w:r>
            <w:r>
              <w:rPr>
                <w:bCs/>
                <w:sz w:val="24"/>
              </w:rPr>
              <w:t>》</w:t>
            </w:r>
            <w:r>
              <w:rPr>
                <w:rFonts w:hint="eastAsia"/>
                <w:bCs/>
                <w:sz w:val="24"/>
                <w:lang w:eastAsia="zh-CN"/>
              </w:rPr>
              <w:t>（</w:t>
            </w:r>
            <w:r>
              <w:rPr>
                <w:bCs/>
                <w:sz w:val="24"/>
              </w:rPr>
              <w:t>试行</w:t>
            </w:r>
            <w:r>
              <w:rPr>
                <w:rFonts w:hint="eastAsia"/>
                <w:bCs/>
                <w:sz w:val="24"/>
                <w:lang w:eastAsia="zh-CN"/>
              </w:rPr>
              <w:t>）</w:t>
            </w:r>
            <w:r>
              <w:rPr>
                <w:bCs/>
                <w:sz w:val="24"/>
              </w:rPr>
              <w:t>，项目厂界外50m范围内无声环境敏感目标，因此，本次未开展声环境质量现状调查</w:t>
            </w:r>
            <w:r>
              <w:rPr>
                <w:sz w:val="24"/>
              </w:rPr>
              <w:t>。</w:t>
            </w:r>
          </w:p>
          <w:p w14:paraId="7954B93E">
            <w:pPr>
              <w:spacing w:line="360" w:lineRule="auto"/>
              <w:ind w:firstLine="482" w:firstLineChars="200"/>
              <w:rPr>
                <w:b/>
                <w:sz w:val="24"/>
              </w:rPr>
            </w:pPr>
            <w:r>
              <w:rPr>
                <w:b/>
                <w:sz w:val="24"/>
              </w:rPr>
              <w:t>3</w:t>
            </w:r>
            <w:r>
              <w:rPr>
                <w:rFonts w:hint="eastAsia"/>
                <w:b/>
                <w:sz w:val="24"/>
                <w:lang w:val="en-US" w:eastAsia="zh-CN"/>
              </w:rPr>
              <w:t>.</w:t>
            </w:r>
            <w:r>
              <w:rPr>
                <w:b/>
                <w:sz w:val="24"/>
              </w:rPr>
              <w:t>地下水环境、土壤环境</w:t>
            </w:r>
          </w:p>
          <w:p w14:paraId="431F3CF2">
            <w:pPr>
              <w:spacing w:line="360" w:lineRule="auto"/>
              <w:ind w:firstLine="480" w:firstLineChars="200"/>
              <w:rPr>
                <w:bCs/>
                <w:sz w:val="24"/>
              </w:rPr>
            </w:pPr>
            <w:r>
              <w:rPr>
                <w:bCs/>
                <w:sz w:val="24"/>
              </w:rPr>
              <w:t>依照《建设项目环境影响报告表编制技术指南</w:t>
            </w:r>
            <w:r>
              <w:rPr>
                <w:rFonts w:hint="eastAsia"/>
                <w:bCs/>
                <w:sz w:val="24"/>
                <w:lang w:eastAsia="zh-CN"/>
              </w:rPr>
              <w:t>（</w:t>
            </w:r>
            <w:r>
              <w:rPr>
                <w:bCs/>
                <w:sz w:val="24"/>
              </w:rPr>
              <w:t>污染影响类</w:t>
            </w:r>
            <w:r>
              <w:rPr>
                <w:rFonts w:hint="eastAsia"/>
                <w:bCs/>
                <w:sz w:val="24"/>
                <w:lang w:eastAsia="zh-CN"/>
              </w:rPr>
              <w:t>）</w:t>
            </w:r>
            <w:r>
              <w:rPr>
                <w:bCs/>
                <w:sz w:val="24"/>
              </w:rPr>
              <w:t>》</w:t>
            </w:r>
            <w:r>
              <w:rPr>
                <w:rFonts w:hint="eastAsia"/>
                <w:bCs/>
                <w:sz w:val="24"/>
                <w:lang w:eastAsia="zh-CN"/>
              </w:rPr>
              <w:t>（</w:t>
            </w:r>
            <w:r>
              <w:rPr>
                <w:bCs/>
                <w:sz w:val="24"/>
              </w:rPr>
              <w:t>试行</w:t>
            </w:r>
            <w:r>
              <w:rPr>
                <w:rFonts w:hint="eastAsia"/>
                <w:bCs/>
                <w:sz w:val="24"/>
                <w:lang w:eastAsia="zh-CN"/>
              </w:rPr>
              <w:t>）</w:t>
            </w:r>
            <w:r>
              <w:rPr>
                <w:bCs/>
                <w:sz w:val="24"/>
              </w:rPr>
              <w:t>，地下水、土壤环境原则上不开展环境质量现状调查。</w:t>
            </w:r>
          </w:p>
          <w:p w14:paraId="560EF8DA">
            <w:pPr>
              <w:spacing w:line="360" w:lineRule="auto"/>
              <w:ind w:firstLine="480" w:firstLineChars="200"/>
              <w:rPr>
                <w:bCs/>
                <w:sz w:val="24"/>
              </w:rPr>
            </w:pPr>
            <w:r>
              <w:rPr>
                <w:bCs/>
                <w:sz w:val="24"/>
              </w:rPr>
              <w:t>经调查，本项目不存在地下水、土壤污染途径，项目周围500m范围内不存</w:t>
            </w:r>
            <w:r>
              <w:rPr>
                <w:rFonts w:hint="eastAsia"/>
                <w:bCs/>
                <w:sz w:val="24"/>
                <w:lang w:eastAsia="zh-CN"/>
              </w:rPr>
              <w:t>在</w:t>
            </w:r>
            <w:r>
              <w:rPr>
                <w:bCs/>
                <w:sz w:val="24"/>
              </w:rPr>
              <w:t>地下水集中式饮用水水源和热水、矿泉水、温泉等特殊地下水资源，周围不存在敏感或较敏感的土壤环境保护目标，属于不敏感。综合考虑，本次评价不开展地下水、土壤环境质量现状监测，仅给出相关的污染防治措施。</w:t>
            </w:r>
          </w:p>
          <w:p w14:paraId="16826E9C">
            <w:pPr>
              <w:spacing w:line="360" w:lineRule="auto"/>
              <w:ind w:firstLine="482" w:firstLineChars="200"/>
              <w:rPr>
                <w:b/>
                <w:bCs/>
                <w:sz w:val="24"/>
              </w:rPr>
            </w:pPr>
            <w:r>
              <w:rPr>
                <w:b/>
                <w:bCs/>
                <w:sz w:val="24"/>
              </w:rPr>
              <w:t>4</w:t>
            </w:r>
            <w:r>
              <w:rPr>
                <w:rFonts w:hint="eastAsia"/>
                <w:b/>
                <w:bCs/>
                <w:sz w:val="24"/>
                <w:lang w:val="en-US" w:eastAsia="zh-CN"/>
              </w:rPr>
              <w:t>.</w:t>
            </w:r>
            <w:r>
              <w:rPr>
                <w:b/>
                <w:bCs/>
                <w:sz w:val="24"/>
              </w:rPr>
              <w:t>地表水、生态环境</w:t>
            </w:r>
          </w:p>
          <w:p w14:paraId="227A0D3E">
            <w:pPr>
              <w:spacing w:line="360" w:lineRule="auto"/>
              <w:ind w:firstLine="480" w:firstLineChars="200"/>
              <w:rPr>
                <w:bCs/>
                <w:sz w:val="24"/>
              </w:rPr>
            </w:pPr>
            <w:r>
              <w:rPr>
                <w:bCs/>
                <w:sz w:val="24"/>
              </w:rPr>
              <w:t>地表水：本项目周围不存在地表水体。</w:t>
            </w:r>
          </w:p>
          <w:p w14:paraId="40AA70A7">
            <w:pPr>
              <w:spacing w:line="360" w:lineRule="auto"/>
              <w:ind w:firstLine="480" w:firstLineChars="200"/>
              <w:rPr>
                <w:szCs w:val="21"/>
              </w:rPr>
            </w:pPr>
            <w:r>
              <w:rPr>
                <w:bCs/>
                <w:sz w:val="24"/>
              </w:rPr>
              <w:t>生态环境：依照《建设项目环境影响报告表编制技术指南</w:t>
            </w:r>
            <w:r>
              <w:rPr>
                <w:rFonts w:hint="eastAsia"/>
                <w:bCs/>
                <w:sz w:val="24"/>
                <w:lang w:eastAsia="zh-CN"/>
              </w:rPr>
              <w:t>（</w:t>
            </w:r>
            <w:r>
              <w:rPr>
                <w:bCs/>
                <w:sz w:val="24"/>
              </w:rPr>
              <w:t>污染影响类</w:t>
            </w:r>
            <w:r>
              <w:rPr>
                <w:rFonts w:hint="eastAsia"/>
                <w:bCs/>
                <w:sz w:val="24"/>
                <w:lang w:eastAsia="zh-CN"/>
              </w:rPr>
              <w:t>）</w:t>
            </w:r>
            <w:r>
              <w:rPr>
                <w:bCs/>
                <w:sz w:val="24"/>
              </w:rPr>
              <w:t>》</w:t>
            </w:r>
            <w:r>
              <w:rPr>
                <w:rFonts w:hint="eastAsia"/>
                <w:bCs/>
                <w:sz w:val="24"/>
                <w:lang w:eastAsia="zh-CN"/>
              </w:rPr>
              <w:t>（</w:t>
            </w:r>
            <w:r>
              <w:rPr>
                <w:bCs/>
                <w:sz w:val="24"/>
              </w:rPr>
              <w:t>试行</w:t>
            </w:r>
            <w:r>
              <w:rPr>
                <w:rFonts w:hint="eastAsia"/>
                <w:bCs/>
                <w:sz w:val="24"/>
                <w:lang w:eastAsia="zh-CN"/>
              </w:rPr>
              <w:t>）</w:t>
            </w:r>
            <w:r>
              <w:rPr>
                <w:bCs/>
                <w:sz w:val="24"/>
              </w:rPr>
              <w:t>要求，产业园区外建设项目新增用地且用地范围内还有生态环境保护目标时，应开展现状调查。本项目位于杭锦旗独贵塔拉镇图古日格嘎查，原有地块植被覆盖率较低，动物稀少。项目不涉及生态保护红线、不涉及各类自然保护地。项目周边无生态环境敏感目标，因此不开展生态环境现状调查。</w:t>
            </w:r>
          </w:p>
        </w:tc>
      </w:tr>
      <w:tr w14:paraId="04953D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48" w:hRule="atLeast"/>
          <w:jc w:val="center"/>
        </w:trPr>
        <w:tc>
          <w:tcPr>
            <w:tcW w:w="534" w:type="dxa"/>
            <w:vAlign w:val="center"/>
          </w:tcPr>
          <w:p w14:paraId="658E23DB">
            <w:pPr>
              <w:adjustRightInd w:val="0"/>
              <w:snapToGrid w:val="0"/>
              <w:jc w:val="center"/>
              <w:rPr>
                <w:kern w:val="0"/>
                <w:szCs w:val="21"/>
              </w:rPr>
            </w:pPr>
            <w:r>
              <w:rPr>
                <w:kern w:val="0"/>
                <w:szCs w:val="21"/>
              </w:rPr>
              <w:t>环境</w:t>
            </w:r>
          </w:p>
          <w:p w14:paraId="41E70004">
            <w:pPr>
              <w:adjustRightInd w:val="0"/>
              <w:snapToGrid w:val="0"/>
              <w:jc w:val="center"/>
              <w:rPr>
                <w:kern w:val="0"/>
                <w:szCs w:val="21"/>
              </w:rPr>
            </w:pPr>
            <w:r>
              <w:rPr>
                <w:kern w:val="0"/>
                <w:szCs w:val="21"/>
              </w:rPr>
              <w:t>保护</w:t>
            </w:r>
          </w:p>
          <w:p w14:paraId="05D895E6">
            <w:pPr>
              <w:adjustRightInd w:val="0"/>
              <w:snapToGrid w:val="0"/>
              <w:jc w:val="center"/>
              <w:rPr>
                <w:kern w:val="0"/>
                <w:szCs w:val="21"/>
              </w:rPr>
            </w:pPr>
            <w:r>
              <w:rPr>
                <w:kern w:val="0"/>
                <w:szCs w:val="21"/>
              </w:rPr>
              <w:t>目标</w:t>
            </w:r>
          </w:p>
        </w:tc>
        <w:tc>
          <w:tcPr>
            <w:tcW w:w="8527" w:type="dxa"/>
            <w:vAlign w:val="center"/>
          </w:tcPr>
          <w:p w14:paraId="63AF3E59">
            <w:pPr>
              <w:spacing w:line="360" w:lineRule="auto"/>
              <w:ind w:firstLine="480" w:firstLineChars="200"/>
              <w:rPr>
                <w:sz w:val="24"/>
              </w:rPr>
            </w:pPr>
            <w:r>
              <w:rPr>
                <w:sz w:val="24"/>
              </w:rPr>
              <w:t>项目拟选址在</w:t>
            </w:r>
            <w:r>
              <w:rPr>
                <w:bCs/>
                <w:sz w:val="24"/>
              </w:rPr>
              <w:t>杭锦旗独贵塔拉镇图古日格嘎查</w:t>
            </w:r>
            <w:r>
              <w:rPr>
                <w:sz w:val="24"/>
              </w:rPr>
              <w:t>，由现场调查可知，该区域内没有珍稀动植物资源、饮用水源保护区、自然保护区、重点文物等重点保护目标。</w:t>
            </w:r>
            <w:r>
              <w:rPr>
                <w:bCs/>
                <w:sz w:val="24"/>
              </w:rPr>
              <w:t>本项目环境保护目标见表3-5。</w:t>
            </w:r>
          </w:p>
          <w:p w14:paraId="47876C9F">
            <w:pPr>
              <w:pStyle w:val="23"/>
            </w:pPr>
            <w:r>
              <w:t>表3-5 环境保护目标一览表</w:t>
            </w:r>
          </w:p>
          <w:tbl>
            <w:tblPr>
              <w:tblStyle w:val="16"/>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841"/>
              <w:gridCol w:w="1348"/>
              <w:gridCol w:w="768"/>
              <w:gridCol w:w="932"/>
              <w:gridCol w:w="870"/>
              <w:gridCol w:w="3463"/>
            </w:tblGrid>
            <w:tr w14:paraId="666E71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Merge w:val="restart"/>
                  <w:vAlign w:val="center"/>
                </w:tcPr>
                <w:p w14:paraId="2A264574">
                  <w:pPr>
                    <w:jc w:val="center"/>
                    <w:rPr>
                      <w:b/>
                      <w:szCs w:val="20"/>
                    </w:rPr>
                  </w:pPr>
                  <w:r>
                    <w:rPr>
                      <w:b/>
                      <w:szCs w:val="20"/>
                    </w:rPr>
                    <w:t>环境要素</w:t>
                  </w:r>
                </w:p>
              </w:tc>
              <w:tc>
                <w:tcPr>
                  <w:tcW w:w="1348" w:type="dxa"/>
                  <w:vMerge w:val="restart"/>
                  <w:vAlign w:val="center"/>
                </w:tcPr>
                <w:p w14:paraId="6A4EFC4A">
                  <w:pPr>
                    <w:jc w:val="center"/>
                    <w:rPr>
                      <w:b/>
                      <w:szCs w:val="20"/>
                    </w:rPr>
                  </w:pPr>
                  <w:r>
                    <w:rPr>
                      <w:b/>
                      <w:szCs w:val="20"/>
                    </w:rPr>
                    <w:t>保护目标</w:t>
                  </w:r>
                </w:p>
              </w:tc>
              <w:tc>
                <w:tcPr>
                  <w:tcW w:w="1700" w:type="dxa"/>
                  <w:gridSpan w:val="2"/>
                  <w:vAlign w:val="center"/>
                </w:tcPr>
                <w:p w14:paraId="2788C5B1">
                  <w:pPr>
                    <w:jc w:val="center"/>
                    <w:rPr>
                      <w:b/>
                      <w:szCs w:val="20"/>
                    </w:rPr>
                  </w:pPr>
                  <w:r>
                    <w:rPr>
                      <w:b/>
                      <w:szCs w:val="20"/>
                    </w:rPr>
                    <w:t>相对厂址</w:t>
                  </w:r>
                </w:p>
              </w:tc>
              <w:tc>
                <w:tcPr>
                  <w:tcW w:w="870" w:type="dxa"/>
                  <w:vMerge w:val="restart"/>
                  <w:vAlign w:val="center"/>
                </w:tcPr>
                <w:p w14:paraId="5B0F1AFA">
                  <w:pPr>
                    <w:jc w:val="center"/>
                    <w:rPr>
                      <w:b/>
                      <w:szCs w:val="20"/>
                    </w:rPr>
                  </w:pPr>
                  <w:r>
                    <w:rPr>
                      <w:b/>
                      <w:szCs w:val="20"/>
                    </w:rPr>
                    <w:t>人数</w:t>
                  </w:r>
                </w:p>
              </w:tc>
              <w:tc>
                <w:tcPr>
                  <w:tcW w:w="3463" w:type="dxa"/>
                  <w:vMerge w:val="restart"/>
                  <w:vAlign w:val="center"/>
                </w:tcPr>
                <w:p w14:paraId="06DF2A73">
                  <w:pPr>
                    <w:jc w:val="center"/>
                    <w:rPr>
                      <w:b/>
                      <w:szCs w:val="20"/>
                    </w:rPr>
                  </w:pPr>
                  <w:r>
                    <w:rPr>
                      <w:b/>
                      <w:szCs w:val="20"/>
                    </w:rPr>
                    <w:t>保护级别</w:t>
                  </w:r>
                </w:p>
              </w:tc>
            </w:tr>
            <w:tr w14:paraId="4A9ADF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Merge w:val="continue"/>
                  <w:vAlign w:val="center"/>
                </w:tcPr>
                <w:p w14:paraId="345769C8">
                  <w:pPr>
                    <w:jc w:val="center"/>
                    <w:rPr>
                      <w:szCs w:val="20"/>
                    </w:rPr>
                  </w:pPr>
                </w:p>
              </w:tc>
              <w:tc>
                <w:tcPr>
                  <w:tcW w:w="1348" w:type="dxa"/>
                  <w:vMerge w:val="continue"/>
                  <w:vAlign w:val="center"/>
                </w:tcPr>
                <w:p w14:paraId="2CBA6A5E">
                  <w:pPr>
                    <w:jc w:val="center"/>
                    <w:rPr>
                      <w:szCs w:val="20"/>
                    </w:rPr>
                  </w:pPr>
                </w:p>
              </w:tc>
              <w:tc>
                <w:tcPr>
                  <w:tcW w:w="768" w:type="dxa"/>
                  <w:vAlign w:val="center"/>
                </w:tcPr>
                <w:p w14:paraId="651A981F">
                  <w:pPr>
                    <w:jc w:val="center"/>
                    <w:rPr>
                      <w:b/>
                      <w:szCs w:val="20"/>
                    </w:rPr>
                  </w:pPr>
                  <w:r>
                    <w:rPr>
                      <w:b/>
                      <w:szCs w:val="20"/>
                    </w:rPr>
                    <w:t>方位</w:t>
                  </w:r>
                </w:p>
              </w:tc>
              <w:tc>
                <w:tcPr>
                  <w:tcW w:w="932" w:type="dxa"/>
                  <w:vAlign w:val="center"/>
                </w:tcPr>
                <w:p w14:paraId="735DDDC6">
                  <w:pPr>
                    <w:jc w:val="center"/>
                    <w:rPr>
                      <w:rFonts w:hint="eastAsia" w:eastAsia="宋体"/>
                      <w:b/>
                      <w:szCs w:val="20"/>
                      <w:lang w:eastAsia="zh-CN"/>
                    </w:rPr>
                  </w:pPr>
                  <w:r>
                    <w:rPr>
                      <w:b/>
                      <w:szCs w:val="20"/>
                    </w:rPr>
                    <w:t>距离</w:t>
                  </w:r>
                  <w:r>
                    <w:rPr>
                      <w:rFonts w:hint="eastAsia"/>
                      <w:b/>
                      <w:szCs w:val="20"/>
                      <w:lang w:eastAsia="zh-CN"/>
                    </w:rPr>
                    <w:t>（</w:t>
                  </w:r>
                  <w:r>
                    <w:rPr>
                      <w:b/>
                      <w:szCs w:val="20"/>
                    </w:rPr>
                    <w:t>m</w:t>
                  </w:r>
                  <w:r>
                    <w:rPr>
                      <w:rFonts w:hint="eastAsia"/>
                      <w:b/>
                      <w:szCs w:val="20"/>
                      <w:lang w:eastAsia="zh-CN"/>
                    </w:rPr>
                    <w:t>）</w:t>
                  </w:r>
                </w:p>
              </w:tc>
              <w:tc>
                <w:tcPr>
                  <w:tcW w:w="870" w:type="dxa"/>
                  <w:vMerge w:val="continue"/>
                  <w:vAlign w:val="center"/>
                </w:tcPr>
                <w:p w14:paraId="4B44E4A4">
                  <w:pPr>
                    <w:jc w:val="center"/>
                    <w:rPr>
                      <w:szCs w:val="20"/>
                    </w:rPr>
                  </w:pPr>
                </w:p>
              </w:tc>
              <w:tc>
                <w:tcPr>
                  <w:tcW w:w="3463" w:type="dxa"/>
                  <w:vMerge w:val="continue"/>
                  <w:vAlign w:val="center"/>
                </w:tcPr>
                <w:p w14:paraId="7B109853">
                  <w:pPr>
                    <w:jc w:val="center"/>
                    <w:rPr>
                      <w:szCs w:val="20"/>
                    </w:rPr>
                  </w:pPr>
                </w:p>
              </w:tc>
            </w:tr>
            <w:tr w14:paraId="5C0168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Align w:val="center"/>
                </w:tcPr>
                <w:p w14:paraId="7B2948F3">
                  <w:pPr>
                    <w:jc w:val="center"/>
                    <w:rPr>
                      <w:szCs w:val="20"/>
                    </w:rPr>
                  </w:pPr>
                  <w:r>
                    <w:rPr>
                      <w:szCs w:val="20"/>
                    </w:rPr>
                    <w:t>环境空气</w:t>
                  </w:r>
                </w:p>
              </w:tc>
              <w:tc>
                <w:tcPr>
                  <w:tcW w:w="3918" w:type="dxa"/>
                  <w:gridSpan w:val="4"/>
                  <w:vAlign w:val="center"/>
                </w:tcPr>
                <w:p w14:paraId="6CFA52EE">
                  <w:pPr>
                    <w:jc w:val="center"/>
                    <w:rPr>
                      <w:szCs w:val="20"/>
                    </w:rPr>
                  </w:pPr>
                  <w:r>
                    <w:rPr>
                      <w:szCs w:val="20"/>
                    </w:rPr>
                    <w:t>厂界外500m范围内无大气环境敏感目标</w:t>
                  </w:r>
                </w:p>
              </w:tc>
              <w:tc>
                <w:tcPr>
                  <w:tcW w:w="3463" w:type="dxa"/>
                  <w:vAlign w:val="center"/>
                </w:tcPr>
                <w:p w14:paraId="3748EACE">
                  <w:pPr>
                    <w:jc w:val="center"/>
                    <w:rPr>
                      <w:rFonts w:hint="eastAsia" w:eastAsia="宋体"/>
                      <w:szCs w:val="20"/>
                      <w:lang w:eastAsia="zh-CN"/>
                    </w:rPr>
                  </w:pPr>
                  <w:r>
                    <w:rPr>
                      <w:szCs w:val="20"/>
                    </w:rPr>
                    <w:t>《环境空气质量标准》</w:t>
                  </w:r>
                  <w:r>
                    <w:rPr>
                      <w:rFonts w:hint="eastAsia"/>
                      <w:szCs w:val="20"/>
                      <w:lang w:eastAsia="zh-CN"/>
                    </w:rPr>
                    <w:t>（</w:t>
                  </w:r>
                  <w:r>
                    <w:rPr>
                      <w:szCs w:val="20"/>
                    </w:rPr>
                    <w:t>GB3095-2012</w:t>
                  </w:r>
                  <w:r>
                    <w:rPr>
                      <w:rFonts w:hint="eastAsia"/>
                      <w:szCs w:val="20"/>
                      <w:lang w:eastAsia="zh-CN"/>
                    </w:rPr>
                    <w:t>）</w:t>
                  </w:r>
                </w:p>
                <w:p w14:paraId="0F726E8C">
                  <w:pPr>
                    <w:jc w:val="center"/>
                    <w:rPr>
                      <w:szCs w:val="20"/>
                    </w:rPr>
                  </w:pPr>
                  <w:r>
                    <w:rPr>
                      <w:szCs w:val="20"/>
                    </w:rPr>
                    <w:t>二级标准</w:t>
                  </w:r>
                </w:p>
              </w:tc>
            </w:tr>
            <w:tr w14:paraId="4D5512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Align w:val="center"/>
                </w:tcPr>
                <w:p w14:paraId="7730B9A3">
                  <w:pPr>
                    <w:jc w:val="center"/>
                    <w:rPr>
                      <w:szCs w:val="20"/>
                    </w:rPr>
                  </w:pPr>
                  <w:r>
                    <w:rPr>
                      <w:szCs w:val="20"/>
                    </w:rPr>
                    <w:t>声环境</w:t>
                  </w:r>
                </w:p>
              </w:tc>
              <w:tc>
                <w:tcPr>
                  <w:tcW w:w="3918" w:type="dxa"/>
                  <w:gridSpan w:val="4"/>
                  <w:vAlign w:val="center"/>
                </w:tcPr>
                <w:p w14:paraId="03480D6F">
                  <w:pPr>
                    <w:jc w:val="center"/>
                    <w:rPr>
                      <w:szCs w:val="20"/>
                    </w:rPr>
                  </w:pPr>
                  <w:r>
                    <w:rPr>
                      <w:szCs w:val="20"/>
                    </w:rPr>
                    <w:t>厂界外50m范围内无声环境敏感目标</w:t>
                  </w:r>
                </w:p>
              </w:tc>
              <w:tc>
                <w:tcPr>
                  <w:tcW w:w="3463" w:type="dxa"/>
                  <w:vAlign w:val="center"/>
                </w:tcPr>
                <w:p w14:paraId="59CAC71F">
                  <w:pPr>
                    <w:jc w:val="center"/>
                    <w:rPr>
                      <w:szCs w:val="20"/>
                    </w:rPr>
                  </w:pPr>
                  <w:r>
                    <w:rPr>
                      <w:szCs w:val="20"/>
                    </w:rPr>
                    <w:t>《声环境质量标准》</w:t>
                  </w:r>
                  <w:r>
                    <w:rPr>
                      <w:rFonts w:hint="eastAsia"/>
                      <w:szCs w:val="20"/>
                      <w:lang w:eastAsia="zh-CN"/>
                    </w:rPr>
                    <w:t>（</w:t>
                  </w:r>
                  <w:r>
                    <w:rPr>
                      <w:szCs w:val="20"/>
                    </w:rPr>
                    <w:t>GB3096-2008</w:t>
                  </w:r>
                  <w:r>
                    <w:rPr>
                      <w:rFonts w:hint="eastAsia"/>
                      <w:szCs w:val="20"/>
                      <w:lang w:eastAsia="zh-CN"/>
                    </w:rPr>
                    <w:t>）</w:t>
                  </w:r>
                  <w:r>
                    <w:rPr>
                      <w:szCs w:val="20"/>
                    </w:rPr>
                    <w:t>1类标准</w:t>
                  </w:r>
                </w:p>
              </w:tc>
            </w:tr>
            <w:tr w14:paraId="7F72AC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Align w:val="center"/>
                </w:tcPr>
                <w:p w14:paraId="752286D8">
                  <w:pPr>
                    <w:jc w:val="center"/>
                    <w:rPr>
                      <w:szCs w:val="20"/>
                    </w:rPr>
                  </w:pPr>
                  <w:r>
                    <w:rPr>
                      <w:szCs w:val="21"/>
                    </w:rPr>
                    <w:t>地下水</w:t>
                  </w:r>
                </w:p>
              </w:tc>
              <w:tc>
                <w:tcPr>
                  <w:tcW w:w="7381" w:type="dxa"/>
                  <w:gridSpan w:val="5"/>
                  <w:vAlign w:val="center"/>
                </w:tcPr>
                <w:p w14:paraId="56E2DD17">
                  <w:pPr>
                    <w:jc w:val="center"/>
                    <w:rPr>
                      <w:szCs w:val="20"/>
                    </w:rPr>
                  </w:pPr>
                  <w:r>
                    <w:rPr>
                      <w:szCs w:val="21"/>
                    </w:rPr>
                    <w:t>厂界外500米范围内不涉及地下水集中式饮用水水源和热水、矿泉水、温泉等特殊地下水资源</w:t>
                  </w:r>
                </w:p>
              </w:tc>
            </w:tr>
            <w:tr w14:paraId="090FFE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Align w:val="center"/>
                </w:tcPr>
                <w:p w14:paraId="1A6DC036">
                  <w:pPr>
                    <w:jc w:val="center"/>
                    <w:rPr>
                      <w:szCs w:val="20"/>
                    </w:rPr>
                  </w:pPr>
                  <w:r>
                    <w:rPr>
                      <w:szCs w:val="21"/>
                    </w:rPr>
                    <w:t>生态环境</w:t>
                  </w:r>
                </w:p>
              </w:tc>
              <w:tc>
                <w:tcPr>
                  <w:tcW w:w="7381" w:type="dxa"/>
                  <w:gridSpan w:val="5"/>
                  <w:vAlign w:val="center"/>
                </w:tcPr>
                <w:p w14:paraId="0F593FCD">
                  <w:pPr>
                    <w:jc w:val="center"/>
                    <w:rPr>
                      <w:szCs w:val="20"/>
                    </w:rPr>
                  </w:pPr>
                  <w:r>
                    <w:rPr>
                      <w:bCs/>
                      <w:szCs w:val="21"/>
                    </w:rPr>
                    <w:t>项目位于杭锦旗独贵塔拉镇图古日格嘎查，原有地块植被覆盖率较低，动物稀少。项目不涉及生态保护红线、不涉及各类自然保护地，周边无生态环境敏感目标</w:t>
                  </w:r>
                  <w:r>
                    <w:rPr>
                      <w:szCs w:val="21"/>
                    </w:rPr>
                    <w:t>。</w:t>
                  </w:r>
                </w:p>
              </w:tc>
            </w:tr>
          </w:tbl>
          <w:p w14:paraId="3FD2F247">
            <w:pPr>
              <w:spacing w:line="360" w:lineRule="auto"/>
              <w:rPr>
                <w:kern w:val="0"/>
                <w:szCs w:val="21"/>
              </w:rPr>
            </w:pPr>
          </w:p>
        </w:tc>
      </w:tr>
      <w:tr w14:paraId="3143E0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89" w:hRule="atLeast"/>
          <w:jc w:val="center"/>
        </w:trPr>
        <w:tc>
          <w:tcPr>
            <w:tcW w:w="534" w:type="dxa"/>
            <w:tcMar>
              <w:left w:w="28" w:type="dxa"/>
              <w:right w:w="28" w:type="dxa"/>
            </w:tcMar>
            <w:vAlign w:val="center"/>
          </w:tcPr>
          <w:p w14:paraId="3C58CD01">
            <w:pPr>
              <w:adjustRightInd w:val="0"/>
              <w:snapToGrid w:val="0"/>
              <w:jc w:val="center"/>
              <w:rPr>
                <w:kern w:val="0"/>
                <w:szCs w:val="21"/>
              </w:rPr>
            </w:pPr>
            <w:r>
              <w:rPr>
                <w:kern w:val="0"/>
                <w:szCs w:val="21"/>
              </w:rPr>
              <w:t>污染</w:t>
            </w:r>
          </w:p>
          <w:p w14:paraId="50F0A585">
            <w:pPr>
              <w:adjustRightInd w:val="0"/>
              <w:snapToGrid w:val="0"/>
              <w:jc w:val="center"/>
              <w:rPr>
                <w:kern w:val="0"/>
                <w:szCs w:val="21"/>
              </w:rPr>
            </w:pPr>
            <w:r>
              <w:rPr>
                <w:kern w:val="0"/>
                <w:szCs w:val="21"/>
              </w:rPr>
              <w:t>物排</w:t>
            </w:r>
          </w:p>
          <w:p w14:paraId="0881C321">
            <w:pPr>
              <w:adjustRightInd w:val="0"/>
              <w:snapToGrid w:val="0"/>
              <w:jc w:val="center"/>
              <w:rPr>
                <w:kern w:val="0"/>
                <w:szCs w:val="21"/>
              </w:rPr>
            </w:pPr>
            <w:r>
              <w:rPr>
                <w:kern w:val="0"/>
                <w:szCs w:val="21"/>
              </w:rPr>
              <w:t>放控</w:t>
            </w:r>
          </w:p>
          <w:p w14:paraId="1D55E6C7">
            <w:pPr>
              <w:adjustRightInd w:val="0"/>
              <w:snapToGrid w:val="0"/>
              <w:jc w:val="center"/>
              <w:rPr>
                <w:kern w:val="0"/>
                <w:szCs w:val="21"/>
              </w:rPr>
            </w:pPr>
            <w:r>
              <w:rPr>
                <w:kern w:val="0"/>
                <w:szCs w:val="21"/>
              </w:rPr>
              <w:t>制标</w:t>
            </w:r>
          </w:p>
          <w:p w14:paraId="02F150E5">
            <w:pPr>
              <w:adjustRightInd w:val="0"/>
              <w:snapToGrid w:val="0"/>
              <w:jc w:val="center"/>
              <w:rPr>
                <w:kern w:val="0"/>
                <w:szCs w:val="21"/>
              </w:rPr>
            </w:pPr>
            <w:r>
              <w:rPr>
                <w:kern w:val="0"/>
                <w:szCs w:val="21"/>
              </w:rPr>
              <w:t>准</w:t>
            </w:r>
          </w:p>
        </w:tc>
        <w:tc>
          <w:tcPr>
            <w:tcW w:w="8527" w:type="dxa"/>
            <w:vAlign w:val="center"/>
          </w:tcPr>
          <w:p w14:paraId="1D246580">
            <w:pPr>
              <w:spacing w:line="360" w:lineRule="auto"/>
              <w:rPr>
                <w:b/>
                <w:kern w:val="0"/>
                <w:sz w:val="24"/>
              </w:rPr>
            </w:pPr>
            <w:r>
              <w:rPr>
                <w:b/>
                <w:kern w:val="0"/>
                <w:sz w:val="24"/>
              </w:rPr>
              <w:t>1</w:t>
            </w:r>
            <w:r>
              <w:rPr>
                <w:rFonts w:hint="eastAsia"/>
                <w:b/>
                <w:kern w:val="0"/>
                <w:sz w:val="24"/>
                <w:lang w:val="en-US" w:eastAsia="zh-CN"/>
              </w:rPr>
              <w:t>.</w:t>
            </w:r>
            <w:r>
              <w:rPr>
                <w:b/>
                <w:kern w:val="0"/>
                <w:sz w:val="24"/>
              </w:rPr>
              <w:t>大气污染物排放标准</w:t>
            </w:r>
          </w:p>
          <w:p w14:paraId="1D66E9E3">
            <w:pPr>
              <w:spacing w:line="360" w:lineRule="auto"/>
              <w:ind w:firstLine="480" w:firstLineChars="200"/>
              <w:rPr>
                <w:sz w:val="24"/>
                <w:szCs w:val="22"/>
              </w:rPr>
            </w:pPr>
            <w:r>
              <w:rPr>
                <w:sz w:val="24"/>
                <w:szCs w:val="22"/>
              </w:rPr>
              <w:t>本项目施工期产生粉尘执行《大气污染物综合排放标准》</w:t>
            </w:r>
            <w:r>
              <w:rPr>
                <w:rFonts w:hint="eastAsia"/>
                <w:sz w:val="24"/>
                <w:szCs w:val="22"/>
                <w:lang w:eastAsia="zh-CN"/>
              </w:rPr>
              <w:t>（</w:t>
            </w:r>
            <w:r>
              <w:rPr>
                <w:sz w:val="24"/>
                <w:szCs w:val="22"/>
              </w:rPr>
              <w:t>GB16297-1996</w:t>
            </w:r>
            <w:r>
              <w:rPr>
                <w:rFonts w:hint="eastAsia"/>
                <w:sz w:val="24"/>
                <w:szCs w:val="22"/>
                <w:lang w:eastAsia="zh-CN"/>
              </w:rPr>
              <w:t>）</w:t>
            </w:r>
            <w:r>
              <w:rPr>
                <w:sz w:val="24"/>
                <w:szCs w:val="22"/>
              </w:rPr>
              <w:t>中的表2新污染源大气排放限值中无组织排放监控浓度限值。</w:t>
            </w:r>
          </w:p>
          <w:p w14:paraId="6EA72334">
            <w:pPr>
              <w:spacing w:line="312" w:lineRule="auto"/>
              <w:ind w:firstLine="422"/>
              <w:jc w:val="center"/>
              <w:rPr>
                <w:b/>
                <w:bCs/>
                <w:sz w:val="24"/>
              </w:rPr>
            </w:pPr>
            <w:r>
              <w:rPr>
                <w:b/>
                <w:bCs/>
                <w:sz w:val="24"/>
              </w:rPr>
              <w:t>表3-6 施工期大气污染物排放标准一览表</w:t>
            </w:r>
          </w:p>
          <w:tbl>
            <w:tblPr>
              <w:tblStyle w:val="1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937"/>
              <w:gridCol w:w="608"/>
              <w:gridCol w:w="1406"/>
              <w:gridCol w:w="795"/>
              <w:gridCol w:w="1474"/>
              <w:gridCol w:w="3091"/>
            </w:tblGrid>
            <w:tr w14:paraId="619F59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81" w:hRule="atLeast"/>
                <w:jc w:val="center"/>
              </w:trPr>
              <w:tc>
                <w:tcPr>
                  <w:tcW w:w="564" w:type="pct"/>
                  <w:vMerge w:val="restart"/>
                  <w:tcMar>
                    <w:left w:w="0" w:type="dxa"/>
                    <w:right w:w="0" w:type="dxa"/>
                  </w:tcMar>
                  <w:vAlign w:val="center"/>
                </w:tcPr>
                <w:p w14:paraId="151FA231">
                  <w:pPr>
                    <w:adjustRightInd w:val="0"/>
                    <w:snapToGrid w:val="0"/>
                    <w:jc w:val="center"/>
                    <w:rPr>
                      <w:b/>
                      <w:szCs w:val="21"/>
                    </w:rPr>
                  </w:pPr>
                  <w:r>
                    <w:rPr>
                      <w:b/>
                      <w:szCs w:val="21"/>
                    </w:rPr>
                    <w:t>时期</w:t>
                  </w:r>
                </w:p>
              </w:tc>
              <w:tc>
                <w:tcPr>
                  <w:tcW w:w="366" w:type="pct"/>
                  <w:vMerge w:val="restart"/>
                  <w:vAlign w:val="center"/>
                </w:tcPr>
                <w:p w14:paraId="10C964E3">
                  <w:pPr>
                    <w:adjustRightInd w:val="0"/>
                    <w:snapToGrid w:val="0"/>
                    <w:jc w:val="center"/>
                    <w:rPr>
                      <w:b/>
                      <w:szCs w:val="21"/>
                    </w:rPr>
                  </w:pPr>
                  <w:r>
                    <w:rPr>
                      <w:b/>
                      <w:szCs w:val="21"/>
                    </w:rPr>
                    <w:t>污染物</w:t>
                  </w:r>
                </w:p>
              </w:tc>
              <w:tc>
                <w:tcPr>
                  <w:tcW w:w="1324" w:type="pct"/>
                  <w:gridSpan w:val="2"/>
                  <w:vAlign w:val="center"/>
                </w:tcPr>
                <w:p w14:paraId="4628E7AA">
                  <w:pPr>
                    <w:adjustRightInd w:val="0"/>
                    <w:snapToGrid w:val="0"/>
                    <w:jc w:val="center"/>
                    <w:rPr>
                      <w:b/>
                      <w:bCs/>
                      <w:kern w:val="0"/>
                      <w:szCs w:val="21"/>
                    </w:rPr>
                  </w:pPr>
                  <w:r>
                    <w:rPr>
                      <w:b/>
                      <w:bCs/>
                      <w:kern w:val="0"/>
                      <w:szCs w:val="21"/>
                    </w:rPr>
                    <w:t>最高允许排放速率</w:t>
                  </w:r>
                </w:p>
              </w:tc>
              <w:tc>
                <w:tcPr>
                  <w:tcW w:w="887" w:type="pct"/>
                  <w:vMerge w:val="restart"/>
                  <w:tcMar>
                    <w:left w:w="0" w:type="dxa"/>
                    <w:right w:w="0" w:type="dxa"/>
                  </w:tcMar>
                  <w:vAlign w:val="center"/>
                </w:tcPr>
                <w:p w14:paraId="7C2F0393">
                  <w:pPr>
                    <w:adjustRightInd w:val="0"/>
                    <w:snapToGrid w:val="0"/>
                    <w:jc w:val="center"/>
                    <w:rPr>
                      <w:b/>
                      <w:szCs w:val="21"/>
                    </w:rPr>
                  </w:pPr>
                  <w:r>
                    <w:rPr>
                      <w:b/>
                      <w:bCs/>
                      <w:kern w:val="0"/>
                      <w:szCs w:val="21"/>
                    </w:rPr>
                    <w:t>无组织排放监控浓度限值</w:t>
                  </w:r>
                </w:p>
              </w:tc>
              <w:tc>
                <w:tcPr>
                  <w:tcW w:w="1859" w:type="pct"/>
                  <w:vMerge w:val="restart"/>
                  <w:tcMar>
                    <w:left w:w="0" w:type="dxa"/>
                    <w:right w:w="0" w:type="dxa"/>
                  </w:tcMar>
                  <w:vAlign w:val="center"/>
                </w:tcPr>
                <w:p w14:paraId="258AA18C">
                  <w:pPr>
                    <w:adjustRightInd w:val="0"/>
                    <w:snapToGrid w:val="0"/>
                    <w:jc w:val="center"/>
                    <w:rPr>
                      <w:b/>
                      <w:szCs w:val="21"/>
                    </w:rPr>
                  </w:pPr>
                  <w:r>
                    <w:rPr>
                      <w:b/>
                      <w:szCs w:val="21"/>
                    </w:rPr>
                    <w:t>标准来源</w:t>
                  </w:r>
                </w:p>
              </w:tc>
            </w:tr>
            <w:tr w14:paraId="30F83F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81" w:hRule="atLeast"/>
                <w:jc w:val="center"/>
              </w:trPr>
              <w:tc>
                <w:tcPr>
                  <w:tcW w:w="564" w:type="pct"/>
                  <w:vMerge w:val="continue"/>
                  <w:tcMar>
                    <w:left w:w="0" w:type="dxa"/>
                    <w:right w:w="0" w:type="dxa"/>
                  </w:tcMar>
                  <w:vAlign w:val="center"/>
                </w:tcPr>
                <w:p w14:paraId="20F8CE89">
                  <w:pPr>
                    <w:adjustRightInd w:val="0"/>
                    <w:snapToGrid w:val="0"/>
                    <w:jc w:val="center"/>
                    <w:rPr>
                      <w:b/>
                      <w:szCs w:val="21"/>
                    </w:rPr>
                  </w:pPr>
                </w:p>
              </w:tc>
              <w:tc>
                <w:tcPr>
                  <w:tcW w:w="366" w:type="pct"/>
                  <w:vMerge w:val="continue"/>
                  <w:vAlign w:val="center"/>
                </w:tcPr>
                <w:p w14:paraId="017A0846">
                  <w:pPr>
                    <w:adjustRightInd w:val="0"/>
                    <w:snapToGrid w:val="0"/>
                    <w:jc w:val="center"/>
                    <w:rPr>
                      <w:b/>
                      <w:szCs w:val="21"/>
                    </w:rPr>
                  </w:pPr>
                </w:p>
              </w:tc>
              <w:tc>
                <w:tcPr>
                  <w:tcW w:w="846" w:type="pct"/>
                  <w:vAlign w:val="center"/>
                </w:tcPr>
                <w:p w14:paraId="36736D45">
                  <w:pPr>
                    <w:adjustRightInd w:val="0"/>
                    <w:snapToGrid w:val="0"/>
                    <w:jc w:val="center"/>
                    <w:rPr>
                      <w:b/>
                      <w:bCs/>
                      <w:kern w:val="0"/>
                      <w:szCs w:val="21"/>
                    </w:rPr>
                  </w:pPr>
                  <w:r>
                    <w:rPr>
                      <w:b/>
                      <w:bCs/>
                      <w:kern w:val="0"/>
                      <w:szCs w:val="21"/>
                    </w:rPr>
                    <w:t>排气筒高度</w:t>
                  </w:r>
                </w:p>
              </w:tc>
              <w:tc>
                <w:tcPr>
                  <w:tcW w:w="478" w:type="pct"/>
                  <w:vAlign w:val="center"/>
                </w:tcPr>
                <w:p w14:paraId="1A062C98">
                  <w:pPr>
                    <w:adjustRightInd w:val="0"/>
                    <w:snapToGrid w:val="0"/>
                    <w:jc w:val="center"/>
                    <w:rPr>
                      <w:b/>
                      <w:bCs/>
                      <w:kern w:val="0"/>
                      <w:szCs w:val="21"/>
                    </w:rPr>
                  </w:pPr>
                  <w:r>
                    <w:rPr>
                      <w:b/>
                      <w:bCs/>
                      <w:kern w:val="0"/>
                      <w:szCs w:val="21"/>
                    </w:rPr>
                    <w:t>二级</w:t>
                  </w:r>
                </w:p>
              </w:tc>
              <w:tc>
                <w:tcPr>
                  <w:tcW w:w="887" w:type="pct"/>
                  <w:vMerge w:val="continue"/>
                  <w:tcMar>
                    <w:left w:w="0" w:type="dxa"/>
                    <w:right w:w="0" w:type="dxa"/>
                  </w:tcMar>
                  <w:vAlign w:val="center"/>
                </w:tcPr>
                <w:p w14:paraId="20B167E9">
                  <w:pPr>
                    <w:adjustRightInd w:val="0"/>
                    <w:snapToGrid w:val="0"/>
                    <w:jc w:val="center"/>
                    <w:rPr>
                      <w:b/>
                      <w:bCs/>
                      <w:kern w:val="0"/>
                      <w:szCs w:val="21"/>
                    </w:rPr>
                  </w:pPr>
                </w:p>
              </w:tc>
              <w:tc>
                <w:tcPr>
                  <w:tcW w:w="1859" w:type="pct"/>
                  <w:vMerge w:val="continue"/>
                  <w:tcMar>
                    <w:left w:w="0" w:type="dxa"/>
                    <w:right w:w="0" w:type="dxa"/>
                  </w:tcMar>
                  <w:vAlign w:val="center"/>
                </w:tcPr>
                <w:p w14:paraId="70867B14">
                  <w:pPr>
                    <w:adjustRightInd w:val="0"/>
                    <w:snapToGrid w:val="0"/>
                    <w:jc w:val="center"/>
                    <w:rPr>
                      <w:b/>
                      <w:szCs w:val="21"/>
                    </w:rPr>
                  </w:pPr>
                </w:p>
              </w:tc>
            </w:tr>
            <w:tr w14:paraId="2FBF51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64" w:type="pct"/>
                  <w:tcMar>
                    <w:left w:w="0" w:type="dxa"/>
                    <w:right w:w="0" w:type="dxa"/>
                  </w:tcMar>
                  <w:vAlign w:val="center"/>
                </w:tcPr>
                <w:p w14:paraId="01712E1B">
                  <w:pPr>
                    <w:adjustRightInd w:val="0"/>
                    <w:snapToGrid w:val="0"/>
                    <w:jc w:val="center"/>
                    <w:rPr>
                      <w:b/>
                      <w:szCs w:val="21"/>
                    </w:rPr>
                  </w:pPr>
                  <w:r>
                    <w:rPr>
                      <w:bCs/>
                      <w:szCs w:val="21"/>
                    </w:rPr>
                    <w:t>施工期</w:t>
                  </w:r>
                </w:p>
              </w:tc>
              <w:tc>
                <w:tcPr>
                  <w:tcW w:w="366" w:type="pct"/>
                  <w:vAlign w:val="center"/>
                </w:tcPr>
                <w:p w14:paraId="26EA7BDD">
                  <w:pPr>
                    <w:adjustRightInd w:val="0"/>
                    <w:snapToGrid w:val="0"/>
                    <w:jc w:val="center"/>
                    <w:rPr>
                      <w:b/>
                      <w:szCs w:val="21"/>
                    </w:rPr>
                  </w:pPr>
                  <w:r>
                    <w:rPr>
                      <w:bCs/>
                      <w:szCs w:val="21"/>
                    </w:rPr>
                    <w:t>颗粒物</w:t>
                  </w:r>
                </w:p>
              </w:tc>
              <w:tc>
                <w:tcPr>
                  <w:tcW w:w="846" w:type="pct"/>
                  <w:vAlign w:val="center"/>
                </w:tcPr>
                <w:p w14:paraId="7180B128">
                  <w:pPr>
                    <w:adjustRightInd w:val="0"/>
                    <w:snapToGrid w:val="0"/>
                    <w:jc w:val="center"/>
                    <w:rPr>
                      <w:szCs w:val="21"/>
                    </w:rPr>
                  </w:pPr>
                  <w:r>
                    <w:rPr>
                      <w:szCs w:val="21"/>
                    </w:rPr>
                    <w:t>/</w:t>
                  </w:r>
                </w:p>
              </w:tc>
              <w:tc>
                <w:tcPr>
                  <w:tcW w:w="478" w:type="pct"/>
                  <w:vAlign w:val="center"/>
                </w:tcPr>
                <w:p w14:paraId="6A922876">
                  <w:pPr>
                    <w:adjustRightInd w:val="0"/>
                    <w:snapToGrid w:val="0"/>
                    <w:jc w:val="center"/>
                    <w:rPr>
                      <w:szCs w:val="21"/>
                    </w:rPr>
                  </w:pPr>
                  <w:r>
                    <w:rPr>
                      <w:szCs w:val="21"/>
                    </w:rPr>
                    <w:t>/</w:t>
                  </w:r>
                </w:p>
              </w:tc>
              <w:tc>
                <w:tcPr>
                  <w:tcW w:w="887" w:type="pct"/>
                  <w:tcMar>
                    <w:left w:w="0" w:type="dxa"/>
                    <w:right w:w="0" w:type="dxa"/>
                  </w:tcMar>
                  <w:vAlign w:val="center"/>
                </w:tcPr>
                <w:p w14:paraId="316CD30C">
                  <w:pPr>
                    <w:adjustRightInd w:val="0"/>
                    <w:snapToGrid w:val="0"/>
                    <w:jc w:val="center"/>
                    <w:rPr>
                      <w:b/>
                      <w:kern w:val="0"/>
                      <w:szCs w:val="21"/>
                    </w:rPr>
                  </w:pPr>
                  <w:r>
                    <w:rPr>
                      <w:szCs w:val="21"/>
                    </w:rPr>
                    <w:t>1.0</w:t>
                  </w:r>
                  <w:r>
                    <w:rPr>
                      <w:bCs/>
                      <w:szCs w:val="21"/>
                    </w:rPr>
                    <w:t>mg/m</w:t>
                  </w:r>
                  <w:r>
                    <w:rPr>
                      <w:bCs/>
                      <w:szCs w:val="21"/>
                      <w:vertAlign w:val="superscript"/>
                    </w:rPr>
                    <w:t>3</w:t>
                  </w:r>
                </w:p>
              </w:tc>
              <w:tc>
                <w:tcPr>
                  <w:tcW w:w="1859" w:type="pct"/>
                  <w:tcMar>
                    <w:left w:w="0" w:type="dxa"/>
                    <w:right w:w="0" w:type="dxa"/>
                  </w:tcMar>
                  <w:vAlign w:val="center"/>
                </w:tcPr>
                <w:p w14:paraId="0146AA8A">
                  <w:pPr>
                    <w:adjustRightInd w:val="0"/>
                    <w:snapToGrid w:val="0"/>
                    <w:jc w:val="center"/>
                    <w:rPr>
                      <w:b/>
                      <w:szCs w:val="21"/>
                    </w:rPr>
                  </w:pPr>
                  <w:r>
                    <w:rPr>
                      <w:bCs/>
                      <w:szCs w:val="21"/>
                    </w:rPr>
                    <w:t>《大气污染物综合排放标准》</w:t>
                  </w:r>
                  <w:r>
                    <w:rPr>
                      <w:rFonts w:hint="eastAsia"/>
                      <w:bCs/>
                      <w:szCs w:val="21"/>
                      <w:lang w:eastAsia="zh-CN"/>
                    </w:rPr>
                    <w:t>（</w:t>
                  </w:r>
                  <w:r>
                    <w:rPr>
                      <w:bCs/>
                      <w:szCs w:val="21"/>
                    </w:rPr>
                    <w:t>GB 16297-1996</w:t>
                  </w:r>
                  <w:r>
                    <w:rPr>
                      <w:rFonts w:hint="eastAsia"/>
                      <w:bCs/>
                      <w:szCs w:val="21"/>
                      <w:lang w:eastAsia="zh-CN"/>
                    </w:rPr>
                    <w:t>）</w:t>
                  </w:r>
                  <w:r>
                    <w:rPr>
                      <w:bCs/>
                      <w:szCs w:val="21"/>
                    </w:rPr>
                    <w:t>中无组织排放标准限值</w:t>
                  </w:r>
                </w:p>
              </w:tc>
            </w:tr>
          </w:tbl>
          <w:p w14:paraId="484AAA6E">
            <w:pPr>
              <w:adjustRightInd w:val="0"/>
              <w:snapToGrid w:val="0"/>
              <w:spacing w:before="120" w:beforeLines="50" w:line="360" w:lineRule="auto"/>
              <w:ind w:firstLine="480" w:firstLineChars="200"/>
              <w:textAlignment w:val="baseline"/>
              <w:rPr>
                <w:kern w:val="0"/>
                <w:sz w:val="24"/>
              </w:rPr>
            </w:pPr>
            <w:r>
              <w:rPr>
                <w:kern w:val="0"/>
                <w:sz w:val="24"/>
              </w:rPr>
              <w:t>运营期废气排放执行《水泥工业大气污染物排放标准》</w:t>
            </w:r>
            <w:r>
              <w:rPr>
                <w:rFonts w:hint="eastAsia"/>
                <w:kern w:val="0"/>
                <w:sz w:val="24"/>
                <w:lang w:eastAsia="zh-CN"/>
              </w:rPr>
              <w:t>（</w:t>
            </w:r>
            <w:r>
              <w:rPr>
                <w:kern w:val="0"/>
                <w:sz w:val="24"/>
              </w:rPr>
              <w:t>GB4915-2013</w:t>
            </w:r>
            <w:r>
              <w:rPr>
                <w:rFonts w:hint="eastAsia"/>
                <w:kern w:val="0"/>
                <w:sz w:val="24"/>
                <w:lang w:eastAsia="zh-CN"/>
              </w:rPr>
              <w:t>）</w:t>
            </w:r>
            <w:r>
              <w:rPr>
                <w:kern w:val="0"/>
                <w:sz w:val="24"/>
              </w:rPr>
              <w:t>排放限值。</w:t>
            </w:r>
          </w:p>
          <w:p w14:paraId="0040530C">
            <w:pPr>
              <w:snapToGrid w:val="0"/>
              <w:spacing w:line="288" w:lineRule="auto"/>
              <w:jc w:val="center"/>
              <w:rPr>
                <w:b/>
                <w:bCs/>
                <w:sz w:val="24"/>
                <w:szCs w:val="20"/>
              </w:rPr>
            </w:pPr>
            <w:r>
              <w:rPr>
                <w:b/>
                <w:sz w:val="24"/>
                <w:szCs w:val="20"/>
              </w:rPr>
              <w:t>表3-7 运营期</w:t>
            </w:r>
            <w:r>
              <w:rPr>
                <w:b/>
                <w:bCs/>
                <w:sz w:val="24"/>
                <w:szCs w:val="20"/>
              </w:rPr>
              <w:t>大气污染物排放标准一览表</w:t>
            </w:r>
          </w:p>
          <w:tbl>
            <w:tblPr>
              <w:tblStyle w:val="16"/>
              <w:tblW w:w="822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539"/>
              <w:gridCol w:w="2866"/>
              <w:gridCol w:w="1817"/>
            </w:tblGrid>
            <w:tr w14:paraId="1729CC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2152" w:type="pct"/>
                  <w:vAlign w:val="center"/>
                </w:tcPr>
                <w:p w14:paraId="77ABC8D9">
                  <w:pPr>
                    <w:jc w:val="center"/>
                    <w:rPr>
                      <w:b/>
                      <w:szCs w:val="21"/>
                    </w:rPr>
                  </w:pPr>
                  <w:r>
                    <w:rPr>
                      <w:b/>
                      <w:szCs w:val="21"/>
                    </w:rPr>
                    <w:t>标准名称</w:t>
                  </w:r>
                </w:p>
              </w:tc>
              <w:tc>
                <w:tcPr>
                  <w:tcW w:w="2848" w:type="pct"/>
                  <w:gridSpan w:val="2"/>
                  <w:vAlign w:val="center"/>
                </w:tcPr>
                <w:p w14:paraId="78909E54">
                  <w:pPr>
                    <w:jc w:val="center"/>
                    <w:rPr>
                      <w:b/>
                      <w:szCs w:val="21"/>
                    </w:rPr>
                  </w:pPr>
                  <w:r>
                    <w:rPr>
                      <w:b/>
                      <w:szCs w:val="21"/>
                    </w:rPr>
                    <w:t>相关限值</w:t>
                  </w:r>
                </w:p>
              </w:tc>
            </w:tr>
            <w:tr w14:paraId="7CF19E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52" w:type="pct"/>
                  <w:vMerge w:val="restart"/>
                  <w:vAlign w:val="center"/>
                </w:tcPr>
                <w:p w14:paraId="2C073714">
                  <w:pPr>
                    <w:jc w:val="center"/>
                    <w:rPr>
                      <w:szCs w:val="21"/>
                    </w:rPr>
                  </w:pPr>
                  <w:r>
                    <w:rPr>
                      <w:szCs w:val="21"/>
                    </w:rPr>
                    <w:t>《水泥工业大气污染物排放标准》</w:t>
                  </w:r>
                  <w:r>
                    <w:rPr>
                      <w:rFonts w:hint="eastAsia"/>
                      <w:szCs w:val="21"/>
                      <w:lang w:eastAsia="zh-CN"/>
                    </w:rPr>
                    <w:t>（</w:t>
                  </w:r>
                  <w:r>
                    <w:rPr>
                      <w:szCs w:val="21"/>
                    </w:rPr>
                    <w:t>GB4915-2013</w:t>
                  </w:r>
                  <w:r>
                    <w:rPr>
                      <w:rFonts w:hint="eastAsia"/>
                      <w:szCs w:val="21"/>
                      <w:lang w:eastAsia="zh-CN"/>
                    </w:rPr>
                    <w:t>）</w:t>
                  </w:r>
                  <w:r>
                    <w:rPr>
                      <w:szCs w:val="21"/>
                    </w:rPr>
                    <w:t>表1标准</w:t>
                  </w:r>
                </w:p>
              </w:tc>
              <w:tc>
                <w:tcPr>
                  <w:tcW w:w="1743" w:type="pct"/>
                  <w:vAlign w:val="center"/>
                </w:tcPr>
                <w:p w14:paraId="2468A480">
                  <w:pPr>
                    <w:jc w:val="center"/>
                    <w:rPr>
                      <w:szCs w:val="21"/>
                    </w:rPr>
                  </w:pPr>
                  <w:r>
                    <w:rPr>
                      <w:szCs w:val="21"/>
                    </w:rPr>
                    <w:t>生产设备</w:t>
                  </w:r>
                </w:p>
              </w:tc>
              <w:tc>
                <w:tcPr>
                  <w:tcW w:w="1105" w:type="pct"/>
                  <w:vAlign w:val="center"/>
                </w:tcPr>
                <w:p w14:paraId="23B4D911">
                  <w:pPr>
                    <w:jc w:val="center"/>
                    <w:rPr>
                      <w:rFonts w:hint="eastAsia" w:eastAsia="宋体"/>
                      <w:szCs w:val="21"/>
                      <w:lang w:eastAsia="zh-CN"/>
                    </w:rPr>
                  </w:pPr>
                  <w:r>
                    <w:rPr>
                      <w:bCs/>
                      <w:szCs w:val="21"/>
                    </w:rPr>
                    <w:t>颗粒物</w:t>
                  </w:r>
                  <w:r>
                    <w:rPr>
                      <w:rFonts w:hint="eastAsia"/>
                      <w:bCs/>
                      <w:szCs w:val="21"/>
                      <w:lang w:eastAsia="zh-CN"/>
                    </w:rPr>
                    <w:t>（</w:t>
                  </w:r>
                  <w:r>
                    <w:rPr>
                      <w:bCs/>
                      <w:szCs w:val="21"/>
                    </w:rPr>
                    <w:t>mg/m</w:t>
                  </w:r>
                  <w:r>
                    <w:rPr>
                      <w:bCs/>
                      <w:szCs w:val="21"/>
                      <w:vertAlign w:val="superscript"/>
                    </w:rPr>
                    <w:t>3</w:t>
                  </w:r>
                  <w:r>
                    <w:rPr>
                      <w:rFonts w:hint="eastAsia"/>
                      <w:bCs/>
                      <w:szCs w:val="21"/>
                      <w:lang w:eastAsia="zh-CN"/>
                    </w:rPr>
                    <w:t>）</w:t>
                  </w:r>
                </w:p>
              </w:tc>
            </w:tr>
            <w:tr w14:paraId="57F819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52" w:type="pct"/>
                  <w:vMerge w:val="continue"/>
                  <w:vAlign w:val="center"/>
                </w:tcPr>
                <w:p w14:paraId="0E0479FA">
                  <w:pPr>
                    <w:jc w:val="center"/>
                    <w:rPr>
                      <w:szCs w:val="21"/>
                    </w:rPr>
                  </w:pPr>
                </w:p>
              </w:tc>
              <w:tc>
                <w:tcPr>
                  <w:tcW w:w="1743" w:type="pct"/>
                  <w:vAlign w:val="center"/>
                </w:tcPr>
                <w:p w14:paraId="3FD7064F">
                  <w:pPr>
                    <w:jc w:val="center"/>
                    <w:rPr>
                      <w:szCs w:val="21"/>
                    </w:rPr>
                  </w:pPr>
                  <w:r>
                    <w:rPr>
                      <w:szCs w:val="21"/>
                    </w:rPr>
                    <w:t>水泥仓及其他通风生产设备</w:t>
                  </w:r>
                </w:p>
              </w:tc>
              <w:tc>
                <w:tcPr>
                  <w:tcW w:w="1105" w:type="pct"/>
                  <w:vAlign w:val="center"/>
                </w:tcPr>
                <w:p w14:paraId="7EFFCB4A">
                  <w:pPr>
                    <w:jc w:val="center"/>
                    <w:rPr>
                      <w:szCs w:val="21"/>
                    </w:rPr>
                  </w:pPr>
                  <w:r>
                    <w:rPr>
                      <w:szCs w:val="21"/>
                    </w:rPr>
                    <w:t>20</w:t>
                  </w:r>
                </w:p>
              </w:tc>
            </w:tr>
            <w:tr w14:paraId="5109D0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152" w:type="pct"/>
                  <w:vAlign w:val="center"/>
                </w:tcPr>
                <w:p w14:paraId="58F2D42C">
                  <w:pPr>
                    <w:jc w:val="center"/>
                    <w:rPr>
                      <w:szCs w:val="21"/>
                    </w:rPr>
                  </w:pPr>
                  <w:r>
                    <w:rPr>
                      <w:szCs w:val="21"/>
                    </w:rPr>
                    <w:t>《水泥工业大气污染物排放标准》</w:t>
                  </w:r>
                  <w:r>
                    <w:rPr>
                      <w:rFonts w:hint="eastAsia"/>
                      <w:szCs w:val="21"/>
                      <w:lang w:eastAsia="zh-CN"/>
                    </w:rPr>
                    <w:t>（</w:t>
                  </w:r>
                  <w:r>
                    <w:rPr>
                      <w:szCs w:val="21"/>
                    </w:rPr>
                    <w:t>GB4915-2013</w:t>
                  </w:r>
                  <w:r>
                    <w:rPr>
                      <w:rFonts w:hint="eastAsia"/>
                      <w:szCs w:val="21"/>
                      <w:lang w:eastAsia="zh-CN"/>
                    </w:rPr>
                    <w:t>）</w:t>
                  </w:r>
                  <w:r>
                    <w:rPr>
                      <w:szCs w:val="21"/>
                    </w:rPr>
                    <w:t>表3标准</w:t>
                  </w:r>
                </w:p>
              </w:tc>
              <w:tc>
                <w:tcPr>
                  <w:tcW w:w="1743" w:type="pct"/>
                  <w:vAlign w:val="center"/>
                </w:tcPr>
                <w:p w14:paraId="72AF0639">
                  <w:pPr>
                    <w:jc w:val="center"/>
                    <w:rPr>
                      <w:szCs w:val="21"/>
                    </w:rPr>
                  </w:pPr>
                  <w:r>
                    <w:rPr>
                      <w:szCs w:val="21"/>
                    </w:rPr>
                    <w:t>无组织排放限值</w:t>
                  </w:r>
                </w:p>
              </w:tc>
              <w:tc>
                <w:tcPr>
                  <w:tcW w:w="1105" w:type="pct"/>
                  <w:vAlign w:val="center"/>
                </w:tcPr>
                <w:p w14:paraId="375E19DA">
                  <w:pPr>
                    <w:jc w:val="center"/>
                    <w:rPr>
                      <w:szCs w:val="21"/>
                    </w:rPr>
                  </w:pPr>
                  <w:r>
                    <w:rPr>
                      <w:szCs w:val="21"/>
                    </w:rPr>
                    <w:t>0.5</w:t>
                  </w:r>
                </w:p>
              </w:tc>
            </w:tr>
          </w:tbl>
          <w:p w14:paraId="179ADE16">
            <w:pPr>
              <w:spacing w:before="240" w:line="360" w:lineRule="auto"/>
              <w:rPr>
                <w:b/>
                <w:sz w:val="24"/>
              </w:rPr>
            </w:pPr>
            <w:r>
              <w:rPr>
                <w:b/>
                <w:sz w:val="24"/>
              </w:rPr>
              <w:t>2</w:t>
            </w:r>
            <w:r>
              <w:rPr>
                <w:rFonts w:hint="eastAsia"/>
                <w:b/>
                <w:sz w:val="24"/>
                <w:lang w:val="en-US" w:eastAsia="zh-CN"/>
              </w:rPr>
              <w:t>.</w:t>
            </w:r>
            <w:r>
              <w:rPr>
                <w:b/>
                <w:sz w:val="24"/>
              </w:rPr>
              <w:t>噪声排放标准</w:t>
            </w:r>
          </w:p>
          <w:p w14:paraId="1FA02F38">
            <w:pPr>
              <w:spacing w:line="312" w:lineRule="auto"/>
              <w:ind w:firstLine="480" w:firstLineChars="200"/>
              <w:rPr>
                <w:kern w:val="0"/>
                <w:sz w:val="24"/>
              </w:rPr>
            </w:pPr>
            <w:r>
              <w:rPr>
                <w:kern w:val="0"/>
                <w:sz w:val="24"/>
              </w:rPr>
              <w:t>施工噪声执行《建筑施工场界环境噪声排放标准》</w:t>
            </w:r>
            <w:r>
              <w:rPr>
                <w:rFonts w:hint="eastAsia"/>
                <w:kern w:val="0"/>
                <w:sz w:val="24"/>
                <w:lang w:eastAsia="zh-CN"/>
              </w:rPr>
              <w:t>（</w:t>
            </w:r>
            <w:r>
              <w:rPr>
                <w:kern w:val="0"/>
                <w:sz w:val="24"/>
              </w:rPr>
              <w:t>GB12523-2011</w:t>
            </w:r>
            <w:r>
              <w:rPr>
                <w:rFonts w:hint="eastAsia"/>
                <w:kern w:val="0"/>
                <w:sz w:val="24"/>
                <w:lang w:eastAsia="zh-CN"/>
              </w:rPr>
              <w:t>）</w:t>
            </w:r>
            <w:r>
              <w:rPr>
                <w:kern w:val="0"/>
                <w:sz w:val="24"/>
              </w:rPr>
              <w:t>的标准限值；运营期厂界噪声执行《工业企业厂界环境噪声排放标准》</w:t>
            </w:r>
            <w:r>
              <w:rPr>
                <w:rFonts w:hint="eastAsia"/>
                <w:kern w:val="0"/>
                <w:sz w:val="24"/>
                <w:lang w:eastAsia="zh-CN"/>
              </w:rPr>
              <w:t>（</w:t>
            </w:r>
            <w:r>
              <w:rPr>
                <w:kern w:val="0"/>
                <w:sz w:val="24"/>
              </w:rPr>
              <w:t>GB12348-2008</w:t>
            </w:r>
            <w:r>
              <w:rPr>
                <w:rFonts w:hint="eastAsia"/>
                <w:kern w:val="0"/>
                <w:sz w:val="24"/>
                <w:lang w:eastAsia="zh-CN"/>
              </w:rPr>
              <w:t>）</w:t>
            </w:r>
            <w:r>
              <w:rPr>
                <w:kern w:val="0"/>
                <w:sz w:val="24"/>
              </w:rPr>
              <w:t>中1类标准限值，具体指标见表3-8。</w:t>
            </w:r>
          </w:p>
          <w:p w14:paraId="538C3D41">
            <w:pPr>
              <w:pStyle w:val="23"/>
            </w:pPr>
            <w:r>
              <w:t>表3-8 噪声排放标准一览表</w:t>
            </w:r>
          </w:p>
          <w:tbl>
            <w:tblPr>
              <w:tblStyle w:val="16"/>
              <w:tblW w:w="8222"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189"/>
              <w:gridCol w:w="1526"/>
              <w:gridCol w:w="1506"/>
              <w:gridCol w:w="4001"/>
            </w:tblGrid>
            <w:tr w14:paraId="5BDB112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Merge w:val="restart"/>
                  <w:vAlign w:val="center"/>
                </w:tcPr>
                <w:p w14:paraId="03491AA4">
                  <w:pPr>
                    <w:widowControl/>
                    <w:adjustRightInd w:val="0"/>
                    <w:snapToGrid w:val="0"/>
                    <w:jc w:val="center"/>
                    <w:rPr>
                      <w:b/>
                      <w:bCs/>
                      <w:kern w:val="0"/>
                      <w:szCs w:val="21"/>
                    </w:rPr>
                  </w:pPr>
                  <w:r>
                    <w:rPr>
                      <w:b/>
                      <w:bCs/>
                      <w:kern w:val="0"/>
                      <w:szCs w:val="21"/>
                    </w:rPr>
                    <w:t>时期</w:t>
                  </w:r>
                </w:p>
              </w:tc>
              <w:tc>
                <w:tcPr>
                  <w:tcW w:w="1844" w:type="pct"/>
                  <w:gridSpan w:val="2"/>
                  <w:tcBorders>
                    <w:right w:val="single" w:color="000000" w:sz="8" w:space="0"/>
                  </w:tcBorders>
                  <w:vAlign w:val="center"/>
                </w:tcPr>
                <w:p w14:paraId="696D84AE">
                  <w:pPr>
                    <w:adjustRightInd w:val="0"/>
                    <w:snapToGrid w:val="0"/>
                    <w:jc w:val="center"/>
                    <w:rPr>
                      <w:b/>
                      <w:bCs/>
                      <w:kern w:val="0"/>
                      <w:szCs w:val="21"/>
                    </w:rPr>
                  </w:pPr>
                  <w:r>
                    <w:rPr>
                      <w:b/>
                      <w:bCs/>
                      <w:kern w:val="0"/>
                      <w:szCs w:val="21"/>
                    </w:rPr>
                    <w:t>噪声限值Leq 〔dB</w:t>
                  </w:r>
                  <w:r>
                    <w:rPr>
                      <w:rFonts w:hint="eastAsia"/>
                      <w:b/>
                      <w:bCs/>
                      <w:kern w:val="0"/>
                      <w:szCs w:val="21"/>
                      <w:lang w:eastAsia="zh-CN"/>
                    </w:rPr>
                    <w:t>（</w:t>
                  </w:r>
                  <w:r>
                    <w:rPr>
                      <w:b/>
                      <w:bCs/>
                      <w:kern w:val="0"/>
                      <w:szCs w:val="21"/>
                    </w:rPr>
                    <w:t>A</w:t>
                  </w:r>
                  <w:r>
                    <w:rPr>
                      <w:rFonts w:hint="eastAsia"/>
                      <w:b/>
                      <w:bCs/>
                      <w:kern w:val="0"/>
                      <w:szCs w:val="21"/>
                      <w:lang w:eastAsia="zh-CN"/>
                    </w:rPr>
                    <w:t>）</w:t>
                  </w:r>
                  <w:r>
                    <w:rPr>
                      <w:b/>
                      <w:bCs/>
                      <w:kern w:val="0"/>
                      <w:szCs w:val="21"/>
                    </w:rPr>
                    <w:t>〕</w:t>
                  </w:r>
                </w:p>
              </w:tc>
              <w:tc>
                <w:tcPr>
                  <w:tcW w:w="2433" w:type="pct"/>
                  <w:vMerge w:val="restart"/>
                  <w:tcBorders>
                    <w:left w:val="single" w:color="000000" w:sz="8" w:space="0"/>
                  </w:tcBorders>
                  <w:vAlign w:val="center"/>
                </w:tcPr>
                <w:p w14:paraId="4A6223CF">
                  <w:pPr>
                    <w:adjustRightInd w:val="0"/>
                    <w:snapToGrid w:val="0"/>
                    <w:jc w:val="center"/>
                    <w:rPr>
                      <w:b/>
                      <w:bCs/>
                      <w:kern w:val="0"/>
                      <w:szCs w:val="21"/>
                    </w:rPr>
                  </w:pPr>
                  <w:r>
                    <w:rPr>
                      <w:b/>
                      <w:bCs/>
                      <w:kern w:val="0"/>
                      <w:szCs w:val="21"/>
                    </w:rPr>
                    <w:t>排放标准</w:t>
                  </w:r>
                </w:p>
              </w:tc>
            </w:tr>
            <w:tr w14:paraId="1FF36AD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Merge w:val="continue"/>
                  <w:vAlign w:val="center"/>
                </w:tcPr>
                <w:p w14:paraId="65CC835B">
                  <w:pPr>
                    <w:widowControl/>
                    <w:adjustRightInd w:val="0"/>
                    <w:snapToGrid w:val="0"/>
                    <w:jc w:val="center"/>
                    <w:rPr>
                      <w:b/>
                      <w:bCs/>
                      <w:kern w:val="0"/>
                      <w:szCs w:val="21"/>
                    </w:rPr>
                  </w:pPr>
                </w:p>
              </w:tc>
              <w:tc>
                <w:tcPr>
                  <w:tcW w:w="928" w:type="pct"/>
                  <w:vAlign w:val="center"/>
                </w:tcPr>
                <w:p w14:paraId="4AE01F14">
                  <w:pPr>
                    <w:adjustRightInd w:val="0"/>
                    <w:snapToGrid w:val="0"/>
                    <w:jc w:val="center"/>
                    <w:rPr>
                      <w:b/>
                      <w:bCs/>
                      <w:kern w:val="0"/>
                      <w:szCs w:val="21"/>
                    </w:rPr>
                  </w:pPr>
                  <w:r>
                    <w:rPr>
                      <w:b/>
                      <w:bCs/>
                      <w:kern w:val="0"/>
                      <w:szCs w:val="21"/>
                    </w:rPr>
                    <w:t>昼间</w:t>
                  </w:r>
                </w:p>
              </w:tc>
              <w:tc>
                <w:tcPr>
                  <w:tcW w:w="916" w:type="pct"/>
                  <w:tcBorders>
                    <w:right w:val="single" w:color="000000" w:sz="8" w:space="0"/>
                  </w:tcBorders>
                  <w:vAlign w:val="center"/>
                </w:tcPr>
                <w:p w14:paraId="47756459">
                  <w:pPr>
                    <w:widowControl/>
                    <w:adjustRightInd w:val="0"/>
                    <w:snapToGrid w:val="0"/>
                    <w:jc w:val="center"/>
                    <w:rPr>
                      <w:b/>
                      <w:bCs/>
                      <w:kern w:val="0"/>
                      <w:szCs w:val="21"/>
                    </w:rPr>
                  </w:pPr>
                  <w:r>
                    <w:rPr>
                      <w:b/>
                      <w:bCs/>
                      <w:kern w:val="0"/>
                      <w:szCs w:val="21"/>
                    </w:rPr>
                    <w:t>夜间</w:t>
                  </w:r>
                </w:p>
              </w:tc>
              <w:tc>
                <w:tcPr>
                  <w:tcW w:w="2433" w:type="pct"/>
                  <w:vMerge w:val="continue"/>
                  <w:tcBorders>
                    <w:left w:val="single" w:color="000000" w:sz="8" w:space="0"/>
                  </w:tcBorders>
                  <w:vAlign w:val="center"/>
                </w:tcPr>
                <w:p w14:paraId="3B53FA44">
                  <w:pPr>
                    <w:adjustRightInd w:val="0"/>
                    <w:snapToGrid w:val="0"/>
                    <w:jc w:val="center"/>
                    <w:rPr>
                      <w:b/>
                      <w:bCs/>
                      <w:kern w:val="0"/>
                      <w:szCs w:val="21"/>
                    </w:rPr>
                  </w:pPr>
                </w:p>
              </w:tc>
            </w:tr>
            <w:tr w14:paraId="3499191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Align w:val="center"/>
                </w:tcPr>
                <w:p w14:paraId="193C7E86">
                  <w:pPr>
                    <w:widowControl/>
                    <w:adjustRightInd w:val="0"/>
                    <w:snapToGrid w:val="0"/>
                    <w:jc w:val="center"/>
                    <w:rPr>
                      <w:kern w:val="0"/>
                      <w:szCs w:val="21"/>
                    </w:rPr>
                  </w:pPr>
                  <w:r>
                    <w:rPr>
                      <w:kern w:val="0"/>
                      <w:szCs w:val="21"/>
                    </w:rPr>
                    <w:t>施工期</w:t>
                  </w:r>
                </w:p>
              </w:tc>
              <w:tc>
                <w:tcPr>
                  <w:tcW w:w="928" w:type="pct"/>
                  <w:vAlign w:val="center"/>
                </w:tcPr>
                <w:p w14:paraId="48EA6C19">
                  <w:pPr>
                    <w:adjustRightInd w:val="0"/>
                    <w:snapToGrid w:val="0"/>
                    <w:jc w:val="center"/>
                    <w:rPr>
                      <w:kern w:val="0"/>
                      <w:szCs w:val="21"/>
                    </w:rPr>
                  </w:pPr>
                  <w:r>
                    <w:rPr>
                      <w:kern w:val="0"/>
                      <w:szCs w:val="21"/>
                    </w:rPr>
                    <w:t>70</w:t>
                  </w:r>
                </w:p>
              </w:tc>
              <w:tc>
                <w:tcPr>
                  <w:tcW w:w="916" w:type="pct"/>
                  <w:tcBorders>
                    <w:right w:val="single" w:color="000000" w:sz="8" w:space="0"/>
                  </w:tcBorders>
                  <w:vAlign w:val="center"/>
                </w:tcPr>
                <w:p w14:paraId="2FE3D309">
                  <w:pPr>
                    <w:widowControl/>
                    <w:adjustRightInd w:val="0"/>
                    <w:snapToGrid w:val="0"/>
                    <w:jc w:val="center"/>
                    <w:rPr>
                      <w:kern w:val="0"/>
                      <w:szCs w:val="21"/>
                    </w:rPr>
                  </w:pPr>
                  <w:r>
                    <w:rPr>
                      <w:kern w:val="0"/>
                      <w:szCs w:val="21"/>
                    </w:rPr>
                    <w:t>55</w:t>
                  </w:r>
                </w:p>
              </w:tc>
              <w:tc>
                <w:tcPr>
                  <w:tcW w:w="2433" w:type="pct"/>
                  <w:tcBorders>
                    <w:left w:val="single" w:color="000000" w:sz="8" w:space="0"/>
                  </w:tcBorders>
                  <w:vAlign w:val="center"/>
                </w:tcPr>
                <w:p w14:paraId="1E8C724B">
                  <w:pPr>
                    <w:adjustRightInd w:val="0"/>
                    <w:snapToGrid w:val="0"/>
                    <w:jc w:val="center"/>
                    <w:rPr>
                      <w:rFonts w:hint="eastAsia" w:eastAsia="宋体"/>
                      <w:kern w:val="0"/>
                      <w:szCs w:val="21"/>
                      <w:lang w:eastAsia="zh-CN"/>
                    </w:rPr>
                  </w:pPr>
                  <w:r>
                    <w:rPr>
                      <w:kern w:val="0"/>
                      <w:szCs w:val="21"/>
                    </w:rPr>
                    <w:t>《建筑施工场界环境噪声排放标准》</w:t>
                  </w:r>
                  <w:r>
                    <w:rPr>
                      <w:rFonts w:hint="eastAsia"/>
                      <w:kern w:val="0"/>
                      <w:szCs w:val="21"/>
                      <w:lang w:eastAsia="zh-CN"/>
                    </w:rPr>
                    <w:t>（</w:t>
                  </w:r>
                  <w:r>
                    <w:rPr>
                      <w:kern w:val="0"/>
                      <w:szCs w:val="21"/>
                    </w:rPr>
                    <w:t>GB12523-2011</w:t>
                  </w:r>
                  <w:r>
                    <w:rPr>
                      <w:rFonts w:hint="eastAsia"/>
                      <w:kern w:val="0"/>
                      <w:szCs w:val="21"/>
                      <w:lang w:eastAsia="zh-CN"/>
                    </w:rPr>
                    <w:t>）</w:t>
                  </w:r>
                </w:p>
              </w:tc>
            </w:tr>
            <w:tr w14:paraId="7C8793D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Align w:val="center"/>
                </w:tcPr>
                <w:p w14:paraId="548FECF6">
                  <w:pPr>
                    <w:adjustRightInd w:val="0"/>
                    <w:snapToGrid w:val="0"/>
                    <w:jc w:val="center"/>
                    <w:rPr>
                      <w:kern w:val="0"/>
                      <w:szCs w:val="21"/>
                    </w:rPr>
                  </w:pPr>
                  <w:r>
                    <w:rPr>
                      <w:kern w:val="0"/>
                      <w:szCs w:val="21"/>
                    </w:rPr>
                    <w:t>运营期</w:t>
                  </w:r>
                </w:p>
              </w:tc>
              <w:tc>
                <w:tcPr>
                  <w:tcW w:w="928" w:type="pct"/>
                  <w:vAlign w:val="center"/>
                </w:tcPr>
                <w:p w14:paraId="09032755">
                  <w:pPr>
                    <w:adjustRightInd w:val="0"/>
                    <w:snapToGrid w:val="0"/>
                    <w:jc w:val="center"/>
                    <w:rPr>
                      <w:kern w:val="0"/>
                      <w:szCs w:val="21"/>
                    </w:rPr>
                  </w:pPr>
                  <w:r>
                    <w:rPr>
                      <w:rFonts w:hint="eastAsia"/>
                      <w:kern w:val="0"/>
                      <w:szCs w:val="21"/>
                    </w:rPr>
                    <w:t>55</w:t>
                  </w:r>
                </w:p>
              </w:tc>
              <w:tc>
                <w:tcPr>
                  <w:tcW w:w="916" w:type="pct"/>
                  <w:tcBorders>
                    <w:right w:val="single" w:color="000000" w:sz="8" w:space="0"/>
                  </w:tcBorders>
                  <w:vAlign w:val="center"/>
                </w:tcPr>
                <w:p w14:paraId="71E954C1">
                  <w:pPr>
                    <w:adjustRightInd w:val="0"/>
                    <w:snapToGrid w:val="0"/>
                    <w:jc w:val="center"/>
                    <w:rPr>
                      <w:kern w:val="0"/>
                      <w:szCs w:val="21"/>
                    </w:rPr>
                  </w:pPr>
                  <w:r>
                    <w:rPr>
                      <w:rFonts w:hint="eastAsia"/>
                      <w:kern w:val="0"/>
                      <w:szCs w:val="21"/>
                    </w:rPr>
                    <w:t>45</w:t>
                  </w:r>
                </w:p>
              </w:tc>
              <w:tc>
                <w:tcPr>
                  <w:tcW w:w="2433" w:type="pct"/>
                  <w:tcBorders>
                    <w:left w:val="single" w:color="000000" w:sz="8" w:space="0"/>
                  </w:tcBorders>
                  <w:vAlign w:val="center"/>
                </w:tcPr>
                <w:p w14:paraId="3B28CB77">
                  <w:pPr>
                    <w:adjustRightInd w:val="0"/>
                    <w:snapToGrid w:val="0"/>
                    <w:jc w:val="center"/>
                    <w:rPr>
                      <w:kern w:val="0"/>
                      <w:szCs w:val="21"/>
                    </w:rPr>
                  </w:pPr>
                  <w:r>
                    <w:rPr>
                      <w:kern w:val="0"/>
                      <w:szCs w:val="21"/>
                    </w:rPr>
                    <w:t>《工业企业厂界环境噪声排放标准》</w:t>
                  </w:r>
                  <w:r>
                    <w:rPr>
                      <w:rFonts w:hint="eastAsia"/>
                      <w:kern w:val="0"/>
                      <w:szCs w:val="21"/>
                      <w:lang w:eastAsia="zh-CN"/>
                    </w:rPr>
                    <w:t>（</w:t>
                  </w:r>
                  <w:r>
                    <w:rPr>
                      <w:kern w:val="0"/>
                      <w:szCs w:val="21"/>
                    </w:rPr>
                    <w:t>GB12348-2008</w:t>
                  </w:r>
                  <w:r>
                    <w:rPr>
                      <w:rFonts w:hint="eastAsia"/>
                      <w:kern w:val="0"/>
                      <w:szCs w:val="21"/>
                      <w:lang w:eastAsia="zh-CN"/>
                    </w:rPr>
                    <w:t>）</w:t>
                  </w:r>
                  <w:r>
                    <w:rPr>
                      <w:kern w:val="0"/>
                      <w:szCs w:val="21"/>
                    </w:rPr>
                    <w:t>中1类标准限值</w:t>
                  </w:r>
                </w:p>
              </w:tc>
            </w:tr>
          </w:tbl>
          <w:p w14:paraId="2E46A106">
            <w:pPr>
              <w:spacing w:before="240" w:line="360" w:lineRule="auto"/>
              <w:rPr>
                <w:b/>
                <w:sz w:val="24"/>
              </w:rPr>
            </w:pPr>
            <w:r>
              <w:rPr>
                <w:b/>
                <w:sz w:val="24"/>
              </w:rPr>
              <w:t>3</w:t>
            </w:r>
            <w:r>
              <w:rPr>
                <w:rFonts w:hint="eastAsia"/>
                <w:b/>
                <w:sz w:val="24"/>
                <w:lang w:val="en-US" w:eastAsia="zh-CN"/>
              </w:rPr>
              <w:t>.</w:t>
            </w:r>
            <w:r>
              <w:rPr>
                <w:b/>
                <w:sz w:val="24"/>
              </w:rPr>
              <w:t>固体废物标准</w:t>
            </w:r>
          </w:p>
          <w:p w14:paraId="7C36F7E1">
            <w:pPr>
              <w:spacing w:line="360" w:lineRule="auto"/>
              <w:ind w:firstLine="480" w:firstLineChars="200"/>
              <w:rPr>
                <w:sz w:val="24"/>
              </w:rPr>
            </w:pPr>
            <w:r>
              <w:rPr>
                <w:sz w:val="24"/>
              </w:rPr>
              <w:t>一般固废执行《一般工业固体废物贮存和填埋污染控制标准》</w:t>
            </w:r>
            <w:r>
              <w:rPr>
                <w:rFonts w:hint="eastAsia"/>
                <w:sz w:val="24"/>
                <w:lang w:eastAsia="zh-CN"/>
              </w:rPr>
              <w:t>（</w:t>
            </w:r>
            <w:r>
              <w:rPr>
                <w:sz w:val="24"/>
              </w:rPr>
              <w:t>GB18599-2020</w:t>
            </w:r>
            <w:r>
              <w:rPr>
                <w:rFonts w:hint="eastAsia"/>
                <w:sz w:val="24"/>
                <w:lang w:eastAsia="zh-CN"/>
              </w:rPr>
              <w:t>）</w:t>
            </w:r>
            <w:r>
              <w:rPr>
                <w:sz w:val="24"/>
              </w:rPr>
              <w:t>标准</w:t>
            </w:r>
            <w:r>
              <w:rPr>
                <w:bCs/>
                <w:sz w:val="24"/>
              </w:rPr>
              <w:t>。</w:t>
            </w:r>
          </w:p>
          <w:p w14:paraId="0F3F83E3">
            <w:pPr>
              <w:spacing w:line="360" w:lineRule="auto"/>
              <w:rPr>
                <w:b/>
                <w:szCs w:val="21"/>
              </w:rPr>
            </w:pPr>
          </w:p>
        </w:tc>
      </w:tr>
      <w:tr w14:paraId="7533F7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534" w:type="dxa"/>
            <w:vAlign w:val="center"/>
          </w:tcPr>
          <w:p w14:paraId="55B8DB3C">
            <w:pPr>
              <w:adjustRightInd w:val="0"/>
              <w:snapToGrid w:val="0"/>
              <w:jc w:val="center"/>
              <w:rPr>
                <w:kern w:val="0"/>
                <w:szCs w:val="21"/>
              </w:rPr>
            </w:pPr>
            <w:r>
              <w:rPr>
                <w:kern w:val="0"/>
                <w:szCs w:val="21"/>
              </w:rPr>
              <w:t>总量</w:t>
            </w:r>
          </w:p>
          <w:p w14:paraId="58E3F08F">
            <w:pPr>
              <w:adjustRightInd w:val="0"/>
              <w:snapToGrid w:val="0"/>
              <w:jc w:val="center"/>
              <w:rPr>
                <w:kern w:val="0"/>
                <w:szCs w:val="21"/>
              </w:rPr>
            </w:pPr>
            <w:r>
              <w:rPr>
                <w:kern w:val="0"/>
                <w:szCs w:val="21"/>
              </w:rPr>
              <w:t>控制</w:t>
            </w:r>
          </w:p>
          <w:p w14:paraId="00BD8CE6">
            <w:pPr>
              <w:adjustRightInd w:val="0"/>
              <w:snapToGrid w:val="0"/>
              <w:jc w:val="center"/>
              <w:rPr>
                <w:kern w:val="0"/>
                <w:szCs w:val="21"/>
              </w:rPr>
            </w:pPr>
            <w:r>
              <w:rPr>
                <w:kern w:val="0"/>
                <w:szCs w:val="21"/>
              </w:rPr>
              <w:t>指标</w:t>
            </w:r>
          </w:p>
        </w:tc>
        <w:tc>
          <w:tcPr>
            <w:tcW w:w="8527" w:type="dxa"/>
            <w:vAlign w:val="center"/>
          </w:tcPr>
          <w:p w14:paraId="46CF0D48">
            <w:pPr>
              <w:adjustRightInd w:val="0"/>
              <w:snapToGrid w:val="0"/>
              <w:spacing w:line="360" w:lineRule="auto"/>
              <w:ind w:firstLine="480" w:firstLineChars="200"/>
              <w:rPr>
                <w:kern w:val="0"/>
                <w:sz w:val="24"/>
              </w:rPr>
            </w:pPr>
            <w:r>
              <w:rPr>
                <w:kern w:val="0"/>
                <w:sz w:val="24"/>
              </w:rPr>
              <w:t>无。</w:t>
            </w:r>
          </w:p>
        </w:tc>
      </w:tr>
    </w:tbl>
    <w:p w14:paraId="6D484E9C">
      <w:pPr>
        <w:pStyle w:val="13"/>
        <w:jc w:val="center"/>
        <w:outlineLvl w:val="0"/>
        <w:rPr>
          <w:rFonts w:ascii="Times New Roman" w:hAnsi="Times New Roman" w:eastAsia="黑体"/>
          <w:snapToGrid w:val="0"/>
          <w:sz w:val="30"/>
          <w:szCs w:val="30"/>
        </w:rPr>
      </w:pPr>
      <w:r>
        <w:rPr>
          <w:rFonts w:ascii="Times New Roman" w:hAnsi="Times New Roman" w:eastAsia="黑体"/>
          <w:snapToGrid w:val="0"/>
          <w:sz w:val="36"/>
          <w:szCs w:val="36"/>
        </w:rPr>
        <w:br w:type="page"/>
      </w:r>
      <w:r>
        <w:rPr>
          <w:rFonts w:ascii="Times New Roman" w:hAnsi="Times New Roman" w:eastAsia="黑体"/>
          <w:snapToGrid w:val="0"/>
          <w:sz w:val="30"/>
          <w:szCs w:val="30"/>
        </w:rPr>
        <w:t>四、主要环境影响和保护措施</w:t>
      </w:r>
    </w:p>
    <w:tbl>
      <w:tblPr>
        <w:tblStyle w:val="1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43"/>
        <w:gridCol w:w="8438"/>
      </w:tblGrid>
      <w:tr w14:paraId="135274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39" w:hRule="atLeast"/>
          <w:jc w:val="center"/>
        </w:trPr>
        <w:tc>
          <w:tcPr>
            <w:tcW w:w="746" w:type="dxa"/>
            <w:tcMar>
              <w:left w:w="28" w:type="dxa"/>
              <w:right w:w="28" w:type="dxa"/>
            </w:tcMar>
            <w:vAlign w:val="center"/>
          </w:tcPr>
          <w:p w14:paraId="6A014C81">
            <w:pPr>
              <w:pStyle w:val="13"/>
              <w:adjustRightInd w:val="0"/>
              <w:snapToGrid w:val="0"/>
              <w:spacing w:before="0" w:beforeAutospacing="0" w:after="0" w:afterAutospacing="0"/>
              <w:jc w:val="center"/>
              <w:rPr>
                <w:rFonts w:ascii="Times New Roman" w:hAnsi="Times New Roman"/>
                <w:color w:val="auto"/>
                <w:kern w:val="2"/>
                <w:sz w:val="21"/>
                <w:szCs w:val="21"/>
              </w:rPr>
            </w:pPr>
            <w:r>
              <w:rPr>
                <w:rFonts w:ascii="Times New Roman" w:hAnsi="Times New Roman"/>
                <w:color w:val="auto"/>
                <w:kern w:val="2"/>
                <w:sz w:val="21"/>
                <w:szCs w:val="21"/>
              </w:rPr>
              <w:t>施工</w:t>
            </w:r>
          </w:p>
          <w:p w14:paraId="3E9FE4DE">
            <w:pPr>
              <w:pStyle w:val="13"/>
              <w:adjustRightInd w:val="0"/>
              <w:snapToGrid w:val="0"/>
              <w:spacing w:before="0" w:beforeAutospacing="0" w:after="0" w:afterAutospacing="0"/>
              <w:jc w:val="center"/>
              <w:rPr>
                <w:rFonts w:ascii="Times New Roman" w:hAnsi="Times New Roman"/>
                <w:color w:val="auto"/>
                <w:kern w:val="2"/>
                <w:sz w:val="21"/>
                <w:szCs w:val="21"/>
              </w:rPr>
            </w:pPr>
            <w:r>
              <w:rPr>
                <w:rFonts w:ascii="Times New Roman" w:hAnsi="Times New Roman"/>
                <w:color w:val="auto"/>
                <w:kern w:val="2"/>
                <w:sz w:val="21"/>
                <w:szCs w:val="21"/>
              </w:rPr>
              <w:t>期环</w:t>
            </w:r>
          </w:p>
          <w:p w14:paraId="59609E46">
            <w:pPr>
              <w:pStyle w:val="13"/>
              <w:adjustRightInd w:val="0"/>
              <w:snapToGrid w:val="0"/>
              <w:spacing w:before="0" w:beforeAutospacing="0" w:after="0" w:afterAutospacing="0"/>
              <w:jc w:val="center"/>
              <w:rPr>
                <w:rFonts w:ascii="Times New Roman" w:hAnsi="Times New Roman"/>
                <w:color w:val="auto"/>
                <w:kern w:val="2"/>
                <w:sz w:val="21"/>
                <w:szCs w:val="21"/>
              </w:rPr>
            </w:pPr>
            <w:r>
              <w:rPr>
                <w:rFonts w:ascii="Times New Roman" w:hAnsi="Times New Roman"/>
                <w:color w:val="auto"/>
                <w:kern w:val="2"/>
                <w:sz w:val="21"/>
                <w:szCs w:val="21"/>
              </w:rPr>
              <w:t>境保</w:t>
            </w:r>
          </w:p>
          <w:p w14:paraId="799E8A18">
            <w:pPr>
              <w:pStyle w:val="13"/>
              <w:adjustRightInd w:val="0"/>
              <w:snapToGrid w:val="0"/>
              <w:spacing w:before="0" w:beforeAutospacing="0" w:after="0" w:afterAutospacing="0"/>
              <w:jc w:val="center"/>
              <w:rPr>
                <w:rFonts w:ascii="Times New Roman" w:hAnsi="Times New Roman"/>
                <w:color w:val="auto"/>
                <w:kern w:val="2"/>
                <w:sz w:val="21"/>
                <w:szCs w:val="21"/>
              </w:rPr>
            </w:pPr>
            <w:r>
              <w:rPr>
                <w:rFonts w:ascii="Times New Roman" w:hAnsi="Times New Roman"/>
                <w:color w:val="auto"/>
                <w:kern w:val="2"/>
                <w:sz w:val="21"/>
                <w:szCs w:val="21"/>
              </w:rPr>
              <w:t>护措</w:t>
            </w:r>
          </w:p>
          <w:p w14:paraId="405A738A">
            <w:pPr>
              <w:pStyle w:val="13"/>
              <w:adjustRightInd w:val="0"/>
              <w:snapToGrid w:val="0"/>
              <w:spacing w:before="0" w:beforeAutospacing="0" w:after="0" w:afterAutospacing="0"/>
              <w:jc w:val="center"/>
              <w:rPr>
                <w:rFonts w:ascii="Times New Roman" w:hAnsi="Times New Roman"/>
                <w:bCs/>
                <w:color w:val="auto"/>
                <w:kern w:val="2"/>
                <w:sz w:val="21"/>
                <w:szCs w:val="21"/>
              </w:rPr>
            </w:pPr>
            <w:r>
              <w:rPr>
                <w:rFonts w:ascii="Times New Roman" w:hAnsi="Times New Roman"/>
                <w:color w:val="auto"/>
                <w:kern w:val="2"/>
                <w:sz w:val="21"/>
                <w:szCs w:val="21"/>
              </w:rPr>
              <w:t>施</w:t>
            </w:r>
          </w:p>
        </w:tc>
        <w:tc>
          <w:tcPr>
            <w:tcW w:w="8162" w:type="dxa"/>
            <w:vAlign w:val="center"/>
          </w:tcPr>
          <w:p w14:paraId="21F80981">
            <w:pPr>
              <w:adjustRightInd w:val="0"/>
              <w:snapToGrid w:val="0"/>
              <w:spacing w:line="360" w:lineRule="auto"/>
              <w:ind w:firstLine="482"/>
              <w:rPr>
                <w:color w:val="auto"/>
                <w:sz w:val="24"/>
              </w:rPr>
            </w:pPr>
            <w:r>
              <w:rPr>
                <w:rFonts w:hint="eastAsia"/>
                <w:color w:val="auto"/>
                <w:sz w:val="24"/>
              </w:rPr>
              <w:t>本项目已于2024年6月建设完成并运营，属于未批先建。</w:t>
            </w:r>
            <w:r>
              <w:rPr>
                <w:color w:val="auto"/>
                <w:sz w:val="24"/>
              </w:rPr>
              <w:t>项目建设对环境的影响主要表现为：施工扬尘、施工废水、施工噪声、土建固废等。项目施工期较短，且产生的影响随着施工的结束而消失</w:t>
            </w:r>
            <w:r>
              <w:rPr>
                <w:rFonts w:hint="eastAsia"/>
                <w:color w:val="auto"/>
                <w:sz w:val="24"/>
              </w:rPr>
              <w:t>。项目建设期未发生环保纠纷等问题，对建设期主要环境影响和保护措施回顾性分析如下：</w:t>
            </w:r>
          </w:p>
          <w:p w14:paraId="5EE8BDA3">
            <w:pPr>
              <w:adjustRightInd w:val="0"/>
              <w:snapToGrid w:val="0"/>
              <w:spacing w:line="360" w:lineRule="auto"/>
              <w:ind w:firstLine="482"/>
              <w:rPr>
                <w:b/>
                <w:bCs/>
                <w:color w:val="auto"/>
                <w:sz w:val="24"/>
              </w:rPr>
            </w:pPr>
            <w:r>
              <w:rPr>
                <w:b/>
                <w:bCs/>
                <w:color w:val="auto"/>
                <w:sz w:val="24"/>
              </w:rPr>
              <w:t>1</w:t>
            </w:r>
            <w:r>
              <w:rPr>
                <w:rFonts w:hint="eastAsia"/>
                <w:b/>
                <w:bCs/>
                <w:color w:val="auto"/>
                <w:sz w:val="24"/>
                <w:lang w:val="en-US" w:eastAsia="zh-CN"/>
              </w:rPr>
              <w:t>.</w:t>
            </w:r>
            <w:r>
              <w:rPr>
                <w:b/>
                <w:bCs/>
                <w:color w:val="auto"/>
                <w:sz w:val="24"/>
              </w:rPr>
              <w:t>废气</w:t>
            </w:r>
          </w:p>
          <w:p w14:paraId="21944259">
            <w:pPr>
              <w:widowControl/>
              <w:adjustRightInd w:val="0"/>
              <w:snapToGrid w:val="0"/>
              <w:spacing w:line="360" w:lineRule="auto"/>
              <w:ind w:firstLine="480" w:firstLineChars="200"/>
              <w:textAlignment w:val="baseline"/>
              <w:rPr>
                <w:bCs/>
                <w:color w:val="auto"/>
                <w:kern w:val="0"/>
                <w:sz w:val="24"/>
              </w:rPr>
            </w:pPr>
            <w:r>
              <w:rPr>
                <w:bCs/>
                <w:color w:val="auto"/>
                <w:kern w:val="0"/>
                <w:sz w:val="24"/>
              </w:rPr>
              <w:t>施工过程中产生的主要大气污染源是扬尘以及施工机械、运输车辆废气。</w:t>
            </w:r>
          </w:p>
          <w:p w14:paraId="6257CA84">
            <w:pPr>
              <w:widowControl/>
              <w:adjustRightInd w:val="0"/>
              <w:snapToGrid w:val="0"/>
              <w:spacing w:line="360" w:lineRule="auto"/>
              <w:ind w:firstLine="480" w:firstLineChars="200"/>
              <w:textAlignment w:val="baseline"/>
              <w:rPr>
                <w:color w:val="auto"/>
                <w:kern w:val="0"/>
                <w:sz w:val="24"/>
              </w:rPr>
            </w:pPr>
            <w:r>
              <w:rPr>
                <w:rFonts w:hint="eastAsia"/>
                <w:color w:val="auto"/>
                <w:kern w:val="0"/>
                <w:sz w:val="24"/>
                <w:lang w:eastAsia="zh-CN"/>
              </w:rPr>
              <w:t>（</w:t>
            </w:r>
            <w:r>
              <w:rPr>
                <w:rFonts w:hint="eastAsia"/>
                <w:color w:val="auto"/>
                <w:kern w:val="0"/>
                <w:sz w:val="24"/>
                <w:lang w:val="en-US" w:eastAsia="zh-CN"/>
              </w:rPr>
              <w:t>1</w:t>
            </w:r>
            <w:r>
              <w:rPr>
                <w:rFonts w:hint="eastAsia"/>
                <w:color w:val="auto"/>
                <w:kern w:val="0"/>
                <w:sz w:val="24"/>
                <w:lang w:eastAsia="zh-CN"/>
              </w:rPr>
              <w:t>）</w:t>
            </w:r>
            <w:r>
              <w:rPr>
                <w:color w:val="auto"/>
                <w:kern w:val="0"/>
                <w:sz w:val="24"/>
              </w:rPr>
              <w:t>施工扬尘</w:t>
            </w:r>
          </w:p>
          <w:p w14:paraId="5757D0C6">
            <w:pPr>
              <w:widowControl/>
              <w:adjustRightInd w:val="0"/>
              <w:snapToGrid w:val="0"/>
              <w:spacing w:line="360" w:lineRule="auto"/>
              <w:ind w:firstLine="480" w:firstLineChars="200"/>
              <w:textAlignment w:val="baseline"/>
              <w:rPr>
                <w:color w:val="auto"/>
                <w:kern w:val="0"/>
                <w:sz w:val="24"/>
              </w:rPr>
            </w:pPr>
            <w:r>
              <w:rPr>
                <w:color w:val="auto"/>
                <w:kern w:val="0"/>
                <w:sz w:val="24"/>
              </w:rPr>
              <w:t>施工扬尘主要产生在以下环节：</w:t>
            </w:r>
            <w:r>
              <w:rPr>
                <w:rFonts w:ascii="Cambria Math" w:hAnsi="Cambria Math" w:cs="Cambria Math"/>
                <w:color w:val="auto"/>
                <w:kern w:val="0"/>
                <w:sz w:val="24"/>
              </w:rPr>
              <w:t>①</w:t>
            </w:r>
            <w:r>
              <w:rPr>
                <w:color w:val="auto"/>
                <w:kern w:val="0"/>
                <w:sz w:val="24"/>
              </w:rPr>
              <w:t>土石方开挖、回填以及现场堆放扬尘；</w:t>
            </w:r>
            <w:r>
              <w:rPr>
                <w:rFonts w:ascii="Cambria Math" w:hAnsi="Cambria Math" w:cs="Cambria Math"/>
                <w:color w:val="auto"/>
                <w:kern w:val="0"/>
                <w:sz w:val="24"/>
              </w:rPr>
              <w:t>②</w:t>
            </w:r>
            <w:r>
              <w:rPr>
                <w:color w:val="auto"/>
                <w:kern w:val="0"/>
                <w:sz w:val="24"/>
              </w:rPr>
              <w:t>建筑材料</w:t>
            </w:r>
            <w:r>
              <w:rPr>
                <w:rFonts w:hint="eastAsia"/>
                <w:color w:val="auto"/>
                <w:kern w:val="0"/>
                <w:sz w:val="24"/>
                <w:lang w:eastAsia="zh-CN"/>
              </w:rPr>
              <w:t>（</w:t>
            </w:r>
            <w:r>
              <w:rPr>
                <w:color w:val="auto"/>
                <w:kern w:val="0"/>
                <w:sz w:val="24"/>
              </w:rPr>
              <w:t>水泥、沙子、碎石等</w:t>
            </w:r>
            <w:r>
              <w:rPr>
                <w:rFonts w:hint="eastAsia"/>
                <w:color w:val="auto"/>
                <w:kern w:val="0"/>
                <w:sz w:val="24"/>
                <w:lang w:eastAsia="zh-CN"/>
              </w:rPr>
              <w:t>）</w:t>
            </w:r>
            <w:r>
              <w:rPr>
                <w:color w:val="auto"/>
                <w:kern w:val="0"/>
                <w:sz w:val="24"/>
              </w:rPr>
              <w:t>的搬运以及堆放扬尘；</w:t>
            </w:r>
            <w:r>
              <w:rPr>
                <w:rFonts w:ascii="Cambria Math" w:hAnsi="Cambria Math" w:cs="Cambria Math"/>
                <w:color w:val="auto"/>
                <w:kern w:val="0"/>
                <w:sz w:val="24"/>
              </w:rPr>
              <w:t>③</w:t>
            </w:r>
            <w:r>
              <w:rPr>
                <w:color w:val="auto"/>
                <w:kern w:val="0"/>
                <w:sz w:val="24"/>
              </w:rPr>
              <w:t>物料运输车辆造成的道路扬尘</w:t>
            </w:r>
            <w:r>
              <w:rPr>
                <w:rFonts w:hint="eastAsia"/>
                <w:color w:val="auto"/>
                <w:kern w:val="0"/>
                <w:sz w:val="24"/>
                <w:lang w:eastAsia="zh-CN"/>
              </w:rPr>
              <w:t>（</w:t>
            </w:r>
            <w:r>
              <w:rPr>
                <w:color w:val="auto"/>
                <w:kern w:val="0"/>
                <w:sz w:val="24"/>
              </w:rPr>
              <w:t>包括运输车辆在施工区内道路行驶产生的扬尘和含泥土的运输车辆带到施工区外道路产生的扬尘</w:t>
            </w:r>
            <w:r>
              <w:rPr>
                <w:rFonts w:hint="eastAsia"/>
                <w:color w:val="auto"/>
                <w:kern w:val="0"/>
                <w:sz w:val="24"/>
                <w:lang w:eastAsia="zh-CN"/>
              </w:rPr>
              <w:t>）</w:t>
            </w:r>
            <w:r>
              <w:rPr>
                <w:color w:val="auto"/>
                <w:kern w:val="0"/>
                <w:sz w:val="24"/>
              </w:rPr>
              <w:t>。</w:t>
            </w:r>
          </w:p>
          <w:p w14:paraId="09BBB494">
            <w:pPr>
              <w:widowControl/>
              <w:adjustRightInd w:val="0"/>
              <w:snapToGrid w:val="0"/>
              <w:spacing w:line="360" w:lineRule="auto"/>
              <w:ind w:firstLine="480" w:firstLineChars="200"/>
              <w:textAlignment w:val="baseline"/>
              <w:rPr>
                <w:bCs/>
                <w:color w:val="auto"/>
                <w:kern w:val="0"/>
                <w:sz w:val="24"/>
              </w:rPr>
            </w:pPr>
            <w:r>
              <w:rPr>
                <w:bCs/>
                <w:color w:val="auto"/>
                <w:kern w:val="0"/>
                <w:sz w:val="24"/>
              </w:rPr>
              <w:t>扬尘的主要成分是TSP，由于本项目工程量较小，施工期较短，施工期扬尘对区域大气环境的影响有限，施工期间避开了大风天气，采取了施工场地定时洒水</w:t>
            </w:r>
            <w:r>
              <w:rPr>
                <w:rFonts w:hint="eastAsia"/>
                <w:bCs/>
                <w:color w:val="auto"/>
                <w:kern w:val="0"/>
                <w:sz w:val="24"/>
                <w:lang w:eastAsia="zh-CN"/>
              </w:rPr>
              <w:t>、</w:t>
            </w:r>
            <w:r>
              <w:rPr>
                <w:bCs/>
                <w:color w:val="auto"/>
                <w:kern w:val="0"/>
                <w:sz w:val="24"/>
              </w:rPr>
              <w:t>露天堆放物料苫盖</w:t>
            </w:r>
            <w:r>
              <w:rPr>
                <w:rFonts w:hint="eastAsia"/>
                <w:bCs/>
                <w:color w:val="auto"/>
                <w:kern w:val="0"/>
                <w:sz w:val="24"/>
                <w:lang w:eastAsia="zh-CN"/>
              </w:rPr>
              <w:t>、</w:t>
            </w:r>
            <w:r>
              <w:rPr>
                <w:bCs/>
                <w:color w:val="auto"/>
                <w:kern w:val="0"/>
                <w:sz w:val="24"/>
              </w:rPr>
              <w:t>施工现场四周围挡等措施，因此，施工阶段产生</w:t>
            </w:r>
            <w:r>
              <w:rPr>
                <w:rFonts w:hint="eastAsia"/>
                <w:bCs/>
                <w:color w:val="auto"/>
                <w:kern w:val="0"/>
                <w:sz w:val="24"/>
                <w:lang w:eastAsia="zh-CN"/>
              </w:rPr>
              <w:t>的</w:t>
            </w:r>
            <w:r>
              <w:rPr>
                <w:bCs/>
                <w:color w:val="auto"/>
                <w:kern w:val="0"/>
                <w:sz w:val="24"/>
              </w:rPr>
              <w:t>扬尘对周围大气环境的影响较小。</w:t>
            </w:r>
          </w:p>
          <w:p w14:paraId="1DE2D5D8">
            <w:pPr>
              <w:widowControl/>
              <w:adjustRightInd w:val="0"/>
              <w:snapToGrid w:val="0"/>
              <w:spacing w:line="360" w:lineRule="auto"/>
              <w:ind w:firstLine="480" w:firstLineChars="200"/>
              <w:textAlignment w:val="baseline"/>
              <w:rPr>
                <w:color w:val="auto"/>
                <w:kern w:val="0"/>
                <w:sz w:val="24"/>
              </w:rPr>
            </w:pPr>
            <w:r>
              <w:rPr>
                <w:rFonts w:hint="eastAsia"/>
                <w:color w:val="auto"/>
                <w:kern w:val="0"/>
                <w:sz w:val="24"/>
                <w:lang w:eastAsia="zh-CN"/>
              </w:rPr>
              <w:t>（</w:t>
            </w:r>
            <w:r>
              <w:rPr>
                <w:rFonts w:hint="eastAsia"/>
                <w:color w:val="auto"/>
                <w:kern w:val="0"/>
                <w:sz w:val="24"/>
                <w:lang w:val="en-US" w:eastAsia="zh-CN"/>
              </w:rPr>
              <w:t>2</w:t>
            </w:r>
            <w:r>
              <w:rPr>
                <w:rFonts w:hint="eastAsia"/>
                <w:color w:val="auto"/>
                <w:kern w:val="0"/>
                <w:sz w:val="24"/>
                <w:lang w:eastAsia="zh-CN"/>
              </w:rPr>
              <w:t>）</w:t>
            </w:r>
            <w:r>
              <w:rPr>
                <w:color w:val="auto"/>
                <w:kern w:val="0"/>
                <w:sz w:val="24"/>
              </w:rPr>
              <w:t>施工机械废气</w:t>
            </w:r>
          </w:p>
          <w:p w14:paraId="22F89820">
            <w:pPr>
              <w:widowControl/>
              <w:adjustRightInd w:val="0"/>
              <w:snapToGrid w:val="0"/>
              <w:spacing w:line="360" w:lineRule="auto"/>
              <w:ind w:firstLine="480" w:firstLineChars="200"/>
              <w:textAlignment w:val="baseline"/>
              <w:rPr>
                <w:color w:val="auto"/>
                <w:kern w:val="0"/>
                <w:sz w:val="24"/>
              </w:rPr>
            </w:pPr>
            <w:r>
              <w:rPr>
                <w:color w:val="auto"/>
                <w:kern w:val="0"/>
                <w:sz w:val="24"/>
              </w:rPr>
              <w:t>本项目施工过程中主要有运输车辆、挖掘机等机械，以柴油为燃料，产生了一定量的废气，</w:t>
            </w:r>
            <w:r>
              <w:rPr>
                <w:bCs/>
                <w:color w:val="auto"/>
                <w:kern w:val="0"/>
                <w:sz w:val="24"/>
              </w:rPr>
              <w:t>主要成分是HC、CO、NOx等。施工期间加强车辆和机械设备的管理，维持施工机械良好运转，并选择符合标准的燃油。由于本项目工程量较小，施工期较短，施工机械、运输车辆废气产生量较小，对周围大气环境的影响较小</w:t>
            </w:r>
            <w:r>
              <w:rPr>
                <w:color w:val="auto"/>
                <w:kern w:val="0"/>
                <w:sz w:val="24"/>
              </w:rPr>
              <w:t>。</w:t>
            </w:r>
          </w:p>
          <w:p w14:paraId="482427ED">
            <w:pPr>
              <w:widowControl/>
              <w:adjustRightInd w:val="0"/>
              <w:snapToGrid w:val="0"/>
              <w:spacing w:line="360" w:lineRule="auto"/>
              <w:ind w:firstLine="482" w:firstLineChars="200"/>
              <w:textAlignment w:val="baseline"/>
              <w:rPr>
                <w:b/>
                <w:bCs/>
                <w:color w:val="auto"/>
                <w:kern w:val="0"/>
                <w:sz w:val="24"/>
              </w:rPr>
            </w:pPr>
            <w:r>
              <w:rPr>
                <w:b/>
                <w:bCs/>
                <w:color w:val="auto"/>
                <w:kern w:val="0"/>
                <w:sz w:val="24"/>
              </w:rPr>
              <w:t>2</w:t>
            </w:r>
            <w:r>
              <w:rPr>
                <w:rFonts w:hint="eastAsia"/>
                <w:b/>
                <w:bCs/>
                <w:color w:val="auto"/>
                <w:kern w:val="0"/>
                <w:sz w:val="24"/>
                <w:lang w:val="en-US" w:eastAsia="zh-CN"/>
              </w:rPr>
              <w:t>.</w:t>
            </w:r>
            <w:r>
              <w:rPr>
                <w:b/>
                <w:bCs/>
                <w:color w:val="auto"/>
                <w:kern w:val="0"/>
                <w:sz w:val="24"/>
              </w:rPr>
              <w:t>废水</w:t>
            </w:r>
          </w:p>
          <w:p w14:paraId="1309B918">
            <w:pPr>
              <w:widowControl/>
              <w:adjustRightInd w:val="0"/>
              <w:snapToGrid w:val="0"/>
              <w:spacing w:line="360" w:lineRule="auto"/>
              <w:ind w:firstLine="480" w:firstLineChars="200"/>
              <w:textAlignment w:val="baseline"/>
              <w:rPr>
                <w:color w:val="auto"/>
                <w:kern w:val="0"/>
                <w:sz w:val="24"/>
              </w:rPr>
            </w:pPr>
            <w:r>
              <w:rPr>
                <w:color w:val="auto"/>
                <w:kern w:val="0"/>
                <w:sz w:val="24"/>
              </w:rPr>
              <w:t>建筑施工期间的废水包括施工废水和施工人员的生活污水。</w:t>
            </w:r>
          </w:p>
          <w:p w14:paraId="667B04E3">
            <w:pPr>
              <w:widowControl/>
              <w:adjustRightInd w:val="0"/>
              <w:snapToGrid w:val="0"/>
              <w:spacing w:line="360" w:lineRule="auto"/>
              <w:ind w:firstLine="480" w:firstLineChars="200"/>
              <w:textAlignment w:val="baseline"/>
              <w:rPr>
                <w:color w:val="auto"/>
                <w:kern w:val="0"/>
                <w:sz w:val="24"/>
              </w:rPr>
            </w:pPr>
            <w:r>
              <w:rPr>
                <w:color w:val="auto"/>
                <w:kern w:val="0"/>
                <w:sz w:val="24"/>
              </w:rPr>
              <w:t>施工生产废水包括砂石冲洗水、养护水、场地冲洗水以及机械设备运转的冷却水和洗涤水、输送系统冲洗废水。施工时设置临时沉淀池，将含泥沙</w:t>
            </w:r>
            <w:r>
              <w:rPr>
                <w:rFonts w:hint="eastAsia"/>
                <w:color w:val="auto"/>
                <w:kern w:val="0"/>
                <w:sz w:val="24"/>
                <w:lang w:eastAsia="zh-CN"/>
              </w:rPr>
              <w:t>的</w:t>
            </w:r>
            <w:r>
              <w:rPr>
                <w:color w:val="auto"/>
                <w:kern w:val="0"/>
                <w:sz w:val="24"/>
              </w:rPr>
              <w:t>雨水、泥浆水等经沉淀池沉淀处理后回收利用，不外排。</w:t>
            </w:r>
            <w:r>
              <w:rPr>
                <w:bCs/>
                <w:color w:val="auto"/>
                <w:kern w:val="0"/>
                <w:sz w:val="24"/>
              </w:rPr>
              <w:t>施工人员生活污水产生量很少，经临时旱厕收集，定期拉运至杭锦旗独贵塔拉镇污水处理厂处理</w:t>
            </w:r>
            <w:r>
              <w:rPr>
                <w:color w:val="auto"/>
                <w:kern w:val="0"/>
                <w:sz w:val="24"/>
              </w:rPr>
              <w:t>。</w:t>
            </w:r>
          </w:p>
          <w:p w14:paraId="7CC88337">
            <w:pPr>
              <w:widowControl/>
              <w:adjustRightInd w:val="0"/>
              <w:snapToGrid w:val="0"/>
              <w:spacing w:line="360" w:lineRule="auto"/>
              <w:ind w:firstLine="480" w:firstLineChars="200"/>
              <w:textAlignment w:val="baseline"/>
              <w:rPr>
                <w:color w:val="auto"/>
                <w:kern w:val="0"/>
                <w:sz w:val="24"/>
              </w:rPr>
            </w:pPr>
            <w:r>
              <w:rPr>
                <w:color w:val="auto"/>
                <w:kern w:val="0"/>
                <w:sz w:val="24"/>
              </w:rPr>
              <w:t>施工废水和生活污水得到了妥善处理</w:t>
            </w:r>
            <w:r>
              <w:rPr>
                <w:bCs/>
                <w:color w:val="auto"/>
                <w:kern w:val="0"/>
                <w:sz w:val="24"/>
              </w:rPr>
              <w:t>。</w:t>
            </w:r>
          </w:p>
          <w:p w14:paraId="6F7009C1">
            <w:pPr>
              <w:widowControl/>
              <w:adjustRightInd w:val="0"/>
              <w:snapToGrid w:val="0"/>
              <w:spacing w:line="360" w:lineRule="auto"/>
              <w:ind w:firstLine="482" w:firstLineChars="200"/>
              <w:textAlignment w:val="baseline"/>
              <w:rPr>
                <w:color w:val="auto"/>
                <w:kern w:val="0"/>
                <w:sz w:val="24"/>
              </w:rPr>
            </w:pPr>
            <w:r>
              <w:rPr>
                <w:b/>
                <w:bCs/>
                <w:color w:val="auto"/>
                <w:kern w:val="0"/>
                <w:sz w:val="24"/>
              </w:rPr>
              <w:t>3</w:t>
            </w:r>
            <w:r>
              <w:rPr>
                <w:rFonts w:hint="eastAsia"/>
                <w:b/>
                <w:bCs/>
                <w:color w:val="auto"/>
                <w:kern w:val="0"/>
                <w:sz w:val="24"/>
                <w:lang w:val="en-US" w:eastAsia="zh-CN"/>
              </w:rPr>
              <w:t>.</w:t>
            </w:r>
            <w:r>
              <w:rPr>
                <w:b/>
                <w:bCs/>
                <w:color w:val="auto"/>
                <w:kern w:val="0"/>
                <w:sz w:val="24"/>
              </w:rPr>
              <w:t>噪声</w:t>
            </w:r>
          </w:p>
          <w:p w14:paraId="598BF893">
            <w:pPr>
              <w:widowControl/>
              <w:adjustRightInd w:val="0"/>
              <w:snapToGrid w:val="0"/>
              <w:spacing w:line="360" w:lineRule="auto"/>
              <w:ind w:firstLine="480" w:firstLineChars="200"/>
              <w:textAlignment w:val="baseline"/>
              <w:rPr>
                <w:color w:val="auto"/>
                <w:kern w:val="0"/>
                <w:sz w:val="24"/>
              </w:rPr>
            </w:pPr>
            <w:r>
              <w:rPr>
                <w:color w:val="auto"/>
                <w:kern w:val="0"/>
                <w:sz w:val="24"/>
              </w:rPr>
              <w:t>根据工程分析，施工过程中使用的施工机械较少，施工期的噪声来自小型施工机械和运输车辆，噪声源强在75-95dB，特点为暂时的短期间歇性行为，无规律性，在施工场地界线处，一般情况下噪声强度将超过《建筑施工场界环境噪声排放标准》</w:t>
            </w:r>
            <w:r>
              <w:rPr>
                <w:rFonts w:hint="eastAsia"/>
                <w:color w:val="auto"/>
                <w:kern w:val="0"/>
                <w:sz w:val="24"/>
                <w:lang w:eastAsia="zh-CN"/>
              </w:rPr>
              <w:t>（</w:t>
            </w:r>
            <w:r>
              <w:rPr>
                <w:color w:val="auto"/>
                <w:kern w:val="0"/>
                <w:sz w:val="24"/>
              </w:rPr>
              <w:t>GB125</w:t>
            </w:r>
            <w:r>
              <w:rPr>
                <w:rFonts w:hint="eastAsia"/>
                <w:color w:val="auto"/>
                <w:kern w:val="0"/>
                <w:sz w:val="24"/>
              </w:rPr>
              <w:t>23</w:t>
            </w:r>
            <w:r>
              <w:rPr>
                <w:color w:val="auto"/>
                <w:kern w:val="0"/>
                <w:sz w:val="24"/>
              </w:rPr>
              <w:t>-2011</w:t>
            </w:r>
            <w:r>
              <w:rPr>
                <w:rFonts w:hint="eastAsia"/>
                <w:color w:val="auto"/>
                <w:kern w:val="0"/>
                <w:sz w:val="24"/>
                <w:lang w:eastAsia="zh-CN"/>
              </w:rPr>
              <w:t>）</w:t>
            </w:r>
            <w:r>
              <w:rPr>
                <w:color w:val="auto"/>
                <w:kern w:val="0"/>
                <w:sz w:val="24"/>
              </w:rPr>
              <w:t>。为减少施工噪声对周围企业的影响，施工单位及建设单位应采取以下减缓措施：</w:t>
            </w:r>
          </w:p>
          <w:p w14:paraId="69DF9EC2">
            <w:pPr>
              <w:widowControl/>
              <w:adjustRightInd w:val="0"/>
              <w:snapToGrid w:val="0"/>
              <w:spacing w:line="360" w:lineRule="auto"/>
              <w:ind w:firstLine="480" w:firstLineChars="200"/>
              <w:textAlignment w:val="baseline"/>
              <w:rPr>
                <w:color w:val="auto"/>
                <w:kern w:val="0"/>
                <w:sz w:val="24"/>
              </w:rPr>
            </w:pPr>
            <w:r>
              <w:rPr>
                <w:rFonts w:ascii="Cambria Math" w:hAnsi="Cambria Math" w:cs="Cambria Math"/>
                <w:color w:val="auto"/>
                <w:kern w:val="0"/>
                <w:sz w:val="24"/>
              </w:rPr>
              <w:t>①</w:t>
            </w:r>
            <w:r>
              <w:rPr>
                <w:color w:val="auto"/>
                <w:kern w:val="0"/>
                <w:sz w:val="24"/>
              </w:rPr>
              <w:t>选用低噪声设备，同时在施工过程中施工单位设专人对设备进行定期保养和维护。严格按操作规范使用各类机械。</w:t>
            </w:r>
          </w:p>
          <w:p w14:paraId="058FA048">
            <w:pPr>
              <w:widowControl/>
              <w:adjustRightInd w:val="0"/>
              <w:snapToGrid w:val="0"/>
              <w:spacing w:line="360" w:lineRule="auto"/>
              <w:ind w:firstLine="480" w:firstLineChars="200"/>
              <w:textAlignment w:val="baseline"/>
              <w:rPr>
                <w:color w:val="auto"/>
                <w:kern w:val="0"/>
                <w:sz w:val="24"/>
              </w:rPr>
            </w:pPr>
            <w:r>
              <w:rPr>
                <w:rFonts w:ascii="Cambria Math" w:hAnsi="Cambria Math" w:cs="Cambria Math"/>
                <w:color w:val="auto"/>
                <w:kern w:val="0"/>
                <w:sz w:val="24"/>
              </w:rPr>
              <w:t>②</w:t>
            </w:r>
            <w:r>
              <w:rPr>
                <w:color w:val="auto"/>
                <w:kern w:val="0"/>
                <w:sz w:val="24"/>
              </w:rPr>
              <w:t>合理安排施工时间，</w:t>
            </w:r>
            <w:r>
              <w:rPr>
                <w:rFonts w:hint="eastAsia"/>
                <w:color w:val="auto"/>
                <w:kern w:val="0"/>
                <w:sz w:val="24"/>
              </w:rPr>
              <w:t>未</w:t>
            </w:r>
            <w:r>
              <w:rPr>
                <w:color w:val="auto"/>
                <w:kern w:val="0"/>
                <w:sz w:val="24"/>
              </w:rPr>
              <w:t>在22:00-06:00期间施工。</w:t>
            </w:r>
          </w:p>
          <w:p w14:paraId="7F7F3DF5">
            <w:pPr>
              <w:widowControl/>
              <w:adjustRightInd w:val="0"/>
              <w:snapToGrid w:val="0"/>
              <w:spacing w:line="360" w:lineRule="auto"/>
              <w:ind w:firstLine="480" w:firstLineChars="200"/>
              <w:textAlignment w:val="baseline"/>
              <w:rPr>
                <w:color w:val="auto"/>
                <w:kern w:val="0"/>
                <w:sz w:val="24"/>
              </w:rPr>
            </w:pPr>
            <w:r>
              <w:rPr>
                <w:rFonts w:ascii="Cambria Math" w:hAnsi="Cambria Math" w:cs="Cambria Math"/>
                <w:color w:val="auto"/>
                <w:kern w:val="0"/>
                <w:sz w:val="24"/>
              </w:rPr>
              <w:t>③</w:t>
            </w:r>
            <w:r>
              <w:rPr>
                <w:color w:val="auto"/>
                <w:kern w:val="0"/>
                <w:sz w:val="24"/>
              </w:rPr>
              <w:t>合理进行施工场地布置。</w:t>
            </w:r>
          </w:p>
          <w:p w14:paraId="042F7B40">
            <w:pPr>
              <w:widowControl/>
              <w:adjustRightInd w:val="0"/>
              <w:snapToGrid w:val="0"/>
              <w:spacing w:line="360" w:lineRule="auto"/>
              <w:ind w:firstLine="480" w:firstLineChars="200"/>
              <w:textAlignment w:val="baseline"/>
              <w:rPr>
                <w:color w:val="auto"/>
                <w:kern w:val="0"/>
                <w:sz w:val="24"/>
              </w:rPr>
            </w:pPr>
            <w:r>
              <w:rPr>
                <w:color w:val="auto"/>
                <w:kern w:val="0"/>
                <w:sz w:val="24"/>
              </w:rPr>
              <w:t>综上所述，施工期间通过选用低噪声设备、合理布局施工场地、合理安排施工时间及其他相应降噪措施后</w:t>
            </w:r>
            <w:r>
              <w:rPr>
                <w:rFonts w:hint="eastAsia"/>
                <w:color w:val="auto"/>
                <w:kern w:val="0"/>
                <w:sz w:val="24"/>
                <w:lang w:eastAsia="zh-CN"/>
              </w:rPr>
              <w:t>，</w:t>
            </w:r>
            <w:r>
              <w:rPr>
                <w:color w:val="auto"/>
                <w:kern w:val="0"/>
                <w:sz w:val="24"/>
              </w:rPr>
              <w:t>施工厂界噪声满足《建筑施工场界环境噪声排放标准》</w:t>
            </w:r>
            <w:r>
              <w:rPr>
                <w:rFonts w:hint="eastAsia"/>
                <w:color w:val="auto"/>
                <w:kern w:val="0"/>
                <w:sz w:val="24"/>
                <w:lang w:eastAsia="zh-CN"/>
              </w:rPr>
              <w:t>（</w:t>
            </w:r>
            <w:r>
              <w:rPr>
                <w:color w:val="auto"/>
                <w:kern w:val="0"/>
                <w:sz w:val="24"/>
              </w:rPr>
              <w:t>GB 12523-2011</w:t>
            </w:r>
            <w:r>
              <w:rPr>
                <w:rFonts w:hint="eastAsia"/>
                <w:color w:val="auto"/>
                <w:kern w:val="0"/>
                <w:sz w:val="24"/>
                <w:lang w:eastAsia="zh-CN"/>
              </w:rPr>
              <w:t>）</w:t>
            </w:r>
            <w:r>
              <w:rPr>
                <w:color w:val="auto"/>
                <w:kern w:val="0"/>
                <w:sz w:val="24"/>
              </w:rPr>
              <w:t>所规定的噪声标准的要求。</w:t>
            </w:r>
          </w:p>
          <w:p w14:paraId="3D3A48BC">
            <w:pPr>
              <w:widowControl/>
              <w:adjustRightInd w:val="0"/>
              <w:snapToGrid w:val="0"/>
              <w:spacing w:line="360" w:lineRule="auto"/>
              <w:ind w:firstLine="482" w:firstLineChars="200"/>
              <w:textAlignment w:val="baseline"/>
              <w:rPr>
                <w:b/>
                <w:bCs/>
                <w:color w:val="auto"/>
                <w:kern w:val="0"/>
                <w:sz w:val="24"/>
              </w:rPr>
            </w:pPr>
            <w:r>
              <w:rPr>
                <w:b/>
                <w:bCs/>
                <w:color w:val="auto"/>
                <w:kern w:val="0"/>
                <w:sz w:val="24"/>
              </w:rPr>
              <w:t>4</w:t>
            </w:r>
            <w:r>
              <w:rPr>
                <w:rFonts w:hint="eastAsia"/>
                <w:b/>
                <w:bCs/>
                <w:color w:val="auto"/>
                <w:kern w:val="0"/>
                <w:sz w:val="24"/>
                <w:lang w:val="en-US" w:eastAsia="zh-CN"/>
              </w:rPr>
              <w:t>.</w:t>
            </w:r>
            <w:r>
              <w:rPr>
                <w:b/>
                <w:bCs/>
                <w:color w:val="auto"/>
                <w:kern w:val="0"/>
                <w:sz w:val="24"/>
              </w:rPr>
              <w:t>固体废物</w:t>
            </w:r>
          </w:p>
          <w:p w14:paraId="0F472CEB">
            <w:pPr>
              <w:spacing w:line="360" w:lineRule="auto"/>
              <w:ind w:firstLine="480" w:firstLineChars="200"/>
              <w:rPr>
                <w:bCs/>
                <w:color w:val="auto"/>
                <w:szCs w:val="21"/>
              </w:rPr>
            </w:pPr>
            <w:r>
              <w:rPr>
                <w:bCs/>
                <w:color w:val="auto"/>
                <w:kern w:val="0"/>
                <w:sz w:val="24"/>
              </w:rPr>
              <w:t>施工期产生的固废主要为建筑垃圾和生活垃圾。建筑垃圾为施工过程中产生的</w:t>
            </w:r>
            <w:r>
              <w:rPr>
                <w:rFonts w:hint="eastAsia"/>
                <w:bCs/>
                <w:color w:val="auto"/>
                <w:kern w:val="0"/>
                <w:sz w:val="24"/>
              </w:rPr>
              <w:t>建筑</w:t>
            </w:r>
            <w:r>
              <w:rPr>
                <w:bCs/>
                <w:color w:val="auto"/>
                <w:kern w:val="0"/>
                <w:sz w:val="24"/>
              </w:rPr>
              <w:t>弃料等，部分可以回用于项目建设，不能回用的</w:t>
            </w:r>
            <w:r>
              <w:rPr>
                <w:rFonts w:hint="eastAsia"/>
                <w:bCs/>
                <w:color w:val="auto"/>
                <w:kern w:val="0"/>
                <w:sz w:val="24"/>
                <w:lang w:eastAsia="zh-CN"/>
              </w:rPr>
              <w:t>应</w:t>
            </w:r>
            <w:r>
              <w:rPr>
                <w:bCs/>
                <w:color w:val="auto"/>
                <w:kern w:val="0"/>
                <w:sz w:val="24"/>
              </w:rPr>
              <w:t>拉运至当地政府指定地点处置。施工人员产生的生活垃圾集中收集，在指定地点设置垃圾桶并加强管理，</w:t>
            </w:r>
            <w:r>
              <w:rPr>
                <w:rFonts w:hint="eastAsia"/>
                <w:bCs/>
                <w:color w:val="auto"/>
                <w:kern w:val="0"/>
                <w:sz w:val="24"/>
                <w:lang w:eastAsia="zh-CN"/>
              </w:rPr>
              <w:t>并</w:t>
            </w:r>
            <w:r>
              <w:rPr>
                <w:bCs/>
                <w:color w:val="auto"/>
                <w:kern w:val="0"/>
                <w:sz w:val="24"/>
              </w:rPr>
              <w:t>定期交当地环卫部门集中处理。施工期固体废物</w:t>
            </w:r>
            <w:r>
              <w:rPr>
                <w:rFonts w:hint="eastAsia"/>
                <w:bCs/>
                <w:color w:val="auto"/>
                <w:kern w:val="0"/>
                <w:sz w:val="24"/>
                <w:lang w:eastAsia="zh-CN"/>
              </w:rPr>
              <w:t>经过</w:t>
            </w:r>
            <w:r>
              <w:rPr>
                <w:bCs/>
                <w:color w:val="auto"/>
                <w:kern w:val="0"/>
                <w:sz w:val="24"/>
              </w:rPr>
              <w:t>合理处置，对周围环境</w:t>
            </w:r>
            <w:r>
              <w:rPr>
                <w:rFonts w:hint="eastAsia"/>
                <w:bCs/>
                <w:color w:val="auto"/>
                <w:kern w:val="0"/>
                <w:sz w:val="24"/>
                <w:lang w:eastAsia="zh-CN"/>
              </w:rPr>
              <w:t>的</w:t>
            </w:r>
            <w:r>
              <w:rPr>
                <w:bCs/>
                <w:color w:val="auto"/>
                <w:kern w:val="0"/>
                <w:sz w:val="24"/>
              </w:rPr>
              <w:t>影响较小</w:t>
            </w:r>
            <w:r>
              <w:rPr>
                <w:bCs/>
                <w:color w:val="auto"/>
                <w:sz w:val="24"/>
              </w:rPr>
              <w:t>。</w:t>
            </w:r>
          </w:p>
        </w:tc>
      </w:tr>
      <w:tr w14:paraId="3255E2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31" w:hRule="atLeast"/>
          <w:jc w:val="center"/>
        </w:trPr>
        <w:tc>
          <w:tcPr>
            <w:tcW w:w="746" w:type="dxa"/>
            <w:tcMar>
              <w:left w:w="28" w:type="dxa"/>
              <w:right w:w="28" w:type="dxa"/>
            </w:tcMar>
            <w:vAlign w:val="center"/>
          </w:tcPr>
          <w:p w14:paraId="02D0C00F">
            <w:pPr>
              <w:adjustRightInd w:val="0"/>
              <w:snapToGrid w:val="0"/>
              <w:jc w:val="center"/>
              <w:rPr>
                <w:bCs/>
                <w:color w:val="auto"/>
                <w:szCs w:val="21"/>
              </w:rPr>
            </w:pPr>
            <w:r>
              <w:rPr>
                <w:bCs/>
                <w:color w:val="auto"/>
                <w:szCs w:val="21"/>
              </w:rPr>
              <w:t>运营</w:t>
            </w:r>
          </w:p>
          <w:p w14:paraId="2BD61BAD">
            <w:pPr>
              <w:adjustRightInd w:val="0"/>
              <w:snapToGrid w:val="0"/>
              <w:jc w:val="center"/>
              <w:rPr>
                <w:bCs/>
                <w:color w:val="auto"/>
                <w:szCs w:val="21"/>
              </w:rPr>
            </w:pPr>
            <w:r>
              <w:rPr>
                <w:bCs/>
                <w:color w:val="auto"/>
                <w:szCs w:val="21"/>
              </w:rPr>
              <w:t>期环</w:t>
            </w:r>
          </w:p>
          <w:p w14:paraId="7E8F9105">
            <w:pPr>
              <w:adjustRightInd w:val="0"/>
              <w:snapToGrid w:val="0"/>
              <w:jc w:val="center"/>
              <w:rPr>
                <w:bCs/>
                <w:color w:val="auto"/>
                <w:szCs w:val="21"/>
              </w:rPr>
            </w:pPr>
            <w:r>
              <w:rPr>
                <w:bCs/>
                <w:color w:val="auto"/>
                <w:szCs w:val="21"/>
              </w:rPr>
              <w:t>境影</w:t>
            </w:r>
          </w:p>
          <w:p w14:paraId="01745EE5">
            <w:pPr>
              <w:adjustRightInd w:val="0"/>
              <w:snapToGrid w:val="0"/>
              <w:jc w:val="center"/>
              <w:rPr>
                <w:bCs/>
                <w:color w:val="auto"/>
                <w:szCs w:val="21"/>
              </w:rPr>
            </w:pPr>
            <w:r>
              <w:rPr>
                <w:bCs/>
                <w:color w:val="auto"/>
                <w:szCs w:val="21"/>
              </w:rPr>
              <w:t>响和</w:t>
            </w:r>
          </w:p>
          <w:p w14:paraId="6A94E285">
            <w:pPr>
              <w:adjustRightInd w:val="0"/>
              <w:snapToGrid w:val="0"/>
              <w:jc w:val="center"/>
              <w:rPr>
                <w:bCs/>
                <w:color w:val="auto"/>
                <w:szCs w:val="21"/>
              </w:rPr>
            </w:pPr>
            <w:r>
              <w:rPr>
                <w:bCs/>
                <w:color w:val="auto"/>
                <w:szCs w:val="21"/>
              </w:rPr>
              <w:t>保护</w:t>
            </w:r>
          </w:p>
          <w:p w14:paraId="3324D26D">
            <w:pPr>
              <w:adjustRightInd w:val="0"/>
              <w:snapToGrid w:val="0"/>
              <w:jc w:val="center"/>
              <w:rPr>
                <w:bCs/>
                <w:color w:val="auto"/>
                <w:szCs w:val="21"/>
              </w:rPr>
            </w:pPr>
            <w:r>
              <w:rPr>
                <w:bCs/>
                <w:color w:val="auto"/>
                <w:szCs w:val="21"/>
              </w:rPr>
              <w:t>措施</w:t>
            </w:r>
          </w:p>
        </w:tc>
        <w:tc>
          <w:tcPr>
            <w:tcW w:w="8162" w:type="dxa"/>
            <w:vAlign w:val="center"/>
          </w:tcPr>
          <w:p w14:paraId="24C8F167">
            <w:pPr>
              <w:spacing w:line="360" w:lineRule="auto"/>
              <w:jc w:val="left"/>
              <w:rPr>
                <w:b/>
                <w:bCs/>
                <w:color w:val="auto"/>
                <w:sz w:val="24"/>
              </w:rPr>
            </w:pPr>
            <w:r>
              <w:rPr>
                <w:b/>
                <w:bCs/>
                <w:color w:val="auto"/>
                <w:sz w:val="24"/>
              </w:rPr>
              <w:t>1</w:t>
            </w:r>
            <w:r>
              <w:rPr>
                <w:rFonts w:hint="eastAsia"/>
                <w:b/>
                <w:bCs/>
                <w:color w:val="auto"/>
                <w:sz w:val="24"/>
                <w:lang w:val="en-US" w:eastAsia="zh-CN"/>
              </w:rPr>
              <w:t>.</w:t>
            </w:r>
            <w:r>
              <w:rPr>
                <w:b/>
                <w:bCs/>
                <w:color w:val="auto"/>
                <w:sz w:val="24"/>
              </w:rPr>
              <w:t>废气</w:t>
            </w:r>
          </w:p>
          <w:p w14:paraId="6263F31B">
            <w:pPr>
              <w:adjustRightInd w:val="0"/>
              <w:snapToGrid w:val="0"/>
              <w:spacing w:line="360" w:lineRule="auto"/>
              <w:ind w:firstLine="482" w:firstLineChars="200"/>
              <w:rPr>
                <w:b/>
                <w:bCs/>
                <w:color w:val="auto"/>
                <w:sz w:val="24"/>
              </w:rPr>
            </w:pPr>
            <w:r>
              <w:rPr>
                <w:b/>
                <w:bCs/>
                <w:color w:val="auto"/>
                <w:sz w:val="24"/>
              </w:rPr>
              <w:t>1.1大气污染源源强核算及污染物产排情况</w:t>
            </w:r>
          </w:p>
          <w:p w14:paraId="072E3685">
            <w:pPr>
              <w:spacing w:line="360" w:lineRule="auto"/>
              <w:ind w:firstLine="480" w:firstLineChars="200"/>
              <w:rPr>
                <w:bCs/>
                <w:color w:val="auto"/>
                <w:sz w:val="24"/>
              </w:rPr>
            </w:pPr>
            <w:r>
              <w:rPr>
                <w:rFonts w:hint="eastAsia"/>
                <w:bCs/>
                <w:color w:val="auto"/>
                <w:sz w:val="24"/>
              </w:rPr>
              <w:t>本项目涉及的主要产排污工段为：物料输送储存和物料混合搅拌两个工段，包括</w:t>
            </w:r>
            <w:r>
              <w:rPr>
                <w:bCs/>
                <w:color w:val="auto"/>
                <w:sz w:val="24"/>
              </w:rPr>
              <w:t>原料堆存装卸粉尘、配料输送粉尘、物料混合搅拌粉尘、粉料筒仓呼吸孔粉尘</w:t>
            </w:r>
            <w:r>
              <w:rPr>
                <w:rFonts w:hint="eastAsia"/>
                <w:bCs/>
                <w:color w:val="auto"/>
                <w:sz w:val="24"/>
              </w:rPr>
              <w:t>，以及</w:t>
            </w:r>
            <w:r>
              <w:rPr>
                <w:bCs/>
                <w:color w:val="auto"/>
                <w:sz w:val="24"/>
              </w:rPr>
              <w:t>运输车辆动力起尘。</w:t>
            </w:r>
            <w:r>
              <w:rPr>
                <w:rFonts w:hint="eastAsia"/>
                <w:bCs/>
                <w:color w:val="auto"/>
                <w:sz w:val="24"/>
              </w:rPr>
              <w:t>以上工段的主要污染物为：颗粒物。</w:t>
            </w:r>
          </w:p>
          <w:p w14:paraId="79166D97">
            <w:pPr>
              <w:spacing w:line="360" w:lineRule="auto"/>
              <w:ind w:firstLine="482" w:firstLineChars="200"/>
              <w:rPr>
                <w:b/>
                <w:color w:val="auto"/>
                <w:sz w:val="24"/>
              </w:rPr>
            </w:pPr>
            <w:r>
              <w:rPr>
                <w:rFonts w:hint="eastAsia"/>
                <w:b/>
                <w:color w:val="auto"/>
                <w:sz w:val="24"/>
                <w:lang w:eastAsia="zh-CN"/>
              </w:rPr>
              <w:t>（</w:t>
            </w:r>
            <w:r>
              <w:rPr>
                <w:rFonts w:hint="eastAsia"/>
                <w:b/>
                <w:color w:val="auto"/>
                <w:sz w:val="24"/>
              </w:rPr>
              <w:t>1</w:t>
            </w:r>
            <w:r>
              <w:rPr>
                <w:rFonts w:hint="eastAsia"/>
                <w:b/>
                <w:color w:val="auto"/>
                <w:sz w:val="24"/>
                <w:lang w:eastAsia="zh-CN"/>
              </w:rPr>
              <w:t>）</w:t>
            </w:r>
            <w:r>
              <w:rPr>
                <w:rFonts w:hint="eastAsia"/>
                <w:b/>
                <w:bCs/>
                <w:color w:val="auto"/>
                <w:sz w:val="24"/>
              </w:rPr>
              <w:t>物料输送储存粉尘</w:t>
            </w:r>
          </w:p>
          <w:p w14:paraId="774FE647">
            <w:pPr>
              <w:spacing w:line="360" w:lineRule="auto"/>
              <w:ind w:firstLine="482" w:firstLineChars="200"/>
              <w:rPr>
                <w:rFonts w:hint="eastAsia" w:eastAsia="宋体"/>
                <w:bCs/>
                <w:color w:val="auto"/>
                <w:sz w:val="24"/>
                <w:lang w:eastAsia="zh-CN"/>
              </w:rPr>
            </w:pPr>
            <w:r>
              <w:rPr>
                <w:rFonts w:hint="eastAsia"/>
                <w:b/>
                <w:color w:val="auto"/>
                <w:sz w:val="24"/>
              </w:rPr>
              <w:t>①</w:t>
            </w:r>
            <w:r>
              <w:rPr>
                <w:b/>
                <w:bCs/>
                <w:color w:val="auto"/>
                <w:sz w:val="24"/>
              </w:rPr>
              <w:t>砂子、碎石堆存装卸粉尘</w:t>
            </w:r>
            <w:r>
              <w:rPr>
                <w:rFonts w:hint="eastAsia"/>
                <w:b/>
                <w:bCs/>
                <w:color w:val="auto"/>
                <w:sz w:val="24"/>
                <w:lang w:eastAsia="zh-CN"/>
              </w:rPr>
              <w:t>（</w:t>
            </w:r>
            <w:r>
              <w:rPr>
                <w:b/>
                <w:bCs/>
                <w:color w:val="auto"/>
                <w:sz w:val="24"/>
              </w:rPr>
              <w:t>G</w:t>
            </w:r>
            <w:r>
              <w:rPr>
                <w:b/>
                <w:bCs/>
                <w:color w:val="auto"/>
                <w:sz w:val="24"/>
                <w:vertAlign w:val="subscript"/>
              </w:rPr>
              <w:t>1</w:t>
            </w:r>
            <w:r>
              <w:rPr>
                <w:rFonts w:hint="eastAsia"/>
                <w:b/>
                <w:bCs/>
                <w:color w:val="auto"/>
                <w:sz w:val="24"/>
                <w:lang w:eastAsia="zh-CN"/>
              </w:rPr>
              <w:t>）</w:t>
            </w:r>
          </w:p>
          <w:p w14:paraId="122179A8">
            <w:pPr>
              <w:spacing w:line="360" w:lineRule="auto"/>
              <w:ind w:firstLine="480" w:firstLineChars="200"/>
              <w:rPr>
                <w:bCs/>
                <w:color w:val="auto"/>
                <w:sz w:val="24"/>
              </w:rPr>
            </w:pPr>
            <w:r>
              <w:rPr>
                <w:bCs/>
                <w:color w:val="auto"/>
                <w:sz w:val="24"/>
              </w:rPr>
              <w:t>本项目砂子、碎石堆放在砂石料场内，</w:t>
            </w:r>
            <w:r>
              <w:rPr>
                <w:rFonts w:hint="eastAsia"/>
                <w:bCs/>
                <w:color w:val="auto"/>
                <w:sz w:val="24"/>
              </w:rPr>
              <w:t>砂石料场采用三面挡墙，上方苫盖密目网，并进行洒水抑尘</w:t>
            </w:r>
            <w:r>
              <w:rPr>
                <w:bCs/>
                <w:color w:val="auto"/>
                <w:sz w:val="24"/>
              </w:rPr>
              <w:t>。因此砂石堆存过程会产生一定的扬尘。根据《工业源固体物料堆场颗粒物核算系数手册》，工业企业固体物料堆存颗粒物包括装卸</w:t>
            </w:r>
            <w:r>
              <w:rPr>
                <w:rFonts w:hint="eastAsia"/>
                <w:bCs/>
                <w:color w:val="auto"/>
                <w:sz w:val="24"/>
                <w:lang w:eastAsia="zh-CN"/>
              </w:rPr>
              <w:t>扬</w:t>
            </w:r>
            <w:r>
              <w:rPr>
                <w:bCs/>
                <w:color w:val="auto"/>
                <w:sz w:val="24"/>
              </w:rPr>
              <w:t>尘和风蚀扬尘，颗粒物产生量核算公式如下：</w:t>
            </w:r>
          </w:p>
          <w:p w14:paraId="600BF992">
            <w:pPr>
              <w:spacing w:line="360" w:lineRule="auto"/>
              <w:jc w:val="center"/>
              <w:rPr>
                <w:bCs/>
                <w:color w:val="auto"/>
                <w:sz w:val="24"/>
              </w:rPr>
            </w:pPr>
            <w:r>
              <w:rPr>
                <w:bCs/>
                <w:color w:val="auto"/>
                <w:sz w:val="24"/>
              </w:rPr>
              <w:t>P=ZC</w:t>
            </w:r>
            <w:r>
              <w:rPr>
                <w:bCs/>
                <w:color w:val="auto"/>
                <w:sz w:val="24"/>
                <w:vertAlign w:val="subscript"/>
              </w:rPr>
              <w:t>y</w:t>
            </w:r>
            <w:r>
              <w:rPr>
                <w:bCs/>
                <w:color w:val="auto"/>
                <w:sz w:val="24"/>
              </w:rPr>
              <w:t>+FC</w:t>
            </w:r>
            <w:r>
              <w:rPr>
                <w:bCs/>
                <w:color w:val="auto"/>
                <w:sz w:val="24"/>
                <w:vertAlign w:val="subscript"/>
              </w:rPr>
              <w:t>y</w:t>
            </w:r>
            <w:r>
              <w:rPr>
                <w:bCs/>
                <w:color w:val="auto"/>
                <w:sz w:val="24"/>
              </w:rPr>
              <w:t>= {Nc×D×(a/b)＋2×E</w:t>
            </w:r>
            <w:r>
              <w:rPr>
                <w:bCs/>
                <w:color w:val="auto"/>
                <w:sz w:val="24"/>
                <w:vertAlign w:val="subscript"/>
              </w:rPr>
              <w:t>f</w:t>
            </w:r>
            <w:r>
              <w:rPr>
                <w:bCs/>
                <w:color w:val="auto"/>
                <w:sz w:val="24"/>
              </w:rPr>
              <w:t xml:space="preserve"> ×S}×10</w:t>
            </w:r>
            <w:r>
              <w:rPr>
                <w:bCs/>
                <w:color w:val="auto"/>
                <w:sz w:val="24"/>
                <w:vertAlign w:val="superscript"/>
              </w:rPr>
              <w:t>-3</w:t>
            </w:r>
          </w:p>
          <w:p w14:paraId="2E63F39E">
            <w:pPr>
              <w:spacing w:line="360" w:lineRule="auto"/>
              <w:ind w:firstLine="480" w:firstLineChars="200"/>
              <w:rPr>
                <w:bCs/>
                <w:color w:val="auto"/>
                <w:sz w:val="24"/>
              </w:rPr>
            </w:pPr>
            <w:r>
              <w:rPr>
                <w:bCs/>
                <w:color w:val="auto"/>
                <w:sz w:val="24"/>
              </w:rPr>
              <w:t>式中：ZC</w:t>
            </w:r>
            <w:r>
              <w:rPr>
                <w:bCs/>
                <w:color w:val="auto"/>
                <w:sz w:val="24"/>
                <w:vertAlign w:val="subscript"/>
              </w:rPr>
              <w:t>y</w:t>
            </w:r>
            <w:r>
              <w:rPr>
                <w:bCs/>
                <w:color w:val="auto"/>
                <w:sz w:val="24"/>
              </w:rPr>
              <w:t>—装卸扬尘产生量，t；</w:t>
            </w:r>
          </w:p>
          <w:p w14:paraId="1BF32BB9">
            <w:pPr>
              <w:spacing w:line="360" w:lineRule="auto"/>
              <w:ind w:firstLine="1200" w:firstLineChars="500"/>
              <w:rPr>
                <w:bCs/>
                <w:color w:val="auto"/>
                <w:sz w:val="24"/>
              </w:rPr>
            </w:pPr>
            <w:r>
              <w:rPr>
                <w:bCs/>
                <w:color w:val="auto"/>
                <w:sz w:val="24"/>
              </w:rPr>
              <w:t>FCy—风蚀扬尘产生量，t；</w:t>
            </w:r>
          </w:p>
          <w:p w14:paraId="40EC4BA3">
            <w:pPr>
              <w:spacing w:line="360" w:lineRule="auto"/>
              <w:ind w:firstLine="1200" w:firstLineChars="500"/>
              <w:rPr>
                <w:bCs/>
                <w:color w:val="auto"/>
                <w:sz w:val="24"/>
              </w:rPr>
            </w:pPr>
            <w:r>
              <w:rPr>
                <w:bCs/>
                <w:color w:val="auto"/>
                <w:sz w:val="24"/>
              </w:rPr>
              <w:t>Nc—年物料运载车次，取6538车；</w:t>
            </w:r>
          </w:p>
          <w:p w14:paraId="5145872D">
            <w:pPr>
              <w:spacing w:line="360" w:lineRule="auto"/>
              <w:ind w:firstLine="1200" w:firstLineChars="500"/>
              <w:rPr>
                <w:bCs/>
                <w:color w:val="auto"/>
                <w:sz w:val="24"/>
              </w:rPr>
            </w:pPr>
            <w:r>
              <w:rPr>
                <w:bCs/>
                <w:color w:val="auto"/>
                <w:sz w:val="24"/>
              </w:rPr>
              <w:t>D—单车平均运载量，取20t/车；</w:t>
            </w:r>
          </w:p>
          <w:p w14:paraId="002C2020">
            <w:pPr>
              <w:spacing w:line="360" w:lineRule="auto"/>
              <w:ind w:firstLine="1200" w:firstLineChars="500"/>
              <w:rPr>
                <w:bCs/>
                <w:color w:val="auto"/>
                <w:sz w:val="24"/>
              </w:rPr>
            </w:pPr>
            <w:r>
              <w:rPr>
                <w:bCs/>
                <w:color w:val="auto"/>
                <w:sz w:val="24"/>
              </w:rPr>
              <w:t>a—内蒙古风速概化系数，取0.0017；</w:t>
            </w:r>
          </w:p>
          <w:p w14:paraId="7328E322">
            <w:pPr>
              <w:spacing w:line="360" w:lineRule="auto"/>
              <w:ind w:firstLine="1200" w:firstLineChars="500"/>
              <w:rPr>
                <w:bCs/>
                <w:color w:val="auto"/>
                <w:sz w:val="24"/>
              </w:rPr>
            </w:pPr>
            <w:r>
              <w:rPr>
                <w:bCs/>
                <w:color w:val="auto"/>
                <w:sz w:val="24"/>
              </w:rPr>
              <w:t>b—物料含水率概化系数，取0.00</w:t>
            </w:r>
            <w:r>
              <w:rPr>
                <w:rFonts w:hint="eastAsia"/>
                <w:bCs/>
                <w:color w:val="auto"/>
                <w:sz w:val="24"/>
              </w:rPr>
              <w:t>17</w:t>
            </w:r>
            <w:r>
              <w:rPr>
                <w:bCs/>
                <w:color w:val="auto"/>
                <w:sz w:val="24"/>
              </w:rPr>
              <w:t>；</w:t>
            </w:r>
          </w:p>
          <w:p w14:paraId="09F6081D">
            <w:pPr>
              <w:spacing w:line="360" w:lineRule="auto"/>
              <w:ind w:firstLine="1200" w:firstLineChars="500"/>
              <w:rPr>
                <w:bCs/>
                <w:color w:val="auto"/>
                <w:sz w:val="24"/>
              </w:rPr>
            </w:pPr>
            <w:r>
              <w:rPr>
                <w:bCs/>
                <w:color w:val="auto"/>
                <w:sz w:val="24"/>
              </w:rPr>
              <w:t>Ef—堆场风蚀扬尘概化系数，取3.606kg/m</w:t>
            </w:r>
            <w:r>
              <w:rPr>
                <w:bCs/>
                <w:color w:val="auto"/>
                <w:sz w:val="24"/>
                <w:vertAlign w:val="superscript"/>
              </w:rPr>
              <w:t>2</w:t>
            </w:r>
            <w:r>
              <w:rPr>
                <w:bCs/>
                <w:color w:val="auto"/>
                <w:sz w:val="24"/>
              </w:rPr>
              <w:t>；</w:t>
            </w:r>
          </w:p>
          <w:p w14:paraId="3A1474BF">
            <w:pPr>
              <w:spacing w:line="360" w:lineRule="auto"/>
              <w:ind w:firstLine="1200" w:firstLineChars="500"/>
              <w:rPr>
                <w:bCs/>
                <w:color w:val="auto"/>
                <w:sz w:val="24"/>
              </w:rPr>
            </w:pPr>
            <w:r>
              <w:rPr>
                <w:bCs/>
                <w:color w:val="auto"/>
                <w:sz w:val="24"/>
              </w:rPr>
              <w:t>S—堆场占地面积，取3500m</w:t>
            </w:r>
            <w:r>
              <w:rPr>
                <w:bCs/>
                <w:color w:val="auto"/>
                <w:sz w:val="24"/>
                <w:vertAlign w:val="superscript"/>
              </w:rPr>
              <w:t>2</w:t>
            </w:r>
            <w:r>
              <w:rPr>
                <w:bCs/>
                <w:color w:val="auto"/>
                <w:sz w:val="24"/>
              </w:rPr>
              <w:t>。</w:t>
            </w:r>
          </w:p>
          <w:p w14:paraId="07DA1EF8">
            <w:pPr>
              <w:spacing w:line="360" w:lineRule="auto"/>
              <w:ind w:firstLine="480" w:firstLineChars="200"/>
              <w:rPr>
                <w:bCs/>
                <w:color w:val="auto"/>
                <w:sz w:val="24"/>
              </w:rPr>
            </w:pPr>
            <w:r>
              <w:rPr>
                <w:bCs/>
                <w:color w:val="auto"/>
                <w:sz w:val="24"/>
              </w:rPr>
              <w:t>根据以上公式计算可知原料储存及卸料扬尘颗粒物产生量P为</w:t>
            </w:r>
            <w:r>
              <w:rPr>
                <w:rFonts w:hint="eastAsia"/>
                <w:bCs/>
                <w:color w:val="auto"/>
                <w:sz w:val="24"/>
              </w:rPr>
              <w:t>155.99</w:t>
            </w:r>
            <w:r>
              <w:rPr>
                <w:bCs/>
                <w:color w:val="auto"/>
                <w:sz w:val="24"/>
              </w:rPr>
              <w:t>t。颗粒物排放量按下列公式进行核算：</w:t>
            </w:r>
          </w:p>
          <w:p w14:paraId="55C91CBC">
            <w:pPr>
              <w:spacing w:line="360" w:lineRule="auto"/>
              <w:jc w:val="center"/>
              <w:rPr>
                <w:bCs/>
                <w:color w:val="auto"/>
                <w:sz w:val="24"/>
              </w:rPr>
            </w:pPr>
            <w:r>
              <w:rPr>
                <w:bCs/>
                <w:color w:val="auto"/>
                <w:sz w:val="24"/>
              </w:rPr>
              <w:t>Uc＝P× (1-Cm) × (1-Tm)</w:t>
            </w:r>
            <w:bookmarkStart w:id="11" w:name="_GoBack"/>
            <w:bookmarkEnd w:id="11"/>
          </w:p>
          <w:p w14:paraId="5C369C49">
            <w:pPr>
              <w:spacing w:line="360" w:lineRule="auto"/>
              <w:ind w:firstLine="480" w:firstLineChars="200"/>
              <w:rPr>
                <w:bCs/>
                <w:color w:val="auto"/>
                <w:sz w:val="24"/>
              </w:rPr>
            </w:pPr>
            <w:r>
              <w:rPr>
                <w:bCs/>
                <w:color w:val="auto"/>
                <w:sz w:val="24"/>
              </w:rPr>
              <w:t>式 中：P—颗粒物产生量，t；</w:t>
            </w:r>
          </w:p>
          <w:p w14:paraId="28DF7188">
            <w:pPr>
              <w:spacing w:line="360" w:lineRule="auto"/>
              <w:ind w:firstLine="1200" w:firstLineChars="500"/>
              <w:rPr>
                <w:bCs/>
                <w:color w:val="auto"/>
                <w:sz w:val="24"/>
              </w:rPr>
            </w:pPr>
            <w:r>
              <w:rPr>
                <w:bCs/>
                <w:color w:val="auto"/>
                <w:sz w:val="24"/>
              </w:rPr>
              <w:t>Cm—颗粒物控制措施控制效率，洒水措施取74%；</w:t>
            </w:r>
          </w:p>
          <w:p w14:paraId="77551B5B">
            <w:pPr>
              <w:spacing w:line="360" w:lineRule="auto"/>
              <w:ind w:firstLine="1200" w:firstLineChars="500"/>
              <w:rPr>
                <w:bCs/>
                <w:color w:val="auto"/>
                <w:sz w:val="24"/>
              </w:rPr>
            </w:pPr>
            <w:r>
              <w:rPr>
                <w:bCs/>
                <w:color w:val="auto"/>
                <w:sz w:val="24"/>
              </w:rPr>
              <w:t>Tm—堆场类型控制效率，项目砂石料场为</w:t>
            </w:r>
            <w:r>
              <w:rPr>
                <w:rFonts w:hint="eastAsia"/>
                <w:bCs/>
                <w:color w:val="auto"/>
                <w:sz w:val="24"/>
              </w:rPr>
              <w:t>半</w:t>
            </w:r>
            <w:r>
              <w:rPr>
                <w:bCs/>
                <w:color w:val="auto"/>
                <w:sz w:val="24"/>
              </w:rPr>
              <w:t>敞开式，故取</w:t>
            </w:r>
            <w:r>
              <w:rPr>
                <w:rFonts w:hint="eastAsia"/>
                <w:bCs/>
                <w:color w:val="auto"/>
                <w:sz w:val="24"/>
              </w:rPr>
              <w:t>6</w:t>
            </w:r>
            <w:r>
              <w:rPr>
                <w:bCs/>
                <w:color w:val="auto"/>
                <w:sz w:val="24"/>
              </w:rPr>
              <w:t>0%。</w:t>
            </w:r>
          </w:p>
          <w:p w14:paraId="62ECA777">
            <w:pPr>
              <w:spacing w:line="360" w:lineRule="auto"/>
              <w:ind w:firstLine="480" w:firstLineChars="200"/>
              <w:rPr>
                <w:bCs/>
                <w:color w:val="auto"/>
                <w:sz w:val="24"/>
              </w:rPr>
            </w:pPr>
            <w:r>
              <w:rPr>
                <w:bCs/>
                <w:color w:val="auto"/>
                <w:sz w:val="24"/>
              </w:rPr>
              <w:t>根据以上公式计算可知原料储存及卸料扬尘颗粒物排放量Uc为</w:t>
            </w:r>
            <w:r>
              <w:rPr>
                <w:rFonts w:hint="eastAsia"/>
                <w:bCs/>
                <w:color w:val="auto"/>
                <w:sz w:val="24"/>
              </w:rPr>
              <w:t>16.22</w:t>
            </w:r>
            <w:r>
              <w:rPr>
                <w:bCs/>
                <w:color w:val="auto"/>
                <w:sz w:val="24"/>
              </w:rPr>
              <w:t>t/a，以无组织形式排放。</w:t>
            </w:r>
          </w:p>
          <w:p w14:paraId="38F4CE7F">
            <w:pPr>
              <w:spacing w:line="360" w:lineRule="auto"/>
              <w:ind w:firstLine="482" w:firstLineChars="200"/>
              <w:rPr>
                <w:rFonts w:hint="eastAsia" w:eastAsia="宋体"/>
                <w:b/>
                <w:color w:val="auto"/>
                <w:sz w:val="24"/>
                <w:lang w:eastAsia="zh-CN"/>
              </w:rPr>
            </w:pPr>
            <w:r>
              <w:rPr>
                <w:rFonts w:hint="eastAsia"/>
                <w:b/>
                <w:color w:val="auto"/>
                <w:sz w:val="24"/>
              </w:rPr>
              <w:t>②</w:t>
            </w:r>
            <w:r>
              <w:rPr>
                <w:b/>
                <w:color w:val="auto"/>
                <w:sz w:val="24"/>
              </w:rPr>
              <w:t>水泥</w:t>
            </w:r>
            <w:r>
              <w:rPr>
                <w:rFonts w:hint="eastAsia"/>
                <w:b/>
                <w:color w:val="auto"/>
                <w:sz w:val="24"/>
              </w:rPr>
              <w:t>筒仓呼吸孔粉尘</w:t>
            </w:r>
            <w:r>
              <w:rPr>
                <w:rFonts w:hint="eastAsia"/>
                <w:b/>
                <w:color w:val="auto"/>
                <w:sz w:val="24"/>
                <w:lang w:eastAsia="zh-CN"/>
              </w:rPr>
              <w:t>（</w:t>
            </w:r>
            <w:r>
              <w:rPr>
                <w:b/>
                <w:color w:val="auto"/>
                <w:sz w:val="24"/>
              </w:rPr>
              <w:t>G</w:t>
            </w:r>
            <w:r>
              <w:rPr>
                <w:rFonts w:hint="eastAsia"/>
                <w:b/>
                <w:color w:val="auto"/>
                <w:sz w:val="24"/>
                <w:vertAlign w:val="subscript"/>
              </w:rPr>
              <w:t>2</w:t>
            </w:r>
            <w:r>
              <w:rPr>
                <w:b/>
                <w:color w:val="auto"/>
                <w:sz w:val="24"/>
              </w:rPr>
              <w:t>、G</w:t>
            </w:r>
            <w:r>
              <w:rPr>
                <w:rFonts w:hint="eastAsia"/>
                <w:b/>
                <w:color w:val="auto"/>
                <w:sz w:val="24"/>
                <w:vertAlign w:val="subscript"/>
              </w:rPr>
              <w:t>3</w:t>
            </w:r>
            <w:r>
              <w:rPr>
                <w:b/>
                <w:color w:val="auto"/>
                <w:sz w:val="24"/>
              </w:rPr>
              <w:t>、G</w:t>
            </w:r>
            <w:r>
              <w:rPr>
                <w:rFonts w:hint="eastAsia"/>
                <w:b/>
                <w:color w:val="auto"/>
                <w:sz w:val="24"/>
                <w:vertAlign w:val="subscript"/>
              </w:rPr>
              <w:t>4</w:t>
            </w:r>
            <w:r>
              <w:rPr>
                <w:b/>
                <w:color w:val="auto"/>
                <w:sz w:val="24"/>
              </w:rPr>
              <w:t>、G</w:t>
            </w:r>
            <w:r>
              <w:rPr>
                <w:rFonts w:hint="eastAsia"/>
                <w:b/>
                <w:color w:val="auto"/>
                <w:sz w:val="24"/>
                <w:vertAlign w:val="subscript"/>
              </w:rPr>
              <w:t>5</w:t>
            </w:r>
            <w:r>
              <w:rPr>
                <w:rFonts w:hint="eastAsia"/>
                <w:b/>
                <w:color w:val="auto"/>
                <w:sz w:val="24"/>
                <w:lang w:eastAsia="zh-CN"/>
              </w:rPr>
              <w:t>）</w:t>
            </w:r>
          </w:p>
          <w:p w14:paraId="58ED22B1">
            <w:pPr>
              <w:spacing w:line="360" w:lineRule="auto"/>
              <w:ind w:firstLine="480" w:firstLineChars="200"/>
              <w:rPr>
                <w:bCs/>
                <w:color w:val="auto"/>
                <w:sz w:val="24"/>
              </w:rPr>
            </w:pPr>
            <w:r>
              <w:rPr>
                <w:bCs/>
                <w:color w:val="auto"/>
                <w:sz w:val="24"/>
              </w:rPr>
              <w:t>项目所使用的水泥等粉状原料由密封罐车运至站内，正压送入相应原料筒仓内储存。在输送过程中，伴随着仓内压力的增加，压缩空气会通过仓顶呼吸口释放压力，此时会排放一定量的粉尘。本项目原料中水泥采用筒料仓储存，原料水泥用量为</w:t>
            </w:r>
            <w:r>
              <w:rPr>
                <w:rFonts w:hint="eastAsia"/>
                <w:bCs/>
                <w:color w:val="auto"/>
                <w:sz w:val="24"/>
              </w:rPr>
              <w:t>7</w:t>
            </w:r>
            <w:r>
              <w:rPr>
                <w:bCs/>
                <w:color w:val="auto"/>
                <w:sz w:val="24"/>
              </w:rPr>
              <w:t>000t</w:t>
            </w:r>
            <w:r>
              <w:rPr>
                <w:rFonts w:hint="eastAsia"/>
                <w:bCs/>
                <w:color w:val="auto"/>
                <w:sz w:val="24"/>
              </w:rPr>
              <w:t>。</w:t>
            </w:r>
          </w:p>
          <w:p w14:paraId="1FF1FB19">
            <w:pPr>
              <w:spacing w:line="360" w:lineRule="auto"/>
              <w:ind w:firstLine="480" w:firstLineChars="200"/>
              <w:rPr>
                <w:bCs/>
                <w:color w:val="auto"/>
                <w:sz w:val="24"/>
              </w:rPr>
            </w:pPr>
            <w:r>
              <w:rPr>
                <w:rFonts w:hint="eastAsia"/>
                <w:bCs/>
                <w:color w:val="auto"/>
                <w:sz w:val="24"/>
              </w:rPr>
              <w:t>参照《逸散性工业粉尘控制技术》中第二十二章中“混凝土分批搅拌厂”中的相关标准中储罐排气排放因子为0.12kg/t</w:t>
            </w:r>
            <w:r>
              <w:rPr>
                <w:rFonts w:hint="eastAsia"/>
                <w:bCs/>
                <w:color w:val="auto"/>
                <w:sz w:val="24"/>
                <w:lang w:eastAsia="zh-CN"/>
              </w:rPr>
              <w:t>（</w:t>
            </w:r>
            <w:r>
              <w:rPr>
                <w:rFonts w:hint="eastAsia"/>
                <w:bCs/>
                <w:color w:val="auto"/>
                <w:sz w:val="24"/>
              </w:rPr>
              <w:t>卸料</w:t>
            </w:r>
            <w:r>
              <w:rPr>
                <w:rFonts w:hint="eastAsia"/>
                <w:bCs/>
                <w:color w:val="auto"/>
                <w:sz w:val="24"/>
                <w:lang w:eastAsia="zh-CN"/>
              </w:rPr>
              <w:t>）</w:t>
            </w:r>
            <w:r>
              <w:rPr>
                <w:rFonts w:hint="eastAsia"/>
                <w:bCs/>
                <w:color w:val="auto"/>
                <w:sz w:val="24"/>
              </w:rPr>
              <w:t>进行计算，</w:t>
            </w:r>
            <w:r>
              <w:rPr>
                <w:bCs/>
                <w:color w:val="auto"/>
                <w:sz w:val="24"/>
              </w:rPr>
              <w:t>则水泥输送进入筒料仓过程中粉尘产生量为0.</w:t>
            </w:r>
            <w:r>
              <w:rPr>
                <w:rFonts w:hint="eastAsia"/>
                <w:bCs/>
                <w:color w:val="auto"/>
                <w:sz w:val="24"/>
              </w:rPr>
              <w:t>84</w:t>
            </w:r>
            <w:r>
              <w:rPr>
                <w:bCs/>
                <w:color w:val="auto"/>
                <w:sz w:val="24"/>
              </w:rPr>
              <w:t>t/a，本项目有</w:t>
            </w:r>
            <w:r>
              <w:rPr>
                <w:rFonts w:hint="eastAsia"/>
                <w:bCs/>
                <w:color w:val="auto"/>
                <w:sz w:val="24"/>
              </w:rPr>
              <w:t>4</w:t>
            </w:r>
            <w:r>
              <w:rPr>
                <w:bCs/>
                <w:color w:val="auto"/>
                <w:sz w:val="24"/>
              </w:rPr>
              <w:t>个水泥筒仓，每个水泥筒仓粉尘产生量为0.</w:t>
            </w:r>
            <w:r>
              <w:rPr>
                <w:rFonts w:hint="eastAsia"/>
                <w:bCs/>
                <w:color w:val="auto"/>
                <w:sz w:val="24"/>
              </w:rPr>
              <w:t>21</w:t>
            </w:r>
            <w:r>
              <w:rPr>
                <w:bCs/>
                <w:color w:val="auto"/>
                <w:sz w:val="24"/>
              </w:rPr>
              <w:t>t/a。项目每个筒仓顶自带一台仓顶袋式除尘器，筒仓粉尘经除尘器</w:t>
            </w:r>
            <w:r>
              <w:rPr>
                <w:rFonts w:hint="eastAsia"/>
                <w:bCs/>
                <w:color w:val="auto"/>
                <w:sz w:val="24"/>
                <w:lang w:eastAsia="zh-CN"/>
              </w:rPr>
              <w:t>（</w:t>
            </w:r>
            <w:r>
              <w:rPr>
                <w:bCs/>
                <w:color w:val="auto"/>
                <w:sz w:val="24"/>
              </w:rPr>
              <w:t>处理效率99%</w:t>
            </w:r>
            <w:r>
              <w:rPr>
                <w:rFonts w:hint="eastAsia"/>
                <w:bCs/>
                <w:color w:val="auto"/>
                <w:sz w:val="24"/>
                <w:lang w:eastAsia="zh-CN"/>
              </w:rPr>
              <w:t>）</w:t>
            </w:r>
            <w:r>
              <w:rPr>
                <w:bCs/>
                <w:color w:val="auto"/>
                <w:sz w:val="24"/>
              </w:rPr>
              <w:t>，处理后由仓顶排气口</w:t>
            </w:r>
            <w:r>
              <w:rPr>
                <w:rFonts w:hint="eastAsia"/>
                <w:bCs/>
                <w:color w:val="auto"/>
                <w:sz w:val="24"/>
                <w:lang w:eastAsia="zh-CN"/>
              </w:rPr>
              <w:t>（</w:t>
            </w:r>
            <w:r>
              <w:rPr>
                <w:bCs/>
                <w:color w:val="auto"/>
                <w:sz w:val="24"/>
              </w:rPr>
              <w:t>高15m</w:t>
            </w:r>
            <w:r>
              <w:rPr>
                <w:rFonts w:hint="eastAsia"/>
                <w:bCs/>
                <w:color w:val="auto"/>
                <w:sz w:val="24"/>
                <w:lang w:eastAsia="zh-CN"/>
              </w:rPr>
              <w:t>）</w:t>
            </w:r>
            <w:r>
              <w:rPr>
                <w:bCs/>
                <w:color w:val="auto"/>
                <w:sz w:val="24"/>
              </w:rPr>
              <w:t>排放，除尘器风机设计处理风量均为3000m</w:t>
            </w:r>
            <w:r>
              <w:rPr>
                <w:bCs/>
                <w:color w:val="auto"/>
                <w:sz w:val="24"/>
                <w:vertAlign w:val="superscript"/>
              </w:rPr>
              <w:t>3</w:t>
            </w:r>
            <w:r>
              <w:rPr>
                <w:bCs/>
                <w:color w:val="auto"/>
                <w:sz w:val="24"/>
              </w:rPr>
              <w:t>/h。本项目水泥年用量为</w:t>
            </w:r>
            <w:r>
              <w:rPr>
                <w:rFonts w:hint="eastAsia"/>
                <w:bCs/>
                <w:color w:val="auto"/>
                <w:sz w:val="24"/>
              </w:rPr>
              <w:t>7</w:t>
            </w:r>
            <w:r>
              <w:rPr>
                <w:bCs/>
                <w:color w:val="auto"/>
                <w:sz w:val="24"/>
              </w:rPr>
              <w:t>000t/a每辆散装水泥罐车可装原料20t，全年水泥运输、装料3</w:t>
            </w:r>
            <w:r>
              <w:rPr>
                <w:rFonts w:hint="eastAsia"/>
                <w:bCs/>
                <w:color w:val="auto"/>
                <w:sz w:val="24"/>
              </w:rPr>
              <w:t>5</w:t>
            </w:r>
            <w:r>
              <w:rPr>
                <w:bCs/>
                <w:color w:val="auto"/>
                <w:sz w:val="24"/>
              </w:rPr>
              <w:t>0次。每装完一车原料的时间约为0.5h，则全年水泥装罐时间为</w:t>
            </w:r>
            <w:r>
              <w:rPr>
                <w:rFonts w:hint="eastAsia"/>
                <w:bCs/>
                <w:color w:val="auto"/>
                <w:sz w:val="24"/>
              </w:rPr>
              <w:t>175</w:t>
            </w:r>
            <w:r>
              <w:rPr>
                <w:bCs/>
                <w:color w:val="auto"/>
                <w:sz w:val="24"/>
              </w:rPr>
              <w:t>h</w:t>
            </w:r>
            <w:r>
              <w:rPr>
                <w:rFonts w:hint="eastAsia"/>
                <w:bCs/>
                <w:color w:val="auto"/>
                <w:sz w:val="24"/>
              </w:rPr>
              <w:t>，每个</w:t>
            </w:r>
            <w:r>
              <w:rPr>
                <w:bCs/>
                <w:color w:val="auto"/>
                <w:sz w:val="24"/>
              </w:rPr>
              <w:t>水泥</w:t>
            </w:r>
            <w:r>
              <w:rPr>
                <w:rFonts w:hint="eastAsia"/>
                <w:bCs/>
                <w:color w:val="auto"/>
                <w:sz w:val="24"/>
              </w:rPr>
              <w:t>罐</w:t>
            </w:r>
            <w:r>
              <w:rPr>
                <w:bCs/>
                <w:color w:val="auto"/>
                <w:sz w:val="24"/>
              </w:rPr>
              <w:t>装罐时间为</w:t>
            </w:r>
            <w:r>
              <w:rPr>
                <w:rFonts w:hint="eastAsia"/>
                <w:bCs/>
                <w:color w:val="auto"/>
                <w:sz w:val="24"/>
              </w:rPr>
              <w:t>43.75</w:t>
            </w:r>
            <w:r>
              <w:rPr>
                <w:bCs/>
                <w:color w:val="auto"/>
                <w:sz w:val="24"/>
              </w:rPr>
              <w:t>h。则每座水泥筒仓粉尘排放量为0.00</w:t>
            </w:r>
            <w:r>
              <w:rPr>
                <w:rFonts w:hint="eastAsia"/>
                <w:bCs/>
                <w:color w:val="auto"/>
                <w:sz w:val="24"/>
              </w:rPr>
              <w:t>21</w:t>
            </w:r>
            <w:r>
              <w:rPr>
                <w:bCs/>
                <w:color w:val="auto"/>
                <w:sz w:val="24"/>
              </w:rPr>
              <w:t>t/a，排放速率为0.0</w:t>
            </w:r>
            <w:r>
              <w:rPr>
                <w:rFonts w:hint="eastAsia"/>
                <w:bCs/>
                <w:color w:val="auto"/>
                <w:sz w:val="24"/>
              </w:rPr>
              <w:t>48</w:t>
            </w:r>
            <w:r>
              <w:rPr>
                <w:bCs/>
                <w:color w:val="auto"/>
                <w:sz w:val="24"/>
              </w:rPr>
              <w:t>kg/h，排放浓度</w:t>
            </w:r>
            <w:r>
              <w:rPr>
                <w:rFonts w:hint="eastAsia"/>
                <w:bCs/>
                <w:color w:val="auto"/>
                <w:sz w:val="24"/>
              </w:rPr>
              <w:t>16</w:t>
            </w:r>
            <w:r>
              <w:rPr>
                <w:bCs/>
                <w:color w:val="auto"/>
                <w:sz w:val="24"/>
              </w:rPr>
              <w:t>mg/m</w:t>
            </w:r>
            <w:r>
              <w:rPr>
                <w:bCs/>
                <w:color w:val="auto"/>
                <w:sz w:val="24"/>
                <w:vertAlign w:val="superscript"/>
              </w:rPr>
              <w:t>3</w:t>
            </w:r>
            <w:r>
              <w:rPr>
                <w:bCs/>
                <w:color w:val="auto"/>
                <w:sz w:val="24"/>
              </w:rPr>
              <w:t>。</w:t>
            </w:r>
          </w:p>
          <w:p w14:paraId="347CF6B1">
            <w:pPr>
              <w:spacing w:line="360" w:lineRule="auto"/>
              <w:ind w:firstLine="482" w:firstLineChars="200"/>
              <w:rPr>
                <w:rFonts w:hint="eastAsia" w:eastAsia="宋体"/>
                <w:b/>
                <w:color w:val="auto"/>
                <w:sz w:val="24"/>
                <w:lang w:eastAsia="zh-CN"/>
              </w:rPr>
            </w:pPr>
            <w:r>
              <w:rPr>
                <w:rFonts w:hint="eastAsia"/>
                <w:b/>
                <w:color w:val="auto"/>
                <w:sz w:val="24"/>
              </w:rPr>
              <w:t>③</w:t>
            </w:r>
            <w:r>
              <w:rPr>
                <w:b/>
                <w:color w:val="auto"/>
                <w:sz w:val="24"/>
              </w:rPr>
              <w:t>配料输送粉尘</w:t>
            </w:r>
            <w:r>
              <w:rPr>
                <w:rFonts w:hint="eastAsia"/>
                <w:b/>
                <w:color w:val="auto"/>
                <w:sz w:val="24"/>
                <w:lang w:eastAsia="zh-CN"/>
              </w:rPr>
              <w:t>（</w:t>
            </w:r>
            <w:r>
              <w:rPr>
                <w:b/>
                <w:color w:val="auto"/>
                <w:sz w:val="24"/>
              </w:rPr>
              <w:t>G</w:t>
            </w:r>
            <w:r>
              <w:rPr>
                <w:rFonts w:hint="eastAsia"/>
                <w:b/>
                <w:color w:val="auto"/>
                <w:sz w:val="24"/>
                <w:vertAlign w:val="subscript"/>
              </w:rPr>
              <w:t>6</w:t>
            </w:r>
            <w:r>
              <w:rPr>
                <w:rFonts w:hint="eastAsia"/>
                <w:b/>
                <w:color w:val="auto"/>
                <w:sz w:val="24"/>
                <w:lang w:eastAsia="zh-CN"/>
              </w:rPr>
              <w:t>）</w:t>
            </w:r>
          </w:p>
          <w:p w14:paraId="174AC965">
            <w:pPr>
              <w:spacing w:line="360" w:lineRule="auto"/>
              <w:ind w:firstLine="480" w:firstLineChars="200"/>
              <w:rPr>
                <w:bCs/>
                <w:color w:val="auto"/>
                <w:sz w:val="24"/>
              </w:rPr>
            </w:pPr>
            <w:r>
              <w:rPr>
                <w:bCs/>
                <w:color w:val="auto"/>
                <w:sz w:val="24"/>
              </w:rPr>
              <w:t>本项目砂石原料利用装载机由砂石堆存运至上料仓，项目砂、石提升以输送带输送方式完成，出料口密闭接入搅拌站</w:t>
            </w:r>
            <w:r>
              <w:rPr>
                <w:rFonts w:hint="eastAsia"/>
                <w:bCs/>
                <w:color w:val="auto"/>
                <w:sz w:val="24"/>
              </w:rPr>
              <w:t>；</w:t>
            </w:r>
            <w:r>
              <w:rPr>
                <w:bCs/>
                <w:color w:val="auto"/>
                <w:sz w:val="24"/>
              </w:rPr>
              <w:t>本项目水泥储存于立式圆形封闭</w:t>
            </w:r>
            <w:r>
              <w:rPr>
                <w:rFonts w:hint="eastAsia"/>
                <w:bCs/>
                <w:color w:val="auto"/>
                <w:sz w:val="24"/>
              </w:rPr>
              <w:t>筒仓，</w:t>
            </w:r>
            <w:r>
              <w:rPr>
                <w:bCs/>
                <w:color w:val="auto"/>
                <w:sz w:val="24"/>
              </w:rPr>
              <w:t>出料口密闭接入搅拌站</w:t>
            </w:r>
            <w:r>
              <w:rPr>
                <w:rFonts w:hint="eastAsia"/>
                <w:bCs/>
                <w:color w:val="auto"/>
                <w:sz w:val="24"/>
              </w:rPr>
              <w:t>。</w:t>
            </w:r>
            <w:r>
              <w:rPr>
                <w:bCs/>
                <w:color w:val="auto"/>
                <w:sz w:val="24"/>
              </w:rPr>
              <w:t>根据《</w:t>
            </w:r>
            <w:r>
              <w:rPr>
                <w:color w:val="auto"/>
                <w:kern w:val="0"/>
                <w:sz w:val="24"/>
                <w:lang w:bidi="ar"/>
              </w:rPr>
              <w:t>排放源统计调查产排污核算方法和系数手册3021</w:t>
            </w:r>
            <w:r>
              <w:rPr>
                <w:bCs/>
                <w:color w:val="auto"/>
                <w:sz w:val="24"/>
              </w:rPr>
              <w:t>水泥制品制造</w:t>
            </w:r>
            <w:r>
              <w:rPr>
                <w:rFonts w:hint="eastAsia"/>
                <w:bCs/>
                <w:color w:val="auto"/>
                <w:sz w:val="24"/>
                <w:lang w:eastAsia="zh-CN"/>
              </w:rPr>
              <w:t>（</w:t>
            </w:r>
            <w:r>
              <w:rPr>
                <w:bCs/>
                <w:color w:val="auto"/>
                <w:sz w:val="24"/>
              </w:rPr>
              <w:t>含3022砼结构构件制造、3029其他水泥类似制品制造</w:t>
            </w:r>
            <w:r>
              <w:rPr>
                <w:rFonts w:hint="eastAsia"/>
                <w:bCs/>
                <w:color w:val="auto"/>
                <w:sz w:val="24"/>
                <w:lang w:eastAsia="zh-CN"/>
              </w:rPr>
              <w:t>）</w:t>
            </w:r>
            <w:r>
              <w:rPr>
                <w:bCs/>
                <w:color w:val="auto"/>
                <w:sz w:val="24"/>
              </w:rPr>
              <w:t>行业系数手册》中混凝土制品</w:t>
            </w:r>
            <w:r>
              <w:rPr>
                <w:rFonts w:hint="eastAsia"/>
                <w:bCs/>
                <w:color w:val="auto"/>
                <w:sz w:val="24"/>
                <w:lang w:eastAsia="zh-CN"/>
              </w:rPr>
              <w:t>（</w:t>
            </w:r>
            <w:r>
              <w:rPr>
                <w:bCs/>
                <w:color w:val="auto"/>
                <w:sz w:val="24"/>
              </w:rPr>
              <w:t>水泥</w:t>
            </w:r>
            <w:r>
              <w:rPr>
                <w:rFonts w:hint="eastAsia"/>
                <w:bCs/>
                <w:color w:val="auto"/>
                <w:sz w:val="24"/>
              </w:rPr>
              <w:t>、砂子、石子等</w:t>
            </w:r>
            <w:r>
              <w:rPr>
                <w:rFonts w:hint="eastAsia"/>
                <w:bCs/>
                <w:color w:val="auto"/>
                <w:sz w:val="24"/>
                <w:lang w:eastAsia="zh-CN"/>
              </w:rPr>
              <w:t>）</w:t>
            </w:r>
            <w:r>
              <w:rPr>
                <w:bCs/>
                <w:color w:val="auto"/>
                <w:sz w:val="24"/>
              </w:rPr>
              <w:t>物料输送储存粉尘产污系数为0.12kg/t-产品，本项目混凝土及水泥稳定土产量合计为14万t，则粉尘产生量为16.8t/a。本环评要求输送带密闭，上料口三面封闭，上方设置喷淋装置，可有效遏制粉尘的扩散</w:t>
            </w:r>
            <w:r>
              <w:rPr>
                <w:rFonts w:hint="eastAsia"/>
                <w:bCs/>
                <w:color w:val="auto"/>
                <w:sz w:val="24"/>
              </w:rPr>
              <w:t>。洒水抑尘率为74%，围挡抑尘率为60%，综合除尘率为89</w:t>
            </w:r>
            <w:r>
              <w:rPr>
                <w:bCs/>
                <w:color w:val="auto"/>
                <w:sz w:val="24"/>
              </w:rPr>
              <w:t>%</w:t>
            </w:r>
            <w:r>
              <w:rPr>
                <w:rFonts w:hint="eastAsia"/>
                <w:bCs/>
                <w:color w:val="auto"/>
                <w:sz w:val="24"/>
              </w:rPr>
              <w:t>左右</w:t>
            </w:r>
            <w:r>
              <w:rPr>
                <w:bCs/>
                <w:color w:val="auto"/>
                <w:sz w:val="24"/>
              </w:rPr>
              <w:t>，可有效减少配料过程粉尘的无组织排放，无组织排放量约为</w:t>
            </w:r>
            <w:r>
              <w:rPr>
                <w:rFonts w:hint="eastAsia"/>
                <w:bCs/>
                <w:color w:val="auto"/>
                <w:sz w:val="24"/>
              </w:rPr>
              <w:t>1.85</w:t>
            </w:r>
            <w:r>
              <w:rPr>
                <w:bCs/>
                <w:color w:val="auto"/>
                <w:sz w:val="24"/>
              </w:rPr>
              <w:t>t/a。</w:t>
            </w:r>
          </w:p>
          <w:p w14:paraId="3A631189">
            <w:pPr>
              <w:spacing w:line="360" w:lineRule="auto"/>
              <w:ind w:firstLine="482" w:firstLineChars="200"/>
              <w:rPr>
                <w:rFonts w:hint="eastAsia" w:eastAsia="宋体"/>
                <w:b/>
                <w:color w:val="auto"/>
                <w:sz w:val="24"/>
                <w:lang w:eastAsia="zh-CN"/>
              </w:rPr>
            </w:pPr>
            <w:r>
              <w:rPr>
                <w:rFonts w:hint="eastAsia"/>
                <w:b/>
                <w:color w:val="auto"/>
                <w:sz w:val="24"/>
                <w:lang w:eastAsia="zh-CN"/>
              </w:rPr>
              <w:t>（</w:t>
            </w:r>
            <w:r>
              <w:rPr>
                <w:rFonts w:hint="eastAsia"/>
                <w:b/>
                <w:color w:val="auto"/>
                <w:sz w:val="24"/>
              </w:rPr>
              <w:t>2</w:t>
            </w:r>
            <w:r>
              <w:rPr>
                <w:rFonts w:hint="eastAsia"/>
                <w:b/>
                <w:color w:val="auto"/>
                <w:sz w:val="24"/>
                <w:lang w:eastAsia="zh-CN"/>
              </w:rPr>
              <w:t>）</w:t>
            </w:r>
            <w:r>
              <w:rPr>
                <w:b/>
                <w:color w:val="auto"/>
                <w:sz w:val="24"/>
              </w:rPr>
              <w:t>物料混合搅拌粉尘</w:t>
            </w:r>
            <w:r>
              <w:rPr>
                <w:rFonts w:hint="eastAsia"/>
                <w:b/>
                <w:color w:val="auto"/>
                <w:sz w:val="24"/>
                <w:lang w:eastAsia="zh-CN"/>
              </w:rPr>
              <w:t>（</w:t>
            </w:r>
            <w:r>
              <w:rPr>
                <w:b/>
                <w:color w:val="auto"/>
                <w:sz w:val="24"/>
              </w:rPr>
              <w:t>G</w:t>
            </w:r>
            <w:r>
              <w:rPr>
                <w:rFonts w:hint="eastAsia"/>
                <w:b/>
                <w:color w:val="auto"/>
                <w:sz w:val="24"/>
                <w:vertAlign w:val="subscript"/>
              </w:rPr>
              <w:t>7</w:t>
            </w:r>
            <w:r>
              <w:rPr>
                <w:rFonts w:hint="eastAsia"/>
                <w:b/>
                <w:color w:val="auto"/>
                <w:sz w:val="24"/>
                <w:lang w:eastAsia="zh-CN"/>
              </w:rPr>
              <w:t>）</w:t>
            </w:r>
          </w:p>
          <w:p w14:paraId="6076BD09">
            <w:pPr>
              <w:spacing w:line="360" w:lineRule="auto"/>
              <w:ind w:firstLine="480" w:firstLineChars="200"/>
              <w:rPr>
                <w:bCs/>
                <w:color w:val="auto"/>
                <w:sz w:val="24"/>
              </w:rPr>
            </w:pPr>
            <w:r>
              <w:rPr>
                <w:bCs/>
                <w:color w:val="auto"/>
                <w:sz w:val="24"/>
              </w:rPr>
              <w:t>项目混凝土生产线、水稳料生产线分别建设封闭式搅拌机组，根据《排放源统计调查产排污核算方法和系数手册3021水泥制品制造</w:t>
            </w:r>
            <w:r>
              <w:rPr>
                <w:rFonts w:hint="eastAsia"/>
                <w:bCs/>
                <w:color w:val="auto"/>
                <w:sz w:val="24"/>
                <w:lang w:eastAsia="zh-CN"/>
              </w:rPr>
              <w:t>（</w:t>
            </w:r>
            <w:r>
              <w:rPr>
                <w:bCs/>
                <w:color w:val="auto"/>
                <w:sz w:val="24"/>
              </w:rPr>
              <w:t>含3022砼结构构件制造、3029其他水泥类似制品制造</w:t>
            </w:r>
            <w:r>
              <w:rPr>
                <w:rFonts w:hint="eastAsia"/>
                <w:bCs/>
                <w:color w:val="auto"/>
                <w:sz w:val="24"/>
                <w:lang w:eastAsia="zh-CN"/>
              </w:rPr>
              <w:t>）</w:t>
            </w:r>
            <w:r>
              <w:rPr>
                <w:bCs/>
                <w:color w:val="auto"/>
                <w:sz w:val="24"/>
              </w:rPr>
              <w:t>行业系数手册》中搅拌过程的产污系数为0.13kg/t-产品，本项目混凝土及水泥稳定土产量合计为14万t，则粉尘产生量为18.2t/a。</w:t>
            </w:r>
          </w:p>
          <w:p w14:paraId="267C21BF">
            <w:pPr>
              <w:spacing w:line="360" w:lineRule="auto"/>
              <w:ind w:firstLine="480" w:firstLineChars="200"/>
              <w:rPr>
                <w:bCs/>
                <w:color w:val="auto"/>
                <w:sz w:val="24"/>
              </w:rPr>
            </w:pPr>
            <w:r>
              <w:rPr>
                <w:rFonts w:hint="eastAsia"/>
                <w:bCs/>
                <w:color w:val="auto"/>
                <w:sz w:val="24"/>
              </w:rPr>
              <w:t>本项目搅拌机组均配备脉冲布袋除尘器进行环保除尘，末端治理效率为99%</w:t>
            </w:r>
            <w:r>
              <w:rPr>
                <w:rFonts w:hint="eastAsia"/>
                <w:bCs/>
                <w:color w:val="auto"/>
                <w:sz w:val="24"/>
                <w:lang w:eastAsia="zh-CN"/>
              </w:rPr>
              <w:t>。</w:t>
            </w:r>
            <w:r>
              <w:rPr>
                <w:rFonts w:hint="eastAsia"/>
                <w:bCs/>
                <w:color w:val="auto"/>
                <w:sz w:val="24"/>
              </w:rPr>
              <w:t>布袋除尘器设排气口，无排气筒，为无组织废气。经计算本项目搅拌废气颗粒物排放量为0.18t/a</w:t>
            </w:r>
            <w:r>
              <w:rPr>
                <w:bCs/>
                <w:color w:val="auto"/>
                <w:sz w:val="24"/>
              </w:rPr>
              <w:t>。</w:t>
            </w:r>
          </w:p>
          <w:p w14:paraId="63AF755D">
            <w:pPr>
              <w:spacing w:line="360" w:lineRule="auto"/>
              <w:ind w:firstLine="482" w:firstLineChars="200"/>
              <w:rPr>
                <w:rFonts w:hint="eastAsia" w:eastAsia="宋体"/>
                <w:b/>
                <w:color w:val="auto"/>
                <w:sz w:val="24"/>
                <w:lang w:eastAsia="zh-CN"/>
              </w:rPr>
            </w:pPr>
            <w:r>
              <w:rPr>
                <w:rFonts w:hint="eastAsia"/>
                <w:b/>
                <w:color w:val="auto"/>
                <w:sz w:val="24"/>
                <w:lang w:eastAsia="zh-CN"/>
              </w:rPr>
              <w:t>（</w:t>
            </w:r>
            <w:r>
              <w:rPr>
                <w:rFonts w:hint="eastAsia"/>
                <w:b/>
                <w:color w:val="auto"/>
                <w:sz w:val="24"/>
              </w:rPr>
              <w:t>3</w:t>
            </w:r>
            <w:r>
              <w:rPr>
                <w:rFonts w:hint="eastAsia"/>
                <w:b/>
                <w:color w:val="auto"/>
                <w:sz w:val="24"/>
                <w:lang w:eastAsia="zh-CN"/>
              </w:rPr>
              <w:t>）</w:t>
            </w:r>
            <w:r>
              <w:rPr>
                <w:b/>
                <w:color w:val="auto"/>
                <w:sz w:val="24"/>
              </w:rPr>
              <w:t>运输车辆动力起尘</w:t>
            </w:r>
            <w:r>
              <w:rPr>
                <w:rFonts w:hint="eastAsia"/>
                <w:b/>
                <w:color w:val="auto"/>
                <w:sz w:val="24"/>
                <w:lang w:eastAsia="zh-CN"/>
              </w:rPr>
              <w:t>（</w:t>
            </w:r>
            <w:r>
              <w:rPr>
                <w:b/>
                <w:color w:val="auto"/>
                <w:sz w:val="24"/>
              </w:rPr>
              <w:t>G</w:t>
            </w:r>
            <w:r>
              <w:rPr>
                <w:rFonts w:hint="eastAsia"/>
                <w:b/>
                <w:color w:val="auto"/>
                <w:sz w:val="24"/>
                <w:vertAlign w:val="subscript"/>
              </w:rPr>
              <w:t>8</w:t>
            </w:r>
            <w:r>
              <w:rPr>
                <w:rFonts w:hint="eastAsia"/>
                <w:b/>
                <w:color w:val="auto"/>
                <w:sz w:val="24"/>
                <w:lang w:eastAsia="zh-CN"/>
              </w:rPr>
              <w:t>）</w:t>
            </w:r>
          </w:p>
          <w:p w14:paraId="6ECB0EE0">
            <w:pPr>
              <w:spacing w:line="360" w:lineRule="auto"/>
              <w:ind w:firstLine="480" w:firstLineChars="200"/>
              <w:rPr>
                <w:bCs/>
                <w:color w:val="auto"/>
                <w:sz w:val="24"/>
              </w:rPr>
            </w:pPr>
            <w:r>
              <w:rPr>
                <w:bCs/>
                <w:color w:val="auto"/>
                <w:sz w:val="24"/>
              </w:rPr>
              <w:t>本项目运输采用汽运，因此在运输过程中会产生一定量的运输扬尘。厂区内定时洒水；厂区配备高压水枪设备对驶出车辆进行冲洗清洁；厂区有保洁人员及时对散落的物料进行清扫收集，可有效减少运输扬尘的产生。</w:t>
            </w:r>
          </w:p>
          <w:p w14:paraId="4D4FB551">
            <w:pPr>
              <w:adjustRightInd w:val="0"/>
              <w:snapToGrid w:val="0"/>
              <w:spacing w:line="360" w:lineRule="auto"/>
              <w:jc w:val="center"/>
              <w:rPr>
                <w:b/>
                <w:color w:val="auto"/>
                <w:sz w:val="24"/>
              </w:rPr>
            </w:pPr>
            <w:r>
              <w:rPr>
                <w:b/>
                <w:color w:val="auto"/>
                <w:sz w:val="24"/>
              </w:rPr>
              <w:t>表4-1 废气污染物产排污情况及处理措施一览表</w:t>
            </w:r>
          </w:p>
          <w:tbl>
            <w:tblPr>
              <w:tblStyle w:val="16"/>
              <w:tblW w:w="822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383"/>
              <w:gridCol w:w="344"/>
              <w:gridCol w:w="1029"/>
              <w:gridCol w:w="583"/>
              <w:gridCol w:w="640"/>
              <w:gridCol w:w="640"/>
              <w:gridCol w:w="607"/>
              <w:gridCol w:w="621"/>
              <w:gridCol w:w="1170"/>
              <w:gridCol w:w="741"/>
              <w:gridCol w:w="733"/>
              <w:gridCol w:w="731"/>
            </w:tblGrid>
            <w:tr w14:paraId="300970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756" w:type="dxa"/>
                  <w:gridSpan w:val="3"/>
                  <w:vMerge w:val="restart"/>
                  <w:vAlign w:val="center"/>
                </w:tcPr>
                <w:p w14:paraId="31EF617B">
                  <w:pPr>
                    <w:adjustRightInd w:val="0"/>
                    <w:snapToGrid w:val="0"/>
                    <w:jc w:val="center"/>
                    <w:rPr>
                      <w:b/>
                      <w:color w:val="auto"/>
                      <w:kern w:val="0"/>
                      <w:szCs w:val="21"/>
                    </w:rPr>
                  </w:pPr>
                  <w:r>
                    <w:rPr>
                      <w:b/>
                      <w:color w:val="auto"/>
                      <w:kern w:val="0"/>
                      <w:szCs w:val="21"/>
                    </w:rPr>
                    <w:t>污染源强</w:t>
                  </w:r>
                </w:p>
              </w:tc>
              <w:tc>
                <w:tcPr>
                  <w:tcW w:w="583" w:type="dxa"/>
                  <w:vMerge w:val="restart"/>
                  <w:vAlign w:val="center"/>
                </w:tcPr>
                <w:p w14:paraId="73CE4F6D">
                  <w:pPr>
                    <w:adjustRightInd w:val="0"/>
                    <w:snapToGrid w:val="0"/>
                    <w:jc w:val="center"/>
                    <w:rPr>
                      <w:b/>
                      <w:color w:val="auto"/>
                      <w:kern w:val="0"/>
                      <w:szCs w:val="21"/>
                    </w:rPr>
                  </w:pPr>
                  <w:r>
                    <w:rPr>
                      <w:b/>
                      <w:color w:val="auto"/>
                      <w:kern w:val="0"/>
                      <w:szCs w:val="21"/>
                    </w:rPr>
                    <w:t>污染物</w:t>
                  </w:r>
                </w:p>
              </w:tc>
              <w:tc>
                <w:tcPr>
                  <w:tcW w:w="1280" w:type="dxa"/>
                  <w:gridSpan w:val="2"/>
                  <w:vAlign w:val="center"/>
                </w:tcPr>
                <w:p w14:paraId="39E5E47E">
                  <w:pPr>
                    <w:adjustRightInd w:val="0"/>
                    <w:snapToGrid w:val="0"/>
                    <w:jc w:val="center"/>
                    <w:rPr>
                      <w:b/>
                      <w:color w:val="auto"/>
                      <w:kern w:val="0"/>
                      <w:szCs w:val="21"/>
                    </w:rPr>
                  </w:pPr>
                  <w:r>
                    <w:rPr>
                      <w:b/>
                      <w:color w:val="auto"/>
                      <w:kern w:val="0"/>
                      <w:szCs w:val="21"/>
                    </w:rPr>
                    <w:t>污染物产生情况</w:t>
                  </w:r>
                </w:p>
              </w:tc>
              <w:tc>
                <w:tcPr>
                  <w:tcW w:w="607" w:type="dxa"/>
                  <w:vMerge w:val="restart"/>
                  <w:vAlign w:val="center"/>
                </w:tcPr>
                <w:p w14:paraId="13690B42">
                  <w:pPr>
                    <w:adjustRightInd w:val="0"/>
                    <w:snapToGrid w:val="0"/>
                    <w:jc w:val="center"/>
                    <w:rPr>
                      <w:b/>
                      <w:color w:val="auto"/>
                      <w:kern w:val="0"/>
                      <w:szCs w:val="21"/>
                    </w:rPr>
                  </w:pPr>
                  <w:r>
                    <w:rPr>
                      <w:b/>
                      <w:color w:val="auto"/>
                      <w:kern w:val="0"/>
                      <w:szCs w:val="21"/>
                    </w:rPr>
                    <w:t>风量</w:t>
                  </w:r>
                </w:p>
                <w:p w14:paraId="4CBD73E4">
                  <w:pPr>
                    <w:adjustRightInd w:val="0"/>
                    <w:snapToGrid w:val="0"/>
                    <w:jc w:val="center"/>
                    <w:rPr>
                      <w:b/>
                      <w:color w:val="auto"/>
                      <w:kern w:val="0"/>
                      <w:szCs w:val="21"/>
                    </w:rPr>
                  </w:pPr>
                  <w:r>
                    <w:rPr>
                      <w:b/>
                      <w:color w:val="auto"/>
                      <w:kern w:val="0"/>
                      <w:szCs w:val="21"/>
                    </w:rPr>
                    <w:t>m</w:t>
                  </w:r>
                  <w:r>
                    <w:rPr>
                      <w:b/>
                      <w:color w:val="auto"/>
                      <w:kern w:val="0"/>
                      <w:szCs w:val="21"/>
                      <w:vertAlign w:val="superscript"/>
                    </w:rPr>
                    <w:t>3</w:t>
                  </w:r>
                  <w:r>
                    <w:rPr>
                      <w:b/>
                      <w:color w:val="auto"/>
                      <w:kern w:val="0"/>
                      <w:szCs w:val="21"/>
                    </w:rPr>
                    <w:t>/h</w:t>
                  </w:r>
                </w:p>
              </w:tc>
              <w:tc>
                <w:tcPr>
                  <w:tcW w:w="621" w:type="dxa"/>
                  <w:vMerge w:val="restart"/>
                  <w:vAlign w:val="center"/>
                </w:tcPr>
                <w:p w14:paraId="019269DF">
                  <w:pPr>
                    <w:adjustRightInd w:val="0"/>
                    <w:snapToGrid w:val="0"/>
                    <w:jc w:val="center"/>
                    <w:rPr>
                      <w:b/>
                      <w:color w:val="auto"/>
                      <w:kern w:val="0"/>
                      <w:szCs w:val="21"/>
                    </w:rPr>
                  </w:pPr>
                  <w:r>
                    <w:rPr>
                      <w:b/>
                      <w:color w:val="auto"/>
                      <w:kern w:val="0"/>
                      <w:szCs w:val="21"/>
                    </w:rPr>
                    <w:t>排放</w:t>
                  </w:r>
                </w:p>
                <w:p w14:paraId="03FA06F4">
                  <w:pPr>
                    <w:adjustRightInd w:val="0"/>
                    <w:snapToGrid w:val="0"/>
                    <w:jc w:val="center"/>
                    <w:rPr>
                      <w:b/>
                      <w:color w:val="auto"/>
                      <w:kern w:val="0"/>
                      <w:szCs w:val="21"/>
                    </w:rPr>
                  </w:pPr>
                  <w:r>
                    <w:rPr>
                      <w:b/>
                      <w:color w:val="auto"/>
                      <w:kern w:val="0"/>
                      <w:szCs w:val="21"/>
                    </w:rPr>
                    <w:t>形式</w:t>
                  </w:r>
                </w:p>
              </w:tc>
              <w:tc>
                <w:tcPr>
                  <w:tcW w:w="1170" w:type="dxa"/>
                  <w:vMerge w:val="restart"/>
                  <w:vAlign w:val="center"/>
                </w:tcPr>
                <w:p w14:paraId="3C3DBD9B">
                  <w:pPr>
                    <w:adjustRightInd w:val="0"/>
                    <w:snapToGrid w:val="0"/>
                    <w:jc w:val="center"/>
                    <w:rPr>
                      <w:b/>
                      <w:color w:val="auto"/>
                      <w:kern w:val="0"/>
                      <w:szCs w:val="21"/>
                    </w:rPr>
                  </w:pPr>
                  <w:r>
                    <w:rPr>
                      <w:b/>
                      <w:color w:val="auto"/>
                      <w:kern w:val="0"/>
                      <w:szCs w:val="21"/>
                    </w:rPr>
                    <w:t>污染防治措施</w:t>
                  </w:r>
                </w:p>
              </w:tc>
              <w:tc>
                <w:tcPr>
                  <w:tcW w:w="2205" w:type="dxa"/>
                  <w:gridSpan w:val="3"/>
                  <w:vAlign w:val="center"/>
                </w:tcPr>
                <w:p w14:paraId="1ECB14FB">
                  <w:pPr>
                    <w:adjustRightInd w:val="0"/>
                    <w:snapToGrid w:val="0"/>
                    <w:jc w:val="center"/>
                    <w:rPr>
                      <w:b/>
                      <w:color w:val="auto"/>
                      <w:kern w:val="0"/>
                      <w:szCs w:val="21"/>
                    </w:rPr>
                  </w:pPr>
                  <w:r>
                    <w:rPr>
                      <w:b/>
                      <w:color w:val="auto"/>
                      <w:kern w:val="0"/>
                      <w:szCs w:val="21"/>
                    </w:rPr>
                    <w:t>污染物排放情况</w:t>
                  </w:r>
                </w:p>
              </w:tc>
            </w:tr>
            <w:tr w14:paraId="6CFD3A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756" w:type="dxa"/>
                  <w:gridSpan w:val="3"/>
                  <w:vMerge w:val="continue"/>
                  <w:vAlign w:val="center"/>
                </w:tcPr>
                <w:p w14:paraId="6ACB3DE3">
                  <w:pPr>
                    <w:adjustRightInd w:val="0"/>
                    <w:snapToGrid w:val="0"/>
                    <w:jc w:val="center"/>
                    <w:rPr>
                      <w:b/>
                      <w:color w:val="auto"/>
                      <w:kern w:val="0"/>
                      <w:szCs w:val="21"/>
                    </w:rPr>
                  </w:pPr>
                </w:p>
              </w:tc>
              <w:tc>
                <w:tcPr>
                  <w:tcW w:w="583" w:type="dxa"/>
                  <w:vMerge w:val="continue"/>
                  <w:vAlign w:val="center"/>
                </w:tcPr>
                <w:p w14:paraId="3DE277C6">
                  <w:pPr>
                    <w:adjustRightInd w:val="0"/>
                    <w:snapToGrid w:val="0"/>
                    <w:jc w:val="center"/>
                    <w:rPr>
                      <w:b/>
                      <w:color w:val="auto"/>
                      <w:kern w:val="0"/>
                      <w:szCs w:val="21"/>
                    </w:rPr>
                  </w:pPr>
                </w:p>
              </w:tc>
              <w:tc>
                <w:tcPr>
                  <w:tcW w:w="640" w:type="dxa"/>
                  <w:vAlign w:val="center"/>
                </w:tcPr>
                <w:p w14:paraId="45E9CD87">
                  <w:pPr>
                    <w:adjustRightInd w:val="0"/>
                    <w:snapToGrid w:val="0"/>
                    <w:jc w:val="center"/>
                    <w:rPr>
                      <w:b/>
                      <w:color w:val="auto"/>
                      <w:kern w:val="0"/>
                      <w:szCs w:val="21"/>
                    </w:rPr>
                  </w:pPr>
                  <w:r>
                    <w:rPr>
                      <w:b/>
                      <w:color w:val="auto"/>
                      <w:kern w:val="0"/>
                      <w:szCs w:val="21"/>
                    </w:rPr>
                    <w:t>产生</w:t>
                  </w:r>
                </w:p>
                <w:p w14:paraId="64324678">
                  <w:pPr>
                    <w:adjustRightInd w:val="0"/>
                    <w:snapToGrid w:val="0"/>
                    <w:jc w:val="center"/>
                    <w:rPr>
                      <w:b/>
                      <w:color w:val="auto"/>
                      <w:kern w:val="0"/>
                      <w:szCs w:val="21"/>
                    </w:rPr>
                  </w:pPr>
                  <w:r>
                    <w:rPr>
                      <w:b/>
                      <w:color w:val="auto"/>
                      <w:kern w:val="0"/>
                      <w:szCs w:val="21"/>
                    </w:rPr>
                    <w:t>量t/a</w:t>
                  </w:r>
                </w:p>
              </w:tc>
              <w:tc>
                <w:tcPr>
                  <w:tcW w:w="640" w:type="dxa"/>
                  <w:vAlign w:val="center"/>
                </w:tcPr>
                <w:p w14:paraId="13DE10FC">
                  <w:pPr>
                    <w:adjustRightInd w:val="0"/>
                    <w:snapToGrid w:val="0"/>
                    <w:jc w:val="center"/>
                    <w:rPr>
                      <w:b/>
                      <w:color w:val="auto"/>
                      <w:kern w:val="0"/>
                      <w:szCs w:val="21"/>
                    </w:rPr>
                  </w:pPr>
                  <w:r>
                    <w:rPr>
                      <w:b/>
                      <w:color w:val="auto"/>
                      <w:kern w:val="0"/>
                      <w:szCs w:val="21"/>
                    </w:rPr>
                    <w:t>浓度</w:t>
                  </w:r>
                </w:p>
                <w:p w14:paraId="6E2DAB3F">
                  <w:pPr>
                    <w:adjustRightInd w:val="0"/>
                    <w:snapToGrid w:val="0"/>
                    <w:jc w:val="center"/>
                    <w:rPr>
                      <w:b/>
                      <w:color w:val="auto"/>
                      <w:kern w:val="0"/>
                      <w:szCs w:val="21"/>
                    </w:rPr>
                  </w:pPr>
                  <w:r>
                    <w:rPr>
                      <w:b/>
                      <w:color w:val="auto"/>
                      <w:kern w:val="0"/>
                      <w:szCs w:val="21"/>
                    </w:rPr>
                    <w:t>mg/m</w:t>
                  </w:r>
                  <w:r>
                    <w:rPr>
                      <w:b/>
                      <w:color w:val="auto"/>
                      <w:kern w:val="0"/>
                      <w:szCs w:val="21"/>
                      <w:vertAlign w:val="superscript"/>
                    </w:rPr>
                    <w:t>3</w:t>
                  </w:r>
                </w:p>
              </w:tc>
              <w:tc>
                <w:tcPr>
                  <w:tcW w:w="607" w:type="dxa"/>
                  <w:vMerge w:val="continue"/>
                  <w:vAlign w:val="center"/>
                </w:tcPr>
                <w:p w14:paraId="67521A49">
                  <w:pPr>
                    <w:adjustRightInd w:val="0"/>
                    <w:snapToGrid w:val="0"/>
                    <w:jc w:val="center"/>
                    <w:rPr>
                      <w:b/>
                      <w:color w:val="auto"/>
                      <w:kern w:val="0"/>
                      <w:szCs w:val="21"/>
                    </w:rPr>
                  </w:pPr>
                </w:p>
              </w:tc>
              <w:tc>
                <w:tcPr>
                  <w:tcW w:w="621" w:type="dxa"/>
                  <w:vMerge w:val="continue"/>
                  <w:vAlign w:val="center"/>
                </w:tcPr>
                <w:p w14:paraId="019D07B8">
                  <w:pPr>
                    <w:adjustRightInd w:val="0"/>
                    <w:snapToGrid w:val="0"/>
                    <w:jc w:val="center"/>
                    <w:rPr>
                      <w:b/>
                      <w:color w:val="auto"/>
                      <w:kern w:val="0"/>
                      <w:szCs w:val="21"/>
                    </w:rPr>
                  </w:pPr>
                </w:p>
              </w:tc>
              <w:tc>
                <w:tcPr>
                  <w:tcW w:w="1170" w:type="dxa"/>
                  <w:vMerge w:val="continue"/>
                  <w:vAlign w:val="center"/>
                </w:tcPr>
                <w:p w14:paraId="21B14EF7">
                  <w:pPr>
                    <w:adjustRightInd w:val="0"/>
                    <w:snapToGrid w:val="0"/>
                    <w:jc w:val="center"/>
                    <w:rPr>
                      <w:b/>
                      <w:color w:val="auto"/>
                      <w:kern w:val="0"/>
                      <w:szCs w:val="21"/>
                    </w:rPr>
                  </w:pPr>
                </w:p>
              </w:tc>
              <w:tc>
                <w:tcPr>
                  <w:tcW w:w="741" w:type="dxa"/>
                  <w:vAlign w:val="center"/>
                </w:tcPr>
                <w:p w14:paraId="673278BD">
                  <w:pPr>
                    <w:adjustRightInd w:val="0"/>
                    <w:snapToGrid w:val="0"/>
                    <w:jc w:val="center"/>
                    <w:rPr>
                      <w:b/>
                      <w:color w:val="auto"/>
                      <w:kern w:val="0"/>
                      <w:szCs w:val="21"/>
                    </w:rPr>
                  </w:pPr>
                  <w:r>
                    <w:rPr>
                      <w:b/>
                      <w:color w:val="auto"/>
                      <w:kern w:val="0"/>
                      <w:szCs w:val="21"/>
                    </w:rPr>
                    <w:t>排放</w:t>
                  </w:r>
                </w:p>
                <w:p w14:paraId="40A30870">
                  <w:pPr>
                    <w:adjustRightInd w:val="0"/>
                    <w:snapToGrid w:val="0"/>
                    <w:jc w:val="center"/>
                    <w:rPr>
                      <w:b/>
                      <w:color w:val="auto"/>
                      <w:kern w:val="0"/>
                      <w:szCs w:val="21"/>
                    </w:rPr>
                  </w:pPr>
                  <w:r>
                    <w:rPr>
                      <w:b/>
                      <w:color w:val="auto"/>
                      <w:kern w:val="0"/>
                      <w:szCs w:val="21"/>
                    </w:rPr>
                    <w:t>量t/a</w:t>
                  </w:r>
                </w:p>
              </w:tc>
              <w:tc>
                <w:tcPr>
                  <w:tcW w:w="733" w:type="dxa"/>
                  <w:vAlign w:val="center"/>
                </w:tcPr>
                <w:p w14:paraId="0C85C65F">
                  <w:pPr>
                    <w:adjustRightInd w:val="0"/>
                    <w:snapToGrid w:val="0"/>
                    <w:jc w:val="center"/>
                    <w:rPr>
                      <w:b/>
                      <w:color w:val="auto"/>
                      <w:kern w:val="0"/>
                      <w:szCs w:val="21"/>
                    </w:rPr>
                  </w:pPr>
                  <w:r>
                    <w:rPr>
                      <w:b/>
                      <w:color w:val="auto"/>
                      <w:kern w:val="0"/>
                      <w:szCs w:val="21"/>
                    </w:rPr>
                    <w:t>速率</w:t>
                  </w:r>
                </w:p>
                <w:p w14:paraId="60BDAF94">
                  <w:pPr>
                    <w:adjustRightInd w:val="0"/>
                    <w:snapToGrid w:val="0"/>
                    <w:jc w:val="center"/>
                    <w:rPr>
                      <w:b/>
                      <w:color w:val="auto"/>
                      <w:kern w:val="0"/>
                      <w:szCs w:val="21"/>
                    </w:rPr>
                  </w:pPr>
                  <w:r>
                    <w:rPr>
                      <w:b/>
                      <w:color w:val="auto"/>
                      <w:kern w:val="0"/>
                      <w:szCs w:val="21"/>
                    </w:rPr>
                    <w:t>kg/h</w:t>
                  </w:r>
                </w:p>
              </w:tc>
              <w:tc>
                <w:tcPr>
                  <w:tcW w:w="731" w:type="dxa"/>
                  <w:vAlign w:val="center"/>
                </w:tcPr>
                <w:p w14:paraId="138F80C7">
                  <w:pPr>
                    <w:adjustRightInd w:val="0"/>
                    <w:snapToGrid w:val="0"/>
                    <w:jc w:val="center"/>
                    <w:rPr>
                      <w:b/>
                      <w:color w:val="auto"/>
                      <w:kern w:val="0"/>
                      <w:szCs w:val="21"/>
                    </w:rPr>
                  </w:pPr>
                  <w:r>
                    <w:rPr>
                      <w:b/>
                      <w:color w:val="auto"/>
                      <w:kern w:val="0"/>
                      <w:szCs w:val="21"/>
                    </w:rPr>
                    <w:t>浓度</w:t>
                  </w:r>
                </w:p>
                <w:p w14:paraId="3727A9DD">
                  <w:pPr>
                    <w:adjustRightInd w:val="0"/>
                    <w:snapToGrid w:val="0"/>
                    <w:jc w:val="center"/>
                    <w:rPr>
                      <w:b/>
                      <w:color w:val="auto"/>
                      <w:kern w:val="0"/>
                      <w:szCs w:val="21"/>
                    </w:rPr>
                  </w:pPr>
                  <w:r>
                    <w:rPr>
                      <w:b/>
                      <w:color w:val="auto"/>
                      <w:kern w:val="0"/>
                      <w:szCs w:val="21"/>
                    </w:rPr>
                    <w:t>mg/m</w:t>
                  </w:r>
                  <w:r>
                    <w:rPr>
                      <w:b/>
                      <w:color w:val="auto"/>
                      <w:kern w:val="0"/>
                      <w:szCs w:val="21"/>
                      <w:vertAlign w:val="superscript"/>
                    </w:rPr>
                    <w:t>3</w:t>
                  </w:r>
                </w:p>
              </w:tc>
            </w:tr>
            <w:tr w14:paraId="68696A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83" w:type="dxa"/>
                  <w:vAlign w:val="center"/>
                </w:tcPr>
                <w:p w14:paraId="3EAF4F1C">
                  <w:pPr>
                    <w:adjustRightInd w:val="0"/>
                    <w:snapToGrid w:val="0"/>
                    <w:jc w:val="center"/>
                    <w:rPr>
                      <w:color w:val="auto"/>
                      <w:kern w:val="0"/>
                      <w:szCs w:val="21"/>
                    </w:rPr>
                  </w:pPr>
                  <w:r>
                    <w:rPr>
                      <w:rFonts w:eastAsia="等线"/>
                      <w:color w:val="auto"/>
                      <w:szCs w:val="21"/>
                    </w:rPr>
                    <w:t>G</w:t>
                  </w:r>
                  <w:r>
                    <w:rPr>
                      <w:rFonts w:eastAsia="等线"/>
                      <w:color w:val="auto"/>
                      <w:szCs w:val="21"/>
                      <w:vertAlign w:val="subscript"/>
                    </w:rPr>
                    <w:t>1</w:t>
                  </w:r>
                </w:p>
              </w:tc>
              <w:tc>
                <w:tcPr>
                  <w:tcW w:w="344" w:type="dxa"/>
                  <w:vMerge w:val="restart"/>
                  <w:vAlign w:val="center"/>
                </w:tcPr>
                <w:p w14:paraId="0C0936A7">
                  <w:pPr>
                    <w:adjustRightInd w:val="0"/>
                    <w:snapToGrid w:val="0"/>
                    <w:jc w:val="center"/>
                    <w:rPr>
                      <w:color w:val="auto"/>
                      <w:szCs w:val="21"/>
                    </w:rPr>
                  </w:pPr>
                  <w:r>
                    <w:rPr>
                      <w:rFonts w:hint="eastAsia"/>
                      <w:color w:val="auto"/>
                      <w:szCs w:val="21"/>
                    </w:rPr>
                    <w:t>物料输送储存粉尘</w:t>
                  </w:r>
                </w:p>
              </w:tc>
              <w:tc>
                <w:tcPr>
                  <w:tcW w:w="1029" w:type="dxa"/>
                  <w:vAlign w:val="center"/>
                </w:tcPr>
                <w:p w14:paraId="26D43DC0">
                  <w:pPr>
                    <w:adjustRightInd w:val="0"/>
                    <w:snapToGrid w:val="0"/>
                    <w:jc w:val="center"/>
                    <w:rPr>
                      <w:color w:val="auto"/>
                      <w:szCs w:val="21"/>
                    </w:rPr>
                  </w:pPr>
                  <w:r>
                    <w:rPr>
                      <w:color w:val="auto"/>
                      <w:szCs w:val="21"/>
                    </w:rPr>
                    <w:t>砂子、碎石堆存装卸粉尘</w:t>
                  </w:r>
                </w:p>
              </w:tc>
              <w:tc>
                <w:tcPr>
                  <w:tcW w:w="583" w:type="dxa"/>
                  <w:vAlign w:val="center"/>
                </w:tcPr>
                <w:p w14:paraId="01994B50">
                  <w:pPr>
                    <w:adjustRightInd w:val="0"/>
                    <w:snapToGrid w:val="0"/>
                    <w:jc w:val="center"/>
                    <w:rPr>
                      <w:color w:val="auto"/>
                      <w:szCs w:val="21"/>
                    </w:rPr>
                  </w:pPr>
                  <w:r>
                    <w:rPr>
                      <w:color w:val="auto"/>
                      <w:szCs w:val="21"/>
                    </w:rPr>
                    <w:t>颗粒物</w:t>
                  </w:r>
                </w:p>
              </w:tc>
              <w:tc>
                <w:tcPr>
                  <w:tcW w:w="640" w:type="dxa"/>
                  <w:vAlign w:val="center"/>
                </w:tcPr>
                <w:p w14:paraId="4A2BBB21">
                  <w:pPr>
                    <w:adjustRightInd w:val="0"/>
                    <w:snapToGrid w:val="0"/>
                    <w:jc w:val="center"/>
                    <w:rPr>
                      <w:color w:val="auto"/>
                      <w:szCs w:val="21"/>
                    </w:rPr>
                  </w:pPr>
                  <w:r>
                    <w:rPr>
                      <w:rFonts w:hint="eastAsia"/>
                      <w:color w:val="auto"/>
                      <w:szCs w:val="21"/>
                    </w:rPr>
                    <w:t>155.99</w:t>
                  </w:r>
                </w:p>
              </w:tc>
              <w:tc>
                <w:tcPr>
                  <w:tcW w:w="640" w:type="dxa"/>
                  <w:vAlign w:val="center"/>
                </w:tcPr>
                <w:p w14:paraId="6CEC5DE6">
                  <w:pPr>
                    <w:adjustRightInd w:val="0"/>
                    <w:snapToGrid w:val="0"/>
                    <w:jc w:val="center"/>
                    <w:rPr>
                      <w:color w:val="auto"/>
                      <w:szCs w:val="21"/>
                    </w:rPr>
                  </w:pPr>
                  <w:r>
                    <w:rPr>
                      <w:color w:val="auto"/>
                      <w:szCs w:val="21"/>
                    </w:rPr>
                    <w:t>/</w:t>
                  </w:r>
                </w:p>
              </w:tc>
              <w:tc>
                <w:tcPr>
                  <w:tcW w:w="607" w:type="dxa"/>
                  <w:vAlign w:val="center"/>
                </w:tcPr>
                <w:p w14:paraId="599B8308">
                  <w:pPr>
                    <w:adjustRightInd w:val="0"/>
                    <w:snapToGrid w:val="0"/>
                    <w:jc w:val="center"/>
                    <w:rPr>
                      <w:color w:val="auto"/>
                      <w:szCs w:val="21"/>
                    </w:rPr>
                  </w:pPr>
                  <w:r>
                    <w:rPr>
                      <w:color w:val="auto"/>
                      <w:szCs w:val="21"/>
                    </w:rPr>
                    <w:t>/</w:t>
                  </w:r>
                </w:p>
              </w:tc>
              <w:tc>
                <w:tcPr>
                  <w:tcW w:w="621" w:type="dxa"/>
                  <w:vAlign w:val="center"/>
                </w:tcPr>
                <w:p w14:paraId="6903AFCB">
                  <w:pPr>
                    <w:adjustRightInd w:val="0"/>
                    <w:snapToGrid w:val="0"/>
                    <w:jc w:val="center"/>
                    <w:rPr>
                      <w:color w:val="auto"/>
                      <w:szCs w:val="21"/>
                    </w:rPr>
                  </w:pPr>
                  <w:r>
                    <w:rPr>
                      <w:color w:val="auto"/>
                      <w:szCs w:val="21"/>
                    </w:rPr>
                    <w:t>无组织</w:t>
                  </w:r>
                </w:p>
              </w:tc>
              <w:tc>
                <w:tcPr>
                  <w:tcW w:w="1170" w:type="dxa"/>
                  <w:vAlign w:val="center"/>
                </w:tcPr>
                <w:p w14:paraId="24296873">
                  <w:pPr>
                    <w:adjustRightInd w:val="0"/>
                    <w:snapToGrid w:val="0"/>
                    <w:jc w:val="center"/>
                    <w:rPr>
                      <w:rFonts w:hint="eastAsia" w:eastAsia="宋体"/>
                      <w:color w:val="auto"/>
                      <w:szCs w:val="21"/>
                      <w:lang w:eastAsia="zh-CN"/>
                    </w:rPr>
                  </w:pPr>
                  <w:r>
                    <w:rPr>
                      <w:color w:val="auto"/>
                      <w:szCs w:val="21"/>
                    </w:rPr>
                    <w:t>砂石料场</w:t>
                  </w:r>
                  <w:r>
                    <w:rPr>
                      <w:rFonts w:hint="eastAsia"/>
                      <w:color w:val="auto"/>
                      <w:szCs w:val="21"/>
                    </w:rPr>
                    <w:t>三面挡墙、</w:t>
                  </w:r>
                  <w:r>
                    <w:rPr>
                      <w:color w:val="auto"/>
                      <w:szCs w:val="21"/>
                    </w:rPr>
                    <w:t>密目网苫盖、洒水抑尘</w:t>
                  </w:r>
                  <w:r>
                    <w:rPr>
                      <w:rFonts w:hint="eastAsia"/>
                      <w:color w:val="auto"/>
                      <w:szCs w:val="21"/>
                      <w:lang w:eastAsia="zh-CN"/>
                    </w:rPr>
                    <w:t>（</w:t>
                  </w:r>
                  <w:r>
                    <w:rPr>
                      <w:bCs/>
                      <w:color w:val="auto"/>
                      <w:szCs w:val="21"/>
                    </w:rPr>
                    <w:t>除尘效率</w:t>
                  </w:r>
                  <w:r>
                    <w:rPr>
                      <w:rFonts w:hint="eastAsia"/>
                      <w:color w:val="auto"/>
                      <w:szCs w:val="21"/>
                    </w:rPr>
                    <w:t>89</w:t>
                  </w:r>
                  <w:r>
                    <w:rPr>
                      <w:color w:val="auto"/>
                      <w:szCs w:val="21"/>
                    </w:rPr>
                    <w:t>%</w:t>
                  </w:r>
                  <w:r>
                    <w:rPr>
                      <w:rFonts w:hint="eastAsia"/>
                      <w:color w:val="auto"/>
                      <w:szCs w:val="21"/>
                      <w:lang w:eastAsia="zh-CN"/>
                    </w:rPr>
                    <w:t>）</w:t>
                  </w:r>
                </w:p>
              </w:tc>
              <w:tc>
                <w:tcPr>
                  <w:tcW w:w="741" w:type="dxa"/>
                  <w:vAlign w:val="center"/>
                </w:tcPr>
                <w:p w14:paraId="26E2658D">
                  <w:pPr>
                    <w:adjustRightInd w:val="0"/>
                    <w:snapToGrid w:val="0"/>
                    <w:jc w:val="center"/>
                    <w:rPr>
                      <w:color w:val="auto"/>
                      <w:szCs w:val="21"/>
                    </w:rPr>
                  </w:pPr>
                  <w:r>
                    <w:rPr>
                      <w:rFonts w:hint="eastAsia"/>
                      <w:color w:val="auto"/>
                      <w:szCs w:val="21"/>
                    </w:rPr>
                    <w:t>16.22</w:t>
                  </w:r>
                </w:p>
              </w:tc>
              <w:tc>
                <w:tcPr>
                  <w:tcW w:w="733" w:type="dxa"/>
                  <w:vAlign w:val="center"/>
                </w:tcPr>
                <w:p w14:paraId="4245FF1C">
                  <w:pPr>
                    <w:adjustRightInd w:val="0"/>
                    <w:snapToGrid w:val="0"/>
                    <w:jc w:val="center"/>
                    <w:rPr>
                      <w:color w:val="auto"/>
                      <w:kern w:val="0"/>
                      <w:szCs w:val="21"/>
                    </w:rPr>
                  </w:pPr>
                  <w:r>
                    <w:rPr>
                      <w:rFonts w:hint="eastAsia" w:eastAsia="等线"/>
                      <w:color w:val="auto"/>
                      <w:szCs w:val="21"/>
                    </w:rPr>
                    <w:t>3.22</w:t>
                  </w:r>
                </w:p>
              </w:tc>
              <w:tc>
                <w:tcPr>
                  <w:tcW w:w="731" w:type="dxa"/>
                  <w:vAlign w:val="center"/>
                </w:tcPr>
                <w:p w14:paraId="1F6C56D3">
                  <w:pPr>
                    <w:adjustRightInd w:val="0"/>
                    <w:snapToGrid w:val="0"/>
                    <w:jc w:val="center"/>
                    <w:rPr>
                      <w:color w:val="auto"/>
                      <w:kern w:val="0"/>
                      <w:szCs w:val="21"/>
                    </w:rPr>
                  </w:pPr>
                  <w:r>
                    <w:rPr>
                      <w:rFonts w:eastAsia="等线"/>
                      <w:color w:val="auto"/>
                      <w:szCs w:val="21"/>
                    </w:rPr>
                    <w:t>/</w:t>
                  </w:r>
                </w:p>
              </w:tc>
            </w:tr>
            <w:tr w14:paraId="648472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83" w:type="dxa"/>
                  <w:vAlign w:val="center"/>
                </w:tcPr>
                <w:p w14:paraId="499FEB66">
                  <w:pPr>
                    <w:adjustRightInd w:val="0"/>
                    <w:snapToGrid w:val="0"/>
                    <w:jc w:val="center"/>
                    <w:rPr>
                      <w:rFonts w:eastAsia="等线"/>
                      <w:color w:val="auto"/>
                      <w:szCs w:val="21"/>
                    </w:rPr>
                  </w:pPr>
                  <w:r>
                    <w:rPr>
                      <w:rFonts w:eastAsia="等线"/>
                      <w:color w:val="auto"/>
                      <w:szCs w:val="21"/>
                    </w:rPr>
                    <w:t>G</w:t>
                  </w:r>
                  <w:r>
                    <w:rPr>
                      <w:rFonts w:eastAsia="等线"/>
                      <w:color w:val="auto"/>
                      <w:szCs w:val="21"/>
                      <w:vertAlign w:val="subscript"/>
                    </w:rPr>
                    <w:t>2</w:t>
                  </w:r>
                </w:p>
              </w:tc>
              <w:tc>
                <w:tcPr>
                  <w:tcW w:w="344" w:type="dxa"/>
                  <w:vMerge w:val="continue"/>
                  <w:vAlign w:val="center"/>
                </w:tcPr>
                <w:p w14:paraId="242AB52D">
                  <w:pPr>
                    <w:adjustRightInd w:val="0"/>
                    <w:snapToGrid w:val="0"/>
                    <w:jc w:val="center"/>
                    <w:rPr>
                      <w:color w:val="auto"/>
                      <w:szCs w:val="21"/>
                    </w:rPr>
                  </w:pPr>
                </w:p>
              </w:tc>
              <w:tc>
                <w:tcPr>
                  <w:tcW w:w="1029" w:type="dxa"/>
                  <w:vAlign w:val="center"/>
                </w:tcPr>
                <w:p w14:paraId="0A7D3940">
                  <w:pPr>
                    <w:adjustRightInd w:val="0"/>
                    <w:snapToGrid w:val="0"/>
                    <w:jc w:val="center"/>
                    <w:rPr>
                      <w:color w:val="auto"/>
                      <w:szCs w:val="21"/>
                    </w:rPr>
                  </w:pPr>
                  <w:r>
                    <w:rPr>
                      <w:rFonts w:hint="eastAsia"/>
                      <w:color w:val="auto"/>
                      <w:szCs w:val="21"/>
                    </w:rPr>
                    <w:t>1#</w:t>
                  </w:r>
                  <w:r>
                    <w:rPr>
                      <w:color w:val="auto"/>
                      <w:szCs w:val="21"/>
                    </w:rPr>
                    <w:t>水泥</w:t>
                  </w:r>
                  <w:r>
                    <w:rPr>
                      <w:rFonts w:hint="eastAsia"/>
                      <w:color w:val="auto"/>
                      <w:szCs w:val="21"/>
                    </w:rPr>
                    <w:t>筒仓呼吸孔粉尘</w:t>
                  </w:r>
                </w:p>
              </w:tc>
              <w:tc>
                <w:tcPr>
                  <w:tcW w:w="583" w:type="dxa"/>
                  <w:vAlign w:val="center"/>
                </w:tcPr>
                <w:p w14:paraId="79DFA938">
                  <w:pPr>
                    <w:adjustRightInd w:val="0"/>
                    <w:snapToGrid w:val="0"/>
                    <w:jc w:val="center"/>
                    <w:rPr>
                      <w:color w:val="auto"/>
                      <w:szCs w:val="21"/>
                    </w:rPr>
                  </w:pPr>
                  <w:r>
                    <w:rPr>
                      <w:color w:val="auto"/>
                      <w:szCs w:val="21"/>
                    </w:rPr>
                    <w:t>颗粒物</w:t>
                  </w:r>
                </w:p>
              </w:tc>
              <w:tc>
                <w:tcPr>
                  <w:tcW w:w="640" w:type="dxa"/>
                  <w:vAlign w:val="center"/>
                </w:tcPr>
                <w:p w14:paraId="2227165B">
                  <w:pPr>
                    <w:adjustRightInd w:val="0"/>
                    <w:snapToGrid w:val="0"/>
                    <w:jc w:val="center"/>
                    <w:rPr>
                      <w:color w:val="auto"/>
                      <w:szCs w:val="21"/>
                    </w:rPr>
                  </w:pPr>
                  <w:r>
                    <w:rPr>
                      <w:color w:val="auto"/>
                      <w:szCs w:val="21"/>
                    </w:rPr>
                    <w:t>0.</w:t>
                  </w:r>
                  <w:r>
                    <w:rPr>
                      <w:rFonts w:hint="eastAsia"/>
                      <w:color w:val="auto"/>
                      <w:szCs w:val="21"/>
                    </w:rPr>
                    <w:t>21</w:t>
                  </w:r>
                </w:p>
              </w:tc>
              <w:tc>
                <w:tcPr>
                  <w:tcW w:w="640" w:type="dxa"/>
                  <w:vAlign w:val="center"/>
                </w:tcPr>
                <w:p w14:paraId="4E75F0FF">
                  <w:pPr>
                    <w:adjustRightInd w:val="0"/>
                    <w:snapToGrid w:val="0"/>
                    <w:jc w:val="center"/>
                    <w:rPr>
                      <w:color w:val="auto"/>
                      <w:szCs w:val="21"/>
                    </w:rPr>
                  </w:pPr>
                  <w:r>
                    <w:rPr>
                      <w:rFonts w:eastAsia="等线"/>
                      <w:color w:val="auto"/>
                      <w:sz w:val="22"/>
                      <w:szCs w:val="22"/>
                    </w:rPr>
                    <w:t>1600</w:t>
                  </w:r>
                </w:p>
              </w:tc>
              <w:tc>
                <w:tcPr>
                  <w:tcW w:w="607" w:type="dxa"/>
                  <w:vAlign w:val="center"/>
                </w:tcPr>
                <w:p w14:paraId="059938C6">
                  <w:pPr>
                    <w:adjustRightInd w:val="0"/>
                    <w:snapToGrid w:val="0"/>
                    <w:jc w:val="center"/>
                    <w:rPr>
                      <w:color w:val="auto"/>
                      <w:szCs w:val="21"/>
                    </w:rPr>
                  </w:pPr>
                  <w:r>
                    <w:rPr>
                      <w:rFonts w:eastAsia="等线"/>
                      <w:color w:val="auto"/>
                      <w:sz w:val="22"/>
                      <w:szCs w:val="22"/>
                    </w:rPr>
                    <w:t>3000</w:t>
                  </w:r>
                </w:p>
              </w:tc>
              <w:tc>
                <w:tcPr>
                  <w:tcW w:w="621" w:type="dxa"/>
                  <w:vAlign w:val="center"/>
                </w:tcPr>
                <w:p w14:paraId="04AE2B6B">
                  <w:pPr>
                    <w:adjustRightInd w:val="0"/>
                    <w:snapToGrid w:val="0"/>
                    <w:jc w:val="center"/>
                    <w:rPr>
                      <w:color w:val="auto"/>
                      <w:szCs w:val="21"/>
                    </w:rPr>
                  </w:pPr>
                  <w:r>
                    <w:rPr>
                      <w:color w:val="auto"/>
                      <w:szCs w:val="21"/>
                    </w:rPr>
                    <w:t>有组织</w:t>
                  </w:r>
                </w:p>
              </w:tc>
              <w:tc>
                <w:tcPr>
                  <w:tcW w:w="1170" w:type="dxa"/>
                  <w:vMerge w:val="restart"/>
                  <w:vAlign w:val="center"/>
                </w:tcPr>
                <w:p w14:paraId="639C69BF">
                  <w:pPr>
                    <w:adjustRightInd w:val="0"/>
                    <w:snapToGrid w:val="0"/>
                    <w:jc w:val="center"/>
                    <w:rPr>
                      <w:color w:val="auto"/>
                      <w:szCs w:val="21"/>
                    </w:rPr>
                  </w:pPr>
                  <w:r>
                    <w:rPr>
                      <w:color w:val="auto"/>
                      <w:szCs w:val="21"/>
                    </w:rPr>
                    <w:t>筒仓顶自带仓顶袋式除尘器</w:t>
                  </w:r>
                  <w:r>
                    <w:rPr>
                      <w:rFonts w:hint="eastAsia"/>
                      <w:bCs/>
                      <w:color w:val="auto"/>
                      <w:szCs w:val="21"/>
                      <w:lang w:eastAsia="zh-CN"/>
                    </w:rPr>
                    <w:t>（</w:t>
                  </w:r>
                  <w:r>
                    <w:rPr>
                      <w:rFonts w:hint="eastAsia"/>
                      <w:bCs/>
                      <w:color w:val="auto"/>
                      <w:szCs w:val="21"/>
                    </w:rPr>
                    <w:t>除尘</w:t>
                  </w:r>
                  <w:r>
                    <w:rPr>
                      <w:bCs/>
                      <w:color w:val="auto"/>
                      <w:szCs w:val="21"/>
                    </w:rPr>
                    <w:t>效率99%</w:t>
                  </w:r>
                  <w:r>
                    <w:rPr>
                      <w:rFonts w:hint="eastAsia"/>
                      <w:color w:val="auto"/>
                      <w:szCs w:val="21"/>
                      <w:lang w:eastAsia="zh-CN"/>
                    </w:rPr>
                    <w:t>）</w:t>
                  </w:r>
                  <w:r>
                    <w:rPr>
                      <w:color w:val="auto"/>
                      <w:szCs w:val="21"/>
                    </w:rPr>
                    <w:t>+15m排气口</w:t>
                  </w:r>
                </w:p>
              </w:tc>
              <w:tc>
                <w:tcPr>
                  <w:tcW w:w="741" w:type="dxa"/>
                  <w:vAlign w:val="center"/>
                </w:tcPr>
                <w:p w14:paraId="289B1D28">
                  <w:pPr>
                    <w:adjustRightInd w:val="0"/>
                    <w:snapToGrid w:val="0"/>
                    <w:jc w:val="center"/>
                    <w:rPr>
                      <w:rFonts w:eastAsia="等线"/>
                      <w:color w:val="auto"/>
                      <w:sz w:val="22"/>
                      <w:szCs w:val="22"/>
                    </w:rPr>
                  </w:pPr>
                  <w:r>
                    <w:rPr>
                      <w:rFonts w:hint="eastAsia" w:eastAsia="等线"/>
                      <w:color w:val="auto"/>
                      <w:sz w:val="22"/>
                      <w:szCs w:val="22"/>
                    </w:rPr>
                    <w:t>0.0021</w:t>
                  </w:r>
                </w:p>
              </w:tc>
              <w:tc>
                <w:tcPr>
                  <w:tcW w:w="733" w:type="dxa"/>
                  <w:vAlign w:val="center"/>
                </w:tcPr>
                <w:p w14:paraId="1B3065FD">
                  <w:pPr>
                    <w:adjustRightInd w:val="0"/>
                    <w:snapToGrid w:val="0"/>
                    <w:jc w:val="center"/>
                    <w:rPr>
                      <w:rFonts w:eastAsia="等线"/>
                      <w:color w:val="auto"/>
                      <w:szCs w:val="21"/>
                    </w:rPr>
                  </w:pPr>
                  <w:r>
                    <w:rPr>
                      <w:rFonts w:eastAsia="等线"/>
                      <w:color w:val="auto"/>
                      <w:sz w:val="22"/>
                      <w:szCs w:val="22"/>
                    </w:rPr>
                    <w:t>0.048</w:t>
                  </w:r>
                </w:p>
              </w:tc>
              <w:tc>
                <w:tcPr>
                  <w:tcW w:w="731" w:type="dxa"/>
                  <w:vAlign w:val="center"/>
                </w:tcPr>
                <w:p w14:paraId="3AD4FF96">
                  <w:pPr>
                    <w:adjustRightInd w:val="0"/>
                    <w:snapToGrid w:val="0"/>
                    <w:jc w:val="center"/>
                    <w:rPr>
                      <w:rFonts w:eastAsia="等线"/>
                      <w:color w:val="auto"/>
                      <w:szCs w:val="21"/>
                    </w:rPr>
                  </w:pPr>
                  <w:r>
                    <w:rPr>
                      <w:rFonts w:eastAsia="等线"/>
                      <w:color w:val="auto"/>
                      <w:sz w:val="22"/>
                      <w:szCs w:val="22"/>
                    </w:rPr>
                    <w:t>16</w:t>
                  </w:r>
                </w:p>
              </w:tc>
            </w:tr>
            <w:tr w14:paraId="041A29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83" w:type="dxa"/>
                  <w:vAlign w:val="center"/>
                </w:tcPr>
                <w:p w14:paraId="02825283">
                  <w:pPr>
                    <w:adjustRightInd w:val="0"/>
                    <w:snapToGrid w:val="0"/>
                    <w:jc w:val="center"/>
                    <w:rPr>
                      <w:rFonts w:eastAsia="等线"/>
                      <w:color w:val="auto"/>
                      <w:szCs w:val="21"/>
                    </w:rPr>
                  </w:pPr>
                  <w:r>
                    <w:rPr>
                      <w:rFonts w:eastAsia="等线"/>
                      <w:color w:val="auto"/>
                      <w:szCs w:val="21"/>
                    </w:rPr>
                    <w:t>G</w:t>
                  </w:r>
                  <w:r>
                    <w:rPr>
                      <w:rFonts w:eastAsia="等线"/>
                      <w:color w:val="auto"/>
                      <w:szCs w:val="21"/>
                      <w:vertAlign w:val="subscript"/>
                    </w:rPr>
                    <w:t>3</w:t>
                  </w:r>
                </w:p>
              </w:tc>
              <w:tc>
                <w:tcPr>
                  <w:tcW w:w="344" w:type="dxa"/>
                  <w:vMerge w:val="continue"/>
                  <w:vAlign w:val="center"/>
                </w:tcPr>
                <w:p w14:paraId="1E0A3582">
                  <w:pPr>
                    <w:adjustRightInd w:val="0"/>
                    <w:snapToGrid w:val="0"/>
                    <w:jc w:val="center"/>
                    <w:rPr>
                      <w:color w:val="auto"/>
                      <w:szCs w:val="21"/>
                    </w:rPr>
                  </w:pPr>
                </w:p>
              </w:tc>
              <w:tc>
                <w:tcPr>
                  <w:tcW w:w="1029" w:type="dxa"/>
                  <w:vAlign w:val="center"/>
                </w:tcPr>
                <w:p w14:paraId="1E765FAF">
                  <w:pPr>
                    <w:adjustRightInd w:val="0"/>
                    <w:snapToGrid w:val="0"/>
                    <w:jc w:val="center"/>
                    <w:rPr>
                      <w:color w:val="auto"/>
                      <w:szCs w:val="21"/>
                    </w:rPr>
                  </w:pPr>
                  <w:r>
                    <w:rPr>
                      <w:rFonts w:hint="eastAsia"/>
                      <w:color w:val="auto"/>
                      <w:szCs w:val="21"/>
                    </w:rPr>
                    <w:t>2#</w:t>
                  </w:r>
                  <w:r>
                    <w:rPr>
                      <w:color w:val="auto"/>
                      <w:szCs w:val="21"/>
                    </w:rPr>
                    <w:t>水泥</w:t>
                  </w:r>
                  <w:r>
                    <w:rPr>
                      <w:rFonts w:hint="eastAsia"/>
                      <w:color w:val="auto"/>
                      <w:szCs w:val="21"/>
                    </w:rPr>
                    <w:t>筒仓呼吸孔粉尘</w:t>
                  </w:r>
                </w:p>
              </w:tc>
              <w:tc>
                <w:tcPr>
                  <w:tcW w:w="583" w:type="dxa"/>
                  <w:vAlign w:val="center"/>
                </w:tcPr>
                <w:p w14:paraId="3A631DF1">
                  <w:pPr>
                    <w:adjustRightInd w:val="0"/>
                    <w:snapToGrid w:val="0"/>
                    <w:jc w:val="center"/>
                    <w:rPr>
                      <w:color w:val="auto"/>
                      <w:szCs w:val="21"/>
                    </w:rPr>
                  </w:pPr>
                  <w:r>
                    <w:rPr>
                      <w:color w:val="auto"/>
                      <w:szCs w:val="21"/>
                    </w:rPr>
                    <w:t>颗粒物</w:t>
                  </w:r>
                </w:p>
              </w:tc>
              <w:tc>
                <w:tcPr>
                  <w:tcW w:w="640" w:type="dxa"/>
                  <w:vAlign w:val="center"/>
                </w:tcPr>
                <w:p w14:paraId="6A78FAA6">
                  <w:pPr>
                    <w:adjustRightInd w:val="0"/>
                    <w:snapToGrid w:val="0"/>
                    <w:jc w:val="center"/>
                    <w:rPr>
                      <w:color w:val="auto"/>
                      <w:szCs w:val="21"/>
                    </w:rPr>
                  </w:pPr>
                  <w:r>
                    <w:rPr>
                      <w:color w:val="auto"/>
                      <w:szCs w:val="21"/>
                    </w:rPr>
                    <w:t>0.</w:t>
                  </w:r>
                  <w:r>
                    <w:rPr>
                      <w:rFonts w:hint="eastAsia"/>
                      <w:color w:val="auto"/>
                      <w:szCs w:val="21"/>
                    </w:rPr>
                    <w:t>21</w:t>
                  </w:r>
                </w:p>
              </w:tc>
              <w:tc>
                <w:tcPr>
                  <w:tcW w:w="640" w:type="dxa"/>
                  <w:vAlign w:val="center"/>
                </w:tcPr>
                <w:p w14:paraId="1E17DBDD">
                  <w:pPr>
                    <w:adjustRightInd w:val="0"/>
                    <w:snapToGrid w:val="0"/>
                    <w:jc w:val="center"/>
                    <w:rPr>
                      <w:color w:val="auto"/>
                      <w:szCs w:val="21"/>
                    </w:rPr>
                  </w:pPr>
                  <w:r>
                    <w:rPr>
                      <w:rFonts w:eastAsia="等线"/>
                      <w:color w:val="auto"/>
                      <w:sz w:val="22"/>
                      <w:szCs w:val="22"/>
                    </w:rPr>
                    <w:t>1600</w:t>
                  </w:r>
                </w:p>
              </w:tc>
              <w:tc>
                <w:tcPr>
                  <w:tcW w:w="607" w:type="dxa"/>
                  <w:vAlign w:val="center"/>
                </w:tcPr>
                <w:p w14:paraId="6F6A46B2">
                  <w:pPr>
                    <w:adjustRightInd w:val="0"/>
                    <w:snapToGrid w:val="0"/>
                    <w:jc w:val="center"/>
                    <w:rPr>
                      <w:color w:val="auto"/>
                      <w:szCs w:val="21"/>
                    </w:rPr>
                  </w:pPr>
                  <w:r>
                    <w:rPr>
                      <w:rFonts w:eastAsia="等线"/>
                      <w:color w:val="auto"/>
                      <w:sz w:val="22"/>
                      <w:szCs w:val="22"/>
                    </w:rPr>
                    <w:t>3000</w:t>
                  </w:r>
                </w:p>
              </w:tc>
              <w:tc>
                <w:tcPr>
                  <w:tcW w:w="621" w:type="dxa"/>
                  <w:vAlign w:val="center"/>
                </w:tcPr>
                <w:p w14:paraId="48A84DDB">
                  <w:pPr>
                    <w:adjustRightInd w:val="0"/>
                    <w:snapToGrid w:val="0"/>
                    <w:jc w:val="center"/>
                    <w:rPr>
                      <w:color w:val="auto"/>
                      <w:szCs w:val="21"/>
                    </w:rPr>
                  </w:pPr>
                  <w:r>
                    <w:rPr>
                      <w:color w:val="auto"/>
                      <w:szCs w:val="21"/>
                    </w:rPr>
                    <w:t>有组织</w:t>
                  </w:r>
                </w:p>
              </w:tc>
              <w:tc>
                <w:tcPr>
                  <w:tcW w:w="1170" w:type="dxa"/>
                  <w:vMerge w:val="continue"/>
                  <w:vAlign w:val="center"/>
                </w:tcPr>
                <w:p w14:paraId="331628F5">
                  <w:pPr>
                    <w:adjustRightInd w:val="0"/>
                    <w:snapToGrid w:val="0"/>
                    <w:jc w:val="center"/>
                    <w:rPr>
                      <w:color w:val="auto"/>
                      <w:szCs w:val="21"/>
                    </w:rPr>
                  </w:pPr>
                </w:p>
              </w:tc>
              <w:tc>
                <w:tcPr>
                  <w:tcW w:w="741" w:type="dxa"/>
                  <w:vAlign w:val="center"/>
                </w:tcPr>
                <w:p w14:paraId="061424D3">
                  <w:pPr>
                    <w:adjustRightInd w:val="0"/>
                    <w:snapToGrid w:val="0"/>
                    <w:jc w:val="center"/>
                    <w:rPr>
                      <w:rFonts w:eastAsia="等线"/>
                      <w:color w:val="auto"/>
                      <w:sz w:val="22"/>
                      <w:szCs w:val="22"/>
                    </w:rPr>
                  </w:pPr>
                  <w:r>
                    <w:rPr>
                      <w:rFonts w:hint="eastAsia" w:eastAsia="等线"/>
                      <w:color w:val="auto"/>
                      <w:sz w:val="22"/>
                      <w:szCs w:val="22"/>
                    </w:rPr>
                    <w:t>0.0021</w:t>
                  </w:r>
                </w:p>
              </w:tc>
              <w:tc>
                <w:tcPr>
                  <w:tcW w:w="733" w:type="dxa"/>
                  <w:vAlign w:val="center"/>
                </w:tcPr>
                <w:p w14:paraId="44304B19">
                  <w:pPr>
                    <w:adjustRightInd w:val="0"/>
                    <w:snapToGrid w:val="0"/>
                    <w:jc w:val="center"/>
                    <w:rPr>
                      <w:rFonts w:eastAsia="等线"/>
                      <w:color w:val="auto"/>
                      <w:szCs w:val="21"/>
                    </w:rPr>
                  </w:pPr>
                  <w:r>
                    <w:rPr>
                      <w:rFonts w:eastAsia="等线"/>
                      <w:color w:val="auto"/>
                      <w:sz w:val="22"/>
                      <w:szCs w:val="22"/>
                    </w:rPr>
                    <w:t>0.048</w:t>
                  </w:r>
                </w:p>
              </w:tc>
              <w:tc>
                <w:tcPr>
                  <w:tcW w:w="731" w:type="dxa"/>
                  <w:vAlign w:val="center"/>
                </w:tcPr>
                <w:p w14:paraId="24F48205">
                  <w:pPr>
                    <w:adjustRightInd w:val="0"/>
                    <w:snapToGrid w:val="0"/>
                    <w:jc w:val="center"/>
                    <w:rPr>
                      <w:rFonts w:eastAsia="等线"/>
                      <w:color w:val="auto"/>
                      <w:szCs w:val="21"/>
                    </w:rPr>
                  </w:pPr>
                  <w:r>
                    <w:rPr>
                      <w:rFonts w:eastAsia="等线"/>
                      <w:color w:val="auto"/>
                      <w:sz w:val="22"/>
                      <w:szCs w:val="22"/>
                    </w:rPr>
                    <w:t>16</w:t>
                  </w:r>
                </w:p>
              </w:tc>
            </w:tr>
            <w:tr w14:paraId="4CFF0A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83" w:type="dxa"/>
                  <w:vAlign w:val="center"/>
                </w:tcPr>
                <w:p w14:paraId="7A08CBA1">
                  <w:pPr>
                    <w:adjustRightInd w:val="0"/>
                    <w:snapToGrid w:val="0"/>
                    <w:jc w:val="center"/>
                    <w:rPr>
                      <w:rFonts w:eastAsia="等线"/>
                      <w:color w:val="auto"/>
                      <w:szCs w:val="21"/>
                    </w:rPr>
                  </w:pPr>
                  <w:r>
                    <w:rPr>
                      <w:rFonts w:eastAsia="等线"/>
                      <w:color w:val="auto"/>
                      <w:szCs w:val="21"/>
                    </w:rPr>
                    <w:t>G</w:t>
                  </w:r>
                  <w:r>
                    <w:rPr>
                      <w:rFonts w:eastAsia="等线"/>
                      <w:color w:val="auto"/>
                      <w:szCs w:val="21"/>
                      <w:vertAlign w:val="subscript"/>
                    </w:rPr>
                    <w:t>4</w:t>
                  </w:r>
                </w:p>
              </w:tc>
              <w:tc>
                <w:tcPr>
                  <w:tcW w:w="344" w:type="dxa"/>
                  <w:vMerge w:val="continue"/>
                  <w:vAlign w:val="center"/>
                </w:tcPr>
                <w:p w14:paraId="5EDD9196">
                  <w:pPr>
                    <w:adjustRightInd w:val="0"/>
                    <w:snapToGrid w:val="0"/>
                    <w:jc w:val="center"/>
                    <w:rPr>
                      <w:color w:val="auto"/>
                      <w:szCs w:val="21"/>
                    </w:rPr>
                  </w:pPr>
                </w:p>
              </w:tc>
              <w:tc>
                <w:tcPr>
                  <w:tcW w:w="1029" w:type="dxa"/>
                  <w:vAlign w:val="center"/>
                </w:tcPr>
                <w:p w14:paraId="76F8700F">
                  <w:pPr>
                    <w:adjustRightInd w:val="0"/>
                    <w:snapToGrid w:val="0"/>
                    <w:jc w:val="center"/>
                    <w:rPr>
                      <w:color w:val="auto"/>
                      <w:szCs w:val="21"/>
                    </w:rPr>
                  </w:pPr>
                  <w:r>
                    <w:rPr>
                      <w:rFonts w:hint="eastAsia"/>
                      <w:color w:val="auto"/>
                      <w:szCs w:val="21"/>
                    </w:rPr>
                    <w:t>3#</w:t>
                  </w:r>
                  <w:r>
                    <w:rPr>
                      <w:color w:val="auto"/>
                      <w:szCs w:val="21"/>
                    </w:rPr>
                    <w:t>水泥</w:t>
                  </w:r>
                  <w:r>
                    <w:rPr>
                      <w:rFonts w:hint="eastAsia"/>
                      <w:color w:val="auto"/>
                      <w:szCs w:val="21"/>
                    </w:rPr>
                    <w:t>筒仓呼吸孔粉尘</w:t>
                  </w:r>
                </w:p>
              </w:tc>
              <w:tc>
                <w:tcPr>
                  <w:tcW w:w="583" w:type="dxa"/>
                  <w:vAlign w:val="center"/>
                </w:tcPr>
                <w:p w14:paraId="4A51C5B6">
                  <w:pPr>
                    <w:adjustRightInd w:val="0"/>
                    <w:snapToGrid w:val="0"/>
                    <w:jc w:val="center"/>
                    <w:rPr>
                      <w:color w:val="auto"/>
                      <w:szCs w:val="21"/>
                    </w:rPr>
                  </w:pPr>
                  <w:r>
                    <w:rPr>
                      <w:color w:val="auto"/>
                      <w:szCs w:val="21"/>
                    </w:rPr>
                    <w:t>颗粒物</w:t>
                  </w:r>
                </w:p>
              </w:tc>
              <w:tc>
                <w:tcPr>
                  <w:tcW w:w="640" w:type="dxa"/>
                  <w:vAlign w:val="center"/>
                </w:tcPr>
                <w:p w14:paraId="5C39AE2F">
                  <w:pPr>
                    <w:adjustRightInd w:val="0"/>
                    <w:snapToGrid w:val="0"/>
                    <w:jc w:val="center"/>
                    <w:rPr>
                      <w:color w:val="auto"/>
                      <w:szCs w:val="21"/>
                    </w:rPr>
                  </w:pPr>
                  <w:r>
                    <w:rPr>
                      <w:rFonts w:hint="eastAsia"/>
                      <w:color w:val="auto"/>
                      <w:szCs w:val="21"/>
                    </w:rPr>
                    <w:t>0.21</w:t>
                  </w:r>
                </w:p>
              </w:tc>
              <w:tc>
                <w:tcPr>
                  <w:tcW w:w="640" w:type="dxa"/>
                  <w:vAlign w:val="center"/>
                </w:tcPr>
                <w:p w14:paraId="3A215A2F">
                  <w:pPr>
                    <w:adjustRightInd w:val="0"/>
                    <w:snapToGrid w:val="0"/>
                    <w:jc w:val="center"/>
                    <w:rPr>
                      <w:color w:val="auto"/>
                      <w:szCs w:val="21"/>
                    </w:rPr>
                  </w:pPr>
                  <w:r>
                    <w:rPr>
                      <w:rFonts w:eastAsia="等线"/>
                      <w:color w:val="auto"/>
                      <w:sz w:val="22"/>
                      <w:szCs w:val="22"/>
                    </w:rPr>
                    <w:t>1600</w:t>
                  </w:r>
                </w:p>
              </w:tc>
              <w:tc>
                <w:tcPr>
                  <w:tcW w:w="607" w:type="dxa"/>
                  <w:vAlign w:val="center"/>
                </w:tcPr>
                <w:p w14:paraId="4B17C1D1">
                  <w:pPr>
                    <w:adjustRightInd w:val="0"/>
                    <w:snapToGrid w:val="0"/>
                    <w:jc w:val="center"/>
                    <w:rPr>
                      <w:color w:val="auto"/>
                      <w:szCs w:val="21"/>
                    </w:rPr>
                  </w:pPr>
                  <w:r>
                    <w:rPr>
                      <w:rFonts w:eastAsia="等线"/>
                      <w:color w:val="auto"/>
                      <w:sz w:val="22"/>
                      <w:szCs w:val="22"/>
                    </w:rPr>
                    <w:t>3000</w:t>
                  </w:r>
                </w:p>
              </w:tc>
              <w:tc>
                <w:tcPr>
                  <w:tcW w:w="621" w:type="dxa"/>
                  <w:vAlign w:val="center"/>
                </w:tcPr>
                <w:p w14:paraId="1C2EA126">
                  <w:pPr>
                    <w:adjustRightInd w:val="0"/>
                    <w:snapToGrid w:val="0"/>
                    <w:jc w:val="center"/>
                    <w:rPr>
                      <w:color w:val="auto"/>
                      <w:szCs w:val="21"/>
                    </w:rPr>
                  </w:pPr>
                  <w:r>
                    <w:rPr>
                      <w:color w:val="auto"/>
                      <w:szCs w:val="21"/>
                    </w:rPr>
                    <w:t>有组织</w:t>
                  </w:r>
                </w:p>
              </w:tc>
              <w:tc>
                <w:tcPr>
                  <w:tcW w:w="1170" w:type="dxa"/>
                  <w:vMerge w:val="continue"/>
                  <w:vAlign w:val="center"/>
                </w:tcPr>
                <w:p w14:paraId="259BF537">
                  <w:pPr>
                    <w:adjustRightInd w:val="0"/>
                    <w:snapToGrid w:val="0"/>
                    <w:jc w:val="center"/>
                    <w:rPr>
                      <w:color w:val="auto"/>
                      <w:szCs w:val="21"/>
                    </w:rPr>
                  </w:pPr>
                </w:p>
              </w:tc>
              <w:tc>
                <w:tcPr>
                  <w:tcW w:w="741" w:type="dxa"/>
                  <w:vAlign w:val="center"/>
                </w:tcPr>
                <w:p w14:paraId="7BE8E1D1">
                  <w:pPr>
                    <w:adjustRightInd w:val="0"/>
                    <w:snapToGrid w:val="0"/>
                    <w:jc w:val="center"/>
                    <w:rPr>
                      <w:rFonts w:eastAsia="等线"/>
                      <w:color w:val="auto"/>
                      <w:sz w:val="22"/>
                      <w:szCs w:val="22"/>
                    </w:rPr>
                  </w:pPr>
                  <w:r>
                    <w:rPr>
                      <w:rFonts w:hint="eastAsia" w:eastAsia="等线"/>
                      <w:color w:val="auto"/>
                      <w:sz w:val="22"/>
                      <w:szCs w:val="22"/>
                    </w:rPr>
                    <w:t>0.0021</w:t>
                  </w:r>
                </w:p>
              </w:tc>
              <w:tc>
                <w:tcPr>
                  <w:tcW w:w="733" w:type="dxa"/>
                  <w:vAlign w:val="center"/>
                </w:tcPr>
                <w:p w14:paraId="2743A6D6">
                  <w:pPr>
                    <w:adjustRightInd w:val="0"/>
                    <w:snapToGrid w:val="0"/>
                    <w:jc w:val="center"/>
                    <w:rPr>
                      <w:rFonts w:eastAsia="等线"/>
                      <w:color w:val="auto"/>
                      <w:szCs w:val="21"/>
                    </w:rPr>
                  </w:pPr>
                  <w:r>
                    <w:rPr>
                      <w:rFonts w:eastAsia="等线"/>
                      <w:color w:val="auto"/>
                      <w:sz w:val="22"/>
                      <w:szCs w:val="22"/>
                    </w:rPr>
                    <w:t>0.048</w:t>
                  </w:r>
                </w:p>
              </w:tc>
              <w:tc>
                <w:tcPr>
                  <w:tcW w:w="731" w:type="dxa"/>
                  <w:vAlign w:val="center"/>
                </w:tcPr>
                <w:p w14:paraId="06D0A929">
                  <w:pPr>
                    <w:adjustRightInd w:val="0"/>
                    <w:snapToGrid w:val="0"/>
                    <w:jc w:val="center"/>
                    <w:rPr>
                      <w:rFonts w:eastAsia="等线"/>
                      <w:color w:val="auto"/>
                      <w:szCs w:val="21"/>
                    </w:rPr>
                  </w:pPr>
                  <w:r>
                    <w:rPr>
                      <w:rFonts w:eastAsia="等线"/>
                      <w:color w:val="auto"/>
                      <w:sz w:val="22"/>
                      <w:szCs w:val="22"/>
                    </w:rPr>
                    <w:t>16</w:t>
                  </w:r>
                </w:p>
              </w:tc>
            </w:tr>
            <w:tr w14:paraId="0A5475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83" w:type="dxa"/>
                  <w:vAlign w:val="center"/>
                </w:tcPr>
                <w:p w14:paraId="40DCC8CF">
                  <w:pPr>
                    <w:adjustRightInd w:val="0"/>
                    <w:snapToGrid w:val="0"/>
                    <w:jc w:val="center"/>
                    <w:rPr>
                      <w:rFonts w:eastAsia="等线"/>
                      <w:color w:val="auto"/>
                      <w:szCs w:val="21"/>
                    </w:rPr>
                  </w:pPr>
                  <w:r>
                    <w:rPr>
                      <w:rFonts w:eastAsia="等线"/>
                      <w:color w:val="auto"/>
                      <w:szCs w:val="21"/>
                    </w:rPr>
                    <w:t>G</w:t>
                  </w:r>
                  <w:r>
                    <w:rPr>
                      <w:rFonts w:eastAsia="等线"/>
                      <w:color w:val="auto"/>
                      <w:szCs w:val="21"/>
                      <w:vertAlign w:val="subscript"/>
                    </w:rPr>
                    <w:t>5</w:t>
                  </w:r>
                </w:p>
              </w:tc>
              <w:tc>
                <w:tcPr>
                  <w:tcW w:w="344" w:type="dxa"/>
                  <w:vMerge w:val="continue"/>
                  <w:vAlign w:val="center"/>
                </w:tcPr>
                <w:p w14:paraId="52DEA396">
                  <w:pPr>
                    <w:adjustRightInd w:val="0"/>
                    <w:snapToGrid w:val="0"/>
                    <w:jc w:val="center"/>
                    <w:rPr>
                      <w:color w:val="auto"/>
                      <w:szCs w:val="21"/>
                    </w:rPr>
                  </w:pPr>
                </w:p>
              </w:tc>
              <w:tc>
                <w:tcPr>
                  <w:tcW w:w="1029" w:type="dxa"/>
                  <w:vAlign w:val="center"/>
                </w:tcPr>
                <w:p w14:paraId="05EB121E">
                  <w:pPr>
                    <w:adjustRightInd w:val="0"/>
                    <w:snapToGrid w:val="0"/>
                    <w:jc w:val="center"/>
                    <w:rPr>
                      <w:color w:val="auto"/>
                      <w:szCs w:val="21"/>
                    </w:rPr>
                  </w:pPr>
                  <w:r>
                    <w:rPr>
                      <w:rFonts w:hint="eastAsia"/>
                      <w:color w:val="auto"/>
                      <w:szCs w:val="21"/>
                    </w:rPr>
                    <w:t>4#</w:t>
                  </w:r>
                  <w:r>
                    <w:rPr>
                      <w:color w:val="auto"/>
                      <w:szCs w:val="21"/>
                    </w:rPr>
                    <w:t>水泥</w:t>
                  </w:r>
                  <w:r>
                    <w:rPr>
                      <w:rFonts w:hint="eastAsia"/>
                      <w:color w:val="auto"/>
                      <w:szCs w:val="21"/>
                    </w:rPr>
                    <w:t>筒仓呼吸孔粉尘</w:t>
                  </w:r>
                </w:p>
              </w:tc>
              <w:tc>
                <w:tcPr>
                  <w:tcW w:w="583" w:type="dxa"/>
                  <w:vAlign w:val="center"/>
                </w:tcPr>
                <w:p w14:paraId="68898CCA">
                  <w:pPr>
                    <w:adjustRightInd w:val="0"/>
                    <w:snapToGrid w:val="0"/>
                    <w:jc w:val="center"/>
                    <w:rPr>
                      <w:color w:val="auto"/>
                      <w:szCs w:val="21"/>
                    </w:rPr>
                  </w:pPr>
                  <w:r>
                    <w:rPr>
                      <w:color w:val="auto"/>
                      <w:szCs w:val="21"/>
                    </w:rPr>
                    <w:t>颗粒物</w:t>
                  </w:r>
                </w:p>
              </w:tc>
              <w:tc>
                <w:tcPr>
                  <w:tcW w:w="640" w:type="dxa"/>
                  <w:vAlign w:val="center"/>
                </w:tcPr>
                <w:p w14:paraId="021A6639">
                  <w:pPr>
                    <w:adjustRightInd w:val="0"/>
                    <w:snapToGrid w:val="0"/>
                    <w:jc w:val="center"/>
                    <w:rPr>
                      <w:rFonts w:eastAsia="等线"/>
                      <w:color w:val="auto"/>
                      <w:sz w:val="22"/>
                      <w:szCs w:val="22"/>
                    </w:rPr>
                  </w:pPr>
                  <w:r>
                    <w:rPr>
                      <w:rFonts w:hint="eastAsia"/>
                      <w:color w:val="auto"/>
                      <w:szCs w:val="21"/>
                    </w:rPr>
                    <w:t>0.21</w:t>
                  </w:r>
                </w:p>
              </w:tc>
              <w:tc>
                <w:tcPr>
                  <w:tcW w:w="640" w:type="dxa"/>
                  <w:vAlign w:val="center"/>
                </w:tcPr>
                <w:p w14:paraId="2690530E">
                  <w:pPr>
                    <w:adjustRightInd w:val="0"/>
                    <w:snapToGrid w:val="0"/>
                    <w:jc w:val="center"/>
                    <w:rPr>
                      <w:rFonts w:eastAsia="等线"/>
                      <w:color w:val="auto"/>
                      <w:sz w:val="22"/>
                      <w:szCs w:val="22"/>
                    </w:rPr>
                  </w:pPr>
                  <w:r>
                    <w:rPr>
                      <w:rFonts w:eastAsia="等线"/>
                      <w:color w:val="auto"/>
                      <w:sz w:val="22"/>
                      <w:szCs w:val="22"/>
                    </w:rPr>
                    <w:t>1600</w:t>
                  </w:r>
                </w:p>
              </w:tc>
              <w:tc>
                <w:tcPr>
                  <w:tcW w:w="607" w:type="dxa"/>
                  <w:vAlign w:val="center"/>
                </w:tcPr>
                <w:p w14:paraId="77AE7B8A">
                  <w:pPr>
                    <w:adjustRightInd w:val="0"/>
                    <w:snapToGrid w:val="0"/>
                    <w:jc w:val="center"/>
                    <w:rPr>
                      <w:rFonts w:eastAsia="等线"/>
                      <w:color w:val="auto"/>
                      <w:sz w:val="22"/>
                      <w:szCs w:val="22"/>
                    </w:rPr>
                  </w:pPr>
                  <w:r>
                    <w:rPr>
                      <w:rFonts w:eastAsia="等线"/>
                      <w:color w:val="auto"/>
                      <w:sz w:val="22"/>
                      <w:szCs w:val="22"/>
                    </w:rPr>
                    <w:t>3000</w:t>
                  </w:r>
                </w:p>
              </w:tc>
              <w:tc>
                <w:tcPr>
                  <w:tcW w:w="621" w:type="dxa"/>
                  <w:vAlign w:val="center"/>
                </w:tcPr>
                <w:p w14:paraId="139BC9F6">
                  <w:pPr>
                    <w:adjustRightInd w:val="0"/>
                    <w:snapToGrid w:val="0"/>
                    <w:jc w:val="center"/>
                    <w:rPr>
                      <w:color w:val="auto"/>
                      <w:szCs w:val="21"/>
                    </w:rPr>
                  </w:pPr>
                  <w:r>
                    <w:rPr>
                      <w:color w:val="auto"/>
                      <w:szCs w:val="21"/>
                    </w:rPr>
                    <w:t>有组织</w:t>
                  </w:r>
                </w:p>
              </w:tc>
              <w:tc>
                <w:tcPr>
                  <w:tcW w:w="1170" w:type="dxa"/>
                  <w:vMerge w:val="continue"/>
                  <w:vAlign w:val="center"/>
                </w:tcPr>
                <w:p w14:paraId="2DB69963">
                  <w:pPr>
                    <w:adjustRightInd w:val="0"/>
                    <w:snapToGrid w:val="0"/>
                    <w:jc w:val="center"/>
                    <w:rPr>
                      <w:color w:val="auto"/>
                      <w:szCs w:val="21"/>
                    </w:rPr>
                  </w:pPr>
                </w:p>
              </w:tc>
              <w:tc>
                <w:tcPr>
                  <w:tcW w:w="741" w:type="dxa"/>
                  <w:vAlign w:val="center"/>
                </w:tcPr>
                <w:p w14:paraId="51B31237">
                  <w:pPr>
                    <w:adjustRightInd w:val="0"/>
                    <w:snapToGrid w:val="0"/>
                    <w:jc w:val="center"/>
                    <w:rPr>
                      <w:rFonts w:eastAsia="等线"/>
                      <w:color w:val="auto"/>
                      <w:sz w:val="22"/>
                      <w:szCs w:val="22"/>
                    </w:rPr>
                  </w:pPr>
                  <w:r>
                    <w:rPr>
                      <w:rFonts w:hint="eastAsia" w:eastAsia="等线"/>
                      <w:color w:val="auto"/>
                      <w:sz w:val="22"/>
                      <w:szCs w:val="22"/>
                    </w:rPr>
                    <w:t>0.0021</w:t>
                  </w:r>
                </w:p>
              </w:tc>
              <w:tc>
                <w:tcPr>
                  <w:tcW w:w="733" w:type="dxa"/>
                  <w:vAlign w:val="center"/>
                </w:tcPr>
                <w:p w14:paraId="195D6376">
                  <w:pPr>
                    <w:adjustRightInd w:val="0"/>
                    <w:snapToGrid w:val="0"/>
                    <w:jc w:val="center"/>
                    <w:rPr>
                      <w:rFonts w:eastAsia="等线"/>
                      <w:color w:val="auto"/>
                      <w:sz w:val="22"/>
                      <w:szCs w:val="22"/>
                    </w:rPr>
                  </w:pPr>
                  <w:r>
                    <w:rPr>
                      <w:rFonts w:eastAsia="等线"/>
                      <w:color w:val="auto"/>
                      <w:sz w:val="22"/>
                      <w:szCs w:val="22"/>
                    </w:rPr>
                    <w:t>0.048</w:t>
                  </w:r>
                </w:p>
              </w:tc>
              <w:tc>
                <w:tcPr>
                  <w:tcW w:w="731" w:type="dxa"/>
                  <w:vAlign w:val="center"/>
                </w:tcPr>
                <w:p w14:paraId="5C604212">
                  <w:pPr>
                    <w:adjustRightInd w:val="0"/>
                    <w:snapToGrid w:val="0"/>
                    <w:jc w:val="center"/>
                    <w:rPr>
                      <w:rFonts w:eastAsia="等线"/>
                      <w:color w:val="auto"/>
                      <w:sz w:val="22"/>
                      <w:szCs w:val="22"/>
                    </w:rPr>
                  </w:pPr>
                  <w:r>
                    <w:rPr>
                      <w:rFonts w:eastAsia="等线"/>
                      <w:color w:val="auto"/>
                      <w:sz w:val="22"/>
                      <w:szCs w:val="22"/>
                    </w:rPr>
                    <w:t>16</w:t>
                  </w:r>
                </w:p>
              </w:tc>
            </w:tr>
            <w:tr w14:paraId="1718EC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83" w:type="dxa"/>
                  <w:vAlign w:val="center"/>
                </w:tcPr>
                <w:p w14:paraId="15A2612E">
                  <w:pPr>
                    <w:adjustRightInd w:val="0"/>
                    <w:snapToGrid w:val="0"/>
                    <w:jc w:val="center"/>
                    <w:rPr>
                      <w:rFonts w:eastAsia="等线"/>
                      <w:color w:val="auto"/>
                      <w:szCs w:val="21"/>
                    </w:rPr>
                  </w:pPr>
                  <w:r>
                    <w:rPr>
                      <w:rFonts w:eastAsia="等线"/>
                      <w:color w:val="auto"/>
                      <w:szCs w:val="21"/>
                    </w:rPr>
                    <w:t>G</w:t>
                  </w:r>
                  <w:r>
                    <w:rPr>
                      <w:rFonts w:eastAsia="等线"/>
                      <w:color w:val="auto"/>
                      <w:szCs w:val="21"/>
                      <w:vertAlign w:val="subscript"/>
                    </w:rPr>
                    <w:t>6</w:t>
                  </w:r>
                </w:p>
              </w:tc>
              <w:tc>
                <w:tcPr>
                  <w:tcW w:w="344" w:type="dxa"/>
                  <w:vMerge w:val="continue"/>
                  <w:vAlign w:val="center"/>
                </w:tcPr>
                <w:p w14:paraId="1392125F">
                  <w:pPr>
                    <w:adjustRightInd w:val="0"/>
                    <w:snapToGrid w:val="0"/>
                    <w:jc w:val="center"/>
                    <w:rPr>
                      <w:color w:val="auto"/>
                      <w:szCs w:val="21"/>
                    </w:rPr>
                  </w:pPr>
                </w:p>
              </w:tc>
              <w:tc>
                <w:tcPr>
                  <w:tcW w:w="1029" w:type="dxa"/>
                  <w:vAlign w:val="center"/>
                </w:tcPr>
                <w:p w14:paraId="203A7FFB">
                  <w:pPr>
                    <w:adjustRightInd w:val="0"/>
                    <w:snapToGrid w:val="0"/>
                    <w:jc w:val="center"/>
                    <w:rPr>
                      <w:color w:val="auto"/>
                      <w:szCs w:val="21"/>
                    </w:rPr>
                  </w:pPr>
                  <w:r>
                    <w:rPr>
                      <w:color w:val="auto"/>
                      <w:szCs w:val="21"/>
                    </w:rPr>
                    <w:t>配料输送粉尘</w:t>
                  </w:r>
                </w:p>
              </w:tc>
              <w:tc>
                <w:tcPr>
                  <w:tcW w:w="583" w:type="dxa"/>
                  <w:vAlign w:val="center"/>
                </w:tcPr>
                <w:p w14:paraId="3AE0C8AB">
                  <w:pPr>
                    <w:adjustRightInd w:val="0"/>
                    <w:snapToGrid w:val="0"/>
                    <w:jc w:val="center"/>
                    <w:rPr>
                      <w:color w:val="auto"/>
                      <w:szCs w:val="21"/>
                    </w:rPr>
                  </w:pPr>
                  <w:r>
                    <w:rPr>
                      <w:color w:val="auto"/>
                      <w:szCs w:val="21"/>
                    </w:rPr>
                    <w:t>颗粒物</w:t>
                  </w:r>
                </w:p>
              </w:tc>
              <w:tc>
                <w:tcPr>
                  <w:tcW w:w="640" w:type="dxa"/>
                  <w:vAlign w:val="center"/>
                </w:tcPr>
                <w:p w14:paraId="1AB02B9F">
                  <w:pPr>
                    <w:adjustRightInd w:val="0"/>
                    <w:snapToGrid w:val="0"/>
                    <w:jc w:val="center"/>
                    <w:rPr>
                      <w:color w:val="auto"/>
                      <w:szCs w:val="21"/>
                    </w:rPr>
                  </w:pPr>
                  <w:r>
                    <w:rPr>
                      <w:color w:val="auto"/>
                      <w:szCs w:val="21"/>
                    </w:rPr>
                    <w:t>16.8</w:t>
                  </w:r>
                </w:p>
              </w:tc>
              <w:tc>
                <w:tcPr>
                  <w:tcW w:w="640" w:type="dxa"/>
                  <w:vAlign w:val="center"/>
                </w:tcPr>
                <w:p w14:paraId="2930A19A">
                  <w:pPr>
                    <w:adjustRightInd w:val="0"/>
                    <w:snapToGrid w:val="0"/>
                    <w:jc w:val="center"/>
                    <w:rPr>
                      <w:color w:val="auto"/>
                      <w:szCs w:val="21"/>
                    </w:rPr>
                  </w:pPr>
                  <w:r>
                    <w:rPr>
                      <w:color w:val="auto"/>
                      <w:szCs w:val="21"/>
                    </w:rPr>
                    <w:t>/</w:t>
                  </w:r>
                </w:p>
              </w:tc>
              <w:tc>
                <w:tcPr>
                  <w:tcW w:w="607" w:type="dxa"/>
                  <w:vAlign w:val="center"/>
                </w:tcPr>
                <w:p w14:paraId="01DC8656">
                  <w:pPr>
                    <w:adjustRightInd w:val="0"/>
                    <w:snapToGrid w:val="0"/>
                    <w:jc w:val="center"/>
                    <w:rPr>
                      <w:color w:val="auto"/>
                      <w:szCs w:val="21"/>
                    </w:rPr>
                  </w:pPr>
                  <w:r>
                    <w:rPr>
                      <w:color w:val="auto"/>
                      <w:szCs w:val="21"/>
                    </w:rPr>
                    <w:t>/</w:t>
                  </w:r>
                </w:p>
              </w:tc>
              <w:tc>
                <w:tcPr>
                  <w:tcW w:w="621" w:type="dxa"/>
                  <w:vAlign w:val="center"/>
                </w:tcPr>
                <w:p w14:paraId="27E69A96">
                  <w:pPr>
                    <w:adjustRightInd w:val="0"/>
                    <w:snapToGrid w:val="0"/>
                    <w:jc w:val="center"/>
                    <w:rPr>
                      <w:color w:val="auto"/>
                      <w:szCs w:val="21"/>
                    </w:rPr>
                  </w:pPr>
                  <w:r>
                    <w:rPr>
                      <w:color w:val="auto"/>
                      <w:szCs w:val="21"/>
                    </w:rPr>
                    <w:t>无组织</w:t>
                  </w:r>
                </w:p>
              </w:tc>
              <w:tc>
                <w:tcPr>
                  <w:tcW w:w="1170" w:type="dxa"/>
                  <w:vAlign w:val="center"/>
                </w:tcPr>
                <w:p w14:paraId="271A1150">
                  <w:pPr>
                    <w:adjustRightInd w:val="0"/>
                    <w:snapToGrid w:val="0"/>
                    <w:jc w:val="center"/>
                    <w:rPr>
                      <w:rFonts w:hint="eastAsia" w:eastAsia="宋体"/>
                      <w:bCs/>
                      <w:color w:val="auto"/>
                      <w:szCs w:val="21"/>
                      <w:lang w:eastAsia="zh-CN"/>
                    </w:rPr>
                  </w:pPr>
                  <w:r>
                    <w:rPr>
                      <w:color w:val="auto"/>
                      <w:szCs w:val="21"/>
                    </w:rPr>
                    <w:t>输送带密闭，上料口三面封闭，上方设置喷淋装置</w:t>
                  </w:r>
                  <w:r>
                    <w:rPr>
                      <w:rFonts w:hint="eastAsia"/>
                      <w:color w:val="auto"/>
                      <w:szCs w:val="21"/>
                      <w:lang w:eastAsia="zh-CN"/>
                    </w:rPr>
                    <w:t>（</w:t>
                  </w:r>
                  <w:r>
                    <w:rPr>
                      <w:bCs/>
                      <w:color w:val="auto"/>
                      <w:szCs w:val="21"/>
                    </w:rPr>
                    <w:t>除尘效率</w:t>
                  </w:r>
                  <w:r>
                    <w:rPr>
                      <w:color w:val="auto"/>
                      <w:szCs w:val="21"/>
                    </w:rPr>
                    <w:t>8</w:t>
                  </w:r>
                  <w:r>
                    <w:rPr>
                      <w:rFonts w:hint="eastAsia"/>
                      <w:color w:val="auto"/>
                      <w:szCs w:val="21"/>
                    </w:rPr>
                    <w:t>9</w:t>
                  </w:r>
                  <w:r>
                    <w:rPr>
                      <w:color w:val="auto"/>
                      <w:szCs w:val="21"/>
                    </w:rPr>
                    <w:t>%</w:t>
                  </w:r>
                  <w:r>
                    <w:rPr>
                      <w:rFonts w:hint="eastAsia"/>
                      <w:color w:val="auto"/>
                      <w:szCs w:val="21"/>
                      <w:lang w:eastAsia="zh-CN"/>
                    </w:rPr>
                    <w:t>）</w:t>
                  </w:r>
                </w:p>
              </w:tc>
              <w:tc>
                <w:tcPr>
                  <w:tcW w:w="741" w:type="dxa"/>
                  <w:vAlign w:val="center"/>
                </w:tcPr>
                <w:p w14:paraId="042B1C14">
                  <w:pPr>
                    <w:adjustRightInd w:val="0"/>
                    <w:snapToGrid w:val="0"/>
                    <w:jc w:val="center"/>
                    <w:rPr>
                      <w:color w:val="auto"/>
                      <w:szCs w:val="21"/>
                    </w:rPr>
                  </w:pPr>
                  <w:r>
                    <w:rPr>
                      <w:rFonts w:hint="eastAsia"/>
                      <w:color w:val="auto"/>
                      <w:szCs w:val="21"/>
                    </w:rPr>
                    <w:t>1.85</w:t>
                  </w:r>
                </w:p>
              </w:tc>
              <w:tc>
                <w:tcPr>
                  <w:tcW w:w="733" w:type="dxa"/>
                  <w:vAlign w:val="center"/>
                </w:tcPr>
                <w:p w14:paraId="35CC3AEB">
                  <w:pPr>
                    <w:adjustRightInd w:val="0"/>
                    <w:snapToGrid w:val="0"/>
                    <w:jc w:val="center"/>
                    <w:rPr>
                      <w:rFonts w:eastAsia="等线"/>
                      <w:color w:val="auto"/>
                      <w:szCs w:val="21"/>
                    </w:rPr>
                  </w:pPr>
                  <w:r>
                    <w:rPr>
                      <w:rFonts w:hint="eastAsia" w:eastAsia="等线"/>
                      <w:color w:val="auto"/>
                      <w:szCs w:val="21"/>
                    </w:rPr>
                    <w:t>1.10</w:t>
                  </w:r>
                </w:p>
              </w:tc>
              <w:tc>
                <w:tcPr>
                  <w:tcW w:w="731" w:type="dxa"/>
                  <w:vAlign w:val="center"/>
                </w:tcPr>
                <w:p w14:paraId="2470EB7F">
                  <w:pPr>
                    <w:adjustRightInd w:val="0"/>
                    <w:snapToGrid w:val="0"/>
                    <w:jc w:val="center"/>
                    <w:rPr>
                      <w:rFonts w:eastAsia="等线"/>
                      <w:color w:val="auto"/>
                      <w:szCs w:val="21"/>
                    </w:rPr>
                  </w:pPr>
                  <w:r>
                    <w:rPr>
                      <w:rFonts w:eastAsia="等线"/>
                      <w:color w:val="auto"/>
                      <w:szCs w:val="21"/>
                    </w:rPr>
                    <w:t>/</w:t>
                  </w:r>
                </w:p>
              </w:tc>
            </w:tr>
            <w:tr w14:paraId="16E4C3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83" w:type="dxa"/>
                  <w:vAlign w:val="center"/>
                </w:tcPr>
                <w:p w14:paraId="4EA2B033">
                  <w:pPr>
                    <w:adjustRightInd w:val="0"/>
                    <w:snapToGrid w:val="0"/>
                    <w:jc w:val="center"/>
                    <w:rPr>
                      <w:color w:val="auto"/>
                      <w:kern w:val="0"/>
                      <w:szCs w:val="21"/>
                    </w:rPr>
                  </w:pPr>
                  <w:r>
                    <w:rPr>
                      <w:rFonts w:eastAsia="等线"/>
                      <w:color w:val="auto"/>
                      <w:szCs w:val="21"/>
                    </w:rPr>
                    <w:t>G</w:t>
                  </w:r>
                  <w:r>
                    <w:rPr>
                      <w:rFonts w:eastAsia="等线"/>
                      <w:color w:val="auto"/>
                      <w:szCs w:val="21"/>
                      <w:vertAlign w:val="subscript"/>
                    </w:rPr>
                    <w:t>7</w:t>
                  </w:r>
                </w:p>
              </w:tc>
              <w:tc>
                <w:tcPr>
                  <w:tcW w:w="1373" w:type="dxa"/>
                  <w:gridSpan w:val="2"/>
                  <w:vAlign w:val="center"/>
                </w:tcPr>
                <w:p w14:paraId="77B87E33">
                  <w:pPr>
                    <w:adjustRightInd w:val="0"/>
                    <w:snapToGrid w:val="0"/>
                    <w:jc w:val="center"/>
                    <w:rPr>
                      <w:color w:val="auto"/>
                      <w:szCs w:val="21"/>
                    </w:rPr>
                  </w:pPr>
                  <w:r>
                    <w:rPr>
                      <w:color w:val="auto"/>
                      <w:szCs w:val="21"/>
                    </w:rPr>
                    <w:t>物料混合搅拌粉尘</w:t>
                  </w:r>
                </w:p>
              </w:tc>
              <w:tc>
                <w:tcPr>
                  <w:tcW w:w="583" w:type="dxa"/>
                  <w:vAlign w:val="center"/>
                </w:tcPr>
                <w:p w14:paraId="5591F5D7">
                  <w:pPr>
                    <w:adjustRightInd w:val="0"/>
                    <w:snapToGrid w:val="0"/>
                    <w:jc w:val="center"/>
                    <w:rPr>
                      <w:color w:val="auto"/>
                      <w:szCs w:val="21"/>
                    </w:rPr>
                  </w:pPr>
                  <w:r>
                    <w:rPr>
                      <w:color w:val="auto"/>
                      <w:szCs w:val="21"/>
                    </w:rPr>
                    <w:t>颗粒物</w:t>
                  </w:r>
                </w:p>
              </w:tc>
              <w:tc>
                <w:tcPr>
                  <w:tcW w:w="640" w:type="dxa"/>
                  <w:vAlign w:val="center"/>
                </w:tcPr>
                <w:p w14:paraId="386EAC1A">
                  <w:pPr>
                    <w:adjustRightInd w:val="0"/>
                    <w:snapToGrid w:val="0"/>
                    <w:jc w:val="center"/>
                    <w:rPr>
                      <w:color w:val="auto"/>
                      <w:szCs w:val="21"/>
                    </w:rPr>
                  </w:pPr>
                  <w:r>
                    <w:rPr>
                      <w:color w:val="auto"/>
                      <w:szCs w:val="21"/>
                    </w:rPr>
                    <w:t>18.2</w:t>
                  </w:r>
                </w:p>
              </w:tc>
              <w:tc>
                <w:tcPr>
                  <w:tcW w:w="640" w:type="dxa"/>
                  <w:vAlign w:val="center"/>
                </w:tcPr>
                <w:p w14:paraId="2B520244">
                  <w:pPr>
                    <w:adjustRightInd w:val="0"/>
                    <w:snapToGrid w:val="0"/>
                    <w:jc w:val="center"/>
                    <w:rPr>
                      <w:color w:val="auto"/>
                      <w:szCs w:val="21"/>
                    </w:rPr>
                  </w:pPr>
                  <w:r>
                    <w:rPr>
                      <w:color w:val="auto"/>
                      <w:szCs w:val="21"/>
                    </w:rPr>
                    <w:t>/</w:t>
                  </w:r>
                </w:p>
              </w:tc>
              <w:tc>
                <w:tcPr>
                  <w:tcW w:w="607" w:type="dxa"/>
                  <w:vAlign w:val="center"/>
                </w:tcPr>
                <w:p w14:paraId="79F283EE">
                  <w:pPr>
                    <w:adjustRightInd w:val="0"/>
                    <w:snapToGrid w:val="0"/>
                    <w:jc w:val="center"/>
                    <w:rPr>
                      <w:color w:val="auto"/>
                      <w:szCs w:val="21"/>
                    </w:rPr>
                  </w:pPr>
                  <w:r>
                    <w:rPr>
                      <w:color w:val="auto"/>
                      <w:szCs w:val="21"/>
                    </w:rPr>
                    <w:t>/</w:t>
                  </w:r>
                </w:p>
              </w:tc>
              <w:tc>
                <w:tcPr>
                  <w:tcW w:w="621" w:type="dxa"/>
                  <w:vAlign w:val="center"/>
                </w:tcPr>
                <w:p w14:paraId="542B505A">
                  <w:pPr>
                    <w:adjustRightInd w:val="0"/>
                    <w:snapToGrid w:val="0"/>
                    <w:jc w:val="center"/>
                    <w:rPr>
                      <w:color w:val="auto"/>
                      <w:szCs w:val="21"/>
                    </w:rPr>
                  </w:pPr>
                  <w:r>
                    <w:rPr>
                      <w:color w:val="auto"/>
                      <w:szCs w:val="21"/>
                    </w:rPr>
                    <w:t>无组织</w:t>
                  </w:r>
                </w:p>
              </w:tc>
              <w:tc>
                <w:tcPr>
                  <w:tcW w:w="1170" w:type="dxa"/>
                  <w:vAlign w:val="center"/>
                </w:tcPr>
                <w:p w14:paraId="2C3269C0">
                  <w:pPr>
                    <w:adjustRightInd w:val="0"/>
                    <w:snapToGrid w:val="0"/>
                    <w:jc w:val="center"/>
                    <w:rPr>
                      <w:rFonts w:hint="eastAsia" w:eastAsia="宋体"/>
                      <w:color w:val="auto"/>
                      <w:szCs w:val="21"/>
                      <w:lang w:eastAsia="zh-CN"/>
                    </w:rPr>
                  </w:pPr>
                  <w:r>
                    <w:rPr>
                      <w:rFonts w:hint="eastAsia"/>
                      <w:color w:val="auto"/>
                      <w:szCs w:val="21"/>
                    </w:rPr>
                    <w:t>2套</w:t>
                  </w:r>
                  <w:r>
                    <w:rPr>
                      <w:color w:val="auto"/>
                      <w:szCs w:val="21"/>
                    </w:rPr>
                    <w:t>封闭式搅拌机组</w:t>
                  </w:r>
                  <w:r>
                    <w:rPr>
                      <w:rFonts w:hint="eastAsia"/>
                      <w:color w:val="auto"/>
                      <w:szCs w:val="21"/>
                    </w:rPr>
                    <w:t>+</w:t>
                  </w:r>
                  <w:r>
                    <w:rPr>
                      <w:rFonts w:hint="eastAsia"/>
                      <w:bCs/>
                      <w:color w:val="auto"/>
                      <w:szCs w:val="21"/>
                    </w:rPr>
                    <w:t>脉冲布袋除尘器</w:t>
                  </w:r>
                  <w:r>
                    <w:rPr>
                      <w:rFonts w:hint="eastAsia"/>
                      <w:color w:val="auto"/>
                      <w:szCs w:val="21"/>
                      <w:lang w:eastAsia="zh-CN"/>
                    </w:rPr>
                    <w:t>（</w:t>
                  </w:r>
                  <w:r>
                    <w:rPr>
                      <w:bCs/>
                      <w:color w:val="auto"/>
                      <w:szCs w:val="21"/>
                    </w:rPr>
                    <w:t>除尘效率</w:t>
                  </w:r>
                  <w:r>
                    <w:rPr>
                      <w:rFonts w:hint="eastAsia"/>
                      <w:color w:val="auto"/>
                      <w:szCs w:val="21"/>
                    </w:rPr>
                    <w:t>99</w:t>
                  </w:r>
                  <w:r>
                    <w:rPr>
                      <w:color w:val="auto"/>
                      <w:szCs w:val="21"/>
                    </w:rPr>
                    <w:t>%</w:t>
                  </w:r>
                  <w:r>
                    <w:rPr>
                      <w:rFonts w:hint="eastAsia"/>
                      <w:color w:val="auto"/>
                      <w:szCs w:val="21"/>
                      <w:lang w:eastAsia="zh-CN"/>
                    </w:rPr>
                    <w:t>）</w:t>
                  </w:r>
                </w:p>
              </w:tc>
              <w:tc>
                <w:tcPr>
                  <w:tcW w:w="741" w:type="dxa"/>
                  <w:vAlign w:val="center"/>
                </w:tcPr>
                <w:p w14:paraId="5D0B9BF3">
                  <w:pPr>
                    <w:adjustRightInd w:val="0"/>
                    <w:snapToGrid w:val="0"/>
                    <w:jc w:val="center"/>
                    <w:rPr>
                      <w:color w:val="auto"/>
                      <w:szCs w:val="21"/>
                    </w:rPr>
                  </w:pPr>
                  <w:r>
                    <w:rPr>
                      <w:rFonts w:hint="eastAsia"/>
                      <w:color w:val="auto"/>
                      <w:szCs w:val="21"/>
                    </w:rPr>
                    <w:t>0.18</w:t>
                  </w:r>
                </w:p>
              </w:tc>
              <w:tc>
                <w:tcPr>
                  <w:tcW w:w="733" w:type="dxa"/>
                  <w:vAlign w:val="center"/>
                </w:tcPr>
                <w:p w14:paraId="2C235444">
                  <w:pPr>
                    <w:adjustRightInd w:val="0"/>
                    <w:snapToGrid w:val="0"/>
                    <w:jc w:val="center"/>
                    <w:rPr>
                      <w:color w:val="auto"/>
                      <w:kern w:val="0"/>
                      <w:szCs w:val="21"/>
                    </w:rPr>
                  </w:pPr>
                  <w:r>
                    <w:rPr>
                      <w:rFonts w:hint="eastAsia" w:eastAsia="等线"/>
                      <w:color w:val="auto"/>
                      <w:szCs w:val="21"/>
                    </w:rPr>
                    <w:t>0.11</w:t>
                  </w:r>
                </w:p>
              </w:tc>
              <w:tc>
                <w:tcPr>
                  <w:tcW w:w="731" w:type="dxa"/>
                  <w:vAlign w:val="center"/>
                </w:tcPr>
                <w:p w14:paraId="787F96D2">
                  <w:pPr>
                    <w:adjustRightInd w:val="0"/>
                    <w:snapToGrid w:val="0"/>
                    <w:jc w:val="center"/>
                    <w:rPr>
                      <w:bCs/>
                      <w:color w:val="auto"/>
                      <w:kern w:val="0"/>
                      <w:szCs w:val="21"/>
                    </w:rPr>
                  </w:pPr>
                  <w:r>
                    <w:rPr>
                      <w:rFonts w:eastAsia="等线"/>
                      <w:color w:val="auto"/>
                      <w:szCs w:val="21"/>
                    </w:rPr>
                    <w:t>/</w:t>
                  </w:r>
                </w:p>
              </w:tc>
            </w:tr>
            <w:tr w14:paraId="713FAE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44" w:hRule="atLeast"/>
              </w:trPr>
              <w:tc>
                <w:tcPr>
                  <w:tcW w:w="383" w:type="dxa"/>
                  <w:vAlign w:val="center"/>
                </w:tcPr>
                <w:p w14:paraId="1EBDA16A">
                  <w:pPr>
                    <w:adjustRightInd w:val="0"/>
                    <w:snapToGrid w:val="0"/>
                    <w:jc w:val="center"/>
                    <w:rPr>
                      <w:color w:val="auto"/>
                      <w:kern w:val="0"/>
                      <w:szCs w:val="21"/>
                    </w:rPr>
                  </w:pPr>
                  <w:r>
                    <w:rPr>
                      <w:color w:val="auto"/>
                      <w:kern w:val="0"/>
                      <w:szCs w:val="21"/>
                    </w:rPr>
                    <w:t>G</w:t>
                  </w:r>
                  <w:r>
                    <w:rPr>
                      <w:rFonts w:hint="eastAsia"/>
                      <w:color w:val="auto"/>
                      <w:kern w:val="0"/>
                      <w:szCs w:val="21"/>
                      <w:vertAlign w:val="subscript"/>
                    </w:rPr>
                    <w:t>8</w:t>
                  </w:r>
                </w:p>
              </w:tc>
              <w:tc>
                <w:tcPr>
                  <w:tcW w:w="1373" w:type="dxa"/>
                  <w:gridSpan w:val="2"/>
                  <w:vAlign w:val="center"/>
                </w:tcPr>
                <w:p w14:paraId="6C46ABAB">
                  <w:pPr>
                    <w:adjustRightInd w:val="0"/>
                    <w:snapToGrid w:val="0"/>
                    <w:jc w:val="center"/>
                    <w:rPr>
                      <w:color w:val="auto"/>
                      <w:kern w:val="0"/>
                      <w:szCs w:val="21"/>
                    </w:rPr>
                  </w:pPr>
                  <w:r>
                    <w:rPr>
                      <w:color w:val="auto"/>
                      <w:szCs w:val="21"/>
                    </w:rPr>
                    <w:t>运输车辆</w:t>
                  </w:r>
                  <w:r>
                    <w:rPr>
                      <w:rFonts w:hint="eastAsia"/>
                      <w:color w:val="auto"/>
                      <w:szCs w:val="21"/>
                    </w:rPr>
                    <w:t>起尘</w:t>
                  </w:r>
                </w:p>
              </w:tc>
              <w:tc>
                <w:tcPr>
                  <w:tcW w:w="583" w:type="dxa"/>
                  <w:vAlign w:val="center"/>
                </w:tcPr>
                <w:p w14:paraId="0546E99C">
                  <w:pPr>
                    <w:adjustRightInd w:val="0"/>
                    <w:snapToGrid w:val="0"/>
                    <w:jc w:val="center"/>
                    <w:rPr>
                      <w:color w:val="auto"/>
                      <w:kern w:val="0"/>
                      <w:szCs w:val="21"/>
                    </w:rPr>
                  </w:pPr>
                  <w:r>
                    <w:rPr>
                      <w:color w:val="auto"/>
                      <w:kern w:val="0"/>
                      <w:szCs w:val="21"/>
                    </w:rPr>
                    <w:t>颗粒物</w:t>
                  </w:r>
                </w:p>
              </w:tc>
              <w:tc>
                <w:tcPr>
                  <w:tcW w:w="1887" w:type="dxa"/>
                  <w:gridSpan w:val="3"/>
                  <w:vAlign w:val="center"/>
                </w:tcPr>
                <w:p w14:paraId="01CD0C4B">
                  <w:pPr>
                    <w:adjustRightInd w:val="0"/>
                    <w:snapToGrid w:val="0"/>
                    <w:jc w:val="center"/>
                    <w:rPr>
                      <w:color w:val="auto"/>
                      <w:kern w:val="0"/>
                      <w:szCs w:val="21"/>
                    </w:rPr>
                  </w:pPr>
                  <w:r>
                    <w:rPr>
                      <w:color w:val="auto"/>
                      <w:szCs w:val="21"/>
                    </w:rPr>
                    <w:t>少量</w:t>
                  </w:r>
                </w:p>
              </w:tc>
              <w:tc>
                <w:tcPr>
                  <w:tcW w:w="621" w:type="dxa"/>
                  <w:vAlign w:val="center"/>
                </w:tcPr>
                <w:p w14:paraId="6E29ECE0">
                  <w:pPr>
                    <w:adjustRightInd w:val="0"/>
                    <w:snapToGrid w:val="0"/>
                    <w:jc w:val="center"/>
                    <w:rPr>
                      <w:color w:val="auto"/>
                      <w:szCs w:val="21"/>
                    </w:rPr>
                  </w:pPr>
                  <w:r>
                    <w:rPr>
                      <w:color w:val="auto"/>
                      <w:szCs w:val="21"/>
                    </w:rPr>
                    <w:t>无组织</w:t>
                  </w:r>
                </w:p>
              </w:tc>
              <w:tc>
                <w:tcPr>
                  <w:tcW w:w="1170" w:type="dxa"/>
                  <w:vAlign w:val="center"/>
                </w:tcPr>
                <w:p w14:paraId="0DE4A502">
                  <w:pPr>
                    <w:adjustRightInd w:val="0"/>
                    <w:snapToGrid w:val="0"/>
                    <w:jc w:val="center"/>
                    <w:rPr>
                      <w:color w:val="auto"/>
                      <w:szCs w:val="21"/>
                    </w:rPr>
                  </w:pPr>
                  <w:r>
                    <w:rPr>
                      <w:color w:val="auto"/>
                      <w:szCs w:val="21"/>
                    </w:rPr>
                    <w:t>厂区内定时洒水</w:t>
                  </w:r>
                </w:p>
              </w:tc>
              <w:tc>
                <w:tcPr>
                  <w:tcW w:w="2205" w:type="dxa"/>
                  <w:gridSpan w:val="3"/>
                  <w:vAlign w:val="center"/>
                </w:tcPr>
                <w:p w14:paraId="366FFA95">
                  <w:pPr>
                    <w:adjustRightInd w:val="0"/>
                    <w:snapToGrid w:val="0"/>
                    <w:jc w:val="center"/>
                    <w:rPr>
                      <w:bCs/>
                      <w:color w:val="auto"/>
                      <w:kern w:val="0"/>
                      <w:szCs w:val="21"/>
                    </w:rPr>
                  </w:pPr>
                  <w:r>
                    <w:rPr>
                      <w:rFonts w:eastAsia="等线"/>
                      <w:color w:val="auto"/>
                      <w:sz w:val="22"/>
                      <w:szCs w:val="22"/>
                    </w:rPr>
                    <w:t>少量</w:t>
                  </w:r>
                </w:p>
              </w:tc>
            </w:tr>
          </w:tbl>
          <w:p w14:paraId="5FF3D735">
            <w:pPr>
              <w:adjustRightInd w:val="0"/>
              <w:snapToGrid w:val="0"/>
              <w:spacing w:line="360" w:lineRule="auto"/>
              <w:ind w:firstLine="482" w:firstLineChars="200"/>
              <w:rPr>
                <w:b/>
                <w:color w:val="auto"/>
                <w:kern w:val="21"/>
                <w:sz w:val="24"/>
              </w:rPr>
            </w:pPr>
            <w:r>
              <w:rPr>
                <w:b/>
                <w:color w:val="auto"/>
                <w:kern w:val="21"/>
                <w:sz w:val="24"/>
              </w:rPr>
              <w:t>1.2废气达标排放分析</w:t>
            </w:r>
          </w:p>
          <w:p w14:paraId="7B897D31">
            <w:pPr>
              <w:pStyle w:val="13"/>
              <w:adjustRightInd w:val="0"/>
              <w:snapToGrid w:val="0"/>
              <w:spacing w:before="0" w:beforeAutospacing="0" w:after="0" w:afterAutospacing="0" w:line="360" w:lineRule="auto"/>
              <w:ind w:firstLine="480" w:firstLineChars="200"/>
              <w:jc w:val="both"/>
              <w:rPr>
                <w:rFonts w:ascii="Times New Roman" w:hAnsi="Times New Roman"/>
                <w:bCs/>
                <w:color w:val="auto"/>
                <w:kern w:val="21"/>
                <w:szCs w:val="24"/>
              </w:rPr>
            </w:pPr>
            <w:r>
              <w:rPr>
                <w:rFonts w:ascii="Times New Roman" w:hAnsi="Times New Roman"/>
                <w:bCs/>
                <w:color w:val="auto"/>
                <w:kern w:val="21"/>
                <w:szCs w:val="24"/>
              </w:rPr>
              <w:t>根据上述</w:t>
            </w:r>
            <w:r>
              <w:rPr>
                <w:rFonts w:hint="eastAsia" w:ascii="Times New Roman" w:hAnsi="Times New Roman"/>
                <w:bCs/>
                <w:color w:val="auto"/>
                <w:kern w:val="21"/>
                <w:szCs w:val="24"/>
              </w:rPr>
              <w:t>污染源</w:t>
            </w:r>
            <w:r>
              <w:rPr>
                <w:rFonts w:ascii="Times New Roman" w:hAnsi="Times New Roman"/>
                <w:bCs/>
                <w:color w:val="auto"/>
                <w:kern w:val="21"/>
                <w:szCs w:val="24"/>
              </w:rPr>
              <w:t>分析，本项目有组织废气主要为水泥筒仓粉尘，</w:t>
            </w:r>
            <w:r>
              <w:rPr>
                <w:rFonts w:hint="eastAsia" w:ascii="Times New Roman" w:hAnsi="Times New Roman"/>
                <w:bCs/>
                <w:color w:val="auto"/>
                <w:kern w:val="21"/>
                <w:szCs w:val="24"/>
              </w:rPr>
              <w:t>筒仓顶自带仓顶袋式除尘器</w:t>
            </w:r>
            <w:r>
              <w:rPr>
                <w:rFonts w:hint="eastAsia" w:ascii="Times New Roman" w:hAnsi="Times New Roman"/>
                <w:bCs/>
                <w:color w:val="auto"/>
                <w:kern w:val="21"/>
                <w:szCs w:val="24"/>
                <w:lang w:eastAsia="zh-CN"/>
              </w:rPr>
              <w:t>（</w:t>
            </w:r>
            <w:r>
              <w:rPr>
                <w:rFonts w:ascii="Times New Roman" w:hAnsi="Times New Roman"/>
                <w:bCs/>
                <w:color w:val="auto"/>
                <w:kern w:val="21"/>
                <w:szCs w:val="24"/>
              </w:rPr>
              <w:t>除尘效率</w:t>
            </w:r>
            <w:r>
              <w:rPr>
                <w:rFonts w:hint="eastAsia" w:ascii="Times New Roman" w:hAnsi="Times New Roman"/>
                <w:bCs/>
                <w:color w:val="auto"/>
                <w:kern w:val="21"/>
                <w:szCs w:val="24"/>
              </w:rPr>
              <w:t>99</w:t>
            </w:r>
            <w:r>
              <w:rPr>
                <w:rFonts w:ascii="Times New Roman" w:hAnsi="Times New Roman"/>
                <w:bCs/>
                <w:color w:val="auto"/>
                <w:kern w:val="21"/>
                <w:szCs w:val="24"/>
              </w:rPr>
              <w:t>%</w:t>
            </w:r>
            <w:r>
              <w:rPr>
                <w:rFonts w:hint="eastAsia" w:ascii="Times New Roman" w:hAnsi="Times New Roman"/>
                <w:bCs/>
                <w:color w:val="auto"/>
                <w:kern w:val="21"/>
                <w:szCs w:val="24"/>
                <w:lang w:eastAsia="zh-CN"/>
              </w:rPr>
              <w:t>）</w:t>
            </w:r>
            <w:r>
              <w:rPr>
                <w:rFonts w:ascii="Times New Roman" w:hAnsi="Times New Roman"/>
                <w:bCs/>
                <w:color w:val="auto"/>
                <w:kern w:val="21"/>
                <w:szCs w:val="24"/>
              </w:rPr>
              <w:t>处理后</w:t>
            </w:r>
            <w:r>
              <w:rPr>
                <w:rFonts w:hint="eastAsia" w:ascii="Times New Roman" w:hAnsi="Times New Roman"/>
                <w:bCs/>
                <w:color w:val="auto"/>
                <w:kern w:val="21"/>
                <w:szCs w:val="24"/>
              </w:rPr>
              <w:t>，经15m高排气筒</w:t>
            </w:r>
            <w:r>
              <w:rPr>
                <w:rFonts w:ascii="Times New Roman" w:hAnsi="Times New Roman"/>
                <w:bCs/>
                <w:color w:val="auto"/>
                <w:kern w:val="21"/>
                <w:szCs w:val="24"/>
              </w:rPr>
              <w:t>排放，</w:t>
            </w:r>
            <w:r>
              <w:rPr>
                <w:rFonts w:hint="eastAsia" w:ascii="Times New Roman" w:hAnsi="Times New Roman"/>
                <w:bCs/>
                <w:color w:val="auto"/>
                <w:kern w:val="21"/>
                <w:szCs w:val="24"/>
              </w:rPr>
              <w:t>排气筒颗粒物</w:t>
            </w:r>
            <w:r>
              <w:rPr>
                <w:rFonts w:ascii="Times New Roman" w:hAnsi="Times New Roman"/>
                <w:bCs/>
                <w:color w:val="auto"/>
                <w:kern w:val="21"/>
                <w:szCs w:val="24"/>
              </w:rPr>
              <w:t>排放浓度</w:t>
            </w:r>
            <w:r>
              <w:rPr>
                <w:rFonts w:hint="eastAsia" w:ascii="Times New Roman" w:hAnsi="Times New Roman"/>
                <w:bCs/>
                <w:color w:val="auto"/>
                <w:kern w:val="21"/>
                <w:szCs w:val="24"/>
              </w:rPr>
              <w:t>均为16</w:t>
            </w:r>
            <w:r>
              <w:rPr>
                <w:rFonts w:ascii="Times New Roman" w:hAnsi="Times New Roman"/>
                <w:bCs/>
                <w:color w:val="auto"/>
                <w:kern w:val="21"/>
                <w:szCs w:val="24"/>
              </w:rPr>
              <w:t>mg/m</w:t>
            </w:r>
            <w:r>
              <w:rPr>
                <w:rFonts w:ascii="Times New Roman" w:hAnsi="Times New Roman"/>
                <w:bCs/>
                <w:color w:val="auto"/>
                <w:kern w:val="21"/>
                <w:szCs w:val="24"/>
                <w:vertAlign w:val="superscript"/>
              </w:rPr>
              <w:t>3</w:t>
            </w:r>
            <w:r>
              <w:rPr>
                <w:rFonts w:hint="eastAsia" w:ascii="Times New Roman" w:hAnsi="Times New Roman"/>
                <w:bCs/>
                <w:color w:val="auto"/>
                <w:kern w:val="21"/>
                <w:szCs w:val="24"/>
              </w:rPr>
              <w:t>，</w:t>
            </w:r>
            <w:r>
              <w:rPr>
                <w:rFonts w:ascii="Times New Roman" w:hAnsi="Times New Roman"/>
                <w:bCs/>
                <w:color w:val="auto"/>
                <w:kern w:val="21"/>
                <w:szCs w:val="24"/>
                <w:lang w:bidi="ar"/>
              </w:rPr>
              <w:t>满足</w:t>
            </w:r>
            <w:r>
              <w:rPr>
                <w:rFonts w:ascii="Times New Roman" w:hAnsi="Times New Roman"/>
                <w:bCs/>
                <w:color w:val="auto"/>
                <w:kern w:val="21"/>
                <w:szCs w:val="24"/>
              </w:rPr>
              <w:t>《水泥工业大气污染物排放标准》</w:t>
            </w:r>
            <w:r>
              <w:rPr>
                <w:rFonts w:hint="eastAsia" w:ascii="Times New Roman" w:hAnsi="Times New Roman"/>
                <w:bCs/>
                <w:color w:val="auto"/>
                <w:kern w:val="21"/>
                <w:szCs w:val="24"/>
                <w:lang w:eastAsia="zh-CN"/>
              </w:rPr>
              <w:t>（</w:t>
            </w:r>
            <w:r>
              <w:rPr>
                <w:rFonts w:ascii="Times New Roman" w:hAnsi="Times New Roman"/>
                <w:bCs/>
                <w:color w:val="auto"/>
                <w:kern w:val="21"/>
                <w:szCs w:val="24"/>
              </w:rPr>
              <w:t>GB4915-2013</w:t>
            </w:r>
            <w:r>
              <w:rPr>
                <w:rFonts w:hint="eastAsia" w:ascii="Times New Roman" w:hAnsi="Times New Roman"/>
                <w:bCs/>
                <w:color w:val="auto"/>
                <w:kern w:val="21"/>
                <w:szCs w:val="24"/>
                <w:lang w:eastAsia="zh-CN"/>
              </w:rPr>
              <w:t>）</w:t>
            </w:r>
            <w:r>
              <w:rPr>
                <w:rFonts w:ascii="Times New Roman" w:hAnsi="Times New Roman"/>
                <w:bCs/>
                <w:color w:val="auto"/>
                <w:kern w:val="21"/>
                <w:szCs w:val="24"/>
              </w:rPr>
              <w:t>表1标准排放要求；无组织废气主要为</w:t>
            </w:r>
            <w:r>
              <w:rPr>
                <w:rFonts w:hint="eastAsia" w:ascii="Times New Roman" w:hAnsi="Times New Roman"/>
                <w:bCs/>
                <w:color w:val="auto"/>
                <w:kern w:val="21"/>
                <w:szCs w:val="24"/>
              </w:rPr>
              <w:t>砂子、碎石堆存装卸粉尘</w:t>
            </w:r>
            <w:r>
              <w:rPr>
                <w:rFonts w:ascii="Times New Roman" w:hAnsi="Times New Roman"/>
                <w:bCs/>
                <w:color w:val="auto"/>
                <w:kern w:val="21"/>
                <w:szCs w:val="24"/>
              </w:rPr>
              <w:t>，</w:t>
            </w:r>
            <w:r>
              <w:rPr>
                <w:rFonts w:hint="eastAsia" w:ascii="Times New Roman" w:hAnsi="Times New Roman"/>
                <w:bCs/>
                <w:color w:val="auto"/>
                <w:kern w:val="21"/>
                <w:szCs w:val="24"/>
                <w:lang w:bidi="ar"/>
              </w:rPr>
              <w:t>配料输送粉尘</w:t>
            </w:r>
            <w:r>
              <w:rPr>
                <w:rFonts w:ascii="Times New Roman" w:hAnsi="Times New Roman"/>
                <w:bCs/>
                <w:color w:val="auto"/>
                <w:kern w:val="21"/>
                <w:szCs w:val="24"/>
                <w:lang w:bidi="ar"/>
              </w:rPr>
              <w:t>，</w:t>
            </w:r>
            <w:r>
              <w:rPr>
                <w:rFonts w:hint="eastAsia" w:ascii="Times New Roman" w:hAnsi="Times New Roman"/>
                <w:bCs/>
                <w:color w:val="auto"/>
                <w:kern w:val="21"/>
                <w:szCs w:val="24"/>
                <w:lang w:bidi="ar"/>
              </w:rPr>
              <w:t>物料混合搅拌</w:t>
            </w:r>
            <w:r>
              <w:rPr>
                <w:rFonts w:ascii="Times New Roman" w:hAnsi="Times New Roman"/>
                <w:bCs/>
                <w:color w:val="auto"/>
                <w:kern w:val="21"/>
                <w:szCs w:val="24"/>
                <w:lang w:bidi="ar"/>
              </w:rPr>
              <w:t>粉尘以及运输车辆扬尘等，</w:t>
            </w:r>
            <w:r>
              <w:rPr>
                <w:rFonts w:hint="eastAsia" w:ascii="Times New Roman" w:hAnsi="Times New Roman"/>
                <w:bCs/>
                <w:color w:val="auto"/>
                <w:kern w:val="21"/>
                <w:szCs w:val="24"/>
                <w:lang w:bidi="ar"/>
              </w:rPr>
              <w:t>原料堆场砂石料场采用三面挡墙</w:t>
            </w:r>
            <w:r>
              <w:rPr>
                <w:rFonts w:hint="eastAsia" w:ascii="Times New Roman" w:hAnsi="Times New Roman"/>
                <w:bCs/>
                <w:color w:val="auto"/>
                <w:kern w:val="21"/>
                <w:szCs w:val="24"/>
                <w:lang w:eastAsia="zh-CN" w:bidi="ar"/>
              </w:rPr>
              <w:t>（</w:t>
            </w:r>
            <w:r>
              <w:rPr>
                <w:rFonts w:hint="eastAsia" w:ascii="Times New Roman" w:hAnsi="Times New Roman"/>
                <w:bCs/>
                <w:color w:val="auto"/>
                <w:kern w:val="21"/>
                <w:szCs w:val="24"/>
                <w:lang w:bidi="ar"/>
              </w:rPr>
              <w:t>高度2.5m</w:t>
            </w:r>
            <w:r>
              <w:rPr>
                <w:rFonts w:hint="eastAsia" w:ascii="Times New Roman" w:hAnsi="Times New Roman"/>
                <w:bCs/>
                <w:color w:val="auto"/>
                <w:kern w:val="21"/>
                <w:szCs w:val="24"/>
                <w:lang w:eastAsia="zh-CN" w:bidi="ar"/>
              </w:rPr>
              <w:t>）</w:t>
            </w:r>
            <w:r>
              <w:rPr>
                <w:rFonts w:hint="eastAsia" w:ascii="Times New Roman" w:hAnsi="Times New Roman"/>
                <w:bCs/>
                <w:color w:val="auto"/>
                <w:kern w:val="21"/>
                <w:szCs w:val="24"/>
                <w:lang w:bidi="ar"/>
              </w:rPr>
              <w:t>，上方苫盖密目网，并进行洒水抑尘；物料输送采用密闭输送带，上料口三面封闭并上方设置喷淋装置；搅拌工序采用封闭式搅拌机组，自带脉冲布袋除尘器，采取以上措施后排放</w:t>
            </w:r>
            <w:r>
              <w:rPr>
                <w:rFonts w:hint="eastAsia" w:ascii="Times New Roman" w:hAnsi="Times New Roman"/>
                <w:bCs/>
                <w:color w:val="auto"/>
                <w:kern w:val="21"/>
                <w:szCs w:val="24"/>
                <w:lang w:eastAsia="zh-CN" w:bidi="ar"/>
              </w:rPr>
              <w:t>的</w:t>
            </w:r>
            <w:r>
              <w:rPr>
                <w:rFonts w:hint="eastAsia" w:ascii="Times New Roman" w:hAnsi="Times New Roman"/>
                <w:bCs/>
                <w:color w:val="auto"/>
                <w:kern w:val="21"/>
                <w:szCs w:val="24"/>
                <w:lang w:bidi="ar"/>
              </w:rPr>
              <w:t>粉尘</w:t>
            </w:r>
            <w:r>
              <w:rPr>
                <w:rFonts w:ascii="Times New Roman" w:hAnsi="Times New Roman"/>
                <w:color w:val="auto"/>
                <w:kern w:val="21"/>
                <w:szCs w:val="24"/>
                <w:lang w:bidi="ar"/>
              </w:rPr>
              <w:t>满足《水泥工业大气污染物排放标准》</w:t>
            </w:r>
            <w:r>
              <w:rPr>
                <w:rFonts w:hint="eastAsia" w:ascii="Times New Roman" w:hAnsi="Times New Roman"/>
                <w:color w:val="auto"/>
                <w:kern w:val="21"/>
                <w:szCs w:val="24"/>
                <w:lang w:eastAsia="zh-CN" w:bidi="ar"/>
              </w:rPr>
              <w:t>（</w:t>
            </w:r>
            <w:r>
              <w:rPr>
                <w:rFonts w:ascii="Times New Roman" w:hAnsi="Times New Roman"/>
                <w:color w:val="auto"/>
                <w:kern w:val="21"/>
                <w:szCs w:val="24"/>
                <w:lang w:bidi="ar"/>
              </w:rPr>
              <w:t>GB4915-2013</w:t>
            </w:r>
            <w:r>
              <w:rPr>
                <w:rFonts w:hint="eastAsia" w:ascii="Times New Roman" w:hAnsi="Times New Roman"/>
                <w:color w:val="auto"/>
                <w:kern w:val="21"/>
                <w:szCs w:val="24"/>
                <w:lang w:eastAsia="zh-CN" w:bidi="ar"/>
              </w:rPr>
              <w:t>）</w:t>
            </w:r>
            <w:r>
              <w:rPr>
                <w:rFonts w:ascii="Times New Roman" w:hAnsi="Times New Roman"/>
                <w:color w:val="auto"/>
                <w:kern w:val="21"/>
                <w:szCs w:val="24"/>
                <w:lang w:bidi="ar"/>
              </w:rPr>
              <w:t>无组织排放</w:t>
            </w:r>
            <w:r>
              <w:rPr>
                <w:rStyle w:val="19"/>
                <w:rFonts w:ascii="Times New Roman" w:hAnsi="Times New Roman"/>
                <w:color w:val="auto"/>
                <w:kern w:val="21"/>
                <w:sz w:val="24"/>
                <w:szCs w:val="24"/>
              </w:rPr>
              <w:t>标</w:t>
            </w:r>
            <w:r>
              <w:rPr>
                <w:rFonts w:ascii="Times New Roman" w:hAnsi="Times New Roman"/>
                <w:color w:val="auto"/>
                <w:kern w:val="21"/>
                <w:szCs w:val="24"/>
                <w:lang w:bidi="ar"/>
              </w:rPr>
              <w:t>准排放要求。</w:t>
            </w:r>
          </w:p>
          <w:p w14:paraId="43467041">
            <w:pPr>
              <w:adjustRightInd w:val="0"/>
              <w:snapToGrid w:val="0"/>
              <w:spacing w:line="360" w:lineRule="auto"/>
              <w:ind w:firstLine="480" w:firstLineChars="200"/>
              <w:rPr>
                <w:color w:val="auto"/>
                <w:kern w:val="21"/>
                <w:sz w:val="24"/>
              </w:rPr>
            </w:pPr>
            <w:r>
              <w:rPr>
                <w:color w:val="auto"/>
                <w:kern w:val="21"/>
                <w:sz w:val="24"/>
              </w:rPr>
              <w:t>项目所在区域为环境空气质量达标区，建设单位对各有组织和无组织粉尘产生环节均采取有效的抑尘措施，正常</w:t>
            </w:r>
            <w:r>
              <w:rPr>
                <w:rFonts w:hint="eastAsia"/>
                <w:color w:val="auto"/>
                <w:kern w:val="21"/>
                <w:sz w:val="24"/>
                <w:lang w:eastAsia="zh-CN"/>
              </w:rPr>
              <w:t>情</w:t>
            </w:r>
            <w:r>
              <w:rPr>
                <w:color w:val="auto"/>
                <w:kern w:val="21"/>
                <w:sz w:val="24"/>
              </w:rPr>
              <w:t>况下污染物均能稳定达标排放，对周边大气环境影响较小。此外，当出现重污染天气</w:t>
            </w:r>
            <w:r>
              <w:rPr>
                <w:rFonts w:hint="eastAsia"/>
                <w:color w:val="auto"/>
                <w:kern w:val="21"/>
                <w:sz w:val="24"/>
                <w:lang w:eastAsia="zh-CN"/>
              </w:rPr>
              <w:t>时</w:t>
            </w:r>
            <w:r>
              <w:rPr>
                <w:color w:val="auto"/>
                <w:kern w:val="21"/>
                <w:sz w:val="24"/>
              </w:rPr>
              <w:t>，企业应错峰运行，根据当地政府要求采取停产、限产等措施，并编制环境风险应急预案等。</w:t>
            </w:r>
          </w:p>
          <w:p w14:paraId="6BA5FA71">
            <w:pPr>
              <w:spacing w:line="360" w:lineRule="auto"/>
              <w:ind w:firstLine="482" w:firstLineChars="200"/>
              <w:rPr>
                <w:b/>
                <w:bCs/>
                <w:color w:val="auto"/>
                <w:kern w:val="0"/>
                <w:sz w:val="24"/>
                <w:szCs w:val="20"/>
              </w:rPr>
            </w:pPr>
            <w:r>
              <w:rPr>
                <w:rFonts w:hint="eastAsia"/>
                <w:b/>
                <w:bCs/>
                <w:color w:val="auto"/>
                <w:kern w:val="0"/>
                <w:sz w:val="24"/>
                <w:szCs w:val="20"/>
              </w:rPr>
              <w:t>1.3</w:t>
            </w:r>
            <w:r>
              <w:rPr>
                <w:b/>
                <w:bCs/>
                <w:color w:val="auto"/>
                <w:kern w:val="0"/>
                <w:sz w:val="24"/>
                <w:szCs w:val="20"/>
              </w:rPr>
              <w:t>监测计划</w:t>
            </w:r>
          </w:p>
          <w:p w14:paraId="2F3E5794">
            <w:pPr>
              <w:spacing w:line="360" w:lineRule="auto"/>
              <w:ind w:firstLine="480" w:firstLineChars="200"/>
              <w:rPr>
                <w:color w:val="auto"/>
                <w:kern w:val="0"/>
                <w:sz w:val="24"/>
                <w:szCs w:val="20"/>
              </w:rPr>
            </w:pPr>
            <w:r>
              <w:rPr>
                <w:color w:val="auto"/>
                <w:kern w:val="0"/>
                <w:sz w:val="24"/>
                <w:szCs w:val="20"/>
              </w:rPr>
              <w:t xml:space="preserve">根据《排污单位自行监测技术指南 </w:t>
            </w:r>
            <w:r>
              <w:rPr>
                <w:rFonts w:hint="eastAsia"/>
                <w:color w:val="auto"/>
                <w:kern w:val="0"/>
                <w:sz w:val="24"/>
                <w:szCs w:val="20"/>
              </w:rPr>
              <w:t>水泥工业</w:t>
            </w:r>
            <w:r>
              <w:rPr>
                <w:color w:val="auto"/>
                <w:kern w:val="0"/>
                <w:sz w:val="24"/>
                <w:szCs w:val="20"/>
              </w:rPr>
              <w:t>》</w:t>
            </w:r>
            <w:r>
              <w:rPr>
                <w:rFonts w:hint="eastAsia"/>
                <w:color w:val="auto"/>
                <w:kern w:val="0"/>
                <w:sz w:val="24"/>
                <w:szCs w:val="20"/>
                <w:lang w:eastAsia="zh-CN"/>
              </w:rPr>
              <w:t>（</w:t>
            </w:r>
            <w:r>
              <w:rPr>
                <w:color w:val="auto"/>
                <w:kern w:val="0"/>
                <w:sz w:val="24"/>
                <w:szCs w:val="20"/>
              </w:rPr>
              <w:t>HJ</w:t>
            </w:r>
            <w:r>
              <w:rPr>
                <w:rFonts w:hint="eastAsia"/>
                <w:color w:val="auto"/>
                <w:kern w:val="0"/>
                <w:sz w:val="24"/>
                <w:szCs w:val="20"/>
              </w:rPr>
              <w:t>848</w:t>
            </w:r>
            <w:r>
              <w:rPr>
                <w:color w:val="auto"/>
                <w:kern w:val="0"/>
                <w:sz w:val="24"/>
                <w:szCs w:val="20"/>
              </w:rPr>
              <w:t>-2017</w:t>
            </w:r>
            <w:r>
              <w:rPr>
                <w:rFonts w:hint="eastAsia"/>
                <w:color w:val="auto"/>
                <w:kern w:val="0"/>
                <w:sz w:val="24"/>
                <w:szCs w:val="20"/>
                <w:lang w:eastAsia="zh-CN"/>
              </w:rPr>
              <w:t>）</w:t>
            </w:r>
            <w:r>
              <w:rPr>
                <w:color w:val="auto"/>
                <w:kern w:val="0"/>
                <w:sz w:val="24"/>
                <w:szCs w:val="20"/>
              </w:rPr>
              <w:t>，本项目大气监测的监测点位、监测因子和频次见表4-2。</w:t>
            </w:r>
          </w:p>
          <w:p w14:paraId="288EB985">
            <w:pPr>
              <w:adjustRightInd w:val="0"/>
              <w:snapToGrid w:val="0"/>
              <w:jc w:val="center"/>
              <w:rPr>
                <w:b/>
                <w:bCs/>
                <w:color w:val="auto"/>
                <w:sz w:val="24"/>
              </w:rPr>
            </w:pPr>
            <w:r>
              <w:rPr>
                <w:b/>
                <w:bCs/>
                <w:color w:val="auto"/>
                <w:sz w:val="24"/>
              </w:rPr>
              <w:t>表4-2 大气环境监测内容一览表</w:t>
            </w:r>
          </w:p>
          <w:tbl>
            <w:tblPr>
              <w:tblStyle w:val="16"/>
              <w:tblW w:w="8222" w:type="dxa"/>
              <w:tblInd w:w="0" w:type="dxa"/>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Layout w:type="autofit"/>
              <w:tblCellMar>
                <w:top w:w="0" w:type="dxa"/>
                <w:left w:w="0" w:type="dxa"/>
                <w:bottom w:w="0" w:type="dxa"/>
                <w:right w:w="0" w:type="dxa"/>
              </w:tblCellMar>
            </w:tblPr>
            <w:tblGrid>
              <w:gridCol w:w="840"/>
              <w:gridCol w:w="850"/>
              <w:gridCol w:w="1133"/>
              <w:gridCol w:w="1702"/>
              <w:gridCol w:w="1276"/>
              <w:gridCol w:w="2421"/>
            </w:tblGrid>
            <w:tr w14:paraId="448CB4D6">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513" w:hRule="atLeast"/>
              </w:trPr>
              <w:tc>
                <w:tcPr>
                  <w:tcW w:w="511" w:type="pct"/>
                  <w:vAlign w:val="center"/>
                </w:tcPr>
                <w:p w14:paraId="78BF86FC">
                  <w:pPr>
                    <w:adjustRightInd w:val="0"/>
                    <w:snapToGrid w:val="0"/>
                    <w:jc w:val="center"/>
                    <w:rPr>
                      <w:b/>
                      <w:color w:val="auto"/>
                      <w:szCs w:val="21"/>
                    </w:rPr>
                  </w:pPr>
                  <w:r>
                    <w:rPr>
                      <w:b/>
                      <w:color w:val="auto"/>
                      <w:szCs w:val="21"/>
                    </w:rPr>
                    <w:t>类别</w:t>
                  </w:r>
                </w:p>
              </w:tc>
              <w:tc>
                <w:tcPr>
                  <w:tcW w:w="517" w:type="pct"/>
                  <w:vAlign w:val="center"/>
                </w:tcPr>
                <w:p w14:paraId="583E2106">
                  <w:pPr>
                    <w:adjustRightInd w:val="0"/>
                    <w:snapToGrid w:val="0"/>
                    <w:jc w:val="center"/>
                    <w:rPr>
                      <w:b/>
                      <w:color w:val="auto"/>
                      <w:szCs w:val="21"/>
                    </w:rPr>
                  </w:pPr>
                  <w:r>
                    <w:rPr>
                      <w:b/>
                      <w:color w:val="auto"/>
                      <w:szCs w:val="21"/>
                    </w:rPr>
                    <w:t>监测项目</w:t>
                  </w:r>
                </w:p>
              </w:tc>
              <w:tc>
                <w:tcPr>
                  <w:tcW w:w="689" w:type="pct"/>
                  <w:vAlign w:val="center"/>
                </w:tcPr>
                <w:p w14:paraId="17677254">
                  <w:pPr>
                    <w:adjustRightInd w:val="0"/>
                    <w:snapToGrid w:val="0"/>
                    <w:jc w:val="center"/>
                    <w:rPr>
                      <w:b/>
                      <w:color w:val="auto"/>
                    </w:rPr>
                  </w:pPr>
                  <w:r>
                    <w:rPr>
                      <w:b/>
                      <w:color w:val="auto"/>
                    </w:rPr>
                    <w:t>污染环节</w:t>
                  </w:r>
                </w:p>
              </w:tc>
              <w:tc>
                <w:tcPr>
                  <w:tcW w:w="1035" w:type="pct"/>
                  <w:vAlign w:val="center"/>
                </w:tcPr>
                <w:p w14:paraId="03FFCC41">
                  <w:pPr>
                    <w:adjustRightInd w:val="0"/>
                    <w:snapToGrid w:val="0"/>
                    <w:jc w:val="center"/>
                    <w:rPr>
                      <w:b/>
                      <w:color w:val="auto"/>
                      <w:szCs w:val="21"/>
                    </w:rPr>
                  </w:pPr>
                  <w:r>
                    <w:rPr>
                      <w:b/>
                      <w:color w:val="auto"/>
                      <w:szCs w:val="21"/>
                    </w:rPr>
                    <w:t>监测位置</w:t>
                  </w:r>
                </w:p>
              </w:tc>
              <w:tc>
                <w:tcPr>
                  <w:tcW w:w="776" w:type="pct"/>
                  <w:vAlign w:val="center"/>
                </w:tcPr>
                <w:p w14:paraId="4B7760F9">
                  <w:pPr>
                    <w:adjustRightInd w:val="0"/>
                    <w:snapToGrid w:val="0"/>
                    <w:jc w:val="center"/>
                    <w:rPr>
                      <w:b/>
                      <w:color w:val="auto"/>
                      <w:szCs w:val="21"/>
                    </w:rPr>
                  </w:pPr>
                  <w:r>
                    <w:rPr>
                      <w:b/>
                      <w:color w:val="auto"/>
                      <w:szCs w:val="21"/>
                    </w:rPr>
                    <w:t>监测频次</w:t>
                  </w:r>
                </w:p>
              </w:tc>
              <w:tc>
                <w:tcPr>
                  <w:tcW w:w="1472" w:type="pct"/>
                  <w:vAlign w:val="center"/>
                </w:tcPr>
                <w:p w14:paraId="25718466">
                  <w:pPr>
                    <w:adjustRightInd w:val="0"/>
                    <w:snapToGrid w:val="0"/>
                    <w:jc w:val="center"/>
                    <w:rPr>
                      <w:b/>
                      <w:color w:val="auto"/>
                      <w:szCs w:val="21"/>
                    </w:rPr>
                  </w:pPr>
                  <w:r>
                    <w:rPr>
                      <w:b/>
                      <w:color w:val="auto"/>
                      <w:szCs w:val="21"/>
                    </w:rPr>
                    <w:t>控制指标</w:t>
                  </w:r>
                </w:p>
              </w:tc>
            </w:tr>
            <w:tr w14:paraId="29768037">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511" w:type="pct"/>
                  <w:vAlign w:val="center"/>
                </w:tcPr>
                <w:p w14:paraId="335EFB9F">
                  <w:pPr>
                    <w:adjustRightInd w:val="0"/>
                    <w:snapToGrid w:val="0"/>
                    <w:jc w:val="center"/>
                    <w:rPr>
                      <w:bCs/>
                      <w:color w:val="auto"/>
                      <w:szCs w:val="21"/>
                    </w:rPr>
                  </w:pPr>
                  <w:r>
                    <w:rPr>
                      <w:bCs/>
                      <w:color w:val="auto"/>
                      <w:szCs w:val="21"/>
                    </w:rPr>
                    <w:t>有组织废气</w:t>
                  </w:r>
                </w:p>
              </w:tc>
              <w:tc>
                <w:tcPr>
                  <w:tcW w:w="517" w:type="pct"/>
                  <w:vAlign w:val="center"/>
                </w:tcPr>
                <w:p w14:paraId="391D2FA5">
                  <w:pPr>
                    <w:adjustRightInd w:val="0"/>
                    <w:snapToGrid w:val="0"/>
                    <w:jc w:val="center"/>
                    <w:rPr>
                      <w:bCs/>
                      <w:color w:val="auto"/>
                      <w:szCs w:val="21"/>
                    </w:rPr>
                  </w:pPr>
                  <w:r>
                    <w:rPr>
                      <w:bCs/>
                      <w:color w:val="auto"/>
                      <w:szCs w:val="21"/>
                    </w:rPr>
                    <w:t>颗粒物</w:t>
                  </w:r>
                </w:p>
              </w:tc>
              <w:tc>
                <w:tcPr>
                  <w:tcW w:w="689" w:type="pct"/>
                  <w:vAlign w:val="center"/>
                </w:tcPr>
                <w:p w14:paraId="4BC3E9EA">
                  <w:pPr>
                    <w:adjustRightInd w:val="0"/>
                    <w:snapToGrid w:val="0"/>
                    <w:jc w:val="center"/>
                    <w:rPr>
                      <w:bCs/>
                      <w:color w:val="auto"/>
                      <w:szCs w:val="21"/>
                    </w:rPr>
                  </w:pPr>
                  <w:r>
                    <w:rPr>
                      <w:rFonts w:hint="eastAsia"/>
                      <w:bCs/>
                      <w:color w:val="auto"/>
                      <w:szCs w:val="21"/>
                    </w:rPr>
                    <w:t>筒仓</w:t>
                  </w:r>
                </w:p>
              </w:tc>
              <w:tc>
                <w:tcPr>
                  <w:tcW w:w="1035" w:type="pct"/>
                  <w:vAlign w:val="center"/>
                </w:tcPr>
                <w:p w14:paraId="2143B947">
                  <w:pPr>
                    <w:adjustRightInd w:val="0"/>
                    <w:snapToGrid w:val="0"/>
                    <w:jc w:val="center"/>
                    <w:rPr>
                      <w:bCs/>
                      <w:color w:val="auto"/>
                      <w:szCs w:val="21"/>
                    </w:rPr>
                  </w:pPr>
                  <w:r>
                    <w:rPr>
                      <w:rFonts w:hint="eastAsia"/>
                      <w:bCs/>
                      <w:color w:val="auto"/>
                      <w:szCs w:val="21"/>
                    </w:rPr>
                    <w:t>筒仓排气口</w:t>
                  </w:r>
                </w:p>
              </w:tc>
              <w:tc>
                <w:tcPr>
                  <w:tcW w:w="776" w:type="pct"/>
                  <w:vAlign w:val="center"/>
                </w:tcPr>
                <w:p w14:paraId="32605DAE">
                  <w:pPr>
                    <w:adjustRightInd w:val="0"/>
                    <w:snapToGrid w:val="0"/>
                    <w:jc w:val="center"/>
                    <w:rPr>
                      <w:bCs/>
                      <w:color w:val="auto"/>
                      <w:szCs w:val="21"/>
                    </w:rPr>
                  </w:pPr>
                  <w:r>
                    <w:rPr>
                      <w:bCs/>
                      <w:color w:val="auto"/>
                      <w:szCs w:val="21"/>
                    </w:rPr>
                    <w:t>1次/</w:t>
                  </w:r>
                  <w:r>
                    <w:rPr>
                      <w:rFonts w:hint="eastAsia"/>
                      <w:bCs/>
                      <w:color w:val="auto"/>
                      <w:szCs w:val="21"/>
                    </w:rPr>
                    <w:t>两</w:t>
                  </w:r>
                  <w:r>
                    <w:rPr>
                      <w:bCs/>
                      <w:color w:val="auto"/>
                      <w:szCs w:val="21"/>
                    </w:rPr>
                    <w:t>年</w:t>
                  </w:r>
                  <w:r>
                    <w:rPr>
                      <w:rFonts w:hint="eastAsia"/>
                      <w:bCs/>
                      <w:color w:val="auto"/>
                      <w:szCs w:val="21"/>
                    </w:rPr>
                    <w:t>，至少在运行期内监测1次</w:t>
                  </w:r>
                </w:p>
              </w:tc>
              <w:tc>
                <w:tcPr>
                  <w:tcW w:w="1472" w:type="pct"/>
                  <w:vAlign w:val="center"/>
                </w:tcPr>
                <w:p w14:paraId="369376CD">
                  <w:pPr>
                    <w:adjustRightInd w:val="0"/>
                    <w:snapToGrid w:val="0"/>
                    <w:jc w:val="center"/>
                    <w:rPr>
                      <w:bCs/>
                      <w:color w:val="auto"/>
                      <w:szCs w:val="21"/>
                    </w:rPr>
                  </w:pPr>
                  <w:r>
                    <w:rPr>
                      <w:rFonts w:hint="eastAsia"/>
                      <w:bCs/>
                      <w:color w:val="auto"/>
                      <w:szCs w:val="21"/>
                    </w:rPr>
                    <w:t>《</w:t>
                  </w:r>
                  <w:r>
                    <w:rPr>
                      <w:bCs/>
                      <w:color w:val="auto"/>
                      <w:szCs w:val="21"/>
                    </w:rPr>
                    <w:t>水泥工业大气污染物排放标准》</w:t>
                  </w:r>
                  <w:r>
                    <w:rPr>
                      <w:rFonts w:hint="eastAsia"/>
                      <w:bCs/>
                      <w:color w:val="auto"/>
                      <w:szCs w:val="21"/>
                      <w:lang w:eastAsia="zh-CN"/>
                    </w:rPr>
                    <w:t>（</w:t>
                  </w:r>
                  <w:r>
                    <w:rPr>
                      <w:bCs/>
                      <w:color w:val="auto"/>
                      <w:szCs w:val="21"/>
                    </w:rPr>
                    <w:t>GB4915-2013</w:t>
                  </w:r>
                  <w:r>
                    <w:rPr>
                      <w:rFonts w:hint="eastAsia"/>
                      <w:bCs/>
                      <w:color w:val="auto"/>
                      <w:szCs w:val="21"/>
                      <w:lang w:eastAsia="zh-CN"/>
                    </w:rPr>
                    <w:t>）</w:t>
                  </w:r>
                  <w:r>
                    <w:rPr>
                      <w:bCs/>
                      <w:color w:val="auto"/>
                      <w:szCs w:val="21"/>
                    </w:rPr>
                    <w:t>表1标准</w:t>
                  </w:r>
                </w:p>
              </w:tc>
            </w:tr>
            <w:tr w14:paraId="1F2D164A">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511" w:type="pct"/>
                  <w:vAlign w:val="center"/>
                </w:tcPr>
                <w:p w14:paraId="04ADCC2D">
                  <w:pPr>
                    <w:adjustRightInd w:val="0"/>
                    <w:snapToGrid w:val="0"/>
                    <w:jc w:val="center"/>
                    <w:rPr>
                      <w:bCs/>
                      <w:color w:val="auto"/>
                      <w:szCs w:val="21"/>
                    </w:rPr>
                  </w:pPr>
                  <w:r>
                    <w:rPr>
                      <w:bCs/>
                      <w:color w:val="auto"/>
                      <w:szCs w:val="21"/>
                    </w:rPr>
                    <w:t>无组织废气</w:t>
                  </w:r>
                </w:p>
              </w:tc>
              <w:tc>
                <w:tcPr>
                  <w:tcW w:w="517" w:type="pct"/>
                  <w:vAlign w:val="center"/>
                </w:tcPr>
                <w:p w14:paraId="040F0CE6">
                  <w:pPr>
                    <w:adjustRightInd w:val="0"/>
                    <w:snapToGrid w:val="0"/>
                    <w:jc w:val="center"/>
                    <w:rPr>
                      <w:bCs/>
                      <w:color w:val="auto"/>
                      <w:szCs w:val="21"/>
                    </w:rPr>
                  </w:pPr>
                  <w:r>
                    <w:rPr>
                      <w:bCs/>
                      <w:color w:val="auto"/>
                      <w:szCs w:val="21"/>
                    </w:rPr>
                    <w:t>颗粒物</w:t>
                  </w:r>
                </w:p>
              </w:tc>
              <w:tc>
                <w:tcPr>
                  <w:tcW w:w="689" w:type="pct"/>
                  <w:vAlign w:val="center"/>
                </w:tcPr>
                <w:p w14:paraId="3F5C6F6B">
                  <w:pPr>
                    <w:adjustRightInd w:val="0"/>
                    <w:snapToGrid w:val="0"/>
                    <w:jc w:val="center"/>
                    <w:rPr>
                      <w:bCs/>
                      <w:color w:val="auto"/>
                      <w:szCs w:val="21"/>
                    </w:rPr>
                  </w:pPr>
                  <w:r>
                    <w:rPr>
                      <w:bCs/>
                      <w:color w:val="auto"/>
                      <w:szCs w:val="21"/>
                    </w:rPr>
                    <w:t>堆存、转运</w:t>
                  </w:r>
                  <w:r>
                    <w:rPr>
                      <w:rFonts w:hint="eastAsia"/>
                      <w:bCs/>
                      <w:color w:val="auto"/>
                      <w:szCs w:val="21"/>
                    </w:rPr>
                    <w:t>、搅拌</w:t>
                  </w:r>
                  <w:r>
                    <w:rPr>
                      <w:bCs/>
                      <w:color w:val="auto"/>
                      <w:szCs w:val="21"/>
                    </w:rPr>
                    <w:t>等</w:t>
                  </w:r>
                </w:p>
              </w:tc>
              <w:tc>
                <w:tcPr>
                  <w:tcW w:w="1035" w:type="pct"/>
                  <w:vAlign w:val="center"/>
                </w:tcPr>
                <w:p w14:paraId="128FE84C">
                  <w:pPr>
                    <w:adjustRightInd w:val="0"/>
                    <w:snapToGrid w:val="0"/>
                    <w:jc w:val="center"/>
                    <w:rPr>
                      <w:bCs/>
                      <w:color w:val="auto"/>
                      <w:szCs w:val="21"/>
                    </w:rPr>
                  </w:pPr>
                  <w:r>
                    <w:rPr>
                      <w:bCs/>
                      <w:color w:val="auto"/>
                      <w:szCs w:val="21"/>
                    </w:rPr>
                    <w:t>场界外上风向设1个参考点，下风向设3个监测点</w:t>
                  </w:r>
                </w:p>
              </w:tc>
              <w:tc>
                <w:tcPr>
                  <w:tcW w:w="776" w:type="pct"/>
                  <w:vAlign w:val="center"/>
                </w:tcPr>
                <w:p w14:paraId="79CC5E9F">
                  <w:pPr>
                    <w:adjustRightInd w:val="0"/>
                    <w:snapToGrid w:val="0"/>
                    <w:jc w:val="center"/>
                    <w:rPr>
                      <w:bCs/>
                      <w:color w:val="auto"/>
                      <w:szCs w:val="21"/>
                    </w:rPr>
                  </w:pPr>
                  <w:r>
                    <w:rPr>
                      <w:bCs/>
                      <w:color w:val="auto"/>
                      <w:szCs w:val="21"/>
                    </w:rPr>
                    <w:t>1次/</w:t>
                  </w:r>
                  <w:r>
                    <w:rPr>
                      <w:rFonts w:hint="eastAsia"/>
                      <w:bCs/>
                      <w:color w:val="auto"/>
                      <w:szCs w:val="21"/>
                    </w:rPr>
                    <w:t>季度</w:t>
                  </w:r>
                </w:p>
              </w:tc>
              <w:tc>
                <w:tcPr>
                  <w:tcW w:w="1472" w:type="pct"/>
                  <w:vAlign w:val="center"/>
                </w:tcPr>
                <w:p w14:paraId="530EC5EB">
                  <w:pPr>
                    <w:adjustRightInd w:val="0"/>
                    <w:snapToGrid w:val="0"/>
                    <w:jc w:val="center"/>
                    <w:rPr>
                      <w:bCs/>
                      <w:color w:val="auto"/>
                      <w:szCs w:val="21"/>
                    </w:rPr>
                  </w:pPr>
                  <w:r>
                    <w:rPr>
                      <w:bCs/>
                      <w:color w:val="auto"/>
                      <w:szCs w:val="21"/>
                    </w:rPr>
                    <w:t>《水泥工业大气污染物排放标准》</w:t>
                  </w:r>
                  <w:r>
                    <w:rPr>
                      <w:rFonts w:hint="eastAsia"/>
                      <w:bCs/>
                      <w:color w:val="auto"/>
                      <w:szCs w:val="21"/>
                      <w:lang w:eastAsia="zh-CN"/>
                    </w:rPr>
                    <w:t>（</w:t>
                  </w:r>
                  <w:r>
                    <w:rPr>
                      <w:bCs/>
                      <w:color w:val="auto"/>
                      <w:szCs w:val="21"/>
                    </w:rPr>
                    <w:t>GB4915-2013</w:t>
                  </w:r>
                  <w:r>
                    <w:rPr>
                      <w:rFonts w:hint="eastAsia"/>
                      <w:bCs/>
                      <w:color w:val="auto"/>
                      <w:szCs w:val="21"/>
                      <w:lang w:eastAsia="zh-CN"/>
                    </w:rPr>
                    <w:t>）</w:t>
                  </w:r>
                  <w:r>
                    <w:rPr>
                      <w:bCs/>
                      <w:color w:val="auto"/>
                      <w:szCs w:val="21"/>
                    </w:rPr>
                    <w:t>表</w:t>
                  </w:r>
                  <w:r>
                    <w:rPr>
                      <w:rFonts w:hint="eastAsia"/>
                      <w:bCs/>
                      <w:color w:val="auto"/>
                      <w:szCs w:val="21"/>
                    </w:rPr>
                    <w:t>3</w:t>
                  </w:r>
                  <w:r>
                    <w:rPr>
                      <w:bCs/>
                      <w:color w:val="auto"/>
                      <w:szCs w:val="21"/>
                    </w:rPr>
                    <w:t>标准</w:t>
                  </w:r>
                </w:p>
              </w:tc>
            </w:tr>
          </w:tbl>
          <w:p w14:paraId="17A4A9DD">
            <w:pPr>
              <w:adjustRightInd w:val="0"/>
              <w:snapToGrid w:val="0"/>
              <w:spacing w:line="360" w:lineRule="auto"/>
              <w:rPr>
                <w:b/>
                <w:color w:val="auto"/>
                <w:kern w:val="21"/>
                <w:sz w:val="24"/>
              </w:rPr>
            </w:pPr>
            <w:r>
              <w:rPr>
                <w:b/>
                <w:color w:val="auto"/>
                <w:kern w:val="21"/>
                <w:sz w:val="24"/>
              </w:rPr>
              <w:t>2</w:t>
            </w:r>
            <w:r>
              <w:rPr>
                <w:rFonts w:hint="eastAsia"/>
                <w:b/>
                <w:color w:val="auto"/>
                <w:kern w:val="21"/>
                <w:sz w:val="24"/>
                <w:lang w:val="en-US" w:eastAsia="zh-CN"/>
              </w:rPr>
              <w:t>.</w:t>
            </w:r>
            <w:r>
              <w:rPr>
                <w:b/>
                <w:color w:val="auto"/>
                <w:kern w:val="21"/>
                <w:sz w:val="24"/>
              </w:rPr>
              <w:t>废水</w:t>
            </w:r>
          </w:p>
          <w:p w14:paraId="73F4409D">
            <w:pPr>
              <w:adjustRightInd w:val="0"/>
              <w:snapToGrid w:val="0"/>
              <w:spacing w:line="360" w:lineRule="auto"/>
              <w:rPr>
                <w:b/>
                <w:color w:val="auto"/>
                <w:kern w:val="21"/>
                <w:sz w:val="24"/>
              </w:rPr>
            </w:pPr>
            <w:r>
              <w:rPr>
                <w:b/>
                <w:color w:val="auto"/>
                <w:kern w:val="21"/>
                <w:sz w:val="24"/>
              </w:rPr>
              <w:t>2.1废水产生及排放情况</w:t>
            </w:r>
          </w:p>
          <w:p w14:paraId="1262C35C">
            <w:pPr>
              <w:spacing w:line="360" w:lineRule="auto"/>
              <w:ind w:firstLine="420"/>
              <w:rPr>
                <w:bCs/>
                <w:color w:val="auto"/>
                <w:sz w:val="24"/>
              </w:rPr>
            </w:pPr>
            <w:r>
              <w:rPr>
                <w:bCs/>
                <w:color w:val="auto"/>
                <w:sz w:val="24"/>
              </w:rPr>
              <w:t>搅拌用水全部进入产品，不外排；抑尘用水全部自然蒸发，不外排；搅拌机及运输车辆清洗废水、实验室废水</w:t>
            </w:r>
            <w:r>
              <w:rPr>
                <w:rFonts w:hint="eastAsia"/>
                <w:bCs/>
                <w:color w:val="auto"/>
                <w:sz w:val="24"/>
              </w:rPr>
              <w:t>产生量为630</w:t>
            </w:r>
            <w:r>
              <w:rPr>
                <w:bCs/>
                <w:color w:val="auto"/>
                <w:sz w:val="24"/>
              </w:rPr>
              <w:t>m</w:t>
            </w:r>
            <w:r>
              <w:rPr>
                <w:bCs/>
                <w:color w:val="auto"/>
                <w:sz w:val="24"/>
                <w:vertAlign w:val="superscript"/>
              </w:rPr>
              <w:t>3</w:t>
            </w:r>
            <w:r>
              <w:rPr>
                <w:bCs/>
                <w:color w:val="auto"/>
                <w:sz w:val="24"/>
              </w:rPr>
              <w:t>/a</w:t>
            </w:r>
            <w:r>
              <w:rPr>
                <w:rFonts w:hint="eastAsia"/>
                <w:bCs/>
                <w:color w:val="auto"/>
                <w:sz w:val="24"/>
                <w:lang w:eastAsia="zh-CN"/>
              </w:rPr>
              <w:t>（</w:t>
            </w:r>
            <w:r>
              <w:rPr>
                <w:rFonts w:hint="eastAsia"/>
                <w:bCs/>
                <w:color w:val="auto"/>
                <w:sz w:val="24"/>
              </w:rPr>
              <w:t>3</w:t>
            </w:r>
            <w:r>
              <w:rPr>
                <w:bCs/>
                <w:color w:val="auto"/>
                <w:sz w:val="24"/>
              </w:rPr>
              <w:t>m</w:t>
            </w:r>
            <w:r>
              <w:rPr>
                <w:bCs/>
                <w:color w:val="auto"/>
                <w:sz w:val="24"/>
                <w:vertAlign w:val="superscript"/>
              </w:rPr>
              <w:t>3</w:t>
            </w:r>
            <w:r>
              <w:rPr>
                <w:bCs/>
                <w:color w:val="auto"/>
                <w:sz w:val="24"/>
              </w:rPr>
              <w:t>/d</w:t>
            </w:r>
            <w:r>
              <w:rPr>
                <w:rFonts w:hint="eastAsia"/>
                <w:bCs/>
                <w:color w:val="auto"/>
                <w:sz w:val="24"/>
                <w:lang w:eastAsia="zh-CN"/>
              </w:rPr>
              <w:t>）</w:t>
            </w:r>
            <w:r>
              <w:rPr>
                <w:rFonts w:hint="eastAsia"/>
                <w:bCs/>
                <w:color w:val="auto"/>
                <w:sz w:val="24"/>
              </w:rPr>
              <w:t>，主要污染物为PH、SS、TDS等，其中pH值为10～12，SS</w:t>
            </w:r>
            <w:r>
              <w:rPr>
                <w:bCs/>
                <w:color w:val="auto"/>
                <w:sz w:val="24"/>
              </w:rPr>
              <w:t>浓度为</w:t>
            </w:r>
            <w:r>
              <w:rPr>
                <w:rFonts w:hint="eastAsia"/>
                <w:bCs/>
                <w:color w:val="auto"/>
                <w:sz w:val="24"/>
              </w:rPr>
              <w:t>3000mg/L～5000mg/L，TDS</w:t>
            </w:r>
            <w:r>
              <w:rPr>
                <w:bCs/>
                <w:color w:val="auto"/>
                <w:sz w:val="24"/>
              </w:rPr>
              <w:t>浓度为</w:t>
            </w:r>
            <w:r>
              <w:rPr>
                <w:rFonts w:hint="eastAsia"/>
                <w:bCs/>
                <w:color w:val="auto"/>
                <w:sz w:val="24"/>
              </w:rPr>
              <w:t>3000mg/L～5000mg/L，</w:t>
            </w:r>
            <w:r>
              <w:rPr>
                <w:bCs/>
                <w:color w:val="auto"/>
                <w:sz w:val="24"/>
              </w:rPr>
              <w:t>经沉淀后回用于生产，不外排。</w:t>
            </w:r>
          </w:p>
          <w:p w14:paraId="10C39EF6">
            <w:pPr>
              <w:spacing w:line="360" w:lineRule="auto"/>
              <w:ind w:firstLine="420"/>
              <w:rPr>
                <w:bCs/>
                <w:color w:val="auto"/>
                <w:sz w:val="24"/>
              </w:rPr>
            </w:pPr>
            <w:r>
              <w:rPr>
                <w:bCs/>
                <w:color w:val="auto"/>
                <w:sz w:val="24"/>
              </w:rPr>
              <w:t>本项目生活污水量为0.</w:t>
            </w:r>
            <w:r>
              <w:rPr>
                <w:rFonts w:hint="eastAsia"/>
                <w:bCs/>
                <w:color w:val="auto"/>
                <w:sz w:val="24"/>
              </w:rPr>
              <w:t>224</w:t>
            </w:r>
            <w:r>
              <w:rPr>
                <w:bCs/>
                <w:color w:val="auto"/>
                <w:sz w:val="24"/>
              </w:rPr>
              <w:t>m</w:t>
            </w:r>
            <w:r>
              <w:rPr>
                <w:bCs/>
                <w:color w:val="auto"/>
                <w:sz w:val="24"/>
                <w:vertAlign w:val="superscript"/>
              </w:rPr>
              <w:t>3</w:t>
            </w:r>
            <w:r>
              <w:rPr>
                <w:bCs/>
                <w:color w:val="auto"/>
                <w:sz w:val="24"/>
              </w:rPr>
              <w:t>/d，</w:t>
            </w:r>
            <w:r>
              <w:rPr>
                <w:rFonts w:hint="eastAsia"/>
                <w:bCs/>
                <w:color w:val="auto"/>
                <w:sz w:val="24"/>
              </w:rPr>
              <w:t>47.04</w:t>
            </w:r>
            <w:r>
              <w:rPr>
                <w:bCs/>
                <w:color w:val="auto"/>
                <w:sz w:val="24"/>
              </w:rPr>
              <w:t>m</w:t>
            </w:r>
            <w:r>
              <w:rPr>
                <w:bCs/>
                <w:color w:val="auto"/>
                <w:sz w:val="24"/>
                <w:vertAlign w:val="superscript"/>
              </w:rPr>
              <w:t>3</w:t>
            </w:r>
            <w:r>
              <w:rPr>
                <w:bCs/>
                <w:color w:val="auto"/>
                <w:sz w:val="24"/>
              </w:rPr>
              <w:t>/a，污染物产生浓度为COD350mg/L，BOD</w:t>
            </w:r>
            <w:r>
              <w:rPr>
                <w:bCs/>
                <w:color w:val="auto"/>
                <w:sz w:val="24"/>
                <w:vertAlign w:val="subscript"/>
              </w:rPr>
              <w:t>5</w:t>
            </w:r>
            <w:r>
              <w:rPr>
                <w:bCs/>
                <w:color w:val="auto"/>
                <w:sz w:val="24"/>
              </w:rPr>
              <w:t>200mg/L，SS300mg/L，氨氮35mg/L。生活污水经化粪池收集后，定期拉运至杭锦旗独贵塔拉镇污水处理厂处理。生活污水执行《污水综合排放标准》</w:t>
            </w:r>
            <w:r>
              <w:rPr>
                <w:rFonts w:hint="eastAsia"/>
                <w:bCs/>
                <w:color w:val="auto"/>
                <w:sz w:val="24"/>
                <w:lang w:eastAsia="zh-CN"/>
              </w:rPr>
              <w:t>（</w:t>
            </w:r>
            <w:r>
              <w:rPr>
                <w:bCs/>
                <w:color w:val="auto"/>
                <w:sz w:val="24"/>
              </w:rPr>
              <w:t>GB8978-1996</w:t>
            </w:r>
            <w:r>
              <w:rPr>
                <w:rFonts w:hint="eastAsia"/>
                <w:bCs/>
                <w:color w:val="auto"/>
                <w:sz w:val="24"/>
                <w:lang w:eastAsia="zh-CN"/>
              </w:rPr>
              <w:t>）</w:t>
            </w:r>
            <w:r>
              <w:rPr>
                <w:bCs/>
                <w:color w:val="auto"/>
                <w:sz w:val="24"/>
              </w:rPr>
              <w:t>三级标准。</w:t>
            </w:r>
          </w:p>
          <w:p w14:paraId="3E6F0EEB">
            <w:pPr>
              <w:spacing w:line="360" w:lineRule="auto"/>
              <w:ind w:firstLine="420"/>
              <w:rPr>
                <w:b/>
                <w:color w:val="auto"/>
                <w:sz w:val="24"/>
                <w:lang w:bidi="ar"/>
              </w:rPr>
            </w:pPr>
            <w:r>
              <w:rPr>
                <w:bCs/>
                <w:color w:val="auto"/>
                <w:sz w:val="24"/>
              </w:rPr>
              <w:t>因此，本项目对周围水环境影响较小。</w:t>
            </w:r>
          </w:p>
          <w:p w14:paraId="1D00469F">
            <w:pPr>
              <w:adjustRightInd w:val="0"/>
              <w:snapToGrid w:val="0"/>
              <w:spacing w:line="360" w:lineRule="auto"/>
              <w:rPr>
                <w:b/>
                <w:color w:val="auto"/>
                <w:sz w:val="24"/>
                <w:lang w:bidi="ar"/>
              </w:rPr>
            </w:pPr>
            <w:r>
              <w:rPr>
                <w:b/>
                <w:color w:val="auto"/>
                <w:sz w:val="24"/>
                <w:lang w:bidi="ar"/>
              </w:rPr>
              <w:t>2.2废水处置可行性</w:t>
            </w:r>
          </w:p>
          <w:p w14:paraId="409B4E7A">
            <w:pPr>
              <w:adjustRightInd w:val="0"/>
              <w:snapToGrid w:val="0"/>
              <w:spacing w:line="360" w:lineRule="auto"/>
              <w:ind w:firstLine="480" w:firstLineChars="200"/>
              <w:jc w:val="left"/>
              <w:rPr>
                <w:bCs/>
                <w:color w:val="auto"/>
                <w:kern w:val="0"/>
                <w:sz w:val="24"/>
              </w:rPr>
            </w:pPr>
            <w:r>
              <w:rPr>
                <w:bCs/>
                <w:color w:val="auto"/>
                <w:kern w:val="0"/>
                <w:sz w:val="24"/>
              </w:rPr>
              <w:t>本项目搅拌混合用水全部进入产品，不外排；抑尘用水全部自然蒸发，不外排；搅拌机及运输车辆清洗废水、实验室废水经沉淀后回用于生产，不外排。故本项目所排废水主要为生活污水。</w:t>
            </w:r>
          </w:p>
          <w:p w14:paraId="04A8789F">
            <w:pPr>
              <w:adjustRightInd w:val="0"/>
              <w:snapToGrid w:val="0"/>
              <w:spacing w:line="360" w:lineRule="auto"/>
              <w:ind w:firstLine="480" w:firstLineChars="200"/>
              <w:jc w:val="left"/>
              <w:rPr>
                <w:color w:val="auto"/>
                <w:kern w:val="0"/>
                <w:sz w:val="24"/>
              </w:rPr>
            </w:pPr>
            <w:r>
              <w:rPr>
                <w:color w:val="auto"/>
                <w:kern w:val="0"/>
                <w:sz w:val="24"/>
              </w:rPr>
              <w:t>搅拌机及运输车辆清洗废水、实验室废水进入三级沉淀池，厂区设置三级沉淀池，三级沉淀池为混凝土结构，容积为20m</w:t>
            </w:r>
            <w:r>
              <w:rPr>
                <w:color w:val="auto"/>
                <w:kern w:val="0"/>
                <w:sz w:val="24"/>
                <w:vertAlign w:val="superscript"/>
              </w:rPr>
              <w:t>3</w:t>
            </w:r>
            <w:r>
              <w:rPr>
                <w:color w:val="auto"/>
                <w:kern w:val="0"/>
                <w:sz w:val="24"/>
              </w:rPr>
              <w:t>，厂区的生产废水经三级沉淀池沉淀处理后，全部回用，无外排。对沉淀池进行防渗后可实现长期稳定处理状态，对环境影响较小，措施可行。</w:t>
            </w:r>
          </w:p>
          <w:p w14:paraId="03ADC854">
            <w:pPr>
              <w:adjustRightInd w:val="0"/>
              <w:snapToGrid w:val="0"/>
              <w:spacing w:line="360" w:lineRule="auto"/>
              <w:ind w:firstLine="480" w:firstLineChars="200"/>
              <w:jc w:val="left"/>
              <w:rPr>
                <w:bCs/>
                <w:color w:val="auto"/>
                <w:sz w:val="24"/>
                <w:lang w:bidi="ar"/>
              </w:rPr>
            </w:pPr>
            <w:r>
              <w:rPr>
                <w:color w:val="auto"/>
                <w:kern w:val="0"/>
                <w:sz w:val="24"/>
              </w:rPr>
              <w:t>项目生活污水产生量较少，污染物单一，浓度低，</w:t>
            </w:r>
            <w:r>
              <w:rPr>
                <w:bCs/>
                <w:color w:val="auto"/>
                <w:sz w:val="24"/>
                <w:lang w:bidi="ar"/>
              </w:rPr>
              <w:t>生活污水经化粪池收集后，定期拉运至杭锦旗独贵塔拉镇污水处理厂处理</w:t>
            </w:r>
            <w:r>
              <w:rPr>
                <w:color w:val="auto"/>
                <w:kern w:val="0"/>
                <w:sz w:val="24"/>
                <w:lang w:bidi="ar"/>
              </w:rPr>
              <w:t>，措施可行。</w:t>
            </w:r>
          </w:p>
          <w:p w14:paraId="465B51B3">
            <w:pPr>
              <w:adjustRightInd w:val="0"/>
              <w:snapToGrid w:val="0"/>
              <w:spacing w:line="360" w:lineRule="auto"/>
              <w:rPr>
                <w:b/>
                <w:color w:val="auto"/>
                <w:kern w:val="0"/>
                <w:sz w:val="24"/>
              </w:rPr>
            </w:pPr>
            <w:r>
              <w:rPr>
                <w:b/>
                <w:color w:val="auto"/>
                <w:kern w:val="0"/>
                <w:sz w:val="24"/>
              </w:rPr>
              <w:t>3</w:t>
            </w:r>
            <w:r>
              <w:rPr>
                <w:rFonts w:hint="eastAsia"/>
                <w:b/>
                <w:color w:val="auto"/>
                <w:kern w:val="0"/>
                <w:sz w:val="24"/>
                <w:lang w:val="en-US" w:eastAsia="zh-CN"/>
              </w:rPr>
              <w:t>.</w:t>
            </w:r>
            <w:r>
              <w:rPr>
                <w:b/>
                <w:color w:val="auto"/>
                <w:kern w:val="0"/>
                <w:sz w:val="24"/>
              </w:rPr>
              <w:t>噪声</w:t>
            </w:r>
          </w:p>
          <w:p w14:paraId="537D84D1">
            <w:pPr>
              <w:adjustRightInd w:val="0"/>
              <w:snapToGrid w:val="0"/>
              <w:spacing w:line="360" w:lineRule="auto"/>
              <w:rPr>
                <w:b/>
                <w:bCs/>
                <w:color w:val="auto"/>
                <w:sz w:val="24"/>
              </w:rPr>
            </w:pPr>
            <w:r>
              <w:rPr>
                <w:b/>
                <w:bCs/>
                <w:color w:val="auto"/>
                <w:sz w:val="24"/>
              </w:rPr>
              <w:t>3.1噪声源强及治理措施</w:t>
            </w:r>
          </w:p>
          <w:p w14:paraId="06B05FA4">
            <w:pPr>
              <w:spacing w:line="360" w:lineRule="auto"/>
              <w:ind w:firstLine="480" w:firstLineChars="200"/>
              <w:rPr>
                <w:color w:val="auto"/>
                <w:sz w:val="24"/>
              </w:rPr>
            </w:pPr>
            <w:r>
              <w:rPr>
                <w:bCs/>
                <w:color w:val="auto"/>
                <w:sz w:val="24"/>
              </w:rPr>
              <w:t>项目噪声主要来源于搅拌机、装载机、物料传输装置</w:t>
            </w:r>
            <w:r>
              <w:rPr>
                <w:rFonts w:hint="eastAsia"/>
                <w:bCs/>
                <w:color w:val="auto"/>
                <w:sz w:val="24"/>
                <w:lang w:eastAsia="zh-CN"/>
              </w:rPr>
              <w:t>等</w:t>
            </w:r>
            <w:r>
              <w:rPr>
                <w:bCs/>
                <w:color w:val="auto"/>
                <w:sz w:val="24"/>
              </w:rPr>
              <w:t>运转过程中产生的噪声。根据设计，项目各噪声设备采取的降噪措施，对噪声有一定衰减，详见表4-</w:t>
            </w:r>
            <w:r>
              <w:rPr>
                <w:rFonts w:hint="eastAsia"/>
                <w:bCs/>
                <w:color w:val="auto"/>
                <w:sz w:val="24"/>
              </w:rPr>
              <w:t>3</w:t>
            </w:r>
            <w:r>
              <w:rPr>
                <w:bCs/>
                <w:color w:val="auto"/>
                <w:sz w:val="24"/>
              </w:rPr>
              <w:t>。</w:t>
            </w:r>
          </w:p>
          <w:p w14:paraId="4CF870E7">
            <w:pPr>
              <w:pStyle w:val="23"/>
              <w:rPr>
                <w:color w:val="auto"/>
              </w:rPr>
            </w:pPr>
          </w:p>
          <w:p w14:paraId="4D9C7121">
            <w:pPr>
              <w:pStyle w:val="23"/>
              <w:rPr>
                <w:color w:val="auto"/>
              </w:rPr>
            </w:pPr>
          </w:p>
          <w:p w14:paraId="1942CFE7">
            <w:pPr>
              <w:pStyle w:val="23"/>
              <w:rPr>
                <w:color w:val="auto"/>
              </w:rPr>
            </w:pPr>
            <w:r>
              <w:rPr>
                <w:color w:val="auto"/>
              </w:rPr>
              <w:t>表4-</w:t>
            </w:r>
            <w:r>
              <w:rPr>
                <w:rFonts w:hint="eastAsia"/>
                <w:color w:val="auto"/>
              </w:rPr>
              <w:t>3</w:t>
            </w:r>
            <w:r>
              <w:rPr>
                <w:color w:val="auto"/>
              </w:rPr>
              <w:t xml:space="preserve"> 各声源设备的噪声级</w:t>
            </w:r>
          </w:p>
          <w:tbl>
            <w:tblPr>
              <w:tblStyle w:val="16"/>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11"/>
              <w:gridCol w:w="1539"/>
              <w:gridCol w:w="3505"/>
              <w:gridCol w:w="1767"/>
            </w:tblGrid>
            <w:tr w14:paraId="63C6DC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68BB43BE">
                  <w:pPr>
                    <w:adjustRightInd w:val="0"/>
                    <w:spacing w:before="80" w:after="80"/>
                    <w:jc w:val="center"/>
                    <w:textAlignment w:val="baseline"/>
                    <w:rPr>
                      <w:color w:val="auto"/>
                      <w:kern w:val="0"/>
                      <w:szCs w:val="21"/>
                    </w:rPr>
                  </w:pPr>
                  <w:r>
                    <w:rPr>
                      <w:color w:val="auto"/>
                      <w:kern w:val="0"/>
                      <w:szCs w:val="21"/>
                    </w:rPr>
                    <w:t>设备名称</w:t>
                  </w:r>
                </w:p>
              </w:tc>
              <w:tc>
                <w:tcPr>
                  <w:tcW w:w="1539" w:type="dxa"/>
                  <w:vAlign w:val="center"/>
                </w:tcPr>
                <w:p w14:paraId="15390DAB">
                  <w:pPr>
                    <w:adjustRightInd w:val="0"/>
                    <w:spacing w:before="80" w:after="80"/>
                    <w:jc w:val="center"/>
                    <w:textAlignment w:val="baseline"/>
                    <w:rPr>
                      <w:color w:val="auto"/>
                      <w:kern w:val="0"/>
                      <w:szCs w:val="21"/>
                    </w:rPr>
                  </w:pPr>
                  <w:r>
                    <w:rPr>
                      <w:color w:val="auto"/>
                      <w:kern w:val="0"/>
                      <w:szCs w:val="21"/>
                    </w:rPr>
                    <w:t>声级值</w:t>
                  </w:r>
                </w:p>
                <w:p w14:paraId="37A1D1F1">
                  <w:pPr>
                    <w:adjustRightInd w:val="0"/>
                    <w:spacing w:before="80" w:after="80"/>
                    <w:jc w:val="center"/>
                    <w:textAlignment w:val="baseline"/>
                    <w:rPr>
                      <w:rFonts w:hint="eastAsia" w:eastAsia="宋体"/>
                      <w:color w:val="auto"/>
                      <w:kern w:val="0"/>
                      <w:szCs w:val="21"/>
                      <w:lang w:eastAsia="zh-CN"/>
                    </w:rPr>
                  </w:pPr>
                  <w:r>
                    <w:rPr>
                      <w:color w:val="auto"/>
                      <w:kern w:val="0"/>
                      <w:szCs w:val="21"/>
                    </w:rPr>
                    <w:t>dB</w:t>
                  </w:r>
                  <w:r>
                    <w:rPr>
                      <w:rFonts w:hint="eastAsia"/>
                      <w:color w:val="auto"/>
                      <w:kern w:val="0"/>
                      <w:szCs w:val="21"/>
                      <w:lang w:eastAsia="zh-CN"/>
                    </w:rPr>
                    <w:t>（</w:t>
                  </w:r>
                  <w:r>
                    <w:rPr>
                      <w:color w:val="auto"/>
                      <w:kern w:val="0"/>
                      <w:szCs w:val="21"/>
                    </w:rPr>
                    <w:t>A</w:t>
                  </w:r>
                  <w:r>
                    <w:rPr>
                      <w:rFonts w:hint="eastAsia"/>
                      <w:color w:val="auto"/>
                      <w:kern w:val="0"/>
                      <w:szCs w:val="21"/>
                      <w:lang w:eastAsia="zh-CN"/>
                    </w:rPr>
                    <w:t>）</w:t>
                  </w:r>
                </w:p>
              </w:tc>
              <w:tc>
                <w:tcPr>
                  <w:tcW w:w="3505" w:type="dxa"/>
                  <w:vAlign w:val="center"/>
                </w:tcPr>
                <w:p w14:paraId="26C4ACF6">
                  <w:pPr>
                    <w:adjustRightInd w:val="0"/>
                    <w:spacing w:before="80" w:after="80"/>
                    <w:jc w:val="center"/>
                    <w:textAlignment w:val="baseline"/>
                    <w:rPr>
                      <w:color w:val="auto"/>
                      <w:kern w:val="0"/>
                      <w:szCs w:val="21"/>
                    </w:rPr>
                  </w:pPr>
                  <w:r>
                    <w:rPr>
                      <w:color w:val="auto"/>
                      <w:kern w:val="0"/>
                      <w:szCs w:val="21"/>
                    </w:rPr>
                    <w:t>降噪措施</w:t>
                  </w:r>
                </w:p>
              </w:tc>
              <w:tc>
                <w:tcPr>
                  <w:tcW w:w="1767" w:type="dxa"/>
                  <w:vAlign w:val="center"/>
                </w:tcPr>
                <w:p w14:paraId="2C43F18A">
                  <w:pPr>
                    <w:adjustRightInd w:val="0"/>
                    <w:spacing w:before="80" w:after="80"/>
                    <w:jc w:val="center"/>
                    <w:textAlignment w:val="baseline"/>
                    <w:rPr>
                      <w:rFonts w:hint="eastAsia" w:eastAsia="宋体"/>
                      <w:color w:val="auto"/>
                      <w:kern w:val="0"/>
                      <w:szCs w:val="21"/>
                      <w:lang w:eastAsia="zh-CN"/>
                    </w:rPr>
                  </w:pPr>
                  <w:r>
                    <w:rPr>
                      <w:color w:val="auto"/>
                      <w:kern w:val="0"/>
                      <w:szCs w:val="21"/>
                    </w:rPr>
                    <w:t>采取措施后源强dB</w:t>
                  </w:r>
                  <w:r>
                    <w:rPr>
                      <w:rFonts w:hint="eastAsia"/>
                      <w:color w:val="auto"/>
                      <w:kern w:val="0"/>
                      <w:szCs w:val="21"/>
                      <w:lang w:eastAsia="zh-CN"/>
                    </w:rPr>
                    <w:t>（</w:t>
                  </w:r>
                  <w:r>
                    <w:rPr>
                      <w:color w:val="auto"/>
                      <w:kern w:val="0"/>
                      <w:szCs w:val="21"/>
                    </w:rPr>
                    <w:t>A</w:t>
                  </w:r>
                  <w:r>
                    <w:rPr>
                      <w:rFonts w:hint="eastAsia"/>
                      <w:color w:val="auto"/>
                      <w:kern w:val="0"/>
                      <w:szCs w:val="21"/>
                      <w:lang w:eastAsia="zh-CN"/>
                    </w:rPr>
                    <w:t>）</w:t>
                  </w:r>
                </w:p>
              </w:tc>
            </w:tr>
            <w:tr w14:paraId="13610D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790CFACC">
                  <w:pPr>
                    <w:snapToGrid w:val="0"/>
                    <w:jc w:val="center"/>
                    <w:rPr>
                      <w:color w:val="auto"/>
                      <w:szCs w:val="21"/>
                    </w:rPr>
                  </w:pPr>
                  <w:r>
                    <w:rPr>
                      <w:color w:val="auto"/>
                      <w:szCs w:val="21"/>
                    </w:rPr>
                    <w:t>搅拌机</w:t>
                  </w:r>
                </w:p>
              </w:tc>
              <w:tc>
                <w:tcPr>
                  <w:tcW w:w="1539" w:type="dxa"/>
                  <w:vAlign w:val="center"/>
                </w:tcPr>
                <w:p w14:paraId="7373A6A1">
                  <w:pPr>
                    <w:snapToGrid w:val="0"/>
                    <w:jc w:val="center"/>
                    <w:rPr>
                      <w:color w:val="auto"/>
                      <w:szCs w:val="21"/>
                    </w:rPr>
                  </w:pPr>
                  <w:r>
                    <w:rPr>
                      <w:color w:val="auto"/>
                      <w:szCs w:val="21"/>
                    </w:rPr>
                    <w:t>83</w:t>
                  </w:r>
                </w:p>
              </w:tc>
              <w:tc>
                <w:tcPr>
                  <w:tcW w:w="3505" w:type="dxa"/>
                  <w:vAlign w:val="center"/>
                </w:tcPr>
                <w:p w14:paraId="00855B14">
                  <w:pPr>
                    <w:snapToGrid w:val="0"/>
                    <w:jc w:val="center"/>
                    <w:rPr>
                      <w:color w:val="auto"/>
                      <w:szCs w:val="21"/>
                    </w:rPr>
                  </w:pPr>
                  <w:r>
                    <w:rPr>
                      <w:color w:val="auto"/>
                      <w:szCs w:val="21"/>
                    </w:rPr>
                    <w:t>隔声、减振，设备置于搅拌车间内</w:t>
                  </w:r>
                </w:p>
              </w:tc>
              <w:tc>
                <w:tcPr>
                  <w:tcW w:w="1767" w:type="dxa"/>
                  <w:vAlign w:val="center"/>
                </w:tcPr>
                <w:p w14:paraId="61004BCF">
                  <w:pPr>
                    <w:snapToGrid w:val="0"/>
                    <w:jc w:val="center"/>
                    <w:rPr>
                      <w:color w:val="auto"/>
                      <w:szCs w:val="21"/>
                    </w:rPr>
                  </w:pPr>
                  <w:r>
                    <w:rPr>
                      <w:color w:val="auto"/>
                      <w:szCs w:val="21"/>
                    </w:rPr>
                    <w:t>70</w:t>
                  </w:r>
                </w:p>
              </w:tc>
            </w:tr>
            <w:tr w14:paraId="347933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290031B9">
                  <w:pPr>
                    <w:snapToGrid w:val="0"/>
                    <w:jc w:val="center"/>
                    <w:rPr>
                      <w:color w:val="auto"/>
                      <w:szCs w:val="21"/>
                    </w:rPr>
                  </w:pPr>
                  <w:r>
                    <w:rPr>
                      <w:color w:val="auto"/>
                      <w:szCs w:val="21"/>
                    </w:rPr>
                    <w:t>输送带</w:t>
                  </w:r>
                </w:p>
              </w:tc>
              <w:tc>
                <w:tcPr>
                  <w:tcW w:w="1539" w:type="dxa"/>
                  <w:vAlign w:val="center"/>
                </w:tcPr>
                <w:p w14:paraId="40770D52">
                  <w:pPr>
                    <w:snapToGrid w:val="0"/>
                    <w:jc w:val="center"/>
                    <w:rPr>
                      <w:color w:val="auto"/>
                      <w:szCs w:val="21"/>
                    </w:rPr>
                  </w:pPr>
                  <w:r>
                    <w:rPr>
                      <w:color w:val="auto"/>
                      <w:szCs w:val="21"/>
                    </w:rPr>
                    <w:t>70</w:t>
                  </w:r>
                </w:p>
              </w:tc>
              <w:tc>
                <w:tcPr>
                  <w:tcW w:w="3505" w:type="dxa"/>
                  <w:vAlign w:val="center"/>
                </w:tcPr>
                <w:p w14:paraId="59E23DF3">
                  <w:pPr>
                    <w:snapToGrid w:val="0"/>
                    <w:jc w:val="center"/>
                    <w:rPr>
                      <w:color w:val="auto"/>
                      <w:szCs w:val="21"/>
                    </w:rPr>
                  </w:pPr>
                  <w:r>
                    <w:rPr>
                      <w:color w:val="auto"/>
                      <w:szCs w:val="21"/>
                    </w:rPr>
                    <w:t>减振、密闭运输</w:t>
                  </w:r>
                </w:p>
              </w:tc>
              <w:tc>
                <w:tcPr>
                  <w:tcW w:w="1767" w:type="dxa"/>
                  <w:vAlign w:val="center"/>
                </w:tcPr>
                <w:p w14:paraId="38D9B5E7">
                  <w:pPr>
                    <w:snapToGrid w:val="0"/>
                    <w:jc w:val="center"/>
                    <w:rPr>
                      <w:color w:val="auto"/>
                      <w:szCs w:val="21"/>
                    </w:rPr>
                  </w:pPr>
                  <w:r>
                    <w:rPr>
                      <w:color w:val="auto"/>
                      <w:szCs w:val="21"/>
                    </w:rPr>
                    <w:t>56</w:t>
                  </w:r>
                </w:p>
              </w:tc>
            </w:tr>
            <w:tr w14:paraId="51C870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693186B4">
                  <w:pPr>
                    <w:snapToGrid w:val="0"/>
                    <w:jc w:val="center"/>
                    <w:rPr>
                      <w:color w:val="auto"/>
                      <w:szCs w:val="21"/>
                    </w:rPr>
                  </w:pPr>
                  <w:r>
                    <w:rPr>
                      <w:color w:val="auto"/>
                      <w:szCs w:val="21"/>
                    </w:rPr>
                    <w:t>螺旋输送机</w:t>
                  </w:r>
                </w:p>
              </w:tc>
              <w:tc>
                <w:tcPr>
                  <w:tcW w:w="1539" w:type="dxa"/>
                  <w:vAlign w:val="center"/>
                </w:tcPr>
                <w:p w14:paraId="2C5E5D8B">
                  <w:pPr>
                    <w:snapToGrid w:val="0"/>
                    <w:jc w:val="center"/>
                    <w:rPr>
                      <w:rFonts w:hint="eastAsia" w:eastAsia="宋体"/>
                      <w:color w:val="auto"/>
                      <w:szCs w:val="21"/>
                      <w:lang w:eastAsia="zh-CN"/>
                    </w:rPr>
                  </w:pPr>
                  <w:r>
                    <w:rPr>
                      <w:color w:val="auto"/>
                      <w:szCs w:val="21"/>
                    </w:rPr>
                    <w:t>70</w:t>
                  </w:r>
                  <w:r>
                    <w:rPr>
                      <w:rFonts w:hint="eastAsia"/>
                      <w:color w:val="auto"/>
                      <w:szCs w:val="21"/>
                      <w:lang w:eastAsia="zh-CN"/>
                    </w:rPr>
                    <w:t>（</w:t>
                  </w:r>
                  <w:r>
                    <w:rPr>
                      <w:color w:val="auto"/>
                      <w:szCs w:val="21"/>
                    </w:rPr>
                    <w:t>正常工况</w:t>
                  </w:r>
                  <w:r>
                    <w:rPr>
                      <w:rFonts w:hint="eastAsia"/>
                      <w:color w:val="auto"/>
                      <w:szCs w:val="21"/>
                      <w:lang w:eastAsia="zh-CN"/>
                    </w:rPr>
                    <w:t>）</w:t>
                  </w:r>
                </w:p>
              </w:tc>
              <w:tc>
                <w:tcPr>
                  <w:tcW w:w="3505" w:type="dxa"/>
                  <w:vAlign w:val="center"/>
                </w:tcPr>
                <w:p w14:paraId="1F1C64B3">
                  <w:pPr>
                    <w:snapToGrid w:val="0"/>
                    <w:jc w:val="center"/>
                    <w:rPr>
                      <w:color w:val="auto"/>
                      <w:szCs w:val="21"/>
                    </w:rPr>
                  </w:pPr>
                  <w:r>
                    <w:rPr>
                      <w:color w:val="auto"/>
                      <w:szCs w:val="21"/>
                    </w:rPr>
                    <w:t>减振</w:t>
                  </w:r>
                </w:p>
              </w:tc>
              <w:tc>
                <w:tcPr>
                  <w:tcW w:w="1767" w:type="dxa"/>
                  <w:vAlign w:val="center"/>
                </w:tcPr>
                <w:p w14:paraId="0B39C719">
                  <w:pPr>
                    <w:snapToGrid w:val="0"/>
                    <w:jc w:val="center"/>
                    <w:rPr>
                      <w:color w:val="auto"/>
                      <w:szCs w:val="21"/>
                    </w:rPr>
                  </w:pPr>
                  <w:r>
                    <w:rPr>
                      <w:color w:val="auto"/>
                      <w:szCs w:val="21"/>
                    </w:rPr>
                    <w:t>58</w:t>
                  </w:r>
                </w:p>
              </w:tc>
            </w:tr>
            <w:tr w14:paraId="7074C8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77D9C76C">
                  <w:pPr>
                    <w:snapToGrid w:val="0"/>
                    <w:jc w:val="center"/>
                    <w:rPr>
                      <w:color w:val="auto"/>
                      <w:szCs w:val="21"/>
                    </w:rPr>
                  </w:pPr>
                  <w:r>
                    <w:rPr>
                      <w:color w:val="auto"/>
                      <w:szCs w:val="21"/>
                    </w:rPr>
                    <w:t>水泵</w:t>
                  </w:r>
                </w:p>
              </w:tc>
              <w:tc>
                <w:tcPr>
                  <w:tcW w:w="1539" w:type="dxa"/>
                  <w:vAlign w:val="center"/>
                </w:tcPr>
                <w:p w14:paraId="0EFB019A">
                  <w:pPr>
                    <w:snapToGrid w:val="0"/>
                    <w:jc w:val="center"/>
                    <w:rPr>
                      <w:color w:val="auto"/>
                      <w:szCs w:val="21"/>
                    </w:rPr>
                  </w:pPr>
                  <w:r>
                    <w:rPr>
                      <w:color w:val="auto"/>
                      <w:szCs w:val="21"/>
                    </w:rPr>
                    <w:t>68</w:t>
                  </w:r>
                </w:p>
              </w:tc>
              <w:tc>
                <w:tcPr>
                  <w:tcW w:w="3505" w:type="dxa"/>
                  <w:vAlign w:val="center"/>
                </w:tcPr>
                <w:p w14:paraId="2D13C831">
                  <w:pPr>
                    <w:snapToGrid w:val="0"/>
                    <w:jc w:val="center"/>
                    <w:rPr>
                      <w:color w:val="auto"/>
                      <w:szCs w:val="21"/>
                    </w:rPr>
                  </w:pPr>
                  <w:r>
                    <w:rPr>
                      <w:color w:val="auto"/>
                      <w:szCs w:val="21"/>
                    </w:rPr>
                    <w:t>减振、隔声、设备置于搅拌车间内</w:t>
                  </w:r>
                </w:p>
              </w:tc>
              <w:tc>
                <w:tcPr>
                  <w:tcW w:w="1767" w:type="dxa"/>
                  <w:vAlign w:val="center"/>
                </w:tcPr>
                <w:p w14:paraId="5EAE86C6">
                  <w:pPr>
                    <w:snapToGrid w:val="0"/>
                    <w:jc w:val="center"/>
                    <w:rPr>
                      <w:color w:val="auto"/>
                      <w:szCs w:val="21"/>
                    </w:rPr>
                  </w:pPr>
                  <w:r>
                    <w:rPr>
                      <w:color w:val="auto"/>
                      <w:szCs w:val="21"/>
                    </w:rPr>
                    <w:t>62</w:t>
                  </w:r>
                </w:p>
              </w:tc>
            </w:tr>
          </w:tbl>
          <w:p w14:paraId="67EAAA9A">
            <w:pPr>
              <w:spacing w:line="360" w:lineRule="auto"/>
              <w:ind w:firstLine="420" w:firstLineChars="200"/>
              <w:rPr>
                <w:bCs/>
                <w:color w:val="auto"/>
                <w:szCs w:val="21"/>
              </w:rPr>
            </w:pPr>
          </w:p>
          <w:p w14:paraId="69950262">
            <w:pPr>
              <w:adjustRightInd w:val="0"/>
              <w:snapToGrid w:val="0"/>
              <w:spacing w:line="360" w:lineRule="auto"/>
              <w:rPr>
                <w:b/>
                <w:bCs/>
                <w:color w:val="auto"/>
                <w:sz w:val="24"/>
              </w:rPr>
            </w:pPr>
            <w:r>
              <w:rPr>
                <w:b/>
                <w:bCs/>
                <w:color w:val="auto"/>
                <w:sz w:val="24"/>
              </w:rPr>
              <w:t>3.2噪声预测及达标情况</w:t>
            </w:r>
          </w:p>
          <w:p w14:paraId="396C5E31">
            <w:pPr>
              <w:spacing w:line="360" w:lineRule="auto"/>
              <w:ind w:firstLine="480" w:firstLineChars="200"/>
              <w:rPr>
                <w:bCs/>
                <w:color w:val="auto"/>
                <w:sz w:val="24"/>
              </w:rPr>
            </w:pPr>
            <w:r>
              <w:rPr>
                <w:bCs/>
                <w:color w:val="auto"/>
                <w:sz w:val="24"/>
              </w:rPr>
              <w:t>根据本项目特点及厂区情况，本评价重点考虑噪声源至受声点的距离衰减和厂房围护结构的屏蔽效应，忽略空气吸收、树木及其它地面效应。声级的计算采用《环境影响评价技术导则 声环境》</w:t>
            </w:r>
            <w:r>
              <w:rPr>
                <w:rFonts w:hint="eastAsia"/>
                <w:bCs/>
                <w:color w:val="auto"/>
                <w:sz w:val="24"/>
                <w:lang w:eastAsia="zh-CN"/>
              </w:rPr>
              <w:t>（</w:t>
            </w:r>
            <w:r>
              <w:rPr>
                <w:bCs/>
                <w:color w:val="auto"/>
                <w:sz w:val="24"/>
              </w:rPr>
              <w:t>HJ2.4-2021</w:t>
            </w:r>
            <w:r>
              <w:rPr>
                <w:rFonts w:hint="eastAsia"/>
                <w:bCs/>
                <w:color w:val="auto"/>
                <w:sz w:val="24"/>
                <w:lang w:eastAsia="zh-CN"/>
              </w:rPr>
              <w:t>）</w:t>
            </w:r>
            <w:r>
              <w:rPr>
                <w:bCs/>
                <w:color w:val="auto"/>
                <w:sz w:val="24"/>
              </w:rPr>
              <w:t>中点声源几何发散衰减的基本公式，计算公式如下：</w:t>
            </w:r>
          </w:p>
          <w:p w14:paraId="5F0A8277">
            <w:pPr>
              <w:spacing w:line="360" w:lineRule="auto"/>
              <w:ind w:firstLine="480" w:firstLineChars="200"/>
              <w:jc w:val="center"/>
              <w:rPr>
                <w:bCs/>
                <w:color w:val="auto"/>
                <w:sz w:val="24"/>
              </w:rPr>
            </w:pPr>
            <w:r>
              <w:rPr>
                <w:bCs/>
                <w:color w:val="auto"/>
                <w:sz w:val="24"/>
              </w:rPr>
              <w:t>Lp</w:t>
            </w:r>
            <w:r>
              <w:rPr>
                <w:rFonts w:hint="eastAsia"/>
                <w:bCs/>
                <w:color w:val="auto"/>
                <w:sz w:val="24"/>
                <w:lang w:eastAsia="zh-CN"/>
              </w:rPr>
              <w:t>（</w:t>
            </w:r>
            <w:r>
              <w:rPr>
                <w:bCs/>
                <w:color w:val="auto"/>
                <w:sz w:val="24"/>
              </w:rPr>
              <w:t>r</w:t>
            </w:r>
            <w:r>
              <w:rPr>
                <w:rFonts w:hint="eastAsia"/>
                <w:bCs/>
                <w:color w:val="auto"/>
                <w:sz w:val="24"/>
                <w:lang w:eastAsia="zh-CN"/>
              </w:rPr>
              <w:t>）</w:t>
            </w:r>
            <w:r>
              <w:rPr>
                <w:bCs/>
                <w:color w:val="auto"/>
                <w:sz w:val="24"/>
              </w:rPr>
              <w:t>=Lp</w:t>
            </w:r>
            <w:r>
              <w:rPr>
                <w:rFonts w:hint="eastAsia"/>
                <w:bCs/>
                <w:color w:val="auto"/>
                <w:sz w:val="24"/>
                <w:lang w:eastAsia="zh-CN"/>
              </w:rPr>
              <w:t>（</w:t>
            </w:r>
            <w:r>
              <w:rPr>
                <w:bCs/>
                <w:color w:val="auto"/>
                <w:sz w:val="24"/>
              </w:rPr>
              <w:t>r</w:t>
            </w:r>
            <w:r>
              <w:rPr>
                <w:bCs/>
                <w:color w:val="auto"/>
                <w:sz w:val="24"/>
                <w:vertAlign w:val="subscript"/>
              </w:rPr>
              <w:t>0</w:t>
            </w:r>
            <w:r>
              <w:rPr>
                <w:rFonts w:hint="eastAsia"/>
                <w:bCs/>
                <w:color w:val="auto"/>
                <w:sz w:val="24"/>
                <w:lang w:eastAsia="zh-CN"/>
              </w:rPr>
              <w:t>）</w:t>
            </w:r>
            <w:r>
              <w:rPr>
                <w:bCs/>
                <w:color w:val="auto"/>
                <w:sz w:val="24"/>
              </w:rPr>
              <w:t>-20lg(r/r</w:t>
            </w:r>
            <w:r>
              <w:rPr>
                <w:bCs/>
                <w:color w:val="auto"/>
                <w:sz w:val="24"/>
                <w:vertAlign w:val="subscript"/>
              </w:rPr>
              <w:t>0</w:t>
            </w:r>
            <w:r>
              <w:rPr>
                <w:bCs/>
                <w:color w:val="auto"/>
                <w:sz w:val="24"/>
              </w:rPr>
              <w:t>)</w:t>
            </w:r>
          </w:p>
          <w:p w14:paraId="6390685B">
            <w:pPr>
              <w:spacing w:line="360" w:lineRule="auto"/>
              <w:ind w:firstLine="480" w:firstLineChars="200"/>
              <w:rPr>
                <w:bCs/>
                <w:color w:val="auto"/>
                <w:sz w:val="24"/>
              </w:rPr>
            </w:pPr>
            <w:r>
              <w:rPr>
                <w:bCs/>
                <w:color w:val="auto"/>
                <w:sz w:val="24"/>
              </w:rPr>
              <w:t>多个噪声源同时存在时，总声级</w:t>
            </w:r>
            <w:r>
              <w:rPr>
                <w:rFonts w:hint="eastAsia"/>
                <w:bCs/>
                <w:color w:val="auto"/>
                <w:sz w:val="24"/>
                <w:lang w:eastAsia="zh-CN"/>
              </w:rPr>
              <w:t>的</w:t>
            </w:r>
            <w:r>
              <w:rPr>
                <w:bCs/>
                <w:color w:val="auto"/>
                <w:sz w:val="24"/>
              </w:rPr>
              <w:t>计算公式为：</w:t>
            </w:r>
          </w:p>
          <w:p w14:paraId="7B66E2C6">
            <w:pPr>
              <w:spacing w:line="360" w:lineRule="auto"/>
              <w:ind w:firstLine="480" w:firstLineChars="200"/>
              <w:jc w:val="center"/>
              <w:rPr>
                <w:bCs/>
                <w:color w:val="auto"/>
                <w:sz w:val="24"/>
              </w:rPr>
            </w:pPr>
            <w:r>
              <w:rPr>
                <w:bCs/>
                <w:color w:val="auto"/>
                <w:sz w:val="24"/>
              </w:rPr>
              <w:drawing>
                <wp:inline distT="0" distB="0" distL="0" distR="0">
                  <wp:extent cx="1333500" cy="434340"/>
                  <wp:effectExtent l="0" t="0" r="0" b="3810"/>
                  <wp:docPr id="90287669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876699" name="图片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333500" cy="434340"/>
                          </a:xfrm>
                          <a:prstGeom prst="rect">
                            <a:avLst/>
                          </a:prstGeom>
                          <a:noFill/>
                          <a:ln>
                            <a:noFill/>
                          </a:ln>
                        </pic:spPr>
                      </pic:pic>
                    </a:graphicData>
                  </a:graphic>
                </wp:inline>
              </w:drawing>
            </w:r>
          </w:p>
          <w:p w14:paraId="14660012">
            <w:pPr>
              <w:spacing w:line="360" w:lineRule="auto"/>
              <w:ind w:firstLine="480" w:firstLineChars="200"/>
              <w:rPr>
                <w:bCs/>
                <w:color w:val="auto"/>
                <w:sz w:val="24"/>
              </w:rPr>
            </w:pPr>
            <w:r>
              <w:rPr>
                <w:bCs/>
                <w:color w:val="auto"/>
                <w:sz w:val="24"/>
              </w:rPr>
              <w:t>根据以上公式计算，在采取环评提出的降噪措施后，运营期项目主要产噪设备对厂界噪声贡献值的预测结果见表4-</w:t>
            </w:r>
            <w:r>
              <w:rPr>
                <w:rFonts w:hint="eastAsia"/>
                <w:bCs/>
                <w:color w:val="auto"/>
                <w:sz w:val="24"/>
              </w:rPr>
              <w:t>4</w:t>
            </w:r>
            <w:r>
              <w:rPr>
                <w:bCs/>
                <w:color w:val="auto"/>
                <w:sz w:val="24"/>
              </w:rPr>
              <w:t>。</w:t>
            </w:r>
          </w:p>
          <w:p w14:paraId="3BA6B1B9">
            <w:pPr>
              <w:spacing w:line="360" w:lineRule="auto"/>
              <w:jc w:val="center"/>
              <w:rPr>
                <w:b/>
                <w:color w:val="auto"/>
                <w:sz w:val="24"/>
              </w:rPr>
            </w:pPr>
            <w:r>
              <w:rPr>
                <w:b/>
                <w:color w:val="auto"/>
                <w:sz w:val="24"/>
              </w:rPr>
              <w:t>表4-</w:t>
            </w:r>
            <w:r>
              <w:rPr>
                <w:rFonts w:hint="eastAsia"/>
                <w:b/>
                <w:color w:val="auto"/>
                <w:sz w:val="24"/>
              </w:rPr>
              <w:t>4</w:t>
            </w:r>
            <w:r>
              <w:rPr>
                <w:b/>
                <w:color w:val="auto"/>
                <w:sz w:val="24"/>
              </w:rPr>
              <w:t xml:space="preserve"> 主要产噪设备对厂界噪声</w:t>
            </w:r>
            <w:r>
              <w:rPr>
                <w:rFonts w:hint="eastAsia"/>
                <w:b/>
                <w:color w:val="auto"/>
                <w:sz w:val="24"/>
                <w:lang w:eastAsia="zh-CN"/>
              </w:rPr>
              <w:t>的</w:t>
            </w:r>
            <w:r>
              <w:rPr>
                <w:b/>
                <w:color w:val="auto"/>
                <w:sz w:val="24"/>
              </w:rPr>
              <w:t>预测结果一览表</w:t>
            </w:r>
          </w:p>
          <w:tbl>
            <w:tblPr>
              <w:tblStyle w:val="16"/>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1927"/>
              <w:gridCol w:w="1860"/>
              <w:gridCol w:w="2605"/>
              <w:gridCol w:w="1830"/>
            </w:tblGrid>
            <w:tr w14:paraId="1002EA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2" w:type="pct"/>
                  <w:vAlign w:val="center"/>
                </w:tcPr>
                <w:p w14:paraId="7F6CE93C">
                  <w:pPr>
                    <w:spacing w:line="0" w:lineRule="atLeast"/>
                    <w:jc w:val="center"/>
                    <w:rPr>
                      <w:color w:val="auto"/>
                      <w:spacing w:val="-10"/>
                      <w:szCs w:val="21"/>
                    </w:rPr>
                  </w:pPr>
                  <w:r>
                    <w:rPr>
                      <w:color w:val="auto"/>
                      <w:spacing w:val="-10"/>
                      <w:szCs w:val="21"/>
                    </w:rPr>
                    <w:t>预测点位</w:t>
                  </w:r>
                </w:p>
              </w:tc>
              <w:tc>
                <w:tcPr>
                  <w:tcW w:w="1131" w:type="pct"/>
                  <w:vAlign w:val="center"/>
                </w:tcPr>
                <w:p w14:paraId="0CE8D16B">
                  <w:pPr>
                    <w:spacing w:line="0" w:lineRule="atLeast"/>
                    <w:jc w:val="center"/>
                    <w:rPr>
                      <w:color w:val="auto"/>
                      <w:spacing w:val="-10"/>
                      <w:szCs w:val="21"/>
                    </w:rPr>
                  </w:pPr>
                  <w:r>
                    <w:rPr>
                      <w:color w:val="auto"/>
                      <w:spacing w:val="-10"/>
                      <w:szCs w:val="21"/>
                    </w:rPr>
                    <w:t>贡献值/dB</w:t>
                  </w:r>
                  <w:r>
                    <w:rPr>
                      <w:rFonts w:hint="eastAsia"/>
                      <w:color w:val="auto"/>
                      <w:spacing w:val="-10"/>
                      <w:szCs w:val="21"/>
                      <w:lang w:eastAsia="zh-CN"/>
                    </w:rPr>
                    <w:t>（</w:t>
                  </w:r>
                  <w:r>
                    <w:rPr>
                      <w:color w:val="auto"/>
                      <w:spacing w:val="-10"/>
                      <w:szCs w:val="21"/>
                    </w:rPr>
                    <w:t>A</w:t>
                  </w:r>
                  <w:r>
                    <w:rPr>
                      <w:rFonts w:hint="eastAsia"/>
                      <w:color w:val="auto"/>
                      <w:spacing w:val="-10"/>
                      <w:szCs w:val="21"/>
                      <w:lang w:eastAsia="zh-CN"/>
                    </w:rPr>
                    <w:t>）</w:t>
                  </w:r>
                </w:p>
              </w:tc>
              <w:tc>
                <w:tcPr>
                  <w:tcW w:w="1584" w:type="pct"/>
                  <w:vAlign w:val="center"/>
                </w:tcPr>
                <w:p w14:paraId="595B2D4C">
                  <w:pPr>
                    <w:spacing w:line="0" w:lineRule="atLeast"/>
                    <w:jc w:val="center"/>
                    <w:rPr>
                      <w:rFonts w:hint="eastAsia" w:eastAsia="宋体"/>
                      <w:color w:val="auto"/>
                      <w:spacing w:val="-10"/>
                      <w:szCs w:val="21"/>
                      <w:lang w:eastAsia="zh-CN"/>
                    </w:rPr>
                  </w:pPr>
                  <w:r>
                    <w:rPr>
                      <w:color w:val="auto"/>
                      <w:spacing w:val="-10"/>
                      <w:szCs w:val="21"/>
                    </w:rPr>
                    <w:t>标准值/dB</w:t>
                  </w:r>
                  <w:r>
                    <w:rPr>
                      <w:rFonts w:hint="eastAsia"/>
                      <w:color w:val="auto"/>
                      <w:spacing w:val="-10"/>
                      <w:szCs w:val="21"/>
                      <w:lang w:eastAsia="zh-CN"/>
                    </w:rPr>
                    <w:t>（</w:t>
                  </w:r>
                  <w:r>
                    <w:rPr>
                      <w:color w:val="auto"/>
                      <w:spacing w:val="-10"/>
                      <w:szCs w:val="21"/>
                    </w:rPr>
                    <w:t>A</w:t>
                  </w:r>
                  <w:r>
                    <w:rPr>
                      <w:rFonts w:hint="eastAsia"/>
                      <w:color w:val="auto"/>
                      <w:spacing w:val="-10"/>
                      <w:szCs w:val="21"/>
                      <w:lang w:eastAsia="zh-CN"/>
                    </w:rPr>
                    <w:t>）</w:t>
                  </w:r>
                </w:p>
              </w:tc>
              <w:tc>
                <w:tcPr>
                  <w:tcW w:w="1113" w:type="pct"/>
                  <w:vAlign w:val="center"/>
                </w:tcPr>
                <w:p w14:paraId="265794E5">
                  <w:pPr>
                    <w:spacing w:line="0" w:lineRule="atLeast"/>
                    <w:jc w:val="center"/>
                    <w:rPr>
                      <w:color w:val="auto"/>
                      <w:spacing w:val="-10"/>
                      <w:szCs w:val="21"/>
                    </w:rPr>
                  </w:pPr>
                  <w:r>
                    <w:rPr>
                      <w:color w:val="auto"/>
                      <w:spacing w:val="-10"/>
                      <w:szCs w:val="21"/>
                    </w:rPr>
                    <w:t>达标情况</w:t>
                  </w:r>
                </w:p>
              </w:tc>
            </w:tr>
            <w:tr w14:paraId="364B9B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2" w:type="pct"/>
                  <w:vAlign w:val="center"/>
                </w:tcPr>
                <w:p w14:paraId="1F23E147">
                  <w:pPr>
                    <w:spacing w:line="0" w:lineRule="atLeast"/>
                    <w:jc w:val="center"/>
                    <w:rPr>
                      <w:color w:val="auto"/>
                      <w:spacing w:val="-10"/>
                      <w:szCs w:val="21"/>
                    </w:rPr>
                  </w:pPr>
                  <w:r>
                    <w:rPr>
                      <w:color w:val="auto"/>
                      <w:spacing w:val="-10"/>
                      <w:szCs w:val="21"/>
                    </w:rPr>
                    <w:t>东厂界</w:t>
                  </w:r>
                </w:p>
              </w:tc>
              <w:tc>
                <w:tcPr>
                  <w:tcW w:w="1131" w:type="pct"/>
                  <w:vAlign w:val="center"/>
                </w:tcPr>
                <w:p w14:paraId="54790CB6">
                  <w:pPr>
                    <w:spacing w:line="0" w:lineRule="atLeast"/>
                    <w:jc w:val="center"/>
                    <w:rPr>
                      <w:color w:val="auto"/>
                      <w:spacing w:val="-10"/>
                      <w:szCs w:val="21"/>
                    </w:rPr>
                  </w:pPr>
                  <w:r>
                    <w:rPr>
                      <w:rFonts w:hint="eastAsia"/>
                      <w:color w:val="auto"/>
                      <w:spacing w:val="-10"/>
                      <w:szCs w:val="21"/>
                    </w:rPr>
                    <w:t>43</w:t>
                  </w:r>
                  <w:r>
                    <w:rPr>
                      <w:color w:val="auto"/>
                      <w:spacing w:val="-10"/>
                      <w:szCs w:val="21"/>
                    </w:rPr>
                    <w:t>.4</w:t>
                  </w:r>
                </w:p>
              </w:tc>
              <w:tc>
                <w:tcPr>
                  <w:tcW w:w="1584" w:type="pct"/>
                  <w:vMerge w:val="restart"/>
                  <w:vAlign w:val="center"/>
                </w:tcPr>
                <w:p w14:paraId="697E1F4E">
                  <w:pPr>
                    <w:spacing w:line="0" w:lineRule="atLeast"/>
                    <w:jc w:val="center"/>
                    <w:rPr>
                      <w:color w:val="auto"/>
                      <w:spacing w:val="-10"/>
                      <w:szCs w:val="21"/>
                    </w:rPr>
                  </w:pPr>
                  <w:r>
                    <w:rPr>
                      <w:color w:val="auto"/>
                      <w:spacing w:val="-10"/>
                      <w:szCs w:val="21"/>
                    </w:rPr>
                    <w:t>昼间：</w:t>
                  </w:r>
                  <w:r>
                    <w:rPr>
                      <w:rFonts w:hint="eastAsia"/>
                      <w:color w:val="auto"/>
                      <w:spacing w:val="-10"/>
                      <w:szCs w:val="21"/>
                    </w:rPr>
                    <w:t>55</w:t>
                  </w:r>
                </w:p>
                <w:p w14:paraId="70113CF7">
                  <w:pPr>
                    <w:spacing w:line="0" w:lineRule="atLeast"/>
                    <w:jc w:val="center"/>
                    <w:rPr>
                      <w:color w:val="auto"/>
                      <w:spacing w:val="-10"/>
                      <w:szCs w:val="21"/>
                    </w:rPr>
                  </w:pPr>
                  <w:r>
                    <w:rPr>
                      <w:color w:val="auto"/>
                      <w:spacing w:val="-10"/>
                      <w:szCs w:val="21"/>
                    </w:rPr>
                    <w:t>夜间：</w:t>
                  </w:r>
                  <w:r>
                    <w:rPr>
                      <w:rFonts w:hint="eastAsia"/>
                      <w:color w:val="auto"/>
                      <w:spacing w:val="-10"/>
                      <w:szCs w:val="21"/>
                    </w:rPr>
                    <w:t>45</w:t>
                  </w:r>
                </w:p>
              </w:tc>
              <w:tc>
                <w:tcPr>
                  <w:tcW w:w="1113" w:type="pct"/>
                  <w:vAlign w:val="center"/>
                </w:tcPr>
                <w:p w14:paraId="12A8F927">
                  <w:pPr>
                    <w:spacing w:line="0" w:lineRule="atLeast"/>
                    <w:jc w:val="center"/>
                    <w:rPr>
                      <w:color w:val="auto"/>
                      <w:spacing w:val="-10"/>
                      <w:szCs w:val="21"/>
                    </w:rPr>
                  </w:pPr>
                  <w:r>
                    <w:rPr>
                      <w:color w:val="auto"/>
                      <w:spacing w:val="-10"/>
                      <w:szCs w:val="21"/>
                    </w:rPr>
                    <w:t>达标</w:t>
                  </w:r>
                </w:p>
              </w:tc>
            </w:tr>
            <w:tr w14:paraId="430FB2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2" w:type="pct"/>
                  <w:vAlign w:val="center"/>
                </w:tcPr>
                <w:p w14:paraId="6EB938BF">
                  <w:pPr>
                    <w:spacing w:line="0" w:lineRule="atLeast"/>
                    <w:jc w:val="center"/>
                    <w:rPr>
                      <w:color w:val="auto"/>
                      <w:spacing w:val="-10"/>
                      <w:szCs w:val="21"/>
                    </w:rPr>
                  </w:pPr>
                  <w:r>
                    <w:rPr>
                      <w:color w:val="auto"/>
                      <w:spacing w:val="-10"/>
                      <w:szCs w:val="21"/>
                    </w:rPr>
                    <w:t>南厂界</w:t>
                  </w:r>
                </w:p>
              </w:tc>
              <w:tc>
                <w:tcPr>
                  <w:tcW w:w="1131" w:type="pct"/>
                  <w:vAlign w:val="center"/>
                </w:tcPr>
                <w:p w14:paraId="1CA8EBDC">
                  <w:pPr>
                    <w:spacing w:line="0" w:lineRule="atLeast"/>
                    <w:jc w:val="center"/>
                    <w:rPr>
                      <w:color w:val="auto"/>
                      <w:spacing w:val="-10"/>
                      <w:szCs w:val="21"/>
                    </w:rPr>
                  </w:pPr>
                  <w:r>
                    <w:rPr>
                      <w:color w:val="auto"/>
                      <w:spacing w:val="-10"/>
                      <w:szCs w:val="21"/>
                    </w:rPr>
                    <w:t>39.8</w:t>
                  </w:r>
                </w:p>
              </w:tc>
              <w:tc>
                <w:tcPr>
                  <w:tcW w:w="1584" w:type="pct"/>
                  <w:vMerge w:val="continue"/>
                  <w:vAlign w:val="center"/>
                </w:tcPr>
                <w:p w14:paraId="0CC01498">
                  <w:pPr>
                    <w:spacing w:line="0" w:lineRule="atLeast"/>
                    <w:jc w:val="center"/>
                    <w:rPr>
                      <w:color w:val="auto"/>
                      <w:spacing w:val="-10"/>
                      <w:szCs w:val="21"/>
                    </w:rPr>
                  </w:pPr>
                </w:p>
              </w:tc>
              <w:tc>
                <w:tcPr>
                  <w:tcW w:w="1113" w:type="pct"/>
                  <w:vAlign w:val="center"/>
                </w:tcPr>
                <w:p w14:paraId="19302661">
                  <w:pPr>
                    <w:spacing w:line="0" w:lineRule="atLeast"/>
                    <w:jc w:val="center"/>
                    <w:rPr>
                      <w:color w:val="auto"/>
                      <w:spacing w:val="-10"/>
                      <w:szCs w:val="21"/>
                    </w:rPr>
                  </w:pPr>
                  <w:r>
                    <w:rPr>
                      <w:color w:val="auto"/>
                      <w:spacing w:val="-10"/>
                      <w:szCs w:val="21"/>
                    </w:rPr>
                    <w:t>达标</w:t>
                  </w:r>
                </w:p>
              </w:tc>
            </w:tr>
            <w:tr w14:paraId="03008F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2" w:type="pct"/>
                  <w:vAlign w:val="center"/>
                </w:tcPr>
                <w:p w14:paraId="009BEE4F">
                  <w:pPr>
                    <w:spacing w:line="0" w:lineRule="atLeast"/>
                    <w:jc w:val="center"/>
                    <w:rPr>
                      <w:color w:val="auto"/>
                      <w:spacing w:val="-10"/>
                      <w:szCs w:val="21"/>
                    </w:rPr>
                  </w:pPr>
                  <w:r>
                    <w:rPr>
                      <w:color w:val="auto"/>
                      <w:spacing w:val="-10"/>
                      <w:szCs w:val="21"/>
                    </w:rPr>
                    <w:t>西厂界</w:t>
                  </w:r>
                </w:p>
              </w:tc>
              <w:tc>
                <w:tcPr>
                  <w:tcW w:w="1131" w:type="pct"/>
                  <w:vAlign w:val="center"/>
                </w:tcPr>
                <w:p w14:paraId="36C0DEF3">
                  <w:pPr>
                    <w:spacing w:line="0" w:lineRule="atLeast"/>
                    <w:jc w:val="center"/>
                    <w:rPr>
                      <w:color w:val="auto"/>
                      <w:spacing w:val="-10"/>
                      <w:szCs w:val="21"/>
                    </w:rPr>
                  </w:pPr>
                  <w:r>
                    <w:rPr>
                      <w:color w:val="auto"/>
                      <w:spacing w:val="-10"/>
                      <w:szCs w:val="21"/>
                    </w:rPr>
                    <w:t>36.5</w:t>
                  </w:r>
                </w:p>
              </w:tc>
              <w:tc>
                <w:tcPr>
                  <w:tcW w:w="1584" w:type="pct"/>
                  <w:vMerge w:val="continue"/>
                  <w:vAlign w:val="center"/>
                </w:tcPr>
                <w:p w14:paraId="0C3B89A1">
                  <w:pPr>
                    <w:spacing w:line="0" w:lineRule="atLeast"/>
                    <w:jc w:val="center"/>
                    <w:rPr>
                      <w:color w:val="auto"/>
                      <w:spacing w:val="-10"/>
                      <w:szCs w:val="21"/>
                    </w:rPr>
                  </w:pPr>
                </w:p>
              </w:tc>
              <w:tc>
                <w:tcPr>
                  <w:tcW w:w="1113" w:type="pct"/>
                  <w:vAlign w:val="center"/>
                </w:tcPr>
                <w:p w14:paraId="13617629">
                  <w:pPr>
                    <w:spacing w:line="0" w:lineRule="atLeast"/>
                    <w:jc w:val="center"/>
                    <w:rPr>
                      <w:color w:val="auto"/>
                      <w:spacing w:val="-10"/>
                      <w:szCs w:val="21"/>
                    </w:rPr>
                  </w:pPr>
                  <w:r>
                    <w:rPr>
                      <w:color w:val="auto"/>
                      <w:spacing w:val="-10"/>
                      <w:szCs w:val="21"/>
                    </w:rPr>
                    <w:t>达标</w:t>
                  </w:r>
                </w:p>
              </w:tc>
            </w:tr>
            <w:tr w14:paraId="08E097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2" w:type="pct"/>
                  <w:vAlign w:val="center"/>
                </w:tcPr>
                <w:p w14:paraId="0E477757">
                  <w:pPr>
                    <w:spacing w:line="0" w:lineRule="atLeast"/>
                    <w:jc w:val="center"/>
                    <w:rPr>
                      <w:color w:val="auto"/>
                      <w:spacing w:val="-10"/>
                      <w:szCs w:val="21"/>
                    </w:rPr>
                  </w:pPr>
                  <w:r>
                    <w:rPr>
                      <w:color w:val="auto"/>
                      <w:spacing w:val="-10"/>
                      <w:szCs w:val="21"/>
                    </w:rPr>
                    <w:t>北厂界</w:t>
                  </w:r>
                </w:p>
              </w:tc>
              <w:tc>
                <w:tcPr>
                  <w:tcW w:w="1131" w:type="pct"/>
                  <w:vAlign w:val="center"/>
                </w:tcPr>
                <w:p w14:paraId="605E04E2">
                  <w:pPr>
                    <w:spacing w:line="0" w:lineRule="atLeast"/>
                    <w:jc w:val="center"/>
                    <w:rPr>
                      <w:color w:val="auto"/>
                      <w:spacing w:val="-10"/>
                      <w:szCs w:val="21"/>
                    </w:rPr>
                  </w:pPr>
                  <w:r>
                    <w:rPr>
                      <w:rFonts w:hint="eastAsia"/>
                      <w:color w:val="auto"/>
                      <w:spacing w:val="-10"/>
                      <w:szCs w:val="21"/>
                    </w:rPr>
                    <w:t>35</w:t>
                  </w:r>
                  <w:r>
                    <w:rPr>
                      <w:color w:val="auto"/>
                      <w:spacing w:val="-10"/>
                      <w:szCs w:val="21"/>
                    </w:rPr>
                    <w:t>.4</w:t>
                  </w:r>
                </w:p>
              </w:tc>
              <w:tc>
                <w:tcPr>
                  <w:tcW w:w="1584" w:type="pct"/>
                  <w:vMerge w:val="continue"/>
                  <w:vAlign w:val="center"/>
                </w:tcPr>
                <w:p w14:paraId="60BC089C">
                  <w:pPr>
                    <w:spacing w:line="0" w:lineRule="atLeast"/>
                    <w:jc w:val="center"/>
                    <w:rPr>
                      <w:color w:val="auto"/>
                      <w:spacing w:val="-10"/>
                      <w:szCs w:val="21"/>
                    </w:rPr>
                  </w:pPr>
                </w:p>
              </w:tc>
              <w:tc>
                <w:tcPr>
                  <w:tcW w:w="1113" w:type="pct"/>
                  <w:vAlign w:val="center"/>
                </w:tcPr>
                <w:p w14:paraId="1662A0C0">
                  <w:pPr>
                    <w:spacing w:line="0" w:lineRule="atLeast"/>
                    <w:jc w:val="center"/>
                    <w:rPr>
                      <w:color w:val="auto"/>
                      <w:spacing w:val="-10"/>
                      <w:szCs w:val="21"/>
                    </w:rPr>
                  </w:pPr>
                  <w:r>
                    <w:rPr>
                      <w:color w:val="auto"/>
                      <w:spacing w:val="-10"/>
                      <w:szCs w:val="21"/>
                    </w:rPr>
                    <w:t>达标</w:t>
                  </w:r>
                </w:p>
              </w:tc>
            </w:tr>
          </w:tbl>
          <w:p w14:paraId="24758567">
            <w:pPr>
              <w:spacing w:line="360" w:lineRule="auto"/>
              <w:ind w:firstLine="480" w:firstLineChars="200"/>
              <w:rPr>
                <w:bCs/>
                <w:color w:val="auto"/>
                <w:sz w:val="24"/>
              </w:rPr>
            </w:pPr>
          </w:p>
          <w:p w14:paraId="614BCD51">
            <w:pPr>
              <w:spacing w:line="360" w:lineRule="auto"/>
              <w:ind w:firstLine="480" w:firstLineChars="200"/>
              <w:rPr>
                <w:bCs/>
                <w:color w:val="auto"/>
                <w:sz w:val="24"/>
              </w:rPr>
            </w:pPr>
            <w:r>
              <w:rPr>
                <w:bCs/>
                <w:color w:val="auto"/>
                <w:sz w:val="24"/>
              </w:rPr>
              <w:t>设备噪声采取减振、隔声处理等措施后，对厂区各厂界噪声贡献值为</w:t>
            </w:r>
            <w:r>
              <w:rPr>
                <w:rFonts w:hint="eastAsia"/>
                <w:bCs/>
                <w:color w:val="auto"/>
                <w:sz w:val="24"/>
              </w:rPr>
              <w:t>35.4</w:t>
            </w:r>
            <w:r>
              <w:rPr>
                <w:bCs/>
                <w:color w:val="auto"/>
                <w:sz w:val="24"/>
              </w:rPr>
              <w:t>～4</w:t>
            </w:r>
            <w:r>
              <w:rPr>
                <w:rFonts w:hint="eastAsia"/>
                <w:bCs/>
                <w:color w:val="auto"/>
                <w:sz w:val="24"/>
              </w:rPr>
              <w:t>3</w:t>
            </w:r>
            <w:r>
              <w:rPr>
                <w:bCs/>
                <w:color w:val="auto"/>
                <w:sz w:val="24"/>
              </w:rPr>
              <w:t>.4dB(A)，满足《工业企业厂界环境噪声排放标准》</w:t>
            </w:r>
            <w:r>
              <w:rPr>
                <w:rFonts w:hint="eastAsia"/>
                <w:bCs/>
                <w:color w:val="auto"/>
                <w:sz w:val="24"/>
                <w:lang w:eastAsia="zh-CN"/>
              </w:rPr>
              <w:t>（</w:t>
            </w:r>
            <w:r>
              <w:rPr>
                <w:bCs/>
                <w:color w:val="auto"/>
                <w:sz w:val="24"/>
              </w:rPr>
              <w:t>GB12348-2008</w:t>
            </w:r>
            <w:r>
              <w:rPr>
                <w:rFonts w:hint="eastAsia"/>
                <w:bCs/>
                <w:color w:val="auto"/>
                <w:sz w:val="24"/>
                <w:lang w:eastAsia="zh-CN"/>
              </w:rPr>
              <w:t>）</w:t>
            </w:r>
            <w:r>
              <w:rPr>
                <w:bCs/>
                <w:color w:val="auto"/>
                <w:sz w:val="24"/>
              </w:rPr>
              <w:t>1类标准，对环境产生影响较小。</w:t>
            </w:r>
          </w:p>
          <w:p w14:paraId="2B15C27D">
            <w:pPr>
              <w:adjustRightInd w:val="0"/>
              <w:snapToGrid w:val="0"/>
              <w:spacing w:line="360" w:lineRule="auto"/>
              <w:rPr>
                <w:b/>
                <w:bCs/>
                <w:color w:val="auto"/>
                <w:sz w:val="24"/>
              </w:rPr>
            </w:pPr>
            <w:r>
              <w:rPr>
                <w:b/>
                <w:bCs/>
                <w:color w:val="auto"/>
                <w:sz w:val="24"/>
              </w:rPr>
              <w:t>3.3 噪声排放环境监测要求</w:t>
            </w:r>
          </w:p>
          <w:p w14:paraId="312F9704">
            <w:pPr>
              <w:pStyle w:val="5"/>
              <w:spacing w:after="0" w:line="360" w:lineRule="auto"/>
              <w:ind w:left="0" w:leftChars="0" w:firstLine="480" w:firstLineChars="200"/>
              <w:rPr>
                <w:color w:val="auto"/>
                <w:szCs w:val="24"/>
              </w:rPr>
            </w:pPr>
            <w:r>
              <w:rPr>
                <w:color w:val="auto"/>
                <w:szCs w:val="24"/>
              </w:rPr>
              <w:t>根据《排污单位自行监测技术指南 水泥工业》</w:t>
            </w:r>
            <w:r>
              <w:rPr>
                <w:rFonts w:hint="eastAsia"/>
                <w:color w:val="auto"/>
                <w:szCs w:val="24"/>
                <w:lang w:eastAsia="zh-CN"/>
              </w:rPr>
              <w:t>（</w:t>
            </w:r>
            <w:r>
              <w:rPr>
                <w:color w:val="auto"/>
                <w:szCs w:val="24"/>
              </w:rPr>
              <w:t>HJ</w:t>
            </w:r>
            <w:r>
              <w:rPr>
                <w:rFonts w:hint="eastAsia"/>
                <w:color w:val="auto"/>
                <w:szCs w:val="24"/>
              </w:rPr>
              <w:t>848</w:t>
            </w:r>
            <w:r>
              <w:rPr>
                <w:color w:val="auto"/>
                <w:szCs w:val="24"/>
              </w:rPr>
              <w:t>-2017</w:t>
            </w:r>
            <w:r>
              <w:rPr>
                <w:rFonts w:hint="eastAsia"/>
                <w:color w:val="auto"/>
                <w:szCs w:val="24"/>
                <w:lang w:eastAsia="zh-CN"/>
              </w:rPr>
              <w:t>）</w:t>
            </w:r>
            <w:r>
              <w:rPr>
                <w:color w:val="auto"/>
                <w:szCs w:val="24"/>
              </w:rPr>
              <w:t>中相关要求制定了本项目监测计划，具体见下表：</w:t>
            </w:r>
          </w:p>
          <w:p w14:paraId="15A21025">
            <w:pPr>
              <w:pStyle w:val="23"/>
              <w:rPr>
                <w:color w:val="auto"/>
              </w:rPr>
            </w:pPr>
            <w:r>
              <w:rPr>
                <w:color w:val="auto"/>
              </w:rPr>
              <w:t>表4-</w:t>
            </w:r>
            <w:r>
              <w:rPr>
                <w:rFonts w:hint="eastAsia"/>
                <w:color w:val="auto"/>
              </w:rPr>
              <w:t>5</w:t>
            </w:r>
            <w:r>
              <w:rPr>
                <w:color w:val="auto"/>
              </w:rPr>
              <w:t xml:space="preserve"> 噪声环境监测计划一览表</w:t>
            </w:r>
          </w:p>
          <w:tbl>
            <w:tblPr>
              <w:tblStyle w:val="16"/>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1130"/>
              <w:gridCol w:w="1473"/>
              <w:gridCol w:w="1353"/>
              <w:gridCol w:w="913"/>
              <w:gridCol w:w="2468"/>
            </w:tblGrid>
            <w:tr w14:paraId="75D162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25" w:type="pct"/>
                  <w:gridSpan w:val="2"/>
                  <w:vAlign w:val="center"/>
                </w:tcPr>
                <w:p w14:paraId="480D3B5A">
                  <w:pPr>
                    <w:adjustRightInd w:val="0"/>
                    <w:snapToGrid w:val="0"/>
                    <w:jc w:val="center"/>
                    <w:rPr>
                      <w:b/>
                      <w:color w:val="auto"/>
                      <w:kern w:val="0"/>
                      <w:szCs w:val="21"/>
                    </w:rPr>
                  </w:pPr>
                  <w:r>
                    <w:rPr>
                      <w:b/>
                      <w:color w:val="auto"/>
                      <w:kern w:val="0"/>
                      <w:szCs w:val="21"/>
                    </w:rPr>
                    <w:t>类别</w:t>
                  </w:r>
                </w:p>
              </w:tc>
              <w:tc>
                <w:tcPr>
                  <w:tcW w:w="896" w:type="pct"/>
                  <w:vAlign w:val="center"/>
                </w:tcPr>
                <w:p w14:paraId="16B0C5E5">
                  <w:pPr>
                    <w:adjustRightInd w:val="0"/>
                    <w:snapToGrid w:val="0"/>
                    <w:jc w:val="center"/>
                    <w:rPr>
                      <w:b/>
                      <w:color w:val="auto"/>
                      <w:kern w:val="0"/>
                      <w:szCs w:val="21"/>
                    </w:rPr>
                  </w:pPr>
                  <w:r>
                    <w:rPr>
                      <w:b/>
                      <w:color w:val="auto"/>
                      <w:kern w:val="0"/>
                      <w:szCs w:val="21"/>
                    </w:rPr>
                    <w:t>监测项目</w:t>
                  </w:r>
                </w:p>
              </w:tc>
              <w:tc>
                <w:tcPr>
                  <w:tcW w:w="823" w:type="pct"/>
                  <w:vAlign w:val="center"/>
                </w:tcPr>
                <w:p w14:paraId="71B86025">
                  <w:pPr>
                    <w:adjustRightInd w:val="0"/>
                    <w:snapToGrid w:val="0"/>
                    <w:jc w:val="center"/>
                    <w:rPr>
                      <w:b/>
                      <w:color w:val="auto"/>
                      <w:kern w:val="0"/>
                      <w:szCs w:val="21"/>
                    </w:rPr>
                  </w:pPr>
                  <w:r>
                    <w:rPr>
                      <w:b/>
                      <w:color w:val="auto"/>
                      <w:kern w:val="0"/>
                      <w:szCs w:val="21"/>
                    </w:rPr>
                    <w:t>监测点位置</w:t>
                  </w:r>
                </w:p>
              </w:tc>
              <w:tc>
                <w:tcPr>
                  <w:tcW w:w="555" w:type="pct"/>
                  <w:vAlign w:val="center"/>
                </w:tcPr>
                <w:p w14:paraId="222BC51E">
                  <w:pPr>
                    <w:adjustRightInd w:val="0"/>
                    <w:snapToGrid w:val="0"/>
                    <w:jc w:val="center"/>
                    <w:rPr>
                      <w:b/>
                      <w:color w:val="auto"/>
                      <w:kern w:val="0"/>
                      <w:szCs w:val="21"/>
                    </w:rPr>
                  </w:pPr>
                  <w:r>
                    <w:rPr>
                      <w:b/>
                      <w:color w:val="auto"/>
                      <w:kern w:val="0"/>
                      <w:szCs w:val="21"/>
                    </w:rPr>
                    <w:t>监测频率</w:t>
                  </w:r>
                </w:p>
              </w:tc>
              <w:tc>
                <w:tcPr>
                  <w:tcW w:w="1501" w:type="pct"/>
                  <w:vAlign w:val="center"/>
                </w:tcPr>
                <w:p w14:paraId="2D64EDE7">
                  <w:pPr>
                    <w:adjustRightInd w:val="0"/>
                    <w:snapToGrid w:val="0"/>
                    <w:jc w:val="center"/>
                    <w:rPr>
                      <w:b/>
                      <w:color w:val="auto"/>
                      <w:kern w:val="0"/>
                      <w:szCs w:val="21"/>
                    </w:rPr>
                  </w:pPr>
                  <w:r>
                    <w:rPr>
                      <w:b/>
                      <w:color w:val="auto"/>
                      <w:kern w:val="0"/>
                      <w:szCs w:val="21"/>
                    </w:rPr>
                    <w:t>执行标准</w:t>
                  </w:r>
                </w:p>
              </w:tc>
            </w:tr>
            <w:tr w14:paraId="2620B3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38" w:type="pct"/>
                  <w:vAlign w:val="center"/>
                </w:tcPr>
                <w:p w14:paraId="597750E3">
                  <w:pPr>
                    <w:adjustRightInd w:val="0"/>
                    <w:snapToGrid w:val="0"/>
                    <w:jc w:val="center"/>
                    <w:rPr>
                      <w:bCs/>
                      <w:color w:val="auto"/>
                      <w:kern w:val="0"/>
                      <w:szCs w:val="21"/>
                    </w:rPr>
                  </w:pPr>
                  <w:r>
                    <w:rPr>
                      <w:bCs/>
                      <w:color w:val="auto"/>
                      <w:kern w:val="0"/>
                      <w:szCs w:val="21"/>
                    </w:rPr>
                    <w:t>噪声</w:t>
                  </w:r>
                </w:p>
              </w:tc>
              <w:tc>
                <w:tcPr>
                  <w:tcW w:w="687" w:type="pct"/>
                  <w:vAlign w:val="center"/>
                </w:tcPr>
                <w:p w14:paraId="12CD16AC">
                  <w:pPr>
                    <w:adjustRightInd w:val="0"/>
                    <w:snapToGrid w:val="0"/>
                    <w:jc w:val="center"/>
                    <w:rPr>
                      <w:bCs/>
                      <w:color w:val="auto"/>
                      <w:kern w:val="0"/>
                      <w:szCs w:val="21"/>
                    </w:rPr>
                  </w:pPr>
                  <w:r>
                    <w:rPr>
                      <w:bCs/>
                      <w:color w:val="auto"/>
                      <w:kern w:val="0"/>
                      <w:szCs w:val="21"/>
                    </w:rPr>
                    <w:t>厂界</w:t>
                  </w:r>
                </w:p>
              </w:tc>
              <w:tc>
                <w:tcPr>
                  <w:tcW w:w="896" w:type="pct"/>
                  <w:vAlign w:val="center"/>
                </w:tcPr>
                <w:p w14:paraId="5093E56C">
                  <w:pPr>
                    <w:adjustRightInd w:val="0"/>
                    <w:snapToGrid w:val="0"/>
                    <w:jc w:val="center"/>
                    <w:rPr>
                      <w:rFonts w:hint="eastAsia" w:eastAsia="宋体"/>
                      <w:bCs/>
                      <w:color w:val="auto"/>
                      <w:kern w:val="0"/>
                      <w:szCs w:val="21"/>
                      <w:lang w:eastAsia="zh-CN"/>
                    </w:rPr>
                  </w:pPr>
                  <w:r>
                    <w:rPr>
                      <w:bCs/>
                      <w:color w:val="auto"/>
                      <w:kern w:val="0"/>
                      <w:szCs w:val="21"/>
                    </w:rPr>
                    <w:t>Leq</w:t>
                  </w:r>
                  <w:r>
                    <w:rPr>
                      <w:rFonts w:hint="eastAsia"/>
                      <w:bCs/>
                      <w:color w:val="auto"/>
                      <w:kern w:val="0"/>
                      <w:szCs w:val="21"/>
                      <w:lang w:eastAsia="zh-CN"/>
                    </w:rPr>
                    <w:t>（</w:t>
                  </w:r>
                  <w:r>
                    <w:rPr>
                      <w:bCs/>
                      <w:color w:val="auto"/>
                      <w:kern w:val="0"/>
                      <w:szCs w:val="21"/>
                    </w:rPr>
                    <w:t>A</w:t>
                  </w:r>
                  <w:r>
                    <w:rPr>
                      <w:rFonts w:hint="eastAsia"/>
                      <w:bCs/>
                      <w:color w:val="auto"/>
                      <w:kern w:val="0"/>
                      <w:szCs w:val="21"/>
                      <w:lang w:eastAsia="zh-CN"/>
                    </w:rPr>
                    <w:t>）</w:t>
                  </w:r>
                </w:p>
              </w:tc>
              <w:tc>
                <w:tcPr>
                  <w:tcW w:w="823" w:type="pct"/>
                  <w:vAlign w:val="center"/>
                </w:tcPr>
                <w:p w14:paraId="7B4E779A">
                  <w:pPr>
                    <w:adjustRightInd w:val="0"/>
                    <w:snapToGrid w:val="0"/>
                    <w:jc w:val="center"/>
                    <w:rPr>
                      <w:bCs/>
                      <w:color w:val="auto"/>
                      <w:kern w:val="0"/>
                      <w:szCs w:val="21"/>
                    </w:rPr>
                  </w:pPr>
                  <w:r>
                    <w:rPr>
                      <w:bCs/>
                      <w:color w:val="auto"/>
                      <w:kern w:val="0"/>
                      <w:szCs w:val="21"/>
                    </w:rPr>
                    <w:t>厂界四周</w:t>
                  </w:r>
                </w:p>
              </w:tc>
              <w:tc>
                <w:tcPr>
                  <w:tcW w:w="555" w:type="pct"/>
                  <w:vAlign w:val="center"/>
                </w:tcPr>
                <w:p w14:paraId="10FFC3B0">
                  <w:pPr>
                    <w:adjustRightInd w:val="0"/>
                    <w:snapToGrid w:val="0"/>
                    <w:jc w:val="center"/>
                    <w:rPr>
                      <w:bCs/>
                      <w:color w:val="auto"/>
                      <w:kern w:val="0"/>
                      <w:szCs w:val="21"/>
                    </w:rPr>
                  </w:pPr>
                  <w:r>
                    <w:rPr>
                      <w:bCs/>
                      <w:color w:val="auto"/>
                      <w:kern w:val="0"/>
                      <w:szCs w:val="21"/>
                    </w:rPr>
                    <w:t>1次/季度</w:t>
                  </w:r>
                </w:p>
              </w:tc>
              <w:tc>
                <w:tcPr>
                  <w:tcW w:w="1501" w:type="pct"/>
                  <w:vAlign w:val="center"/>
                </w:tcPr>
                <w:p w14:paraId="511C8B9E">
                  <w:pPr>
                    <w:adjustRightInd w:val="0"/>
                    <w:snapToGrid w:val="0"/>
                    <w:jc w:val="center"/>
                    <w:rPr>
                      <w:bCs/>
                      <w:color w:val="auto"/>
                      <w:kern w:val="0"/>
                      <w:szCs w:val="21"/>
                    </w:rPr>
                  </w:pPr>
                  <w:r>
                    <w:rPr>
                      <w:bCs/>
                      <w:color w:val="auto"/>
                      <w:kern w:val="0"/>
                      <w:szCs w:val="21"/>
                    </w:rPr>
                    <w:t>《工业企业厂界环境噪声排放标准》</w:t>
                  </w:r>
                  <w:r>
                    <w:rPr>
                      <w:rFonts w:hint="eastAsia"/>
                      <w:bCs/>
                      <w:color w:val="auto"/>
                      <w:kern w:val="0"/>
                      <w:szCs w:val="21"/>
                      <w:lang w:eastAsia="zh-CN"/>
                    </w:rPr>
                    <w:t>（</w:t>
                  </w:r>
                  <w:r>
                    <w:rPr>
                      <w:bCs/>
                      <w:color w:val="auto"/>
                      <w:kern w:val="0"/>
                      <w:szCs w:val="21"/>
                    </w:rPr>
                    <w:t>GB12348-2008</w:t>
                  </w:r>
                  <w:r>
                    <w:rPr>
                      <w:rFonts w:hint="eastAsia"/>
                      <w:bCs/>
                      <w:color w:val="auto"/>
                      <w:kern w:val="0"/>
                      <w:szCs w:val="21"/>
                      <w:lang w:eastAsia="zh-CN"/>
                    </w:rPr>
                    <w:t>）</w:t>
                  </w:r>
                  <w:r>
                    <w:rPr>
                      <w:rFonts w:hint="eastAsia"/>
                      <w:bCs/>
                      <w:color w:val="auto"/>
                      <w:kern w:val="0"/>
                      <w:szCs w:val="21"/>
                    </w:rPr>
                    <w:t>1</w:t>
                  </w:r>
                  <w:r>
                    <w:rPr>
                      <w:bCs/>
                      <w:color w:val="auto"/>
                      <w:kern w:val="0"/>
                      <w:szCs w:val="21"/>
                    </w:rPr>
                    <w:t>类标准</w:t>
                  </w:r>
                </w:p>
              </w:tc>
            </w:tr>
          </w:tbl>
          <w:p w14:paraId="07CB9417">
            <w:pPr>
              <w:spacing w:before="240" w:line="360" w:lineRule="auto"/>
              <w:rPr>
                <w:bCs/>
                <w:color w:val="auto"/>
                <w:sz w:val="24"/>
              </w:rPr>
            </w:pPr>
            <w:r>
              <w:rPr>
                <w:b/>
                <w:color w:val="auto"/>
                <w:kern w:val="0"/>
                <w:sz w:val="24"/>
              </w:rPr>
              <w:t>4</w:t>
            </w:r>
            <w:r>
              <w:rPr>
                <w:rFonts w:hint="eastAsia"/>
                <w:b/>
                <w:color w:val="auto"/>
                <w:kern w:val="0"/>
                <w:sz w:val="24"/>
                <w:lang w:val="en-US" w:eastAsia="zh-CN"/>
              </w:rPr>
              <w:t>.</w:t>
            </w:r>
            <w:r>
              <w:rPr>
                <w:b/>
                <w:color w:val="auto"/>
                <w:kern w:val="0"/>
                <w:sz w:val="24"/>
              </w:rPr>
              <w:t>固体废物</w:t>
            </w:r>
          </w:p>
          <w:p w14:paraId="1B3B5356">
            <w:pPr>
              <w:spacing w:line="360" w:lineRule="auto"/>
              <w:ind w:firstLine="480" w:firstLineChars="200"/>
              <w:rPr>
                <w:color w:val="auto"/>
                <w:sz w:val="24"/>
                <w:lang w:bidi="ar"/>
              </w:rPr>
            </w:pPr>
            <w:r>
              <w:rPr>
                <w:color w:val="auto"/>
                <w:sz w:val="24"/>
                <w:lang w:bidi="ar"/>
              </w:rPr>
              <w:t>本项目固体废物主要有：布袋除尘器收集的除尘灰、沉淀池沉渣、实验室混凝土块、生活垃圾等。</w:t>
            </w:r>
            <w:r>
              <w:rPr>
                <w:color w:val="auto"/>
                <w:sz w:val="24"/>
              </w:rPr>
              <w:t>各类固体废物产生量及处置措施见表4-</w:t>
            </w:r>
            <w:r>
              <w:rPr>
                <w:rFonts w:hint="eastAsia"/>
                <w:color w:val="auto"/>
                <w:sz w:val="24"/>
              </w:rPr>
              <w:t>6</w:t>
            </w:r>
            <w:r>
              <w:rPr>
                <w:color w:val="auto"/>
                <w:sz w:val="24"/>
              </w:rPr>
              <w:t>。</w:t>
            </w:r>
          </w:p>
          <w:p w14:paraId="4709304E">
            <w:pPr>
              <w:pStyle w:val="23"/>
              <w:rPr>
                <w:color w:val="auto"/>
                <w:szCs w:val="21"/>
              </w:rPr>
            </w:pPr>
            <w:r>
              <w:rPr>
                <w:color w:val="auto"/>
              </w:rPr>
              <w:t>表4-</w:t>
            </w:r>
            <w:r>
              <w:rPr>
                <w:rFonts w:hint="eastAsia"/>
                <w:color w:val="auto"/>
              </w:rPr>
              <w:t>6</w:t>
            </w:r>
            <w:r>
              <w:rPr>
                <w:color w:val="auto"/>
              </w:rPr>
              <w:t xml:space="preserve"> 固体废物产污环节及利用或处置情况一览表</w:t>
            </w:r>
          </w:p>
          <w:tbl>
            <w:tblPr>
              <w:tblStyle w:val="1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608"/>
              <w:gridCol w:w="608"/>
              <w:gridCol w:w="447"/>
              <w:gridCol w:w="409"/>
              <w:gridCol w:w="623"/>
              <w:gridCol w:w="510"/>
              <w:gridCol w:w="840"/>
              <w:gridCol w:w="595"/>
              <w:gridCol w:w="1302"/>
              <w:gridCol w:w="776"/>
              <w:gridCol w:w="1504"/>
            </w:tblGrid>
            <w:tr w14:paraId="309FB7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59" w:hRule="atLeast"/>
                <w:jc w:val="center"/>
              </w:trPr>
              <w:tc>
                <w:tcPr>
                  <w:tcW w:w="370" w:type="pct"/>
                  <w:tcBorders>
                    <w:top w:val="single" w:color="auto" w:sz="12" w:space="0"/>
                    <w:left w:val="nil"/>
                    <w:bottom w:val="single" w:color="auto" w:sz="4" w:space="0"/>
                    <w:right w:val="single" w:color="auto" w:sz="4" w:space="0"/>
                  </w:tcBorders>
                  <w:vAlign w:val="center"/>
                </w:tcPr>
                <w:p w14:paraId="63CB39E2">
                  <w:pPr>
                    <w:adjustRightInd w:val="0"/>
                    <w:snapToGrid w:val="0"/>
                    <w:jc w:val="center"/>
                    <w:rPr>
                      <w:b/>
                      <w:color w:val="auto"/>
                      <w:szCs w:val="21"/>
                    </w:rPr>
                  </w:pPr>
                  <w:r>
                    <w:rPr>
                      <w:b/>
                      <w:color w:val="auto"/>
                      <w:szCs w:val="21"/>
                    </w:rPr>
                    <w:t>产生</w:t>
                  </w:r>
                </w:p>
                <w:p w14:paraId="67EC0A08">
                  <w:pPr>
                    <w:adjustRightInd w:val="0"/>
                    <w:snapToGrid w:val="0"/>
                    <w:jc w:val="center"/>
                    <w:rPr>
                      <w:b/>
                      <w:color w:val="auto"/>
                      <w:szCs w:val="21"/>
                    </w:rPr>
                  </w:pPr>
                  <w:r>
                    <w:rPr>
                      <w:b/>
                      <w:color w:val="auto"/>
                      <w:szCs w:val="21"/>
                    </w:rPr>
                    <w:t>环节</w:t>
                  </w:r>
                </w:p>
              </w:tc>
              <w:tc>
                <w:tcPr>
                  <w:tcW w:w="370" w:type="pct"/>
                  <w:tcBorders>
                    <w:top w:val="single" w:color="auto" w:sz="12" w:space="0"/>
                    <w:left w:val="single" w:color="auto" w:sz="4" w:space="0"/>
                    <w:bottom w:val="single" w:color="auto" w:sz="4" w:space="0"/>
                    <w:right w:val="single" w:color="auto" w:sz="4" w:space="0"/>
                  </w:tcBorders>
                  <w:vAlign w:val="center"/>
                </w:tcPr>
                <w:p w14:paraId="7AD3C428">
                  <w:pPr>
                    <w:adjustRightInd w:val="0"/>
                    <w:snapToGrid w:val="0"/>
                    <w:jc w:val="center"/>
                    <w:rPr>
                      <w:b/>
                      <w:color w:val="auto"/>
                      <w:szCs w:val="21"/>
                    </w:rPr>
                  </w:pPr>
                  <w:r>
                    <w:rPr>
                      <w:b/>
                      <w:color w:val="auto"/>
                      <w:szCs w:val="21"/>
                    </w:rPr>
                    <w:t>固废</w:t>
                  </w:r>
                </w:p>
                <w:p w14:paraId="4C969BB6">
                  <w:pPr>
                    <w:adjustRightInd w:val="0"/>
                    <w:snapToGrid w:val="0"/>
                    <w:jc w:val="center"/>
                    <w:rPr>
                      <w:b/>
                      <w:color w:val="auto"/>
                      <w:szCs w:val="21"/>
                    </w:rPr>
                  </w:pPr>
                  <w:r>
                    <w:rPr>
                      <w:b/>
                      <w:color w:val="auto"/>
                      <w:szCs w:val="21"/>
                    </w:rPr>
                    <w:t>名称</w:t>
                  </w:r>
                </w:p>
              </w:tc>
              <w:tc>
                <w:tcPr>
                  <w:tcW w:w="272" w:type="pct"/>
                  <w:tcBorders>
                    <w:top w:val="single" w:color="auto" w:sz="12" w:space="0"/>
                    <w:left w:val="single" w:color="auto" w:sz="4" w:space="0"/>
                    <w:bottom w:val="single" w:color="auto" w:sz="4" w:space="0"/>
                    <w:right w:val="single" w:color="auto" w:sz="4" w:space="0"/>
                  </w:tcBorders>
                  <w:vAlign w:val="center"/>
                </w:tcPr>
                <w:p w14:paraId="46BD71F4">
                  <w:pPr>
                    <w:adjustRightInd w:val="0"/>
                    <w:snapToGrid w:val="0"/>
                    <w:jc w:val="center"/>
                    <w:rPr>
                      <w:b/>
                      <w:color w:val="auto"/>
                      <w:szCs w:val="21"/>
                    </w:rPr>
                  </w:pPr>
                  <w:r>
                    <w:rPr>
                      <w:b/>
                      <w:color w:val="auto"/>
                      <w:szCs w:val="21"/>
                    </w:rPr>
                    <w:t>固废</w:t>
                  </w:r>
                </w:p>
                <w:p w14:paraId="7AC2D4FA">
                  <w:pPr>
                    <w:adjustRightInd w:val="0"/>
                    <w:snapToGrid w:val="0"/>
                    <w:jc w:val="center"/>
                    <w:rPr>
                      <w:b/>
                      <w:color w:val="auto"/>
                      <w:szCs w:val="21"/>
                    </w:rPr>
                  </w:pPr>
                  <w:r>
                    <w:rPr>
                      <w:b/>
                      <w:color w:val="auto"/>
                      <w:szCs w:val="21"/>
                    </w:rPr>
                    <w:t>属性</w:t>
                  </w:r>
                </w:p>
              </w:tc>
              <w:tc>
                <w:tcPr>
                  <w:tcW w:w="249" w:type="pct"/>
                  <w:tcBorders>
                    <w:top w:val="single" w:color="auto" w:sz="12" w:space="0"/>
                    <w:left w:val="single" w:color="auto" w:sz="4" w:space="0"/>
                    <w:bottom w:val="single" w:color="auto" w:sz="4" w:space="0"/>
                    <w:right w:val="single" w:color="auto" w:sz="4" w:space="0"/>
                  </w:tcBorders>
                  <w:vAlign w:val="center"/>
                </w:tcPr>
                <w:p w14:paraId="0A85B46F">
                  <w:pPr>
                    <w:adjustRightInd w:val="0"/>
                    <w:snapToGrid w:val="0"/>
                    <w:jc w:val="center"/>
                    <w:rPr>
                      <w:b/>
                      <w:color w:val="auto"/>
                      <w:szCs w:val="21"/>
                    </w:rPr>
                  </w:pPr>
                  <w:r>
                    <w:rPr>
                      <w:b/>
                      <w:color w:val="auto"/>
                      <w:szCs w:val="21"/>
                    </w:rPr>
                    <w:t>物理</w:t>
                  </w:r>
                </w:p>
                <w:p w14:paraId="3217520C">
                  <w:pPr>
                    <w:adjustRightInd w:val="0"/>
                    <w:snapToGrid w:val="0"/>
                    <w:jc w:val="center"/>
                    <w:rPr>
                      <w:b/>
                      <w:color w:val="auto"/>
                      <w:szCs w:val="21"/>
                    </w:rPr>
                  </w:pPr>
                  <w:r>
                    <w:rPr>
                      <w:b/>
                      <w:color w:val="auto"/>
                      <w:szCs w:val="21"/>
                    </w:rPr>
                    <w:t>性状</w:t>
                  </w:r>
                </w:p>
              </w:tc>
              <w:tc>
                <w:tcPr>
                  <w:tcW w:w="379" w:type="pct"/>
                  <w:tcBorders>
                    <w:top w:val="single" w:color="auto" w:sz="12" w:space="0"/>
                    <w:left w:val="single" w:color="auto" w:sz="4" w:space="0"/>
                    <w:bottom w:val="single" w:color="auto" w:sz="4" w:space="0"/>
                    <w:right w:val="single" w:color="auto" w:sz="2" w:space="0"/>
                  </w:tcBorders>
                  <w:vAlign w:val="center"/>
                </w:tcPr>
                <w:p w14:paraId="5C8246A7">
                  <w:pPr>
                    <w:adjustRightInd w:val="0"/>
                    <w:snapToGrid w:val="0"/>
                    <w:jc w:val="center"/>
                    <w:rPr>
                      <w:b/>
                      <w:color w:val="auto"/>
                      <w:szCs w:val="21"/>
                    </w:rPr>
                  </w:pPr>
                  <w:r>
                    <w:rPr>
                      <w:b/>
                      <w:color w:val="auto"/>
                      <w:szCs w:val="21"/>
                    </w:rPr>
                    <w:t>主要有毒有害物质名称</w:t>
                  </w:r>
                </w:p>
              </w:tc>
              <w:tc>
                <w:tcPr>
                  <w:tcW w:w="310" w:type="pct"/>
                  <w:tcBorders>
                    <w:top w:val="single" w:color="auto" w:sz="12" w:space="0"/>
                    <w:left w:val="nil"/>
                    <w:bottom w:val="single" w:color="auto" w:sz="4" w:space="0"/>
                    <w:right w:val="single" w:color="auto" w:sz="4" w:space="0"/>
                  </w:tcBorders>
                  <w:vAlign w:val="center"/>
                </w:tcPr>
                <w:p w14:paraId="7816E67A">
                  <w:pPr>
                    <w:adjustRightInd w:val="0"/>
                    <w:snapToGrid w:val="0"/>
                    <w:jc w:val="center"/>
                    <w:rPr>
                      <w:b/>
                      <w:bCs/>
                      <w:color w:val="auto"/>
                      <w:szCs w:val="21"/>
                    </w:rPr>
                  </w:pPr>
                  <w:r>
                    <w:rPr>
                      <w:b/>
                      <w:bCs/>
                      <w:color w:val="auto"/>
                      <w:szCs w:val="21"/>
                    </w:rPr>
                    <w:t>环境危险特性</w:t>
                  </w:r>
                </w:p>
              </w:tc>
              <w:tc>
                <w:tcPr>
                  <w:tcW w:w="511" w:type="pct"/>
                  <w:tcBorders>
                    <w:top w:val="single" w:color="auto" w:sz="12" w:space="0"/>
                    <w:left w:val="single" w:color="auto" w:sz="2" w:space="0"/>
                    <w:bottom w:val="single" w:color="auto" w:sz="4" w:space="0"/>
                    <w:right w:val="single" w:color="auto" w:sz="2" w:space="0"/>
                  </w:tcBorders>
                  <w:vAlign w:val="center"/>
                </w:tcPr>
                <w:p w14:paraId="405BF771">
                  <w:pPr>
                    <w:adjustRightInd w:val="0"/>
                    <w:snapToGrid w:val="0"/>
                    <w:jc w:val="center"/>
                    <w:rPr>
                      <w:rFonts w:hint="eastAsia" w:eastAsia="宋体"/>
                      <w:b/>
                      <w:bCs/>
                      <w:color w:val="auto"/>
                      <w:szCs w:val="21"/>
                      <w:lang w:eastAsia="zh-CN"/>
                    </w:rPr>
                  </w:pPr>
                  <w:r>
                    <w:rPr>
                      <w:b/>
                      <w:bCs/>
                      <w:color w:val="auto"/>
                      <w:szCs w:val="21"/>
                    </w:rPr>
                    <w:t>年度产生量</w:t>
                  </w:r>
                  <w:r>
                    <w:rPr>
                      <w:rFonts w:hint="eastAsia"/>
                      <w:b/>
                      <w:bCs/>
                      <w:color w:val="auto"/>
                      <w:szCs w:val="21"/>
                      <w:lang w:eastAsia="zh-CN"/>
                    </w:rPr>
                    <w:t>（</w:t>
                  </w:r>
                  <w:r>
                    <w:rPr>
                      <w:b/>
                      <w:bCs/>
                      <w:color w:val="auto"/>
                      <w:szCs w:val="21"/>
                    </w:rPr>
                    <w:t>t/a</w:t>
                  </w:r>
                  <w:r>
                    <w:rPr>
                      <w:rFonts w:hint="eastAsia"/>
                      <w:b/>
                      <w:bCs/>
                      <w:color w:val="auto"/>
                      <w:szCs w:val="21"/>
                      <w:lang w:eastAsia="zh-CN"/>
                    </w:rPr>
                    <w:t>）</w:t>
                  </w:r>
                </w:p>
              </w:tc>
              <w:tc>
                <w:tcPr>
                  <w:tcW w:w="362" w:type="pct"/>
                  <w:tcBorders>
                    <w:top w:val="single" w:color="auto" w:sz="12" w:space="0"/>
                    <w:left w:val="single" w:color="auto" w:sz="4" w:space="0"/>
                    <w:bottom w:val="single" w:color="auto" w:sz="4" w:space="0"/>
                    <w:right w:val="single" w:color="auto" w:sz="4" w:space="0"/>
                  </w:tcBorders>
                  <w:vAlign w:val="center"/>
                </w:tcPr>
                <w:p w14:paraId="55D17572">
                  <w:pPr>
                    <w:adjustRightInd w:val="0"/>
                    <w:snapToGrid w:val="0"/>
                    <w:jc w:val="center"/>
                    <w:rPr>
                      <w:b/>
                      <w:bCs/>
                      <w:color w:val="auto"/>
                      <w:szCs w:val="21"/>
                    </w:rPr>
                  </w:pPr>
                  <w:r>
                    <w:rPr>
                      <w:b/>
                      <w:bCs/>
                      <w:color w:val="auto"/>
                      <w:szCs w:val="21"/>
                    </w:rPr>
                    <w:t>贮存方式</w:t>
                  </w:r>
                </w:p>
              </w:tc>
              <w:tc>
                <w:tcPr>
                  <w:tcW w:w="792" w:type="pct"/>
                  <w:tcBorders>
                    <w:top w:val="single" w:color="auto" w:sz="12" w:space="0"/>
                    <w:left w:val="single" w:color="auto" w:sz="4" w:space="0"/>
                    <w:bottom w:val="single" w:color="auto" w:sz="4" w:space="0"/>
                    <w:right w:val="single" w:color="auto" w:sz="4" w:space="0"/>
                  </w:tcBorders>
                  <w:vAlign w:val="center"/>
                </w:tcPr>
                <w:p w14:paraId="41032808">
                  <w:pPr>
                    <w:adjustRightInd w:val="0"/>
                    <w:snapToGrid w:val="0"/>
                    <w:jc w:val="center"/>
                    <w:rPr>
                      <w:b/>
                      <w:bCs/>
                      <w:color w:val="auto"/>
                      <w:szCs w:val="21"/>
                    </w:rPr>
                  </w:pPr>
                  <w:r>
                    <w:rPr>
                      <w:b/>
                      <w:bCs/>
                      <w:color w:val="auto"/>
                      <w:szCs w:val="21"/>
                    </w:rPr>
                    <w:t>利用方式或去向</w:t>
                  </w:r>
                </w:p>
              </w:tc>
              <w:tc>
                <w:tcPr>
                  <w:tcW w:w="472" w:type="pct"/>
                  <w:tcBorders>
                    <w:top w:val="single" w:color="auto" w:sz="12" w:space="0"/>
                    <w:left w:val="single" w:color="auto" w:sz="4" w:space="0"/>
                    <w:bottom w:val="single" w:color="auto" w:sz="4" w:space="0"/>
                    <w:right w:val="single" w:color="auto" w:sz="4" w:space="0"/>
                  </w:tcBorders>
                  <w:vAlign w:val="center"/>
                </w:tcPr>
                <w:p w14:paraId="6EFD50AC">
                  <w:pPr>
                    <w:adjustRightInd w:val="0"/>
                    <w:snapToGrid w:val="0"/>
                    <w:jc w:val="center"/>
                    <w:rPr>
                      <w:b/>
                      <w:color w:val="auto"/>
                      <w:szCs w:val="21"/>
                    </w:rPr>
                  </w:pPr>
                  <w:r>
                    <w:rPr>
                      <w:b/>
                      <w:color w:val="auto"/>
                      <w:szCs w:val="21"/>
                    </w:rPr>
                    <w:t>利用或处置量</w:t>
                  </w:r>
                </w:p>
                <w:p w14:paraId="29ECA928">
                  <w:pPr>
                    <w:adjustRightInd w:val="0"/>
                    <w:snapToGrid w:val="0"/>
                    <w:jc w:val="center"/>
                    <w:rPr>
                      <w:rFonts w:hint="eastAsia" w:eastAsia="宋体"/>
                      <w:b/>
                      <w:color w:val="auto"/>
                      <w:szCs w:val="21"/>
                      <w:lang w:eastAsia="zh-CN"/>
                    </w:rPr>
                  </w:pPr>
                  <w:r>
                    <w:rPr>
                      <w:rFonts w:hint="eastAsia"/>
                      <w:b/>
                      <w:bCs/>
                      <w:color w:val="auto"/>
                      <w:szCs w:val="21"/>
                      <w:lang w:eastAsia="zh-CN"/>
                    </w:rPr>
                    <w:t>（</w:t>
                  </w:r>
                  <w:r>
                    <w:rPr>
                      <w:b/>
                      <w:bCs/>
                      <w:color w:val="auto"/>
                      <w:szCs w:val="21"/>
                    </w:rPr>
                    <w:t>t/a</w:t>
                  </w:r>
                  <w:r>
                    <w:rPr>
                      <w:rFonts w:hint="eastAsia"/>
                      <w:b/>
                      <w:bCs/>
                      <w:color w:val="auto"/>
                      <w:szCs w:val="21"/>
                      <w:lang w:eastAsia="zh-CN"/>
                    </w:rPr>
                    <w:t>）</w:t>
                  </w:r>
                </w:p>
              </w:tc>
              <w:tc>
                <w:tcPr>
                  <w:tcW w:w="914" w:type="pct"/>
                  <w:tcBorders>
                    <w:top w:val="single" w:color="auto" w:sz="12" w:space="0"/>
                    <w:left w:val="single" w:color="auto" w:sz="4" w:space="0"/>
                    <w:bottom w:val="single" w:color="auto" w:sz="4" w:space="0"/>
                    <w:right w:val="nil"/>
                  </w:tcBorders>
                  <w:vAlign w:val="center"/>
                </w:tcPr>
                <w:p w14:paraId="12F6F14E">
                  <w:pPr>
                    <w:adjustRightInd w:val="0"/>
                    <w:snapToGrid w:val="0"/>
                    <w:jc w:val="center"/>
                    <w:rPr>
                      <w:b/>
                      <w:color w:val="auto"/>
                      <w:szCs w:val="21"/>
                    </w:rPr>
                  </w:pPr>
                  <w:r>
                    <w:rPr>
                      <w:b/>
                      <w:color w:val="auto"/>
                      <w:szCs w:val="21"/>
                    </w:rPr>
                    <w:t>环境管理要求</w:t>
                  </w:r>
                </w:p>
              </w:tc>
            </w:tr>
            <w:tr w14:paraId="7687D8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53" w:hRule="atLeast"/>
                <w:jc w:val="center"/>
              </w:trPr>
              <w:tc>
                <w:tcPr>
                  <w:tcW w:w="370" w:type="pct"/>
                  <w:tcBorders>
                    <w:top w:val="single" w:color="auto" w:sz="4" w:space="0"/>
                    <w:left w:val="nil"/>
                    <w:bottom w:val="single" w:color="auto" w:sz="4" w:space="0"/>
                    <w:right w:val="single" w:color="auto" w:sz="4" w:space="0"/>
                  </w:tcBorders>
                  <w:vAlign w:val="center"/>
                </w:tcPr>
                <w:p w14:paraId="4E9551B2">
                  <w:pPr>
                    <w:adjustRightInd w:val="0"/>
                    <w:snapToGrid w:val="0"/>
                    <w:jc w:val="center"/>
                    <w:rPr>
                      <w:bCs/>
                      <w:color w:val="auto"/>
                      <w:szCs w:val="21"/>
                    </w:rPr>
                  </w:pPr>
                  <w:r>
                    <w:rPr>
                      <w:bCs/>
                      <w:color w:val="auto"/>
                      <w:szCs w:val="21"/>
                    </w:rPr>
                    <w:t>布袋除尘器</w:t>
                  </w:r>
                </w:p>
              </w:tc>
              <w:tc>
                <w:tcPr>
                  <w:tcW w:w="370" w:type="pct"/>
                  <w:tcBorders>
                    <w:top w:val="single" w:color="auto" w:sz="4" w:space="0"/>
                    <w:left w:val="single" w:color="auto" w:sz="4" w:space="0"/>
                    <w:bottom w:val="single" w:color="auto" w:sz="4" w:space="0"/>
                    <w:right w:val="single" w:color="auto" w:sz="4" w:space="0"/>
                  </w:tcBorders>
                  <w:vAlign w:val="center"/>
                </w:tcPr>
                <w:p w14:paraId="7EE604B0">
                  <w:pPr>
                    <w:adjustRightInd w:val="0"/>
                    <w:snapToGrid w:val="0"/>
                    <w:jc w:val="center"/>
                    <w:rPr>
                      <w:bCs/>
                      <w:color w:val="auto"/>
                      <w:szCs w:val="21"/>
                    </w:rPr>
                  </w:pPr>
                  <w:r>
                    <w:rPr>
                      <w:bCs/>
                      <w:color w:val="auto"/>
                      <w:szCs w:val="21"/>
                    </w:rPr>
                    <w:t>除尘灰</w:t>
                  </w:r>
                </w:p>
              </w:tc>
              <w:tc>
                <w:tcPr>
                  <w:tcW w:w="272" w:type="pct"/>
                  <w:tcBorders>
                    <w:top w:val="single" w:color="auto" w:sz="4" w:space="0"/>
                    <w:left w:val="single" w:color="auto" w:sz="4" w:space="0"/>
                    <w:bottom w:val="single" w:color="auto" w:sz="4" w:space="0"/>
                    <w:right w:val="single" w:color="auto" w:sz="4" w:space="0"/>
                  </w:tcBorders>
                  <w:vAlign w:val="center"/>
                </w:tcPr>
                <w:p w14:paraId="6BE0B7AA">
                  <w:pPr>
                    <w:adjustRightInd w:val="0"/>
                    <w:snapToGrid w:val="0"/>
                    <w:jc w:val="center"/>
                    <w:rPr>
                      <w:bCs/>
                      <w:color w:val="auto"/>
                      <w:szCs w:val="21"/>
                    </w:rPr>
                  </w:pPr>
                  <w:r>
                    <w:rPr>
                      <w:bCs/>
                      <w:color w:val="auto"/>
                      <w:szCs w:val="21"/>
                    </w:rPr>
                    <w:t>一般</w:t>
                  </w:r>
                </w:p>
                <w:p w14:paraId="7A614066">
                  <w:pPr>
                    <w:adjustRightInd w:val="0"/>
                    <w:snapToGrid w:val="0"/>
                    <w:jc w:val="center"/>
                    <w:rPr>
                      <w:bCs/>
                      <w:color w:val="auto"/>
                      <w:szCs w:val="21"/>
                    </w:rPr>
                  </w:pPr>
                  <w:r>
                    <w:rPr>
                      <w:bCs/>
                      <w:color w:val="auto"/>
                      <w:szCs w:val="21"/>
                    </w:rPr>
                    <w:t>固废</w:t>
                  </w:r>
                </w:p>
              </w:tc>
              <w:tc>
                <w:tcPr>
                  <w:tcW w:w="249" w:type="pct"/>
                  <w:tcBorders>
                    <w:top w:val="single" w:color="auto" w:sz="4" w:space="0"/>
                    <w:left w:val="single" w:color="auto" w:sz="4" w:space="0"/>
                    <w:bottom w:val="single" w:color="auto" w:sz="4" w:space="0"/>
                    <w:right w:val="single" w:color="auto" w:sz="4" w:space="0"/>
                  </w:tcBorders>
                  <w:vAlign w:val="center"/>
                </w:tcPr>
                <w:p w14:paraId="6BEDE8EA">
                  <w:pPr>
                    <w:adjustRightInd w:val="0"/>
                    <w:snapToGrid w:val="0"/>
                    <w:jc w:val="center"/>
                    <w:rPr>
                      <w:bCs/>
                      <w:color w:val="auto"/>
                      <w:szCs w:val="21"/>
                    </w:rPr>
                  </w:pPr>
                  <w:r>
                    <w:rPr>
                      <w:bCs/>
                      <w:color w:val="auto"/>
                      <w:szCs w:val="21"/>
                    </w:rPr>
                    <w:t>固态</w:t>
                  </w:r>
                </w:p>
              </w:tc>
              <w:tc>
                <w:tcPr>
                  <w:tcW w:w="379" w:type="pct"/>
                  <w:tcBorders>
                    <w:top w:val="single" w:color="auto" w:sz="4" w:space="0"/>
                    <w:left w:val="single" w:color="auto" w:sz="4" w:space="0"/>
                    <w:bottom w:val="single" w:color="auto" w:sz="4" w:space="0"/>
                    <w:right w:val="single" w:color="auto" w:sz="2" w:space="0"/>
                  </w:tcBorders>
                  <w:vAlign w:val="center"/>
                </w:tcPr>
                <w:p w14:paraId="65F4DF16">
                  <w:pPr>
                    <w:adjustRightInd w:val="0"/>
                    <w:snapToGrid w:val="0"/>
                    <w:jc w:val="center"/>
                    <w:rPr>
                      <w:bCs/>
                      <w:color w:val="auto"/>
                      <w:szCs w:val="21"/>
                    </w:rPr>
                  </w:pPr>
                  <w:r>
                    <w:rPr>
                      <w:bCs/>
                      <w:color w:val="auto"/>
                      <w:szCs w:val="21"/>
                    </w:rPr>
                    <w:t>无</w:t>
                  </w:r>
                </w:p>
              </w:tc>
              <w:tc>
                <w:tcPr>
                  <w:tcW w:w="310" w:type="pct"/>
                  <w:tcBorders>
                    <w:top w:val="single" w:color="auto" w:sz="4" w:space="0"/>
                    <w:left w:val="nil"/>
                    <w:bottom w:val="single" w:color="auto" w:sz="4" w:space="0"/>
                    <w:right w:val="single" w:color="auto" w:sz="4" w:space="0"/>
                  </w:tcBorders>
                  <w:vAlign w:val="center"/>
                </w:tcPr>
                <w:p w14:paraId="390ED3FE">
                  <w:pPr>
                    <w:adjustRightInd w:val="0"/>
                    <w:snapToGrid w:val="0"/>
                    <w:jc w:val="center"/>
                    <w:rPr>
                      <w:bCs/>
                      <w:color w:val="auto"/>
                      <w:szCs w:val="21"/>
                    </w:rPr>
                  </w:pPr>
                  <w:r>
                    <w:rPr>
                      <w:bCs/>
                      <w:color w:val="auto"/>
                      <w:szCs w:val="21"/>
                    </w:rPr>
                    <w:t>无</w:t>
                  </w:r>
                </w:p>
              </w:tc>
              <w:tc>
                <w:tcPr>
                  <w:tcW w:w="511" w:type="pct"/>
                  <w:tcBorders>
                    <w:top w:val="single" w:color="auto" w:sz="4" w:space="0"/>
                    <w:left w:val="single" w:color="auto" w:sz="2" w:space="0"/>
                    <w:bottom w:val="single" w:color="auto" w:sz="4" w:space="0"/>
                    <w:right w:val="single" w:color="auto" w:sz="2" w:space="0"/>
                  </w:tcBorders>
                  <w:vAlign w:val="center"/>
                </w:tcPr>
                <w:p w14:paraId="3545C92F">
                  <w:pPr>
                    <w:adjustRightInd w:val="0"/>
                    <w:snapToGrid w:val="0"/>
                    <w:jc w:val="center"/>
                    <w:rPr>
                      <w:color w:val="auto"/>
                      <w:szCs w:val="21"/>
                    </w:rPr>
                  </w:pPr>
                  <w:r>
                    <w:rPr>
                      <w:rFonts w:hint="eastAsia"/>
                      <w:color w:val="auto"/>
                      <w:szCs w:val="21"/>
                    </w:rPr>
                    <w:t>18.85</w:t>
                  </w:r>
                </w:p>
              </w:tc>
              <w:tc>
                <w:tcPr>
                  <w:tcW w:w="362" w:type="pct"/>
                  <w:tcBorders>
                    <w:top w:val="single" w:color="auto" w:sz="4" w:space="0"/>
                    <w:left w:val="single" w:color="auto" w:sz="4" w:space="0"/>
                    <w:bottom w:val="single" w:color="auto" w:sz="4" w:space="0"/>
                    <w:right w:val="single" w:color="auto" w:sz="4" w:space="0"/>
                  </w:tcBorders>
                  <w:vAlign w:val="center"/>
                </w:tcPr>
                <w:p w14:paraId="4B13221A">
                  <w:pPr>
                    <w:adjustRightInd w:val="0"/>
                    <w:snapToGrid w:val="0"/>
                    <w:jc w:val="center"/>
                    <w:rPr>
                      <w:color w:val="auto"/>
                      <w:szCs w:val="21"/>
                    </w:rPr>
                  </w:pPr>
                  <w:r>
                    <w:rPr>
                      <w:color w:val="auto"/>
                      <w:szCs w:val="21"/>
                    </w:rPr>
                    <w:t>布袋</w:t>
                  </w:r>
                </w:p>
              </w:tc>
              <w:tc>
                <w:tcPr>
                  <w:tcW w:w="792" w:type="pct"/>
                  <w:tcBorders>
                    <w:top w:val="single" w:color="auto" w:sz="4" w:space="0"/>
                    <w:left w:val="single" w:color="auto" w:sz="4" w:space="0"/>
                    <w:bottom w:val="single" w:color="auto" w:sz="4" w:space="0"/>
                    <w:right w:val="single" w:color="auto" w:sz="4" w:space="0"/>
                  </w:tcBorders>
                  <w:vAlign w:val="center"/>
                </w:tcPr>
                <w:p w14:paraId="5BD95CCD">
                  <w:pPr>
                    <w:adjustRightInd w:val="0"/>
                    <w:snapToGrid w:val="0"/>
                    <w:jc w:val="center"/>
                    <w:rPr>
                      <w:color w:val="auto"/>
                      <w:szCs w:val="21"/>
                    </w:rPr>
                  </w:pPr>
                  <w:r>
                    <w:rPr>
                      <w:color w:val="auto"/>
                      <w:szCs w:val="21"/>
                    </w:rPr>
                    <w:t>回用于生产</w:t>
                  </w:r>
                </w:p>
              </w:tc>
              <w:tc>
                <w:tcPr>
                  <w:tcW w:w="472" w:type="pct"/>
                  <w:tcBorders>
                    <w:top w:val="single" w:color="auto" w:sz="4" w:space="0"/>
                    <w:left w:val="single" w:color="auto" w:sz="4" w:space="0"/>
                    <w:bottom w:val="single" w:color="auto" w:sz="4" w:space="0"/>
                    <w:right w:val="single" w:color="auto" w:sz="4" w:space="0"/>
                  </w:tcBorders>
                  <w:vAlign w:val="center"/>
                </w:tcPr>
                <w:p w14:paraId="3244E9DA">
                  <w:pPr>
                    <w:adjustRightInd w:val="0"/>
                    <w:snapToGrid w:val="0"/>
                    <w:jc w:val="center"/>
                    <w:rPr>
                      <w:bCs/>
                      <w:color w:val="auto"/>
                      <w:szCs w:val="21"/>
                    </w:rPr>
                  </w:pPr>
                  <w:r>
                    <w:rPr>
                      <w:rFonts w:hint="eastAsia"/>
                      <w:color w:val="auto"/>
                      <w:szCs w:val="21"/>
                    </w:rPr>
                    <w:t>18.85</w:t>
                  </w:r>
                </w:p>
              </w:tc>
              <w:tc>
                <w:tcPr>
                  <w:tcW w:w="914" w:type="pct"/>
                  <w:vMerge w:val="restart"/>
                  <w:tcBorders>
                    <w:top w:val="single" w:color="auto" w:sz="4" w:space="0"/>
                    <w:left w:val="single" w:color="auto" w:sz="4" w:space="0"/>
                    <w:right w:val="nil"/>
                  </w:tcBorders>
                  <w:vAlign w:val="center"/>
                </w:tcPr>
                <w:p w14:paraId="782FE70E">
                  <w:pPr>
                    <w:adjustRightInd w:val="0"/>
                    <w:snapToGrid w:val="0"/>
                    <w:jc w:val="center"/>
                    <w:rPr>
                      <w:color w:val="auto"/>
                      <w:szCs w:val="21"/>
                    </w:rPr>
                  </w:pPr>
                  <w:r>
                    <w:rPr>
                      <w:color w:val="auto"/>
                      <w:szCs w:val="21"/>
                    </w:rPr>
                    <w:t>执行《一般工业固体废物贮存和填埋污染控制标准》(GB18599-2020)</w:t>
                  </w:r>
                </w:p>
              </w:tc>
            </w:tr>
            <w:tr w14:paraId="256176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53" w:hRule="atLeast"/>
                <w:jc w:val="center"/>
              </w:trPr>
              <w:tc>
                <w:tcPr>
                  <w:tcW w:w="370" w:type="pct"/>
                  <w:tcBorders>
                    <w:top w:val="single" w:color="auto" w:sz="4" w:space="0"/>
                    <w:left w:val="nil"/>
                    <w:bottom w:val="single" w:color="auto" w:sz="4" w:space="0"/>
                    <w:right w:val="single" w:color="auto" w:sz="4" w:space="0"/>
                  </w:tcBorders>
                  <w:vAlign w:val="center"/>
                </w:tcPr>
                <w:p w14:paraId="433757BA">
                  <w:pPr>
                    <w:adjustRightInd w:val="0"/>
                    <w:snapToGrid w:val="0"/>
                    <w:jc w:val="center"/>
                    <w:rPr>
                      <w:bCs/>
                      <w:color w:val="auto"/>
                      <w:szCs w:val="21"/>
                    </w:rPr>
                  </w:pPr>
                  <w:r>
                    <w:rPr>
                      <w:bCs/>
                      <w:color w:val="auto"/>
                      <w:szCs w:val="21"/>
                    </w:rPr>
                    <w:t>沉淀池</w:t>
                  </w:r>
                </w:p>
              </w:tc>
              <w:tc>
                <w:tcPr>
                  <w:tcW w:w="370" w:type="pct"/>
                  <w:tcBorders>
                    <w:top w:val="single" w:color="auto" w:sz="4" w:space="0"/>
                    <w:left w:val="single" w:color="auto" w:sz="4" w:space="0"/>
                    <w:bottom w:val="single" w:color="auto" w:sz="4" w:space="0"/>
                    <w:right w:val="single" w:color="auto" w:sz="4" w:space="0"/>
                  </w:tcBorders>
                  <w:vAlign w:val="center"/>
                </w:tcPr>
                <w:p w14:paraId="094088A4">
                  <w:pPr>
                    <w:adjustRightInd w:val="0"/>
                    <w:snapToGrid w:val="0"/>
                    <w:jc w:val="center"/>
                    <w:rPr>
                      <w:bCs/>
                      <w:color w:val="auto"/>
                      <w:szCs w:val="21"/>
                    </w:rPr>
                  </w:pPr>
                  <w:r>
                    <w:rPr>
                      <w:bCs/>
                      <w:color w:val="auto"/>
                      <w:szCs w:val="21"/>
                    </w:rPr>
                    <w:t>沉淀池沉渣</w:t>
                  </w:r>
                </w:p>
              </w:tc>
              <w:tc>
                <w:tcPr>
                  <w:tcW w:w="272" w:type="pct"/>
                  <w:tcBorders>
                    <w:top w:val="single" w:color="auto" w:sz="4" w:space="0"/>
                    <w:left w:val="single" w:color="auto" w:sz="4" w:space="0"/>
                    <w:bottom w:val="single" w:color="auto" w:sz="4" w:space="0"/>
                    <w:right w:val="single" w:color="auto" w:sz="4" w:space="0"/>
                  </w:tcBorders>
                  <w:vAlign w:val="center"/>
                </w:tcPr>
                <w:p w14:paraId="72139BCD">
                  <w:pPr>
                    <w:adjustRightInd w:val="0"/>
                    <w:snapToGrid w:val="0"/>
                    <w:jc w:val="center"/>
                    <w:rPr>
                      <w:bCs/>
                      <w:color w:val="auto"/>
                      <w:szCs w:val="21"/>
                    </w:rPr>
                  </w:pPr>
                  <w:r>
                    <w:rPr>
                      <w:bCs/>
                      <w:color w:val="auto"/>
                      <w:szCs w:val="21"/>
                    </w:rPr>
                    <w:t>一般</w:t>
                  </w:r>
                </w:p>
                <w:p w14:paraId="518E6C76">
                  <w:pPr>
                    <w:adjustRightInd w:val="0"/>
                    <w:snapToGrid w:val="0"/>
                    <w:jc w:val="center"/>
                    <w:rPr>
                      <w:bCs/>
                      <w:color w:val="auto"/>
                      <w:szCs w:val="21"/>
                    </w:rPr>
                  </w:pPr>
                  <w:r>
                    <w:rPr>
                      <w:bCs/>
                      <w:color w:val="auto"/>
                      <w:szCs w:val="21"/>
                    </w:rPr>
                    <w:t>固废</w:t>
                  </w:r>
                </w:p>
              </w:tc>
              <w:tc>
                <w:tcPr>
                  <w:tcW w:w="249" w:type="pct"/>
                  <w:tcBorders>
                    <w:top w:val="single" w:color="auto" w:sz="4" w:space="0"/>
                    <w:left w:val="single" w:color="auto" w:sz="4" w:space="0"/>
                    <w:bottom w:val="single" w:color="auto" w:sz="4" w:space="0"/>
                    <w:right w:val="single" w:color="auto" w:sz="4" w:space="0"/>
                  </w:tcBorders>
                  <w:vAlign w:val="center"/>
                </w:tcPr>
                <w:p w14:paraId="7D70537D">
                  <w:pPr>
                    <w:adjustRightInd w:val="0"/>
                    <w:snapToGrid w:val="0"/>
                    <w:jc w:val="center"/>
                    <w:rPr>
                      <w:bCs/>
                      <w:color w:val="auto"/>
                      <w:szCs w:val="21"/>
                    </w:rPr>
                  </w:pPr>
                  <w:r>
                    <w:rPr>
                      <w:bCs/>
                      <w:color w:val="auto"/>
                      <w:szCs w:val="21"/>
                    </w:rPr>
                    <w:t>固态</w:t>
                  </w:r>
                </w:p>
              </w:tc>
              <w:tc>
                <w:tcPr>
                  <w:tcW w:w="379" w:type="pct"/>
                  <w:tcBorders>
                    <w:top w:val="single" w:color="auto" w:sz="4" w:space="0"/>
                    <w:left w:val="single" w:color="auto" w:sz="4" w:space="0"/>
                    <w:bottom w:val="single" w:color="auto" w:sz="4" w:space="0"/>
                    <w:right w:val="single" w:color="auto" w:sz="2" w:space="0"/>
                  </w:tcBorders>
                  <w:vAlign w:val="center"/>
                </w:tcPr>
                <w:p w14:paraId="3A18F1B9">
                  <w:pPr>
                    <w:adjustRightInd w:val="0"/>
                    <w:snapToGrid w:val="0"/>
                    <w:jc w:val="center"/>
                    <w:rPr>
                      <w:bCs/>
                      <w:color w:val="auto"/>
                      <w:szCs w:val="21"/>
                    </w:rPr>
                  </w:pPr>
                  <w:r>
                    <w:rPr>
                      <w:bCs/>
                      <w:color w:val="auto"/>
                      <w:szCs w:val="21"/>
                    </w:rPr>
                    <w:t>无</w:t>
                  </w:r>
                </w:p>
              </w:tc>
              <w:tc>
                <w:tcPr>
                  <w:tcW w:w="310" w:type="pct"/>
                  <w:tcBorders>
                    <w:top w:val="single" w:color="auto" w:sz="4" w:space="0"/>
                    <w:left w:val="nil"/>
                    <w:bottom w:val="single" w:color="auto" w:sz="4" w:space="0"/>
                    <w:right w:val="single" w:color="auto" w:sz="4" w:space="0"/>
                  </w:tcBorders>
                  <w:vAlign w:val="center"/>
                </w:tcPr>
                <w:p w14:paraId="2CF9C41E">
                  <w:pPr>
                    <w:adjustRightInd w:val="0"/>
                    <w:snapToGrid w:val="0"/>
                    <w:jc w:val="center"/>
                    <w:rPr>
                      <w:bCs/>
                      <w:color w:val="auto"/>
                      <w:szCs w:val="21"/>
                    </w:rPr>
                  </w:pPr>
                  <w:r>
                    <w:rPr>
                      <w:bCs/>
                      <w:color w:val="auto"/>
                      <w:szCs w:val="21"/>
                    </w:rPr>
                    <w:t>无</w:t>
                  </w:r>
                </w:p>
              </w:tc>
              <w:tc>
                <w:tcPr>
                  <w:tcW w:w="511" w:type="pct"/>
                  <w:tcBorders>
                    <w:top w:val="single" w:color="auto" w:sz="4" w:space="0"/>
                    <w:left w:val="single" w:color="auto" w:sz="2" w:space="0"/>
                    <w:bottom w:val="single" w:color="auto" w:sz="4" w:space="0"/>
                    <w:right w:val="single" w:color="auto" w:sz="2" w:space="0"/>
                  </w:tcBorders>
                  <w:vAlign w:val="center"/>
                </w:tcPr>
                <w:p w14:paraId="5792B824">
                  <w:pPr>
                    <w:adjustRightInd w:val="0"/>
                    <w:snapToGrid w:val="0"/>
                    <w:jc w:val="center"/>
                    <w:rPr>
                      <w:color w:val="auto"/>
                      <w:szCs w:val="21"/>
                    </w:rPr>
                  </w:pPr>
                  <w:r>
                    <w:rPr>
                      <w:color w:val="auto"/>
                      <w:szCs w:val="21"/>
                    </w:rPr>
                    <w:t>0.5</w:t>
                  </w:r>
                </w:p>
              </w:tc>
              <w:tc>
                <w:tcPr>
                  <w:tcW w:w="362" w:type="pct"/>
                  <w:tcBorders>
                    <w:top w:val="single" w:color="auto" w:sz="4" w:space="0"/>
                    <w:left w:val="single" w:color="auto" w:sz="4" w:space="0"/>
                    <w:bottom w:val="single" w:color="auto" w:sz="4" w:space="0"/>
                    <w:right w:val="single" w:color="auto" w:sz="4" w:space="0"/>
                  </w:tcBorders>
                  <w:vAlign w:val="center"/>
                </w:tcPr>
                <w:p w14:paraId="50422770">
                  <w:pPr>
                    <w:adjustRightInd w:val="0"/>
                    <w:snapToGrid w:val="0"/>
                    <w:jc w:val="center"/>
                    <w:rPr>
                      <w:color w:val="auto"/>
                      <w:szCs w:val="21"/>
                    </w:rPr>
                  </w:pPr>
                  <w:r>
                    <w:rPr>
                      <w:color w:val="auto"/>
                      <w:szCs w:val="21"/>
                    </w:rPr>
                    <w:t>原料库暂存</w:t>
                  </w:r>
                </w:p>
              </w:tc>
              <w:tc>
                <w:tcPr>
                  <w:tcW w:w="792" w:type="pct"/>
                  <w:tcBorders>
                    <w:top w:val="single" w:color="auto" w:sz="4" w:space="0"/>
                    <w:left w:val="single" w:color="auto" w:sz="4" w:space="0"/>
                    <w:bottom w:val="single" w:color="auto" w:sz="4" w:space="0"/>
                    <w:right w:val="single" w:color="auto" w:sz="4" w:space="0"/>
                  </w:tcBorders>
                  <w:vAlign w:val="center"/>
                </w:tcPr>
                <w:p w14:paraId="12867D5A">
                  <w:pPr>
                    <w:adjustRightInd w:val="0"/>
                    <w:snapToGrid w:val="0"/>
                    <w:jc w:val="center"/>
                    <w:rPr>
                      <w:color w:val="auto"/>
                      <w:szCs w:val="21"/>
                    </w:rPr>
                  </w:pPr>
                  <w:r>
                    <w:rPr>
                      <w:color w:val="auto"/>
                      <w:szCs w:val="21"/>
                    </w:rPr>
                    <w:t>回用于生产</w:t>
                  </w:r>
                </w:p>
              </w:tc>
              <w:tc>
                <w:tcPr>
                  <w:tcW w:w="472" w:type="pct"/>
                  <w:tcBorders>
                    <w:top w:val="single" w:color="auto" w:sz="4" w:space="0"/>
                    <w:left w:val="single" w:color="auto" w:sz="4" w:space="0"/>
                    <w:bottom w:val="single" w:color="auto" w:sz="4" w:space="0"/>
                    <w:right w:val="single" w:color="auto" w:sz="4" w:space="0"/>
                  </w:tcBorders>
                  <w:vAlign w:val="center"/>
                </w:tcPr>
                <w:p w14:paraId="2F95BDE0">
                  <w:pPr>
                    <w:adjustRightInd w:val="0"/>
                    <w:snapToGrid w:val="0"/>
                    <w:jc w:val="center"/>
                    <w:rPr>
                      <w:bCs/>
                      <w:color w:val="auto"/>
                      <w:szCs w:val="21"/>
                    </w:rPr>
                  </w:pPr>
                  <w:r>
                    <w:rPr>
                      <w:bCs/>
                      <w:color w:val="auto"/>
                      <w:szCs w:val="21"/>
                    </w:rPr>
                    <w:t>0.5</w:t>
                  </w:r>
                </w:p>
              </w:tc>
              <w:tc>
                <w:tcPr>
                  <w:tcW w:w="914" w:type="pct"/>
                  <w:vMerge w:val="continue"/>
                  <w:tcBorders>
                    <w:left w:val="single" w:color="auto" w:sz="4" w:space="0"/>
                    <w:right w:val="nil"/>
                  </w:tcBorders>
                  <w:vAlign w:val="center"/>
                </w:tcPr>
                <w:p w14:paraId="75182EA9">
                  <w:pPr>
                    <w:adjustRightInd w:val="0"/>
                    <w:snapToGrid w:val="0"/>
                    <w:jc w:val="center"/>
                    <w:rPr>
                      <w:color w:val="auto"/>
                      <w:szCs w:val="21"/>
                    </w:rPr>
                  </w:pPr>
                </w:p>
              </w:tc>
            </w:tr>
            <w:tr w14:paraId="045BA9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53" w:hRule="atLeast"/>
                <w:jc w:val="center"/>
              </w:trPr>
              <w:tc>
                <w:tcPr>
                  <w:tcW w:w="370" w:type="pct"/>
                  <w:tcBorders>
                    <w:top w:val="single" w:color="auto" w:sz="4" w:space="0"/>
                    <w:left w:val="nil"/>
                    <w:bottom w:val="single" w:color="auto" w:sz="4" w:space="0"/>
                    <w:right w:val="single" w:color="auto" w:sz="4" w:space="0"/>
                  </w:tcBorders>
                  <w:vAlign w:val="center"/>
                </w:tcPr>
                <w:p w14:paraId="0E79824B">
                  <w:pPr>
                    <w:adjustRightInd w:val="0"/>
                    <w:snapToGrid w:val="0"/>
                    <w:jc w:val="center"/>
                    <w:rPr>
                      <w:bCs/>
                      <w:color w:val="auto"/>
                      <w:szCs w:val="21"/>
                    </w:rPr>
                  </w:pPr>
                  <w:r>
                    <w:rPr>
                      <w:bCs/>
                      <w:color w:val="auto"/>
                      <w:szCs w:val="21"/>
                    </w:rPr>
                    <w:t>实验室</w:t>
                  </w:r>
                </w:p>
              </w:tc>
              <w:tc>
                <w:tcPr>
                  <w:tcW w:w="370" w:type="pct"/>
                  <w:tcBorders>
                    <w:top w:val="single" w:color="auto" w:sz="4" w:space="0"/>
                    <w:left w:val="single" w:color="auto" w:sz="4" w:space="0"/>
                    <w:bottom w:val="single" w:color="auto" w:sz="4" w:space="0"/>
                    <w:right w:val="single" w:color="auto" w:sz="4" w:space="0"/>
                  </w:tcBorders>
                  <w:vAlign w:val="center"/>
                </w:tcPr>
                <w:p w14:paraId="081EF719">
                  <w:pPr>
                    <w:adjustRightInd w:val="0"/>
                    <w:snapToGrid w:val="0"/>
                    <w:jc w:val="center"/>
                    <w:rPr>
                      <w:bCs/>
                      <w:color w:val="auto"/>
                      <w:szCs w:val="21"/>
                    </w:rPr>
                  </w:pPr>
                  <w:r>
                    <w:rPr>
                      <w:bCs/>
                      <w:color w:val="auto"/>
                      <w:szCs w:val="21"/>
                    </w:rPr>
                    <w:t>实验室混凝土块</w:t>
                  </w:r>
                </w:p>
              </w:tc>
              <w:tc>
                <w:tcPr>
                  <w:tcW w:w="272" w:type="pct"/>
                  <w:tcBorders>
                    <w:top w:val="single" w:color="auto" w:sz="4" w:space="0"/>
                    <w:left w:val="single" w:color="auto" w:sz="4" w:space="0"/>
                    <w:bottom w:val="single" w:color="auto" w:sz="4" w:space="0"/>
                    <w:right w:val="single" w:color="auto" w:sz="4" w:space="0"/>
                  </w:tcBorders>
                  <w:vAlign w:val="center"/>
                </w:tcPr>
                <w:p w14:paraId="76975B1E">
                  <w:pPr>
                    <w:adjustRightInd w:val="0"/>
                    <w:snapToGrid w:val="0"/>
                    <w:jc w:val="center"/>
                    <w:rPr>
                      <w:bCs/>
                      <w:color w:val="auto"/>
                      <w:szCs w:val="21"/>
                    </w:rPr>
                  </w:pPr>
                  <w:r>
                    <w:rPr>
                      <w:bCs/>
                      <w:color w:val="auto"/>
                      <w:szCs w:val="21"/>
                    </w:rPr>
                    <w:t>一般</w:t>
                  </w:r>
                </w:p>
                <w:p w14:paraId="0A083FE7">
                  <w:pPr>
                    <w:adjustRightInd w:val="0"/>
                    <w:snapToGrid w:val="0"/>
                    <w:jc w:val="center"/>
                    <w:rPr>
                      <w:bCs/>
                      <w:color w:val="auto"/>
                      <w:szCs w:val="21"/>
                    </w:rPr>
                  </w:pPr>
                  <w:r>
                    <w:rPr>
                      <w:bCs/>
                      <w:color w:val="auto"/>
                      <w:szCs w:val="21"/>
                    </w:rPr>
                    <w:t>固废</w:t>
                  </w:r>
                </w:p>
              </w:tc>
              <w:tc>
                <w:tcPr>
                  <w:tcW w:w="249" w:type="pct"/>
                  <w:tcBorders>
                    <w:top w:val="single" w:color="auto" w:sz="4" w:space="0"/>
                    <w:left w:val="single" w:color="auto" w:sz="4" w:space="0"/>
                    <w:bottom w:val="single" w:color="auto" w:sz="4" w:space="0"/>
                    <w:right w:val="single" w:color="auto" w:sz="4" w:space="0"/>
                  </w:tcBorders>
                  <w:vAlign w:val="center"/>
                </w:tcPr>
                <w:p w14:paraId="433BF6A5">
                  <w:pPr>
                    <w:adjustRightInd w:val="0"/>
                    <w:snapToGrid w:val="0"/>
                    <w:jc w:val="center"/>
                    <w:rPr>
                      <w:bCs/>
                      <w:color w:val="auto"/>
                      <w:szCs w:val="21"/>
                    </w:rPr>
                  </w:pPr>
                  <w:r>
                    <w:rPr>
                      <w:bCs/>
                      <w:color w:val="auto"/>
                      <w:szCs w:val="21"/>
                    </w:rPr>
                    <w:t>固态</w:t>
                  </w:r>
                </w:p>
              </w:tc>
              <w:tc>
                <w:tcPr>
                  <w:tcW w:w="379" w:type="pct"/>
                  <w:tcBorders>
                    <w:top w:val="single" w:color="auto" w:sz="4" w:space="0"/>
                    <w:left w:val="single" w:color="auto" w:sz="4" w:space="0"/>
                    <w:bottom w:val="single" w:color="auto" w:sz="4" w:space="0"/>
                    <w:right w:val="single" w:color="auto" w:sz="2" w:space="0"/>
                  </w:tcBorders>
                  <w:vAlign w:val="center"/>
                </w:tcPr>
                <w:p w14:paraId="10C00856">
                  <w:pPr>
                    <w:adjustRightInd w:val="0"/>
                    <w:snapToGrid w:val="0"/>
                    <w:jc w:val="center"/>
                    <w:rPr>
                      <w:bCs/>
                      <w:color w:val="auto"/>
                      <w:szCs w:val="21"/>
                    </w:rPr>
                  </w:pPr>
                  <w:r>
                    <w:rPr>
                      <w:bCs/>
                      <w:color w:val="auto"/>
                      <w:szCs w:val="21"/>
                    </w:rPr>
                    <w:t>无</w:t>
                  </w:r>
                </w:p>
              </w:tc>
              <w:tc>
                <w:tcPr>
                  <w:tcW w:w="310" w:type="pct"/>
                  <w:tcBorders>
                    <w:top w:val="single" w:color="auto" w:sz="4" w:space="0"/>
                    <w:left w:val="nil"/>
                    <w:bottom w:val="single" w:color="auto" w:sz="4" w:space="0"/>
                    <w:right w:val="single" w:color="auto" w:sz="4" w:space="0"/>
                  </w:tcBorders>
                  <w:vAlign w:val="center"/>
                </w:tcPr>
                <w:p w14:paraId="0E22A091">
                  <w:pPr>
                    <w:adjustRightInd w:val="0"/>
                    <w:snapToGrid w:val="0"/>
                    <w:jc w:val="center"/>
                    <w:rPr>
                      <w:bCs/>
                      <w:color w:val="auto"/>
                      <w:szCs w:val="21"/>
                    </w:rPr>
                  </w:pPr>
                  <w:r>
                    <w:rPr>
                      <w:bCs/>
                      <w:color w:val="auto"/>
                      <w:szCs w:val="21"/>
                    </w:rPr>
                    <w:t>无</w:t>
                  </w:r>
                </w:p>
              </w:tc>
              <w:tc>
                <w:tcPr>
                  <w:tcW w:w="511" w:type="pct"/>
                  <w:tcBorders>
                    <w:top w:val="single" w:color="auto" w:sz="4" w:space="0"/>
                    <w:left w:val="single" w:color="auto" w:sz="2" w:space="0"/>
                    <w:bottom w:val="single" w:color="auto" w:sz="4" w:space="0"/>
                    <w:right w:val="single" w:color="auto" w:sz="2" w:space="0"/>
                  </w:tcBorders>
                  <w:vAlign w:val="center"/>
                </w:tcPr>
                <w:p w14:paraId="2CAEAF77">
                  <w:pPr>
                    <w:adjustRightInd w:val="0"/>
                    <w:snapToGrid w:val="0"/>
                    <w:jc w:val="center"/>
                    <w:rPr>
                      <w:color w:val="auto"/>
                      <w:szCs w:val="21"/>
                    </w:rPr>
                  </w:pPr>
                  <w:r>
                    <w:rPr>
                      <w:color w:val="auto"/>
                      <w:szCs w:val="21"/>
                    </w:rPr>
                    <w:t>0.5</w:t>
                  </w:r>
                </w:p>
              </w:tc>
              <w:tc>
                <w:tcPr>
                  <w:tcW w:w="362" w:type="pct"/>
                  <w:tcBorders>
                    <w:top w:val="single" w:color="auto" w:sz="4" w:space="0"/>
                    <w:left w:val="single" w:color="auto" w:sz="4" w:space="0"/>
                    <w:bottom w:val="single" w:color="auto" w:sz="4" w:space="0"/>
                    <w:right w:val="single" w:color="auto" w:sz="4" w:space="0"/>
                  </w:tcBorders>
                  <w:vAlign w:val="center"/>
                </w:tcPr>
                <w:p w14:paraId="68A5817D">
                  <w:pPr>
                    <w:adjustRightInd w:val="0"/>
                    <w:snapToGrid w:val="0"/>
                    <w:jc w:val="center"/>
                    <w:rPr>
                      <w:color w:val="auto"/>
                      <w:szCs w:val="21"/>
                    </w:rPr>
                  </w:pPr>
                  <w:r>
                    <w:rPr>
                      <w:rFonts w:hint="eastAsia"/>
                      <w:bCs/>
                      <w:color w:val="auto"/>
                      <w:szCs w:val="21"/>
                    </w:rPr>
                    <w:t>一般固废暂存间</w:t>
                  </w:r>
                </w:p>
              </w:tc>
              <w:tc>
                <w:tcPr>
                  <w:tcW w:w="792" w:type="pct"/>
                  <w:tcBorders>
                    <w:top w:val="single" w:color="auto" w:sz="4" w:space="0"/>
                    <w:left w:val="single" w:color="auto" w:sz="4" w:space="0"/>
                    <w:bottom w:val="single" w:color="auto" w:sz="4" w:space="0"/>
                    <w:right w:val="single" w:color="auto" w:sz="4" w:space="0"/>
                  </w:tcBorders>
                  <w:vAlign w:val="center"/>
                </w:tcPr>
                <w:p w14:paraId="48B8A5B9">
                  <w:pPr>
                    <w:adjustRightInd w:val="0"/>
                    <w:snapToGrid w:val="0"/>
                    <w:jc w:val="center"/>
                    <w:rPr>
                      <w:color w:val="auto"/>
                      <w:szCs w:val="21"/>
                    </w:rPr>
                  </w:pPr>
                  <w:r>
                    <w:rPr>
                      <w:rFonts w:hint="eastAsia"/>
                      <w:bCs/>
                      <w:color w:val="auto"/>
                      <w:szCs w:val="21"/>
                    </w:rPr>
                    <w:t>暂存于一般固废暂存间，作为此路段填方材料</w:t>
                  </w:r>
                </w:p>
              </w:tc>
              <w:tc>
                <w:tcPr>
                  <w:tcW w:w="472" w:type="pct"/>
                  <w:tcBorders>
                    <w:top w:val="single" w:color="auto" w:sz="4" w:space="0"/>
                    <w:left w:val="single" w:color="auto" w:sz="4" w:space="0"/>
                    <w:bottom w:val="single" w:color="auto" w:sz="4" w:space="0"/>
                    <w:right w:val="single" w:color="auto" w:sz="4" w:space="0"/>
                  </w:tcBorders>
                  <w:vAlign w:val="center"/>
                </w:tcPr>
                <w:p w14:paraId="593EB9BD">
                  <w:pPr>
                    <w:adjustRightInd w:val="0"/>
                    <w:snapToGrid w:val="0"/>
                    <w:jc w:val="center"/>
                    <w:rPr>
                      <w:bCs/>
                      <w:color w:val="auto"/>
                      <w:szCs w:val="21"/>
                    </w:rPr>
                  </w:pPr>
                  <w:r>
                    <w:rPr>
                      <w:bCs/>
                      <w:color w:val="auto"/>
                      <w:szCs w:val="21"/>
                    </w:rPr>
                    <w:t>0.5</w:t>
                  </w:r>
                </w:p>
              </w:tc>
              <w:tc>
                <w:tcPr>
                  <w:tcW w:w="914" w:type="pct"/>
                  <w:vMerge w:val="continue"/>
                  <w:tcBorders>
                    <w:left w:val="single" w:color="auto" w:sz="4" w:space="0"/>
                    <w:bottom w:val="single" w:color="auto" w:sz="4" w:space="0"/>
                    <w:right w:val="nil"/>
                  </w:tcBorders>
                  <w:vAlign w:val="center"/>
                </w:tcPr>
                <w:p w14:paraId="59969BC9">
                  <w:pPr>
                    <w:adjustRightInd w:val="0"/>
                    <w:snapToGrid w:val="0"/>
                    <w:jc w:val="center"/>
                    <w:rPr>
                      <w:color w:val="auto"/>
                      <w:szCs w:val="21"/>
                    </w:rPr>
                  </w:pPr>
                </w:p>
              </w:tc>
            </w:tr>
            <w:tr w14:paraId="7B10DF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77" w:hRule="atLeast"/>
                <w:jc w:val="center"/>
              </w:trPr>
              <w:tc>
                <w:tcPr>
                  <w:tcW w:w="370" w:type="pct"/>
                  <w:tcBorders>
                    <w:top w:val="single" w:color="auto" w:sz="4" w:space="0"/>
                    <w:left w:val="nil"/>
                    <w:bottom w:val="single" w:color="auto" w:sz="12" w:space="0"/>
                    <w:right w:val="single" w:color="auto" w:sz="4" w:space="0"/>
                  </w:tcBorders>
                  <w:vAlign w:val="center"/>
                </w:tcPr>
                <w:p w14:paraId="653888D9">
                  <w:pPr>
                    <w:adjustRightInd w:val="0"/>
                    <w:snapToGrid w:val="0"/>
                    <w:jc w:val="center"/>
                    <w:rPr>
                      <w:bCs/>
                      <w:color w:val="auto"/>
                      <w:szCs w:val="21"/>
                    </w:rPr>
                  </w:pPr>
                  <w:r>
                    <w:rPr>
                      <w:bCs/>
                      <w:color w:val="auto"/>
                      <w:szCs w:val="21"/>
                    </w:rPr>
                    <w:t>员工</w:t>
                  </w:r>
                </w:p>
              </w:tc>
              <w:tc>
                <w:tcPr>
                  <w:tcW w:w="370" w:type="pct"/>
                  <w:tcBorders>
                    <w:top w:val="single" w:color="auto" w:sz="4" w:space="0"/>
                    <w:left w:val="single" w:color="auto" w:sz="4" w:space="0"/>
                    <w:bottom w:val="single" w:color="auto" w:sz="12" w:space="0"/>
                    <w:right w:val="single" w:color="auto" w:sz="4" w:space="0"/>
                  </w:tcBorders>
                  <w:vAlign w:val="center"/>
                </w:tcPr>
                <w:p w14:paraId="1CD5EDAF">
                  <w:pPr>
                    <w:adjustRightInd w:val="0"/>
                    <w:snapToGrid w:val="0"/>
                    <w:jc w:val="center"/>
                    <w:rPr>
                      <w:bCs/>
                      <w:color w:val="auto"/>
                      <w:szCs w:val="21"/>
                    </w:rPr>
                  </w:pPr>
                  <w:r>
                    <w:rPr>
                      <w:bCs/>
                      <w:color w:val="auto"/>
                      <w:szCs w:val="21"/>
                    </w:rPr>
                    <w:t>生活垃圾</w:t>
                  </w:r>
                </w:p>
              </w:tc>
              <w:tc>
                <w:tcPr>
                  <w:tcW w:w="272" w:type="pct"/>
                  <w:tcBorders>
                    <w:top w:val="single" w:color="auto" w:sz="4" w:space="0"/>
                    <w:left w:val="single" w:color="auto" w:sz="4" w:space="0"/>
                    <w:bottom w:val="single" w:color="auto" w:sz="12" w:space="0"/>
                    <w:right w:val="single" w:color="auto" w:sz="4" w:space="0"/>
                  </w:tcBorders>
                  <w:vAlign w:val="center"/>
                </w:tcPr>
                <w:p w14:paraId="1271B4AA">
                  <w:pPr>
                    <w:adjustRightInd w:val="0"/>
                    <w:snapToGrid w:val="0"/>
                    <w:jc w:val="center"/>
                    <w:rPr>
                      <w:bCs/>
                      <w:color w:val="auto"/>
                      <w:szCs w:val="21"/>
                    </w:rPr>
                  </w:pPr>
                  <w:r>
                    <w:rPr>
                      <w:bCs/>
                      <w:color w:val="auto"/>
                      <w:szCs w:val="21"/>
                    </w:rPr>
                    <w:t>生活</w:t>
                  </w:r>
                </w:p>
                <w:p w14:paraId="777BA9F7">
                  <w:pPr>
                    <w:adjustRightInd w:val="0"/>
                    <w:snapToGrid w:val="0"/>
                    <w:jc w:val="center"/>
                    <w:rPr>
                      <w:bCs/>
                      <w:color w:val="auto"/>
                      <w:szCs w:val="21"/>
                    </w:rPr>
                  </w:pPr>
                  <w:r>
                    <w:rPr>
                      <w:bCs/>
                      <w:color w:val="auto"/>
                      <w:szCs w:val="21"/>
                    </w:rPr>
                    <w:t>垃圾</w:t>
                  </w:r>
                </w:p>
              </w:tc>
              <w:tc>
                <w:tcPr>
                  <w:tcW w:w="249" w:type="pct"/>
                  <w:tcBorders>
                    <w:top w:val="single" w:color="auto" w:sz="4" w:space="0"/>
                    <w:left w:val="single" w:color="auto" w:sz="4" w:space="0"/>
                    <w:bottom w:val="single" w:color="auto" w:sz="12" w:space="0"/>
                    <w:right w:val="single" w:color="auto" w:sz="4" w:space="0"/>
                  </w:tcBorders>
                  <w:vAlign w:val="center"/>
                </w:tcPr>
                <w:p w14:paraId="16F6C84D">
                  <w:pPr>
                    <w:adjustRightInd w:val="0"/>
                    <w:snapToGrid w:val="0"/>
                    <w:jc w:val="center"/>
                    <w:rPr>
                      <w:bCs/>
                      <w:color w:val="auto"/>
                      <w:szCs w:val="21"/>
                    </w:rPr>
                  </w:pPr>
                  <w:r>
                    <w:rPr>
                      <w:bCs/>
                      <w:color w:val="auto"/>
                      <w:szCs w:val="21"/>
                    </w:rPr>
                    <w:t>固态</w:t>
                  </w:r>
                </w:p>
              </w:tc>
              <w:tc>
                <w:tcPr>
                  <w:tcW w:w="379" w:type="pct"/>
                  <w:tcBorders>
                    <w:top w:val="single" w:color="auto" w:sz="4" w:space="0"/>
                    <w:left w:val="single" w:color="auto" w:sz="4" w:space="0"/>
                    <w:bottom w:val="single" w:color="auto" w:sz="12" w:space="0"/>
                    <w:right w:val="single" w:color="auto" w:sz="2" w:space="0"/>
                  </w:tcBorders>
                  <w:vAlign w:val="center"/>
                </w:tcPr>
                <w:p w14:paraId="18249800">
                  <w:pPr>
                    <w:adjustRightInd w:val="0"/>
                    <w:snapToGrid w:val="0"/>
                    <w:jc w:val="center"/>
                    <w:rPr>
                      <w:bCs/>
                      <w:color w:val="auto"/>
                      <w:szCs w:val="21"/>
                    </w:rPr>
                  </w:pPr>
                  <w:r>
                    <w:rPr>
                      <w:bCs/>
                      <w:color w:val="auto"/>
                      <w:szCs w:val="21"/>
                    </w:rPr>
                    <w:t>无</w:t>
                  </w:r>
                </w:p>
              </w:tc>
              <w:tc>
                <w:tcPr>
                  <w:tcW w:w="310" w:type="pct"/>
                  <w:tcBorders>
                    <w:top w:val="single" w:color="auto" w:sz="4" w:space="0"/>
                    <w:left w:val="nil"/>
                    <w:bottom w:val="single" w:color="auto" w:sz="12" w:space="0"/>
                    <w:right w:val="single" w:color="auto" w:sz="4" w:space="0"/>
                  </w:tcBorders>
                  <w:vAlign w:val="center"/>
                </w:tcPr>
                <w:p w14:paraId="4251C9C9">
                  <w:pPr>
                    <w:adjustRightInd w:val="0"/>
                    <w:snapToGrid w:val="0"/>
                    <w:jc w:val="center"/>
                    <w:rPr>
                      <w:bCs/>
                      <w:color w:val="auto"/>
                      <w:szCs w:val="21"/>
                    </w:rPr>
                  </w:pPr>
                  <w:r>
                    <w:rPr>
                      <w:bCs/>
                      <w:color w:val="auto"/>
                      <w:szCs w:val="21"/>
                    </w:rPr>
                    <w:t>无</w:t>
                  </w:r>
                </w:p>
              </w:tc>
              <w:tc>
                <w:tcPr>
                  <w:tcW w:w="511" w:type="pct"/>
                  <w:tcBorders>
                    <w:top w:val="single" w:color="auto" w:sz="4" w:space="0"/>
                    <w:left w:val="single" w:color="auto" w:sz="2" w:space="0"/>
                    <w:bottom w:val="single" w:color="auto" w:sz="12" w:space="0"/>
                    <w:right w:val="single" w:color="auto" w:sz="2" w:space="0"/>
                  </w:tcBorders>
                  <w:vAlign w:val="center"/>
                </w:tcPr>
                <w:p w14:paraId="74C0EC0C">
                  <w:pPr>
                    <w:adjustRightInd w:val="0"/>
                    <w:snapToGrid w:val="0"/>
                    <w:jc w:val="center"/>
                    <w:rPr>
                      <w:bCs/>
                      <w:color w:val="auto"/>
                      <w:szCs w:val="21"/>
                    </w:rPr>
                  </w:pPr>
                  <w:r>
                    <w:rPr>
                      <w:rFonts w:hint="eastAsia"/>
                      <w:color w:val="auto"/>
                      <w:szCs w:val="21"/>
                    </w:rPr>
                    <w:t>0.74</w:t>
                  </w:r>
                </w:p>
              </w:tc>
              <w:tc>
                <w:tcPr>
                  <w:tcW w:w="362" w:type="pct"/>
                  <w:tcBorders>
                    <w:top w:val="single" w:color="auto" w:sz="4" w:space="0"/>
                    <w:left w:val="single" w:color="auto" w:sz="4" w:space="0"/>
                    <w:bottom w:val="single" w:color="auto" w:sz="12" w:space="0"/>
                    <w:right w:val="single" w:color="auto" w:sz="4" w:space="0"/>
                  </w:tcBorders>
                  <w:vAlign w:val="center"/>
                </w:tcPr>
                <w:p w14:paraId="6C1601DF">
                  <w:pPr>
                    <w:adjustRightInd w:val="0"/>
                    <w:snapToGrid w:val="0"/>
                    <w:jc w:val="center"/>
                    <w:rPr>
                      <w:color w:val="auto"/>
                      <w:szCs w:val="21"/>
                    </w:rPr>
                  </w:pPr>
                  <w:r>
                    <w:rPr>
                      <w:color w:val="auto"/>
                      <w:szCs w:val="21"/>
                    </w:rPr>
                    <w:t>垃圾桶</w:t>
                  </w:r>
                </w:p>
              </w:tc>
              <w:tc>
                <w:tcPr>
                  <w:tcW w:w="792" w:type="pct"/>
                  <w:tcBorders>
                    <w:top w:val="single" w:color="auto" w:sz="4" w:space="0"/>
                    <w:left w:val="single" w:color="auto" w:sz="4" w:space="0"/>
                    <w:bottom w:val="single" w:color="auto" w:sz="12" w:space="0"/>
                    <w:right w:val="single" w:color="auto" w:sz="4" w:space="0"/>
                  </w:tcBorders>
                  <w:vAlign w:val="center"/>
                </w:tcPr>
                <w:p w14:paraId="6DED8D17">
                  <w:pPr>
                    <w:adjustRightInd w:val="0"/>
                    <w:snapToGrid w:val="0"/>
                    <w:jc w:val="center"/>
                    <w:rPr>
                      <w:bCs/>
                      <w:color w:val="auto"/>
                      <w:szCs w:val="21"/>
                    </w:rPr>
                  </w:pPr>
                  <w:r>
                    <w:rPr>
                      <w:color w:val="auto"/>
                      <w:szCs w:val="21"/>
                    </w:rPr>
                    <w:t>统一收集于有盖垃圾箱收集，委托环卫部门定期处理。</w:t>
                  </w:r>
                </w:p>
              </w:tc>
              <w:tc>
                <w:tcPr>
                  <w:tcW w:w="472" w:type="pct"/>
                  <w:tcBorders>
                    <w:top w:val="single" w:color="auto" w:sz="4" w:space="0"/>
                    <w:left w:val="single" w:color="auto" w:sz="4" w:space="0"/>
                    <w:bottom w:val="single" w:color="auto" w:sz="12" w:space="0"/>
                    <w:right w:val="single" w:color="auto" w:sz="4" w:space="0"/>
                  </w:tcBorders>
                  <w:vAlign w:val="center"/>
                </w:tcPr>
                <w:p w14:paraId="70EFEAAB">
                  <w:pPr>
                    <w:adjustRightInd w:val="0"/>
                    <w:snapToGrid w:val="0"/>
                    <w:jc w:val="center"/>
                    <w:rPr>
                      <w:bCs/>
                      <w:color w:val="auto"/>
                      <w:szCs w:val="21"/>
                    </w:rPr>
                  </w:pPr>
                  <w:r>
                    <w:rPr>
                      <w:rFonts w:hint="eastAsia"/>
                      <w:color w:val="auto"/>
                      <w:szCs w:val="21"/>
                    </w:rPr>
                    <w:t>0.74</w:t>
                  </w:r>
                </w:p>
              </w:tc>
              <w:tc>
                <w:tcPr>
                  <w:tcW w:w="914" w:type="pct"/>
                  <w:tcBorders>
                    <w:top w:val="single" w:color="auto" w:sz="4" w:space="0"/>
                    <w:left w:val="single" w:color="auto" w:sz="4" w:space="0"/>
                    <w:bottom w:val="single" w:color="auto" w:sz="12" w:space="0"/>
                    <w:right w:val="nil"/>
                  </w:tcBorders>
                  <w:vAlign w:val="center"/>
                </w:tcPr>
                <w:p w14:paraId="5F25AA2A">
                  <w:pPr>
                    <w:adjustRightInd w:val="0"/>
                    <w:snapToGrid w:val="0"/>
                    <w:jc w:val="center"/>
                    <w:rPr>
                      <w:bCs/>
                      <w:color w:val="auto"/>
                      <w:szCs w:val="21"/>
                    </w:rPr>
                  </w:pPr>
                  <w:r>
                    <w:rPr>
                      <w:bCs/>
                      <w:color w:val="auto"/>
                      <w:szCs w:val="21"/>
                    </w:rPr>
                    <w:t>/</w:t>
                  </w:r>
                </w:p>
              </w:tc>
            </w:tr>
          </w:tbl>
          <w:p w14:paraId="508D56AC">
            <w:pPr>
              <w:adjustRightInd w:val="0"/>
              <w:snapToGrid w:val="0"/>
              <w:spacing w:before="240" w:line="360" w:lineRule="auto"/>
              <w:ind w:firstLine="480" w:firstLineChars="200"/>
              <w:jc w:val="left"/>
              <w:rPr>
                <w:bCs/>
                <w:color w:val="auto"/>
                <w:kern w:val="28"/>
                <w:sz w:val="24"/>
              </w:rPr>
            </w:pPr>
            <w:r>
              <w:rPr>
                <w:rFonts w:hint="eastAsia"/>
                <w:bCs/>
                <w:color w:val="auto"/>
                <w:kern w:val="28"/>
                <w:sz w:val="24"/>
              </w:rPr>
              <w:t>采取以上措施后，本项目运营期固体废物均得到合理处置</w:t>
            </w:r>
            <w:r>
              <w:rPr>
                <w:bCs/>
                <w:color w:val="auto"/>
                <w:kern w:val="28"/>
                <w:sz w:val="24"/>
              </w:rPr>
              <w:t>。</w:t>
            </w:r>
          </w:p>
          <w:p w14:paraId="1616EAC3">
            <w:pPr>
              <w:adjustRightInd w:val="0"/>
              <w:snapToGrid w:val="0"/>
              <w:spacing w:line="360" w:lineRule="auto"/>
              <w:jc w:val="left"/>
              <w:rPr>
                <w:bCs/>
                <w:color w:val="auto"/>
                <w:kern w:val="28"/>
                <w:sz w:val="24"/>
              </w:rPr>
            </w:pPr>
            <w:r>
              <w:rPr>
                <w:b/>
                <w:bCs/>
                <w:color w:val="auto"/>
                <w:sz w:val="24"/>
              </w:rPr>
              <w:t>5</w:t>
            </w:r>
            <w:r>
              <w:rPr>
                <w:rFonts w:hint="eastAsia"/>
                <w:b/>
                <w:bCs/>
                <w:color w:val="auto"/>
                <w:sz w:val="24"/>
                <w:lang w:val="en-US" w:eastAsia="zh-CN"/>
              </w:rPr>
              <w:t>.</w:t>
            </w:r>
            <w:r>
              <w:rPr>
                <w:b/>
                <w:bCs/>
                <w:color w:val="auto"/>
                <w:sz w:val="24"/>
              </w:rPr>
              <w:t>地下水及土壤环境</w:t>
            </w:r>
          </w:p>
          <w:p w14:paraId="068560A5">
            <w:pPr>
              <w:adjustRightInd w:val="0"/>
              <w:snapToGrid w:val="0"/>
              <w:spacing w:line="360" w:lineRule="auto"/>
              <w:ind w:firstLine="480" w:firstLineChars="200"/>
              <w:jc w:val="left"/>
              <w:rPr>
                <w:bCs/>
                <w:color w:val="auto"/>
                <w:kern w:val="28"/>
                <w:sz w:val="24"/>
              </w:rPr>
            </w:pPr>
            <w:r>
              <w:rPr>
                <w:bCs/>
                <w:color w:val="auto"/>
                <w:kern w:val="28"/>
                <w:sz w:val="24"/>
              </w:rPr>
              <w:t>项目营运</w:t>
            </w:r>
            <w:r>
              <w:rPr>
                <w:rFonts w:hint="eastAsia"/>
                <w:bCs/>
                <w:color w:val="auto"/>
                <w:kern w:val="28"/>
                <w:sz w:val="24"/>
                <w:lang w:eastAsia="zh-CN"/>
              </w:rPr>
              <w:t>期间</w:t>
            </w:r>
            <w:r>
              <w:rPr>
                <w:bCs/>
                <w:color w:val="auto"/>
                <w:kern w:val="28"/>
                <w:sz w:val="24"/>
              </w:rPr>
              <w:t>产生的大气污染物主要为生产过程中产生的粉尘。产生的生产废水沉淀后回用不外排，其主要污染物为悬浮物。生活污水经化粪池收集后，定期拉运至杭锦旗独贵塔拉镇污水处理厂处理。</w:t>
            </w:r>
          </w:p>
          <w:p w14:paraId="7799269C">
            <w:pPr>
              <w:adjustRightInd w:val="0"/>
              <w:snapToGrid w:val="0"/>
              <w:spacing w:line="360" w:lineRule="auto"/>
              <w:ind w:firstLine="480" w:firstLineChars="200"/>
              <w:jc w:val="left"/>
              <w:rPr>
                <w:bCs/>
                <w:color w:val="auto"/>
                <w:kern w:val="28"/>
                <w:sz w:val="24"/>
              </w:rPr>
            </w:pPr>
            <w:r>
              <w:rPr>
                <w:bCs/>
                <w:color w:val="auto"/>
                <w:kern w:val="28"/>
                <w:sz w:val="24"/>
              </w:rPr>
              <w:t>项目使用的原料组分不含有毒有害的重金属等污染物，不涉及建设用地土壤污染风险筛选值的其他污染物，因此本项目不涉及土壤影响因子。</w:t>
            </w:r>
          </w:p>
          <w:p w14:paraId="5C7BA5B8">
            <w:pPr>
              <w:adjustRightInd w:val="0"/>
              <w:snapToGrid w:val="0"/>
              <w:spacing w:line="360" w:lineRule="auto"/>
              <w:ind w:firstLine="480" w:firstLineChars="200"/>
              <w:jc w:val="left"/>
              <w:rPr>
                <w:color w:val="auto"/>
                <w:sz w:val="24"/>
                <w:lang w:bidi="ar"/>
              </w:rPr>
            </w:pPr>
            <w:r>
              <w:rPr>
                <w:color w:val="auto"/>
                <w:kern w:val="0"/>
                <w:sz w:val="24"/>
              </w:rPr>
              <w:t>项目产生的废水处理设施等防渗措施不到位或发生事故性排放，废水可能会下渗对地下水、土壤产生污染。项目对沉淀池、化粪池进行防渗等，</w:t>
            </w:r>
            <w:r>
              <w:rPr>
                <w:rFonts w:hint="eastAsia"/>
                <w:color w:val="auto"/>
                <w:kern w:val="0"/>
                <w:sz w:val="24"/>
              </w:rPr>
              <w:t>底部防渗等效黏土防渗层Mb</w:t>
            </w:r>
            <w:r>
              <w:rPr>
                <w:color w:val="auto"/>
                <w:kern w:val="0"/>
                <w:sz w:val="24"/>
              </w:rPr>
              <w:t>≥</w:t>
            </w:r>
            <w:r>
              <w:rPr>
                <w:rFonts w:hint="eastAsia"/>
                <w:color w:val="auto"/>
                <w:kern w:val="0"/>
                <w:sz w:val="24"/>
              </w:rPr>
              <w:t>1.5m，</w:t>
            </w:r>
            <w:r>
              <w:rPr>
                <w:color w:val="auto"/>
                <w:sz w:val="24"/>
              </w:rPr>
              <w:t>渗透系数≤10</w:t>
            </w:r>
            <w:r>
              <w:rPr>
                <w:color w:val="auto"/>
                <w:sz w:val="24"/>
                <w:vertAlign w:val="superscript"/>
              </w:rPr>
              <w:t>-7</w:t>
            </w:r>
            <w:r>
              <w:rPr>
                <w:color w:val="auto"/>
                <w:sz w:val="24"/>
              </w:rPr>
              <w:t>cm/s，对地下水及土壤环境影响较小。</w:t>
            </w:r>
          </w:p>
          <w:p w14:paraId="1A6224E1">
            <w:pPr>
              <w:pStyle w:val="25"/>
              <w:ind w:firstLine="0" w:firstLineChars="0"/>
              <w:rPr>
                <w:b/>
                <w:bCs/>
                <w:color w:val="auto"/>
              </w:rPr>
            </w:pPr>
            <w:r>
              <w:rPr>
                <w:rFonts w:hint="eastAsia"/>
                <w:b/>
                <w:bCs/>
                <w:color w:val="auto"/>
              </w:rPr>
              <w:t>6</w:t>
            </w:r>
            <w:r>
              <w:rPr>
                <w:rFonts w:hint="eastAsia"/>
                <w:b/>
                <w:bCs/>
                <w:color w:val="auto"/>
                <w:lang w:val="en-US" w:eastAsia="zh-CN"/>
              </w:rPr>
              <w:t>.</w:t>
            </w:r>
            <w:r>
              <w:rPr>
                <w:b/>
                <w:bCs/>
                <w:color w:val="auto"/>
              </w:rPr>
              <w:t>环境风险分析</w:t>
            </w:r>
          </w:p>
          <w:p w14:paraId="1F32D56B">
            <w:pPr>
              <w:widowControl/>
              <w:adjustRightInd w:val="0"/>
              <w:snapToGrid w:val="0"/>
              <w:spacing w:line="360" w:lineRule="auto"/>
              <w:ind w:firstLine="480" w:firstLineChars="200"/>
              <w:rPr>
                <w:color w:val="auto"/>
                <w:kern w:val="1"/>
                <w:sz w:val="24"/>
              </w:rPr>
            </w:pPr>
            <w:r>
              <w:rPr>
                <w:color w:val="auto"/>
                <w:kern w:val="1"/>
                <w:sz w:val="24"/>
              </w:rPr>
              <w:t>按照《建设项目环境风险评价技术导则》</w:t>
            </w:r>
            <w:r>
              <w:rPr>
                <w:rFonts w:hint="eastAsia"/>
                <w:color w:val="auto"/>
                <w:kern w:val="1"/>
                <w:sz w:val="24"/>
                <w:lang w:eastAsia="zh-CN"/>
              </w:rPr>
              <w:t>（</w:t>
            </w:r>
            <w:r>
              <w:rPr>
                <w:color w:val="auto"/>
                <w:kern w:val="1"/>
                <w:sz w:val="24"/>
              </w:rPr>
              <w:t>HI/T169-2018</w:t>
            </w:r>
            <w:r>
              <w:rPr>
                <w:rFonts w:hint="eastAsia"/>
                <w:color w:val="auto"/>
                <w:kern w:val="1"/>
                <w:sz w:val="24"/>
                <w:lang w:eastAsia="zh-CN"/>
              </w:rPr>
              <w:t>）</w:t>
            </w:r>
            <w:r>
              <w:rPr>
                <w:color w:val="auto"/>
                <w:kern w:val="1"/>
                <w:sz w:val="24"/>
              </w:rPr>
              <w:t>的要求，本项目不涉及环境风险物质，故不开展环境风险分析。</w:t>
            </w:r>
          </w:p>
          <w:p w14:paraId="4A1BF4B1">
            <w:pPr>
              <w:widowControl/>
              <w:adjustRightInd w:val="0"/>
              <w:snapToGrid w:val="0"/>
              <w:spacing w:line="360" w:lineRule="auto"/>
              <w:rPr>
                <w:color w:val="auto"/>
                <w:kern w:val="1"/>
                <w:sz w:val="24"/>
              </w:rPr>
            </w:pPr>
            <w:r>
              <w:rPr>
                <w:rFonts w:hint="eastAsia"/>
                <w:b/>
                <w:bCs/>
                <w:color w:val="auto"/>
                <w:sz w:val="24"/>
                <w:szCs w:val="32"/>
              </w:rPr>
              <w:t>7</w:t>
            </w:r>
            <w:r>
              <w:rPr>
                <w:rFonts w:hint="eastAsia"/>
                <w:b/>
                <w:bCs/>
                <w:color w:val="auto"/>
                <w:sz w:val="24"/>
                <w:szCs w:val="32"/>
                <w:lang w:val="en-US" w:eastAsia="zh-CN"/>
              </w:rPr>
              <w:t>.</w:t>
            </w:r>
            <w:r>
              <w:rPr>
                <w:b/>
                <w:bCs/>
                <w:color w:val="auto"/>
                <w:sz w:val="24"/>
                <w:szCs w:val="32"/>
              </w:rPr>
              <w:t>“三同时”验收清单</w:t>
            </w:r>
          </w:p>
          <w:p w14:paraId="107AD971">
            <w:pPr>
              <w:pStyle w:val="26"/>
              <w:rPr>
                <w:color w:val="auto"/>
              </w:rPr>
            </w:pPr>
            <w:r>
              <w:rPr>
                <w:color w:val="auto"/>
              </w:rPr>
              <w:t>表4-</w:t>
            </w:r>
            <w:r>
              <w:rPr>
                <w:rFonts w:hint="eastAsia"/>
                <w:color w:val="auto"/>
              </w:rPr>
              <w:t>7</w:t>
            </w:r>
            <w:r>
              <w:rPr>
                <w:color w:val="auto"/>
              </w:rPr>
              <w:t xml:space="preserve"> 建设项目“三同时”工程验收一览表</w:t>
            </w:r>
          </w:p>
          <w:tbl>
            <w:tblPr>
              <w:tblStyle w:val="16"/>
              <w:tblW w:w="822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77"/>
              <w:gridCol w:w="1549"/>
              <w:gridCol w:w="3414"/>
              <w:gridCol w:w="2782"/>
            </w:tblGrid>
            <w:tr w14:paraId="36DC82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Align w:val="center"/>
                </w:tcPr>
                <w:p w14:paraId="6FE97018">
                  <w:pPr>
                    <w:adjustRightInd w:val="0"/>
                    <w:snapToGrid w:val="0"/>
                    <w:jc w:val="center"/>
                    <w:rPr>
                      <w:b/>
                      <w:bCs/>
                      <w:color w:val="auto"/>
                    </w:rPr>
                  </w:pPr>
                  <w:r>
                    <w:rPr>
                      <w:b/>
                      <w:bCs/>
                      <w:color w:val="auto"/>
                    </w:rPr>
                    <w:t>类型</w:t>
                  </w:r>
                </w:p>
              </w:tc>
              <w:tc>
                <w:tcPr>
                  <w:tcW w:w="942" w:type="pct"/>
                  <w:vAlign w:val="center"/>
                </w:tcPr>
                <w:p w14:paraId="68FF94B1">
                  <w:pPr>
                    <w:adjustRightInd w:val="0"/>
                    <w:snapToGrid w:val="0"/>
                    <w:jc w:val="center"/>
                    <w:rPr>
                      <w:b/>
                      <w:bCs/>
                      <w:color w:val="auto"/>
                    </w:rPr>
                  </w:pPr>
                  <w:r>
                    <w:rPr>
                      <w:b/>
                      <w:bCs/>
                      <w:color w:val="auto"/>
                    </w:rPr>
                    <w:t>污染工序</w:t>
                  </w:r>
                </w:p>
              </w:tc>
              <w:tc>
                <w:tcPr>
                  <w:tcW w:w="2076" w:type="pct"/>
                  <w:vAlign w:val="center"/>
                </w:tcPr>
                <w:p w14:paraId="1ACD9E6C">
                  <w:pPr>
                    <w:adjustRightInd w:val="0"/>
                    <w:snapToGrid w:val="0"/>
                    <w:jc w:val="center"/>
                    <w:rPr>
                      <w:b/>
                      <w:bCs/>
                      <w:color w:val="auto"/>
                    </w:rPr>
                  </w:pPr>
                  <w:r>
                    <w:rPr>
                      <w:b/>
                      <w:bCs/>
                      <w:color w:val="auto"/>
                    </w:rPr>
                    <w:t>环保措施</w:t>
                  </w:r>
                </w:p>
              </w:tc>
              <w:tc>
                <w:tcPr>
                  <w:tcW w:w="1692" w:type="pct"/>
                  <w:vAlign w:val="center"/>
                </w:tcPr>
                <w:p w14:paraId="68AF2988">
                  <w:pPr>
                    <w:adjustRightInd w:val="0"/>
                    <w:snapToGrid w:val="0"/>
                    <w:jc w:val="center"/>
                    <w:rPr>
                      <w:b/>
                      <w:bCs/>
                      <w:color w:val="auto"/>
                    </w:rPr>
                  </w:pPr>
                  <w:r>
                    <w:rPr>
                      <w:b/>
                      <w:bCs/>
                      <w:color w:val="auto"/>
                    </w:rPr>
                    <w:t>验收标准</w:t>
                  </w:r>
                </w:p>
              </w:tc>
            </w:tr>
            <w:tr w14:paraId="7340D3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restart"/>
                  <w:vAlign w:val="center"/>
                </w:tcPr>
                <w:p w14:paraId="798448E9">
                  <w:pPr>
                    <w:adjustRightInd w:val="0"/>
                    <w:snapToGrid w:val="0"/>
                    <w:jc w:val="center"/>
                    <w:rPr>
                      <w:b/>
                      <w:bCs/>
                      <w:color w:val="auto"/>
                    </w:rPr>
                  </w:pPr>
                  <w:r>
                    <w:rPr>
                      <w:color w:val="auto"/>
                    </w:rPr>
                    <w:t>废气</w:t>
                  </w:r>
                </w:p>
              </w:tc>
              <w:tc>
                <w:tcPr>
                  <w:tcW w:w="942" w:type="pct"/>
                  <w:vAlign w:val="center"/>
                </w:tcPr>
                <w:p w14:paraId="335DD6FF">
                  <w:pPr>
                    <w:adjustRightInd w:val="0"/>
                    <w:snapToGrid w:val="0"/>
                    <w:jc w:val="center"/>
                    <w:rPr>
                      <w:b/>
                      <w:bCs/>
                      <w:color w:val="auto"/>
                    </w:rPr>
                  </w:pPr>
                  <w:r>
                    <w:rPr>
                      <w:rFonts w:hint="eastAsia"/>
                      <w:color w:val="auto"/>
                      <w:kern w:val="0"/>
                      <w:szCs w:val="21"/>
                    </w:rPr>
                    <w:t>粉料筒仓呼吸孔粉尘</w:t>
                  </w:r>
                </w:p>
              </w:tc>
              <w:tc>
                <w:tcPr>
                  <w:tcW w:w="2076" w:type="pct"/>
                  <w:vAlign w:val="center"/>
                </w:tcPr>
                <w:p w14:paraId="4B856BDE">
                  <w:pPr>
                    <w:adjustRightInd w:val="0"/>
                    <w:snapToGrid w:val="0"/>
                    <w:jc w:val="center"/>
                    <w:rPr>
                      <w:b/>
                      <w:bCs/>
                      <w:color w:val="auto"/>
                    </w:rPr>
                  </w:pPr>
                  <w:r>
                    <w:rPr>
                      <w:rFonts w:hint="eastAsia"/>
                      <w:bCs/>
                      <w:color w:val="auto"/>
                      <w:kern w:val="0"/>
                      <w:szCs w:val="21"/>
                    </w:rPr>
                    <w:t>3个筒仓顶自带仓顶袋式除尘器+15m排气口</w:t>
                  </w:r>
                </w:p>
              </w:tc>
              <w:tc>
                <w:tcPr>
                  <w:tcW w:w="1692" w:type="pct"/>
                  <w:vAlign w:val="center"/>
                </w:tcPr>
                <w:p w14:paraId="5A0CA11C">
                  <w:pPr>
                    <w:adjustRightInd w:val="0"/>
                    <w:snapToGrid w:val="0"/>
                    <w:jc w:val="center"/>
                    <w:rPr>
                      <w:b/>
                      <w:bCs/>
                      <w:color w:val="auto"/>
                    </w:rPr>
                  </w:pPr>
                  <w:r>
                    <w:rPr>
                      <w:bCs/>
                      <w:color w:val="auto"/>
                    </w:rPr>
                    <w:t>《水泥工业大气污染物排放标准》</w:t>
                  </w:r>
                  <w:r>
                    <w:rPr>
                      <w:rFonts w:hint="eastAsia"/>
                      <w:bCs/>
                      <w:color w:val="auto"/>
                      <w:lang w:eastAsia="zh-CN"/>
                    </w:rPr>
                    <w:t>（</w:t>
                  </w:r>
                  <w:r>
                    <w:rPr>
                      <w:bCs/>
                      <w:color w:val="auto"/>
                    </w:rPr>
                    <w:t>GB4915-2013</w:t>
                  </w:r>
                  <w:r>
                    <w:rPr>
                      <w:rFonts w:hint="eastAsia"/>
                      <w:bCs/>
                      <w:color w:val="auto"/>
                      <w:lang w:eastAsia="zh-CN"/>
                    </w:rPr>
                    <w:t>）</w:t>
                  </w:r>
                  <w:r>
                    <w:rPr>
                      <w:bCs/>
                      <w:color w:val="auto"/>
                    </w:rPr>
                    <w:t>表</w:t>
                  </w:r>
                  <w:r>
                    <w:rPr>
                      <w:rFonts w:hint="eastAsia"/>
                      <w:bCs/>
                      <w:color w:val="auto"/>
                    </w:rPr>
                    <w:t>1</w:t>
                  </w:r>
                  <w:r>
                    <w:rPr>
                      <w:bCs/>
                      <w:color w:val="auto"/>
                    </w:rPr>
                    <w:t>标准</w:t>
                  </w:r>
                </w:p>
              </w:tc>
            </w:tr>
            <w:tr w14:paraId="134F38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3445AF0B">
                  <w:pPr>
                    <w:adjustRightInd w:val="0"/>
                    <w:snapToGrid w:val="0"/>
                    <w:jc w:val="center"/>
                    <w:rPr>
                      <w:color w:val="auto"/>
                    </w:rPr>
                  </w:pPr>
                </w:p>
              </w:tc>
              <w:tc>
                <w:tcPr>
                  <w:tcW w:w="942" w:type="pct"/>
                  <w:vAlign w:val="center"/>
                </w:tcPr>
                <w:p w14:paraId="4C976CC6">
                  <w:pPr>
                    <w:numPr>
                      <w:ilvl w:val="3"/>
                      <w:numId w:val="0"/>
                    </w:numPr>
                    <w:tabs>
                      <w:tab w:val="left" w:pos="851"/>
                      <w:tab w:val="left" w:pos="2880"/>
                    </w:tabs>
                    <w:adjustRightInd w:val="0"/>
                    <w:snapToGrid w:val="0"/>
                    <w:jc w:val="center"/>
                    <w:rPr>
                      <w:bCs/>
                      <w:color w:val="auto"/>
                      <w:kern w:val="0"/>
                      <w:szCs w:val="21"/>
                    </w:rPr>
                  </w:pPr>
                  <w:r>
                    <w:rPr>
                      <w:color w:val="auto"/>
                      <w:szCs w:val="21"/>
                    </w:rPr>
                    <w:t>原料堆存装卸粉尘</w:t>
                  </w:r>
                </w:p>
              </w:tc>
              <w:tc>
                <w:tcPr>
                  <w:tcW w:w="2076" w:type="pct"/>
                  <w:vAlign w:val="center"/>
                </w:tcPr>
                <w:p w14:paraId="3A694309">
                  <w:pPr>
                    <w:numPr>
                      <w:ilvl w:val="3"/>
                      <w:numId w:val="0"/>
                    </w:numPr>
                    <w:tabs>
                      <w:tab w:val="left" w:pos="851"/>
                      <w:tab w:val="left" w:pos="2880"/>
                    </w:tabs>
                    <w:adjustRightInd w:val="0"/>
                    <w:snapToGrid w:val="0"/>
                    <w:jc w:val="center"/>
                    <w:rPr>
                      <w:bCs/>
                      <w:color w:val="auto"/>
                      <w:kern w:val="0"/>
                      <w:szCs w:val="21"/>
                    </w:rPr>
                  </w:pPr>
                  <w:r>
                    <w:rPr>
                      <w:color w:val="auto"/>
                      <w:szCs w:val="21"/>
                    </w:rPr>
                    <w:t>砂石料场</w:t>
                  </w:r>
                  <w:r>
                    <w:rPr>
                      <w:rFonts w:hint="eastAsia"/>
                      <w:color w:val="auto"/>
                      <w:szCs w:val="21"/>
                    </w:rPr>
                    <w:t>三面挡墙、</w:t>
                  </w:r>
                  <w:r>
                    <w:rPr>
                      <w:color w:val="auto"/>
                      <w:szCs w:val="21"/>
                    </w:rPr>
                    <w:t>密目网苫盖、洒水抑尘</w:t>
                  </w:r>
                </w:p>
              </w:tc>
              <w:tc>
                <w:tcPr>
                  <w:tcW w:w="1692" w:type="pct"/>
                  <w:vMerge w:val="restart"/>
                  <w:vAlign w:val="center"/>
                </w:tcPr>
                <w:p w14:paraId="74426C2E">
                  <w:pPr>
                    <w:adjustRightInd w:val="0"/>
                    <w:snapToGrid w:val="0"/>
                    <w:jc w:val="center"/>
                    <w:rPr>
                      <w:color w:val="auto"/>
                    </w:rPr>
                  </w:pPr>
                  <w:r>
                    <w:rPr>
                      <w:bCs/>
                      <w:color w:val="auto"/>
                    </w:rPr>
                    <w:t>《水泥工业大气污染物排放标准》</w:t>
                  </w:r>
                  <w:r>
                    <w:rPr>
                      <w:rFonts w:hint="eastAsia"/>
                      <w:bCs/>
                      <w:color w:val="auto"/>
                      <w:lang w:eastAsia="zh-CN"/>
                    </w:rPr>
                    <w:t>（</w:t>
                  </w:r>
                  <w:r>
                    <w:rPr>
                      <w:bCs/>
                      <w:color w:val="auto"/>
                    </w:rPr>
                    <w:t>GB4915-2013</w:t>
                  </w:r>
                  <w:r>
                    <w:rPr>
                      <w:rFonts w:hint="eastAsia"/>
                      <w:bCs/>
                      <w:color w:val="auto"/>
                      <w:lang w:eastAsia="zh-CN"/>
                    </w:rPr>
                    <w:t>）</w:t>
                  </w:r>
                  <w:r>
                    <w:rPr>
                      <w:bCs/>
                      <w:color w:val="auto"/>
                    </w:rPr>
                    <w:t>表</w:t>
                  </w:r>
                  <w:r>
                    <w:rPr>
                      <w:rFonts w:hint="eastAsia"/>
                      <w:bCs/>
                      <w:color w:val="auto"/>
                    </w:rPr>
                    <w:t>3</w:t>
                  </w:r>
                  <w:r>
                    <w:rPr>
                      <w:bCs/>
                      <w:color w:val="auto"/>
                    </w:rPr>
                    <w:t>标准</w:t>
                  </w:r>
                </w:p>
              </w:tc>
            </w:tr>
            <w:tr w14:paraId="44E9E5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34C56F6D">
                  <w:pPr>
                    <w:adjustRightInd w:val="0"/>
                    <w:snapToGrid w:val="0"/>
                    <w:jc w:val="center"/>
                    <w:rPr>
                      <w:color w:val="auto"/>
                    </w:rPr>
                  </w:pPr>
                </w:p>
              </w:tc>
              <w:tc>
                <w:tcPr>
                  <w:tcW w:w="942" w:type="pct"/>
                  <w:vAlign w:val="center"/>
                </w:tcPr>
                <w:p w14:paraId="35B7CB3F">
                  <w:pPr>
                    <w:numPr>
                      <w:ilvl w:val="3"/>
                      <w:numId w:val="0"/>
                    </w:numPr>
                    <w:tabs>
                      <w:tab w:val="left" w:pos="851"/>
                      <w:tab w:val="left" w:pos="2880"/>
                    </w:tabs>
                    <w:adjustRightInd w:val="0"/>
                    <w:snapToGrid w:val="0"/>
                    <w:jc w:val="center"/>
                    <w:rPr>
                      <w:bCs/>
                      <w:color w:val="auto"/>
                      <w:kern w:val="0"/>
                      <w:szCs w:val="21"/>
                    </w:rPr>
                  </w:pPr>
                  <w:r>
                    <w:rPr>
                      <w:color w:val="auto"/>
                      <w:szCs w:val="21"/>
                    </w:rPr>
                    <w:t>配料输送粉尘</w:t>
                  </w:r>
                </w:p>
              </w:tc>
              <w:tc>
                <w:tcPr>
                  <w:tcW w:w="2076" w:type="pct"/>
                  <w:vAlign w:val="center"/>
                </w:tcPr>
                <w:p w14:paraId="20BD1A97">
                  <w:pPr>
                    <w:numPr>
                      <w:ilvl w:val="3"/>
                      <w:numId w:val="0"/>
                    </w:numPr>
                    <w:tabs>
                      <w:tab w:val="left" w:pos="851"/>
                      <w:tab w:val="left" w:pos="2880"/>
                    </w:tabs>
                    <w:adjustRightInd w:val="0"/>
                    <w:snapToGrid w:val="0"/>
                    <w:jc w:val="center"/>
                    <w:rPr>
                      <w:bCs/>
                      <w:color w:val="auto"/>
                      <w:kern w:val="0"/>
                      <w:szCs w:val="21"/>
                    </w:rPr>
                  </w:pPr>
                  <w:r>
                    <w:rPr>
                      <w:color w:val="auto"/>
                      <w:szCs w:val="21"/>
                    </w:rPr>
                    <w:t>输送带密闭，上料口三面封闭，上方设置喷淋装置</w:t>
                  </w:r>
                </w:p>
              </w:tc>
              <w:tc>
                <w:tcPr>
                  <w:tcW w:w="1692" w:type="pct"/>
                  <w:vMerge w:val="continue"/>
                  <w:vAlign w:val="center"/>
                </w:tcPr>
                <w:p w14:paraId="40B587C9">
                  <w:pPr>
                    <w:adjustRightInd w:val="0"/>
                    <w:snapToGrid w:val="0"/>
                    <w:jc w:val="center"/>
                    <w:rPr>
                      <w:bCs/>
                      <w:color w:val="auto"/>
                    </w:rPr>
                  </w:pPr>
                </w:p>
              </w:tc>
            </w:tr>
            <w:tr w14:paraId="3E56EC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05813BEF">
                  <w:pPr>
                    <w:adjustRightInd w:val="0"/>
                    <w:snapToGrid w:val="0"/>
                    <w:jc w:val="center"/>
                    <w:rPr>
                      <w:color w:val="auto"/>
                    </w:rPr>
                  </w:pPr>
                </w:p>
              </w:tc>
              <w:tc>
                <w:tcPr>
                  <w:tcW w:w="942" w:type="pct"/>
                  <w:vAlign w:val="center"/>
                </w:tcPr>
                <w:p w14:paraId="1DBB5554">
                  <w:pPr>
                    <w:numPr>
                      <w:ilvl w:val="3"/>
                      <w:numId w:val="0"/>
                    </w:numPr>
                    <w:tabs>
                      <w:tab w:val="left" w:pos="851"/>
                      <w:tab w:val="left" w:pos="2880"/>
                    </w:tabs>
                    <w:adjustRightInd w:val="0"/>
                    <w:snapToGrid w:val="0"/>
                    <w:jc w:val="center"/>
                    <w:rPr>
                      <w:color w:val="auto"/>
                      <w:kern w:val="0"/>
                      <w:szCs w:val="21"/>
                    </w:rPr>
                  </w:pPr>
                  <w:r>
                    <w:rPr>
                      <w:color w:val="auto"/>
                      <w:szCs w:val="21"/>
                    </w:rPr>
                    <w:t>物料混合搅拌粉尘</w:t>
                  </w:r>
                </w:p>
              </w:tc>
              <w:tc>
                <w:tcPr>
                  <w:tcW w:w="2076" w:type="pct"/>
                  <w:vAlign w:val="center"/>
                </w:tcPr>
                <w:p w14:paraId="6471F457">
                  <w:pPr>
                    <w:numPr>
                      <w:ilvl w:val="3"/>
                      <w:numId w:val="0"/>
                    </w:numPr>
                    <w:tabs>
                      <w:tab w:val="left" w:pos="851"/>
                      <w:tab w:val="left" w:pos="2880"/>
                    </w:tabs>
                    <w:adjustRightInd w:val="0"/>
                    <w:snapToGrid w:val="0"/>
                    <w:jc w:val="center"/>
                    <w:rPr>
                      <w:bCs/>
                      <w:color w:val="auto"/>
                      <w:kern w:val="0"/>
                      <w:szCs w:val="21"/>
                    </w:rPr>
                  </w:pPr>
                  <w:r>
                    <w:rPr>
                      <w:rFonts w:hint="eastAsia"/>
                      <w:color w:val="auto"/>
                      <w:szCs w:val="21"/>
                    </w:rPr>
                    <w:t>2套</w:t>
                  </w:r>
                  <w:r>
                    <w:rPr>
                      <w:color w:val="auto"/>
                      <w:szCs w:val="21"/>
                    </w:rPr>
                    <w:t>封闭式搅拌机组</w:t>
                  </w:r>
                  <w:r>
                    <w:rPr>
                      <w:rFonts w:hint="eastAsia"/>
                      <w:color w:val="auto"/>
                      <w:szCs w:val="21"/>
                    </w:rPr>
                    <w:t>+</w:t>
                  </w:r>
                  <w:r>
                    <w:rPr>
                      <w:rFonts w:hint="eastAsia"/>
                      <w:bCs/>
                      <w:color w:val="auto"/>
                      <w:szCs w:val="21"/>
                    </w:rPr>
                    <w:t>脉冲布袋除尘器</w:t>
                  </w:r>
                </w:p>
              </w:tc>
              <w:tc>
                <w:tcPr>
                  <w:tcW w:w="1692" w:type="pct"/>
                  <w:vMerge w:val="continue"/>
                  <w:vAlign w:val="center"/>
                </w:tcPr>
                <w:p w14:paraId="3F8D09C5">
                  <w:pPr>
                    <w:adjustRightInd w:val="0"/>
                    <w:snapToGrid w:val="0"/>
                    <w:jc w:val="center"/>
                    <w:rPr>
                      <w:bCs/>
                      <w:color w:val="auto"/>
                    </w:rPr>
                  </w:pPr>
                </w:p>
              </w:tc>
            </w:tr>
            <w:tr w14:paraId="19C366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19B77217">
                  <w:pPr>
                    <w:adjustRightInd w:val="0"/>
                    <w:snapToGrid w:val="0"/>
                    <w:jc w:val="center"/>
                    <w:rPr>
                      <w:color w:val="auto"/>
                    </w:rPr>
                  </w:pPr>
                </w:p>
              </w:tc>
              <w:tc>
                <w:tcPr>
                  <w:tcW w:w="942" w:type="pct"/>
                  <w:vAlign w:val="center"/>
                </w:tcPr>
                <w:p w14:paraId="7179DC14">
                  <w:pPr>
                    <w:numPr>
                      <w:ilvl w:val="3"/>
                      <w:numId w:val="0"/>
                    </w:numPr>
                    <w:tabs>
                      <w:tab w:val="left" w:pos="851"/>
                      <w:tab w:val="left" w:pos="2880"/>
                    </w:tabs>
                    <w:adjustRightInd w:val="0"/>
                    <w:snapToGrid w:val="0"/>
                    <w:jc w:val="center"/>
                    <w:rPr>
                      <w:color w:val="auto"/>
                      <w:kern w:val="0"/>
                      <w:szCs w:val="21"/>
                    </w:rPr>
                  </w:pPr>
                  <w:r>
                    <w:rPr>
                      <w:rFonts w:hint="eastAsia"/>
                      <w:color w:val="auto"/>
                      <w:kern w:val="0"/>
                      <w:szCs w:val="21"/>
                    </w:rPr>
                    <w:t>运输车辆起尘</w:t>
                  </w:r>
                </w:p>
              </w:tc>
              <w:tc>
                <w:tcPr>
                  <w:tcW w:w="2076" w:type="pct"/>
                  <w:vAlign w:val="center"/>
                </w:tcPr>
                <w:p w14:paraId="698E44DD">
                  <w:pPr>
                    <w:numPr>
                      <w:ilvl w:val="3"/>
                      <w:numId w:val="0"/>
                    </w:numPr>
                    <w:tabs>
                      <w:tab w:val="left" w:pos="851"/>
                      <w:tab w:val="left" w:pos="2880"/>
                    </w:tabs>
                    <w:adjustRightInd w:val="0"/>
                    <w:snapToGrid w:val="0"/>
                    <w:jc w:val="center"/>
                    <w:rPr>
                      <w:bCs/>
                      <w:color w:val="auto"/>
                      <w:kern w:val="0"/>
                      <w:szCs w:val="21"/>
                    </w:rPr>
                  </w:pPr>
                  <w:r>
                    <w:rPr>
                      <w:rFonts w:hint="eastAsia"/>
                      <w:bCs/>
                      <w:color w:val="auto"/>
                      <w:kern w:val="0"/>
                      <w:szCs w:val="21"/>
                    </w:rPr>
                    <w:t>厂区内定时洒水</w:t>
                  </w:r>
                </w:p>
              </w:tc>
              <w:tc>
                <w:tcPr>
                  <w:tcW w:w="1692" w:type="pct"/>
                  <w:vMerge w:val="continue"/>
                  <w:vAlign w:val="center"/>
                </w:tcPr>
                <w:p w14:paraId="39C08554">
                  <w:pPr>
                    <w:adjustRightInd w:val="0"/>
                    <w:snapToGrid w:val="0"/>
                    <w:jc w:val="center"/>
                    <w:rPr>
                      <w:bCs/>
                      <w:color w:val="auto"/>
                    </w:rPr>
                  </w:pPr>
                </w:p>
              </w:tc>
            </w:tr>
            <w:tr w14:paraId="656C04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restart"/>
                  <w:vAlign w:val="center"/>
                </w:tcPr>
                <w:p w14:paraId="14B93F2B">
                  <w:pPr>
                    <w:adjustRightInd w:val="0"/>
                    <w:snapToGrid w:val="0"/>
                    <w:jc w:val="center"/>
                    <w:rPr>
                      <w:color w:val="auto"/>
                    </w:rPr>
                  </w:pPr>
                  <w:r>
                    <w:rPr>
                      <w:color w:val="auto"/>
                    </w:rPr>
                    <w:t>废水</w:t>
                  </w:r>
                </w:p>
              </w:tc>
              <w:tc>
                <w:tcPr>
                  <w:tcW w:w="942" w:type="pct"/>
                  <w:vAlign w:val="center"/>
                </w:tcPr>
                <w:p w14:paraId="0ECE67C0">
                  <w:pPr>
                    <w:numPr>
                      <w:ilvl w:val="3"/>
                      <w:numId w:val="0"/>
                    </w:numPr>
                    <w:tabs>
                      <w:tab w:val="left" w:pos="851"/>
                      <w:tab w:val="left" w:pos="2880"/>
                    </w:tabs>
                    <w:adjustRightInd w:val="0"/>
                    <w:snapToGrid w:val="0"/>
                    <w:jc w:val="center"/>
                    <w:rPr>
                      <w:color w:val="auto"/>
                      <w:kern w:val="0"/>
                      <w:szCs w:val="21"/>
                    </w:rPr>
                  </w:pPr>
                  <w:r>
                    <w:rPr>
                      <w:rFonts w:hint="eastAsia"/>
                      <w:color w:val="auto"/>
                      <w:kern w:val="0"/>
                      <w:szCs w:val="21"/>
                      <w:lang w:val="pt-BR"/>
                    </w:rPr>
                    <w:t>生产废水</w:t>
                  </w:r>
                </w:p>
              </w:tc>
              <w:tc>
                <w:tcPr>
                  <w:tcW w:w="2076" w:type="pct"/>
                  <w:vAlign w:val="center"/>
                </w:tcPr>
                <w:p w14:paraId="41E59101">
                  <w:pPr>
                    <w:numPr>
                      <w:ilvl w:val="3"/>
                      <w:numId w:val="0"/>
                    </w:numPr>
                    <w:tabs>
                      <w:tab w:val="left" w:pos="851"/>
                      <w:tab w:val="left" w:pos="2880"/>
                    </w:tabs>
                    <w:adjustRightInd w:val="0"/>
                    <w:snapToGrid w:val="0"/>
                    <w:jc w:val="center"/>
                    <w:rPr>
                      <w:bCs/>
                      <w:color w:val="auto"/>
                      <w:kern w:val="0"/>
                      <w:szCs w:val="21"/>
                    </w:rPr>
                  </w:pPr>
                  <w:r>
                    <w:rPr>
                      <w:bCs/>
                      <w:color w:val="auto"/>
                      <w:szCs w:val="21"/>
                    </w:rPr>
                    <w:t>搅拌机、运输车辆</w:t>
                  </w:r>
                  <w:r>
                    <w:rPr>
                      <w:rFonts w:hint="eastAsia"/>
                      <w:bCs/>
                      <w:color w:val="auto"/>
                      <w:szCs w:val="21"/>
                    </w:rPr>
                    <w:t>清洗废水</w:t>
                  </w:r>
                  <w:r>
                    <w:rPr>
                      <w:bCs/>
                      <w:color w:val="auto"/>
                      <w:szCs w:val="21"/>
                    </w:rPr>
                    <w:t>、</w:t>
                  </w:r>
                  <w:r>
                    <w:rPr>
                      <w:rFonts w:hint="eastAsia"/>
                      <w:bCs/>
                      <w:color w:val="auto"/>
                      <w:szCs w:val="21"/>
                    </w:rPr>
                    <w:t>实验室</w:t>
                  </w:r>
                  <w:r>
                    <w:rPr>
                      <w:bCs/>
                      <w:color w:val="auto"/>
                      <w:szCs w:val="21"/>
                    </w:rPr>
                    <w:t>废水经收集三级沉淀处理后回用于</w:t>
                  </w:r>
                  <w:r>
                    <w:rPr>
                      <w:rFonts w:hint="eastAsia"/>
                      <w:bCs/>
                      <w:color w:val="auto"/>
                      <w:szCs w:val="21"/>
                    </w:rPr>
                    <w:t>混凝土搅拌混合</w:t>
                  </w:r>
                  <w:r>
                    <w:rPr>
                      <w:bCs/>
                      <w:color w:val="auto"/>
                      <w:szCs w:val="21"/>
                    </w:rPr>
                    <w:t>，不外排</w:t>
                  </w:r>
                  <w:r>
                    <w:rPr>
                      <w:rFonts w:hint="eastAsia"/>
                      <w:bCs/>
                      <w:color w:val="auto"/>
                      <w:szCs w:val="21"/>
                    </w:rPr>
                    <w:t>。</w:t>
                  </w:r>
                  <w:r>
                    <w:rPr>
                      <w:bCs/>
                      <w:color w:val="auto"/>
                      <w:szCs w:val="21"/>
                    </w:rPr>
                    <w:t>厂区设置了三级沉淀池</w:t>
                  </w:r>
                  <w:r>
                    <w:rPr>
                      <w:rFonts w:hint="eastAsia"/>
                      <w:bCs/>
                      <w:color w:val="auto"/>
                      <w:szCs w:val="21"/>
                    </w:rPr>
                    <w:t>，三级</w:t>
                  </w:r>
                  <w:r>
                    <w:rPr>
                      <w:bCs/>
                      <w:color w:val="auto"/>
                      <w:szCs w:val="21"/>
                    </w:rPr>
                    <w:t>沉淀池为混凝土结构</w:t>
                  </w:r>
                  <w:r>
                    <w:rPr>
                      <w:rFonts w:hint="eastAsia"/>
                      <w:bCs/>
                      <w:color w:val="auto"/>
                      <w:szCs w:val="21"/>
                    </w:rPr>
                    <w:t>，</w:t>
                  </w:r>
                  <w:r>
                    <w:rPr>
                      <w:bCs/>
                      <w:color w:val="auto"/>
                      <w:szCs w:val="21"/>
                    </w:rPr>
                    <w:t>容积</w:t>
                  </w:r>
                  <w:r>
                    <w:rPr>
                      <w:rFonts w:hint="eastAsia"/>
                      <w:bCs/>
                      <w:color w:val="auto"/>
                      <w:szCs w:val="21"/>
                    </w:rPr>
                    <w:t>为20m</w:t>
                  </w:r>
                  <w:r>
                    <w:rPr>
                      <w:rFonts w:hint="eastAsia"/>
                      <w:bCs/>
                      <w:color w:val="auto"/>
                      <w:szCs w:val="21"/>
                      <w:vertAlign w:val="superscript"/>
                    </w:rPr>
                    <w:t>3</w:t>
                  </w:r>
                  <w:r>
                    <w:rPr>
                      <w:rFonts w:hint="eastAsia"/>
                      <w:bCs/>
                      <w:color w:val="auto"/>
                      <w:szCs w:val="21"/>
                    </w:rPr>
                    <w:t>。</w:t>
                  </w:r>
                </w:p>
              </w:tc>
              <w:tc>
                <w:tcPr>
                  <w:tcW w:w="1692" w:type="pct"/>
                  <w:vAlign w:val="center"/>
                </w:tcPr>
                <w:p w14:paraId="23CA0E3B">
                  <w:pPr>
                    <w:adjustRightInd w:val="0"/>
                    <w:snapToGrid w:val="0"/>
                    <w:jc w:val="center"/>
                    <w:rPr>
                      <w:color w:val="auto"/>
                    </w:rPr>
                  </w:pPr>
                  <w:r>
                    <w:rPr>
                      <w:rFonts w:hint="eastAsia"/>
                      <w:color w:val="auto"/>
                    </w:rPr>
                    <w:t>/</w:t>
                  </w:r>
                </w:p>
              </w:tc>
            </w:tr>
            <w:tr w14:paraId="47357F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26B4F772">
                  <w:pPr>
                    <w:adjustRightInd w:val="0"/>
                    <w:snapToGrid w:val="0"/>
                    <w:jc w:val="center"/>
                    <w:rPr>
                      <w:color w:val="auto"/>
                    </w:rPr>
                  </w:pPr>
                </w:p>
              </w:tc>
              <w:tc>
                <w:tcPr>
                  <w:tcW w:w="942" w:type="pct"/>
                  <w:vAlign w:val="center"/>
                </w:tcPr>
                <w:p w14:paraId="489EDA33">
                  <w:pPr>
                    <w:numPr>
                      <w:ilvl w:val="3"/>
                      <w:numId w:val="0"/>
                    </w:numPr>
                    <w:tabs>
                      <w:tab w:val="left" w:pos="851"/>
                      <w:tab w:val="left" w:pos="2880"/>
                    </w:tabs>
                    <w:adjustRightInd w:val="0"/>
                    <w:snapToGrid w:val="0"/>
                    <w:jc w:val="center"/>
                    <w:rPr>
                      <w:bCs/>
                      <w:color w:val="auto"/>
                      <w:kern w:val="0"/>
                      <w:szCs w:val="21"/>
                    </w:rPr>
                  </w:pPr>
                  <w:r>
                    <w:rPr>
                      <w:bCs/>
                      <w:color w:val="auto"/>
                      <w:kern w:val="0"/>
                      <w:szCs w:val="21"/>
                    </w:rPr>
                    <w:t>生活污水</w:t>
                  </w:r>
                </w:p>
              </w:tc>
              <w:tc>
                <w:tcPr>
                  <w:tcW w:w="2076" w:type="pct"/>
                  <w:vAlign w:val="center"/>
                </w:tcPr>
                <w:p w14:paraId="7DFDFBB4">
                  <w:pPr>
                    <w:numPr>
                      <w:ilvl w:val="3"/>
                      <w:numId w:val="0"/>
                    </w:numPr>
                    <w:tabs>
                      <w:tab w:val="left" w:pos="851"/>
                      <w:tab w:val="left" w:pos="2880"/>
                    </w:tabs>
                    <w:adjustRightInd w:val="0"/>
                    <w:snapToGrid w:val="0"/>
                    <w:jc w:val="center"/>
                    <w:rPr>
                      <w:bCs/>
                      <w:color w:val="auto"/>
                      <w:kern w:val="0"/>
                      <w:szCs w:val="21"/>
                    </w:rPr>
                  </w:pPr>
                  <w:r>
                    <w:rPr>
                      <w:bCs/>
                      <w:color w:val="auto"/>
                      <w:kern w:val="0"/>
                      <w:szCs w:val="21"/>
                    </w:rPr>
                    <w:t>生活污水暂存于化粪池</w:t>
                  </w:r>
                  <w:r>
                    <w:rPr>
                      <w:rFonts w:hint="eastAsia"/>
                      <w:bCs/>
                      <w:color w:val="auto"/>
                      <w:kern w:val="0"/>
                      <w:szCs w:val="21"/>
                      <w:lang w:eastAsia="zh-CN"/>
                    </w:rPr>
                    <w:t>（</w:t>
                  </w:r>
                  <w:r>
                    <w:rPr>
                      <w:rFonts w:hint="eastAsia"/>
                      <w:bCs/>
                      <w:color w:val="auto"/>
                      <w:kern w:val="0"/>
                      <w:szCs w:val="21"/>
                    </w:rPr>
                    <w:t>5</w:t>
                  </w:r>
                  <w:r>
                    <w:rPr>
                      <w:bCs/>
                      <w:color w:val="auto"/>
                      <w:kern w:val="0"/>
                      <w:szCs w:val="21"/>
                    </w:rPr>
                    <w:t>m</w:t>
                  </w:r>
                  <w:r>
                    <w:rPr>
                      <w:bCs/>
                      <w:color w:val="auto"/>
                      <w:kern w:val="0"/>
                      <w:szCs w:val="21"/>
                      <w:vertAlign w:val="superscript"/>
                    </w:rPr>
                    <w:t>3</w:t>
                  </w:r>
                  <w:r>
                    <w:rPr>
                      <w:rFonts w:hint="eastAsia"/>
                      <w:bCs/>
                      <w:color w:val="auto"/>
                      <w:kern w:val="0"/>
                      <w:szCs w:val="21"/>
                      <w:lang w:eastAsia="zh-CN"/>
                    </w:rPr>
                    <w:t>）</w:t>
                  </w:r>
                  <w:r>
                    <w:rPr>
                      <w:bCs/>
                      <w:color w:val="auto"/>
                      <w:kern w:val="0"/>
                      <w:szCs w:val="21"/>
                    </w:rPr>
                    <w:t>内，定期拉运至杭锦旗独贵塔拉镇污水处理厂处理</w:t>
                  </w:r>
                </w:p>
              </w:tc>
              <w:tc>
                <w:tcPr>
                  <w:tcW w:w="1692" w:type="pct"/>
                  <w:vAlign w:val="center"/>
                </w:tcPr>
                <w:p w14:paraId="0CB21452">
                  <w:pPr>
                    <w:adjustRightInd w:val="0"/>
                    <w:snapToGrid w:val="0"/>
                    <w:jc w:val="center"/>
                    <w:rPr>
                      <w:color w:val="auto"/>
                    </w:rPr>
                  </w:pPr>
                  <w:r>
                    <w:rPr>
                      <w:color w:val="auto"/>
                    </w:rPr>
                    <w:t>《污水综合排放标准》</w:t>
                  </w:r>
                  <w:r>
                    <w:rPr>
                      <w:rFonts w:hint="eastAsia"/>
                      <w:color w:val="auto"/>
                      <w:lang w:eastAsia="zh-CN"/>
                    </w:rPr>
                    <w:t>（</w:t>
                  </w:r>
                  <w:r>
                    <w:rPr>
                      <w:color w:val="auto"/>
                    </w:rPr>
                    <w:t>GB8978-1996</w:t>
                  </w:r>
                  <w:r>
                    <w:rPr>
                      <w:rFonts w:hint="eastAsia"/>
                      <w:color w:val="auto"/>
                      <w:lang w:eastAsia="zh-CN"/>
                    </w:rPr>
                    <w:t>）</w:t>
                  </w:r>
                  <w:r>
                    <w:rPr>
                      <w:color w:val="auto"/>
                    </w:rPr>
                    <w:t>表4三级标准</w:t>
                  </w:r>
                </w:p>
              </w:tc>
            </w:tr>
            <w:tr w14:paraId="648D28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Align w:val="center"/>
                </w:tcPr>
                <w:p w14:paraId="7A6A4E94">
                  <w:pPr>
                    <w:adjustRightInd w:val="0"/>
                    <w:snapToGrid w:val="0"/>
                    <w:rPr>
                      <w:color w:val="auto"/>
                    </w:rPr>
                  </w:pPr>
                  <w:r>
                    <w:rPr>
                      <w:color w:val="auto"/>
                    </w:rPr>
                    <w:t>噪声</w:t>
                  </w:r>
                </w:p>
              </w:tc>
              <w:tc>
                <w:tcPr>
                  <w:tcW w:w="942" w:type="pct"/>
                  <w:vAlign w:val="center"/>
                </w:tcPr>
                <w:p w14:paraId="3E17801B">
                  <w:pPr>
                    <w:adjustRightInd w:val="0"/>
                    <w:snapToGrid w:val="0"/>
                    <w:jc w:val="center"/>
                    <w:rPr>
                      <w:color w:val="auto"/>
                    </w:rPr>
                  </w:pPr>
                  <w:r>
                    <w:rPr>
                      <w:color w:val="auto"/>
                    </w:rPr>
                    <w:t>生产设备</w:t>
                  </w:r>
                </w:p>
              </w:tc>
              <w:tc>
                <w:tcPr>
                  <w:tcW w:w="2076" w:type="pct"/>
                  <w:vAlign w:val="center"/>
                </w:tcPr>
                <w:p w14:paraId="4A4038A0">
                  <w:pPr>
                    <w:adjustRightInd w:val="0"/>
                    <w:snapToGrid w:val="0"/>
                    <w:jc w:val="center"/>
                    <w:rPr>
                      <w:color w:val="auto"/>
                    </w:rPr>
                  </w:pPr>
                  <w:r>
                    <w:rPr>
                      <w:color w:val="auto"/>
                    </w:rPr>
                    <w:t>选用低噪声设备，基础减震、并经距离衰减后可有效减轻噪声对外界的影响</w:t>
                  </w:r>
                </w:p>
              </w:tc>
              <w:tc>
                <w:tcPr>
                  <w:tcW w:w="1692" w:type="pct"/>
                  <w:vAlign w:val="center"/>
                </w:tcPr>
                <w:p w14:paraId="252C3590">
                  <w:pPr>
                    <w:adjustRightInd w:val="0"/>
                    <w:snapToGrid w:val="0"/>
                    <w:jc w:val="center"/>
                    <w:rPr>
                      <w:color w:val="auto"/>
                    </w:rPr>
                  </w:pPr>
                  <w:r>
                    <w:rPr>
                      <w:color w:val="auto"/>
                    </w:rPr>
                    <w:t>《工业企业厂界环境噪声排放标准》</w:t>
                  </w:r>
                  <w:r>
                    <w:rPr>
                      <w:rFonts w:hint="eastAsia"/>
                      <w:color w:val="auto"/>
                      <w:lang w:eastAsia="zh-CN"/>
                    </w:rPr>
                    <w:t>（</w:t>
                  </w:r>
                  <w:r>
                    <w:rPr>
                      <w:color w:val="auto"/>
                    </w:rPr>
                    <w:t>GB12348-2008</w:t>
                  </w:r>
                  <w:r>
                    <w:rPr>
                      <w:rFonts w:hint="eastAsia"/>
                      <w:color w:val="auto"/>
                      <w:lang w:eastAsia="zh-CN"/>
                    </w:rPr>
                    <w:t>）</w:t>
                  </w:r>
                  <w:r>
                    <w:rPr>
                      <w:rFonts w:hint="eastAsia"/>
                      <w:color w:val="auto"/>
                    </w:rPr>
                    <w:t>1类标准</w:t>
                  </w:r>
                  <w:r>
                    <w:rPr>
                      <w:color w:val="auto"/>
                    </w:rPr>
                    <w:t>要求</w:t>
                  </w:r>
                </w:p>
              </w:tc>
            </w:tr>
            <w:tr w14:paraId="537B94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restart"/>
                  <w:vAlign w:val="center"/>
                </w:tcPr>
                <w:p w14:paraId="14B642AB">
                  <w:pPr>
                    <w:adjustRightInd w:val="0"/>
                    <w:snapToGrid w:val="0"/>
                    <w:rPr>
                      <w:color w:val="auto"/>
                    </w:rPr>
                  </w:pPr>
                  <w:r>
                    <w:rPr>
                      <w:color w:val="auto"/>
                    </w:rPr>
                    <w:t>固废</w:t>
                  </w:r>
                </w:p>
              </w:tc>
              <w:tc>
                <w:tcPr>
                  <w:tcW w:w="942" w:type="pct"/>
                  <w:vAlign w:val="center"/>
                </w:tcPr>
                <w:p w14:paraId="1E2924FD">
                  <w:pPr>
                    <w:numPr>
                      <w:ilvl w:val="3"/>
                      <w:numId w:val="0"/>
                    </w:numPr>
                    <w:tabs>
                      <w:tab w:val="left" w:pos="851"/>
                      <w:tab w:val="left" w:pos="2880"/>
                    </w:tabs>
                    <w:adjustRightInd w:val="0"/>
                    <w:snapToGrid w:val="0"/>
                    <w:jc w:val="center"/>
                    <w:rPr>
                      <w:bCs/>
                      <w:color w:val="auto"/>
                      <w:kern w:val="0"/>
                      <w:szCs w:val="21"/>
                    </w:rPr>
                  </w:pPr>
                  <w:r>
                    <w:rPr>
                      <w:bCs/>
                      <w:color w:val="auto"/>
                      <w:szCs w:val="21"/>
                    </w:rPr>
                    <w:t>除尘灰</w:t>
                  </w:r>
                </w:p>
              </w:tc>
              <w:tc>
                <w:tcPr>
                  <w:tcW w:w="2076" w:type="pct"/>
                  <w:vMerge w:val="restart"/>
                  <w:vAlign w:val="center"/>
                </w:tcPr>
                <w:p w14:paraId="712F0D79">
                  <w:pPr>
                    <w:numPr>
                      <w:ilvl w:val="3"/>
                      <w:numId w:val="0"/>
                    </w:numPr>
                    <w:tabs>
                      <w:tab w:val="left" w:pos="851"/>
                      <w:tab w:val="left" w:pos="2880"/>
                    </w:tabs>
                    <w:adjustRightInd w:val="0"/>
                    <w:snapToGrid w:val="0"/>
                    <w:jc w:val="center"/>
                    <w:rPr>
                      <w:bCs/>
                      <w:color w:val="auto"/>
                      <w:kern w:val="0"/>
                      <w:szCs w:val="21"/>
                    </w:rPr>
                  </w:pPr>
                  <w:r>
                    <w:rPr>
                      <w:rFonts w:hint="eastAsia"/>
                      <w:color w:val="auto"/>
                      <w:szCs w:val="21"/>
                    </w:rPr>
                    <w:t>集中收集后</w:t>
                  </w:r>
                  <w:r>
                    <w:rPr>
                      <w:color w:val="auto"/>
                      <w:szCs w:val="21"/>
                    </w:rPr>
                    <w:t>回用于生产</w:t>
                  </w:r>
                </w:p>
              </w:tc>
              <w:tc>
                <w:tcPr>
                  <w:tcW w:w="1692" w:type="pct"/>
                  <w:vMerge w:val="restart"/>
                  <w:vAlign w:val="center"/>
                </w:tcPr>
                <w:p w14:paraId="5A797747">
                  <w:pPr>
                    <w:adjustRightInd w:val="0"/>
                    <w:snapToGrid w:val="0"/>
                    <w:jc w:val="center"/>
                    <w:rPr>
                      <w:color w:val="auto"/>
                    </w:rPr>
                  </w:pPr>
                  <w:r>
                    <w:rPr>
                      <w:bCs/>
                      <w:color w:val="auto"/>
                    </w:rPr>
                    <w:t>《一般工业固体废物贮存和填埋污染控制标准》(GB18599-2020)</w:t>
                  </w:r>
                </w:p>
              </w:tc>
            </w:tr>
            <w:tr w14:paraId="022CDF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45659F68">
                  <w:pPr>
                    <w:adjustRightInd w:val="0"/>
                    <w:snapToGrid w:val="0"/>
                    <w:rPr>
                      <w:color w:val="auto"/>
                    </w:rPr>
                  </w:pPr>
                </w:p>
              </w:tc>
              <w:tc>
                <w:tcPr>
                  <w:tcW w:w="942" w:type="pct"/>
                  <w:vAlign w:val="center"/>
                </w:tcPr>
                <w:p w14:paraId="60733172">
                  <w:pPr>
                    <w:numPr>
                      <w:ilvl w:val="3"/>
                      <w:numId w:val="0"/>
                    </w:numPr>
                    <w:tabs>
                      <w:tab w:val="left" w:pos="851"/>
                      <w:tab w:val="left" w:pos="2880"/>
                    </w:tabs>
                    <w:adjustRightInd w:val="0"/>
                    <w:snapToGrid w:val="0"/>
                    <w:jc w:val="center"/>
                    <w:rPr>
                      <w:bCs/>
                      <w:color w:val="auto"/>
                      <w:kern w:val="0"/>
                      <w:szCs w:val="21"/>
                    </w:rPr>
                  </w:pPr>
                  <w:r>
                    <w:rPr>
                      <w:bCs/>
                      <w:color w:val="auto"/>
                      <w:szCs w:val="21"/>
                    </w:rPr>
                    <w:t>沉淀池沉渣</w:t>
                  </w:r>
                </w:p>
              </w:tc>
              <w:tc>
                <w:tcPr>
                  <w:tcW w:w="2076" w:type="pct"/>
                  <w:vMerge w:val="continue"/>
                  <w:vAlign w:val="center"/>
                </w:tcPr>
                <w:p w14:paraId="63A365C5">
                  <w:pPr>
                    <w:numPr>
                      <w:ilvl w:val="3"/>
                      <w:numId w:val="0"/>
                    </w:numPr>
                    <w:tabs>
                      <w:tab w:val="left" w:pos="851"/>
                      <w:tab w:val="left" w:pos="2880"/>
                    </w:tabs>
                    <w:adjustRightInd w:val="0"/>
                    <w:snapToGrid w:val="0"/>
                    <w:jc w:val="center"/>
                    <w:rPr>
                      <w:bCs/>
                      <w:color w:val="auto"/>
                      <w:kern w:val="0"/>
                      <w:szCs w:val="21"/>
                    </w:rPr>
                  </w:pPr>
                </w:p>
              </w:tc>
              <w:tc>
                <w:tcPr>
                  <w:tcW w:w="1692" w:type="pct"/>
                  <w:vMerge w:val="continue"/>
                  <w:vAlign w:val="center"/>
                </w:tcPr>
                <w:p w14:paraId="36E95175">
                  <w:pPr>
                    <w:adjustRightInd w:val="0"/>
                    <w:snapToGrid w:val="0"/>
                    <w:jc w:val="center"/>
                    <w:rPr>
                      <w:bCs/>
                      <w:color w:val="auto"/>
                    </w:rPr>
                  </w:pPr>
                </w:p>
              </w:tc>
            </w:tr>
            <w:tr w14:paraId="381A60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28A0FD17">
                  <w:pPr>
                    <w:adjustRightInd w:val="0"/>
                    <w:snapToGrid w:val="0"/>
                    <w:rPr>
                      <w:color w:val="auto"/>
                    </w:rPr>
                  </w:pPr>
                </w:p>
              </w:tc>
              <w:tc>
                <w:tcPr>
                  <w:tcW w:w="942" w:type="pct"/>
                  <w:vAlign w:val="center"/>
                </w:tcPr>
                <w:p w14:paraId="70CB05F2">
                  <w:pPr>
                    <w:numPr>
                      <w:ilvl w:val="3"/>
                      <w:numId w:val="0"/>
                    </w:numPr>
                    <w:tabs>
                      <w:tab w:val="left" w:pos="851"/>
                      <w:tab w:val="left" w:pos="2880"/>
                    </w:tabs>
                    <w:adjustRightInd w:val="0"/>
                    <w:snapToGrid w:val="0"/>
                    <w:jc w:val="center"/>
                    <w:rPr>
                      <w:bCs/>
                      <w:color w:val="auto"/>
                      <w:szCs w:val="21"/>
                    </w:rPr>
                  </w:pPr>
                  <w:r>
                    <w:rPr>
                      <w:bCs/>
                      <w:color w:val="auto"/>
                      <w:szCs w:val="21"/>
                    </w:rPr>
                    <w:t>实验室混凝土块</w:t>
                  </w:r>
                </w:p>
              </w:tc>
              <w:tc>
                <w:tcPr>
                  <w:tcW w:w="2076" w:type="pct"/>
                  <w:vAlign w:val="center"/>
                </w:tcPr>
                <w:p w14:paraId="7C657955">
                  <w:pPr>
                    <w:numPr>
                      <w:ilvl w:val="3"/>
                      <w:numId w:val="0"/>
                    </w:numPr>
                    <w:tabs>
                      <w:tab w:val="left" w:pos="851"/>
                      <w:tab w:val="left" w:pos="2880"/>
                    </w:tabs>
                    <w:adjustRightInd w:val="0"/>
                    <w:snapToGrid w:val="0"/>
                    <w:jc w:val="center"/>
                    <w:rPr>
                      <w:bCs/>
                      <w:color w:val="auto"/>
                      <w:kern w:val="0"/>
                      <w:szCs w:val="21"/>
                    </w:rPr>
                  </w:pPr>
                  <w:r>
                    <w:rPr>
                      <w:rFonts w:hint="eastAsia"/>
                      <w:bCs/>
                      <w:color w:val="auto"/>
                      <w:kern w:val="0"/>
                      <w:szCs w:val="21"/>
                    </w:rPr>
                    <w:t>暂存于一般固废暂存间，作为此路段填方材料</w:t>
                  </w:r>
                </w:p>
              </w:tc>
              <w:tc>
                <w:tcPr>
                  <w:tcW w:w="1692" w:type="pct"/>
                  <w:vMerge w:val="continue"/>
                  <w:vAlign w:val="center"/>
                </w:tcPr>
                <w:p w14:paraId="3497C50F">
                  <w:pPr>
                    <w:adjustRightInd w:val="0"/>
                    <w:snapToGrid w:val="0"/>
                    <w:jc w:val="center"/>
                    <w:rPr>
                      <w:bCs/>
                      <w:color w:val="auto"/>
                    </w:rPr>
                  </w:pPr>
                </w:p>
              </w:tc>
            </w:tr>
            <w:tr w14:paraId="146FB9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1E6122B3">
                  <w:pPr>
                    <w:adjustRightInd w:val="0"/>
                    <w:snapToGrid w:val="0"/>
                    <w:rPr>
                      <w:color w:val="auto"/>
                    </w:rPr>
                  </w:pPr>
                </w:p>
              </w:tc>
              <w:tc>
                <w:tcPr>
                  <w:tcW w:w="942" w:type="pct"/>
                  <w:vAlign w:val="center"/>
                </w:tcPr>
                <w:p w14:paraId="59F54D5F">
                  <w:pPr>
                    <w:numPr>
                      <w:ilvl w:val="3"/>
                      <w:numId w:val="0"/>
                    </w:numPr>
                    <w:tabs>
                      <w:tab w:val="left" w:pos="851"/>
                      <w:tab w:val="left" w:pos="2880"/>
                    </w:tabs>
                    <w:adjustRightInd w:val="0"/>
                    <w:snapToGrid w:val="0"/>
                    <w:jc w:val="center"/>
                    <w:rPr>
                      <w:bCs/>
                      <w:color w:val="auto"/>
                      <w:kern w:val="0"/>
                      <w:szCs w:val="21"/>
                    </w:rPr>
                  </w:pPr>
                  <w:r>
                    <w:rPr>
                      <w:bCs/>
                      <w:color w:val="auto"/>
                      <w:szCs w:val="21"/>
                    </w:rPr>
                    <w:t>生活垃圾</w:t>
                  </w:r>
                </w:p>
              </w:tc>
              <w:tc>
                <w:tcPr>
                  <w:tcW w:w="2076" w:type="pct"/>
                  <w:vAlign w:val="center"/>
                </w:tcPr>
                <w:p w14:paraId="141DF243">
                  <w:pPr>
                    <w:numPr>
                      <w:ilvl w:val="3"/>
                      <w:numId w:val="0"/>
                    </w:numPr>
                    <w:tabs>
                      <w:tab w:val="left" w:pos="851"/>
                      <w:tab w:val="left" w:pos="2880"/>
                    </w:tabs>
                    <w:adjustRightInd w:val="0"/>
                    <w:snapToGrid w:val="0"/>
                    <w:jc w:val="center"/>
                    <w:rPr>
                      <w:bCs/>
                      <w:color w:val="auto"/>
                      <w:kern w:val="0"/>
                      <w:szCs w:val="21"/>
                    </w:rPr>
                  </w:pPr>
                  <w:r>
                    <w:rPr>
                      <w:color w:val="auto"/>
                      <w:szCs w:val="21"/>
                    </w:rPr>
                    <w:t>统一收集于有盖垃圾箱收集，委托环卫部门定期处理。</w:t>
                  </w:r>
                </w:p>
              </w:tc>
              <w:tc>
                <w:tcPr>
                  <w:tcW w:w="1692" w:type="pct"/>
                  <w:vAlign w:val="center"/>
                </w:tcPr>
                <w:p w14:paraId="0DAAD1BC">
                  <w:pPr>
                    <w:adjustRightInd w:val="0"/>
                    <w:snapToGrid w:val="0"/>
                    <w:jc w:val="center"/>
                    <w:rPr>
                      <w:color w:val="auto"/>
                    </w:rPr>
                  </w:pPr>
                  <w:r>
                    <w:rPr>
                      <w:rFonts w:hint="eastAsia"/>
                      <w:color w:val="auto"/>
                    </w:rPr>
                    <w:t>-</w:t>
                  </w:r>
                </w:p>
              </w:tc>
            </w:tr>
          </w:tbl>
          <w:p w14:paraId="32553665">
            <w:pPr>
              <w:widowControl/>
              <w:adjustRightInd w:val="0"/>
              <w:snapToGrid w:val="0"/>
              <w:spacing w:line="360" w:lineRule="auto"/>
              <w:ind w:firstLine="480" w:firstLineChars="200"/>
              <w:rPr>
                <w:color w:val="auto"/>
                <w:kern w:val="1"/>
                <w:sz w:val="24"/>
              </w:rPr>
            </w:pPr>
          </w:p>
          <w:p w14:paraId="442F1EFC">
            <w:pPr>
              <w:spacing w:line="360" w:lineRule="auto"/>
              <w:rPr>
                <w:b/>
                <w:bCs/>
                <w:color w:val="auto"/>
                <w:sz w:val="24"/>
              </w:rPr>
            </w:pPr>
            <w:r>
              <w:rPr>
                <w:rFonts w:hint="eastAsia"/>
                <w:b/>
                <w:bCs/>
                <w:color w:val="auto"/>
                <w:sz w:val="24"/>
              </w:rPr>
              <w:t>8</w:t>
            </w:r>
            <w:r>
              <w:rPr>
                <w:rFonts w:hint="eastAsia"/>
                <w:b/>
                <w:bCs/>
                <w:color w:val="auto"/>
                <w:sz w:val="24"/>
                <w:lang w:val="en-US" w:eastAsia="zh-CN"/>
              </w:rPr>
              <w:t>.</w:t>
            </w:r>
            <w:r>
              <w:rPr>
                <w:b/>
                <w:bCs/>
                <w:color w:val="auto"/>
                <w:sz w:val="24"/>
              </w:rPr>
              <w:t>环保治理措施及投资估算</w:t>
            </w:r>
          </w:p>
          <w:p w14:paraId="1E00C563">
            <w:pPr>
              <w:snapToGrid w:val="0"/>
              <w:spacing w:line="360" w:lineRule="auto"/>
              <w:ind w:firstLine="480" w:firstLineChars="200"/>
              <w:jc w:val="left"/>
              <w:rPr>
                <w:color w:val="auto"/>
                <w:sz w:val="24"/>
              </w:rPr>
            </w:pPr>
            <w:r>
              <w:rPr>
                <w:color w:val="auto"/>
                <w:sz w:val="24"/>
              </w:rPr>
              <w:t>本期工程环保投资</w:t>
            </w:r>
            <w:r>
              <w:rPr>
                <w:rFonts w:hint="eastAsia"/>
                <w:color w:val="auto"/>
                <w:sz w:val="24"/>
              </w:rPr>
              <w:t>6.55</w:t>
            </w:r>
            <w:r>
              <w:rPr>
                <w:color w:val="auto"/>
                <w:sz w:val="24"/>
              </w:rPr>
              <w:t>万元，占总投资</w:t>
            </w:r>
            <w:r>
              <w:rPr>
                <w:rFonts w:hint="eastAsia"/>
                <w:color w:val="auto"/>
                <w:sz w:val="24"/>
              </w:rPr>
              <w:t>50</w:t>
            </w:r>
            <w:r>
              <w:rPr>
                <w:color w:val="auto"/>
                <w:sz w:val="24"/>
              </w:rPr>
              <w:t>万元的</w:t>
            </w:r>
            <w:r>
              <w:rPr>
                <w:rFonts w:hint="eastAsia"/>
                <w:color w:val="auto"/>
                <w:sz w:val="24"/>
              </w:rPr>
              <w:t>13.1</w:t>
            </w:r>
            <w:r>
              <w:rPr>
                <w:color w:val="auto"/>
                <w:sz w:val="24"/>
              </w:rPr>
              <w:t>%。环保投资估算明细见表4-</w:t>
            </w:r>
            <w:r>
              <w:rPr>
                <w:rFonts w:hint="eastAsia"/>
                <w:color w:val="auto"/>
                <w:sz w:val="24"/>
              </w:rPr>
              <w:t>8</w:t>
            </w:r>
            <w:r>
              <w:rPr>
                <w:color w:val="auto"/>
                <w:sz w:val="24"/>
              </w:rPr>
              <w:t>。</w:t>
            </w:r>
          </w:p>
          <w:p w14:paraId="49554228">
            <w:pPr>
              <w:pStyle w:val="23"/>
              <w:jc w:val="right"/>
              <w:rPr>
                <w:color w:val="auto"/>
              </w:rPr>
            </w:pPr>
            <w:r>
              <w:rPr>
                <w:color w:val="auto"/>
              </w:rPr>
              <w:t>表4-</w:t>
            </w:r>
            <w:r>
              <w:rPr>
                <w:rFonts w:hint="eastAsia"/>
                <w:color w:val="auto"/>
              </w:rPr>
              <w:t>8</w:t>
            </w:r>
            <w:r>
              <w:rPr>
                <w:color w:val="auto"/>
              </w:rPr>
              <w:t xml:space="preserve"> 拟建工程环境保护投资估算一览表     单位：万元</w:t>
            </w:r>
          </w:p>
          <w:tbl>
            <w:tblPr>
              <w:tblStyle w:val="16"/>
              <w:tblW w:w="0" w:type="auto"/>
              <w:tblInd w:w="0" w:type="dxa"/>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0" w:type="dxa"/>
                <w:bottom w:w="0" w:type="dxa"/>
                <w:right w:w="0" w:type="dxa"/>
              </w:tblCellMar>
            </w:tblPr>
            <w:tblGrid>
              <w:gridCol w:w="574"/>
              <w:gridCol w:w="2274"/>
              <w:gridCol w:w="4433"/>
              <w:gridCol w:w="941"/>
            </w:tblGrid>
            <w:tr w14:paraId="665C04B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shd w:val="clear" w:color="auto" w:fill="auto"/>
                  <w:vAlign w:val="center"/>
                </w:tcPr>
                <w:p w14:paraId="55168174">
                  <w:pPr>
                    <w:widowControl/>
                    <w:jc w:val="center"/>
                    <w:rPr>
                      <w:color w:val="auto"/>
                      <w:kern w:val="0"/>
                      <w:szCs w:val="21"/>
                    </w:rPr>
                  </w:pPr>
                  <w:bookmarkStart w:id="9" w:name="_Hlk81554350"/>
                  <w:r>
                    <w:rPr>
                      <w:color w:val="auto"/>
                      <w:kern w:val="0"/>
                      <w:szCs w:val="21"/>
                    </w:rPr>
                    <w:t>类别</w:t>
                  </w:r>
                </w:p>
              </w:tc>
              <w:tc>
                <w:tcPr>
                  <w:tcW w:w="2274" w:type="dxa"/>
                  <w:shd w:val="clear" w:color="auto" w:fill="auto"/>
                  <w:vAlign w:val="center"/>
                </w:tcPr>
                <w:p w14:paraId="57269CF7">
                  <w:pPr>
                    <w:widowControl/>
                    <w:jc w:val="center"/>
                    <w:rPr>
                      <w:color w:val="auto"/>
                      <w:kern w:val="0"/>
                      <w:szCs w:val="21"/>
                    </w:rPr>
                  </w:pPr>
                  <w:r>
                    <w:rPr>
                      <w:color w:val="auto"/>
                      <w:kern w:val="0"/>
                      <w:szCs w:val="21"/>
                    </w:rPr>
                    <w:t>污染源</w:t>
                  </w:r>
                </w:p>
              </w:tc>
              <w:tc>
                <w:tcPr>
                  <w:tcW w:w="4433" w:type="dxa"/>
                  <w:shd w:val="clear" w:color="auto" w:fill="auto"/>
                  <w:vAlign w:val="center"/>
                </w:tcPr>
                <w:p w14:paraId="71AE3CC4">
                  <w:pPr>
                    <w:widowControl/>
                    <w:jc w:val="center"/>
                    <w:rPr>
                      <w:color w:val="auto"/>
                      <w:kern w:val="0"/>
                      <w:szCs w:val="21"/>
                    </w:rPr>
                  </w:pPr>
                  <w:r>
                    <w:rPr>
                      <w:color w:val="auto"/>
                      <w:kern w:val="0"/>
                      <w:szCs w:val="21"/>
                    </w:rPr>
                    <w:t>治理措施</w:t>
                  </w:r>
                </w:p>
              </w:tc>
              <w:tc>
                <w:tcPr>
                  <w:tcW w:w="941" w:type="dxa"/>
                  <w:shd w:val="clear" w:color="auto" w:fill="auto"/>
                  <w:vAlign w:val="center"/>
                </w:tcPr>
                <w:p w14:paraId="2ED4D739">
                  <w:pPr>
                    <w:widowControl/>
                    <w:jc w:val="center"/>
                    <w:rPr>
                      <w:rFonts w:hint="eastAsia" w:eastAsia="宋体"/>
                      <w:color w:val="auto"/>
                      <w:kern w:val="0"/>
                      <w:szCs w:val="21"/>
                      <w:lang w:eastAsia="zh-CN"/>
                    </w:rPr>
                  </w:pPr>
                  <w:r>
                    <w:rPr>
                      <w:color w:val="auto"/>
                      <w:kern w:val="0"/>
                      <w:szCs w:val="21"/>
                    </w:rPr>
                    <w:t>环保投资</w:t>
                  </w:r>
                  <w:r>
                    <w:rPr>
                      <w:rFonts w:hint="eastAsia"/>
                      <w:color w:val="auto"/>
                      <w:kern w:val="0"/>
                      <w:szCs w:val="21"/>
                      <w:lang w:eastAsia="zh-CN"/>
                    </w:rPr>
                    <w:t>（</w:t>
                  </w:r>
                  <w:r>
                    <w:rPr>
                      <w:color w:val="auto"/>
                      <w:kern w:val="0"/>
                      <w:szCs w:val="21"/>
                    </w:rPr>
                    <w:t>万元</w:t>
                  </w:r>
                  <w:r>
                    <w:rPr>
                      <w:rFonts w:hint="eastAsia"/>
                      <w:color w:val="auto"/>
                      <w:kern w:val="0"/>
                      <w:szCs w:val="21"/>
                      <w:lang w:eastAsia="zh-CN"/>
                    </w:rPr>
                    <w:t>）</w:t>
                  </w:r>
                </w:p>
              </w:tc>
            </w:tr>
            <w:tr w14:paraId="04BD354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restart"/>
                  <w:shd w:val="clear" w:color="auto" w:fill="auto"/>
                  <w:vAlign w:val="center"/>
                </w:tcPr>
                <w:p w14:paraId="42D201EF">
                  <w:pPr>
                    <w:widowControl/>
                    <w:jc w:val="center"/>
                    <w:rPr>
                      <w:color w:val="auto"/>
                      <w:kern w:val="0"/>
                      <w:szCs w:val="21"/>
                    </w:rPr>
                  </w:pPr>
                  <w:r>
                    <w:rPr>
                      <w:color w:val="auto"/>
                      <w:kern w:val="0"/>
                      <w:szCs w:val="21"/>
                    </w:rPr>
                    <w:t>废气</w:t>
                  </w:r>
                </w:p>
              </w:tc>
              <w:tc>
                <w:tcPr>
                  <w:tcW w:w="2274" w:type="dxa"/>
                  <w:shd w:val="clear" w:color="auto" w:fill="auto"/>
                  <w:vAlign w:val="center"/>
                </w:tcPr>
                <w:p w14:paraId="4FB5A6A6">
                  <w:pPr>
                    <w:widowControl/>
                    <w:jc w:val="center"/>
                    <w:rPr>
                      <w:color w:val="auto"/>
                      <w:kern w:val="0"/>
                      <w:szCs w:val="21"/>
                    </w:rPr>
                  </w:pPr>
                  <w:r>
                    <w:rPr>
                      <w:color w:val="auto"/>
                      <w:szCs w:val="21"/>
                    </w:rPr>
                    <w:t>原料堆存装卸粉尘</w:t>
                  </w:r>
                </w:p>
              </w:tc>
              <w:tc>
                <w:tcPr>
                  <w:tcW w:w="4433" w:type="dxa"/>
                  <w:shd w:val="clear" w:color="auto" w:fill="auto"/>
                  <w:vAlign w:val="center"/>
                </w:tcPr>
                <w:p w14:paraId="6B3F8101">
                  <w:pPr>
                    <w:widowControl/>
                    <w:jc w:val="center"/>
                    <w:rPr>
                      <w:color w:val="auto"/>
                      <w:kern w:val="0"/>
                      <w:szCs w:val="21"/>
                    </w:rPr>
                  </w:pPr>
                  <w:r>
                    <w:rPr>
                      <w:rFonts w:hint="eastAsia"/>
                      <w:bCs/>
                      <w:color w:val="auto"/>
                      <w:szCs w:val="21"/>
                    </w:rPr>
                    <w:t>砂</w:t>
                  </w:r>
                  <w:r>
                    <w:rPr>
                      <w:bCs/>
                      <w:color w:val="auto"/>
                      <w:szCs w:val="21"/>
                    </w:rPr>
                    <w:t>石料场采用</w:t>
                  </w:r>
                  <w:r>
                    <w:rPr>
                      <w:rFonts w:hint="eastAsia"/>
                      <w:bCs/>
                      <w:color w:val="auto"/>
                      <w:szCs w:val="21"/>
                    </w:rPr>
                    <w:t>三面挡墙</w:t>
                  </w:r>
                  <w:r>
                    <w:rPr>
                      <w:rFonts w:hint="eastAsia"/>
                      <w:bCs/>
                      <w:color w:val="auto"/>
                      <w:szCs w:val="21"/>
                      <w:lang w:eastAsia="zh-CN"/>
                    </w:rPr>
                    <w:t>（</w:t>
                  </w:r>
                  <w:r>
                    <w:rPr>
                      <w:rFonts w:hint="eastAsia"/>
                      <w:bCs/>
                      <w:color w:val="auto"/>
                      <w:szCs w:val="21"/>
                    </w:rPr>
                    <w:t>长度共计200m，高2.5m</w:t>
                  </w:r>
                  <w:r>
                    <w:rPr>
                      <w:rFonts w:hint="eastAsia"/>
                      <w:bCs/>
                      <w:color w:val="auto"/>
                      <w:szCs w:val="21"/>
                      <w:lang w:eastAsia="zh-CN"/>
                    </w:rPr>
                    <w:t>）</w:t>
                  </w:r>
                  <w:r>
                    <w:rPr>
                      <w:color w:val="auto"/>
                      <w:szCs w:val="21"/>
                    </w:rPr>
                    <w:t>密目网苫盖、洒水抑尘</w:t>
                  </w:r>
                </w:p>
              </w:tc>
              <w:tc>
                <w:tcPr>
                  <w:tcW w:w="941" w:type="dxa"/>
                  <w:shd w:val="clear" w:color="auto" w:fill="auto"/>
                  <w:vAlign w:val="center"/>
                </w:tcPr>
                <w:p w14:paraId="08D15DD5">
                  <w:pPr>
                    <w:widowControl/>
                    <w:jc w:val="center"/>
                    <w:rPr>
                      <w:color w:val="auto"/>
                      <w:kern w:val="0"/>
                      <w:szCs w:val="21"/>
                    </w:rPr>
                  </w:pPr>
                  <w:r>
                    <w:rPr>
                      <w:rFonts w:hint="eastAsia"/>
                      <w:color w:val="auto"/>
                      <w:kern w:val="0"/>
                      <w:szCs w:val="21"/>
                    </w:rPr>
                    <w:t>2</w:t>
                  </w:r>
                </w:p>
              </w:tc>
            </w:tr>
            <w:tr w14:paraId="1B0C9DB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0A5ABC60">
                  <w:pPr>
                    <w:widowControl/>
                    <w:jc w:val="center"/>
                    <w:rPr>
                      <w:color w:val="auto"/>
                      <w:kern w:val="0"/>
                      <w:szCs w:val="21"/>
                    </w:rPr>
                  </w:pPr>
                </w:p>
              </w:tc>
              <w:tc>
                <w:tcPr>
                  <w:tcW w:w="2274" w:type="dxa"/>
                  <w:shd w:val="clear" w:color="auto" w:fill="auto"/>
                  <w:vAlign w:val="center"/>
                </w:tcPr>
                <w:p w14:paraId="4526796F">
                  <w:pPr>
                    <w:widowControl/>
                    <w:jc w:val="center"/>
                    <w:rPr>
                      <w:color w:val="auto"/>
                      <w:kern w:val="0"/>
                      <w:szCs w:val="21"/>
                    </w:rPr>
                  </w:pPr>
                  <w:r>
                    <w:rPr>
                      <w:color w:val="auto"/>
                      <w:szCs w:val="21"/>
                    </w:rPr>
                    <w:t>配料输送粉尘</w:t>
                  </w:r>
                </w:p>
              </w:tc>
              <w:tc>
                <w:tcPr>
                  <w:tcW w:w="4433" w:type="dxa"/>
                  <w:shd w:val="clear" w:color="auto" w:fill="auto"/>
                  <w:vAlign w:val="center"/>
                </w:tcPr>
                <w:p w14:paraId="344AA1EC">
                  <w:pPr>
                    <w:widowControl/>
                    <w:jc w:val="center"/>
                    <w:rPr>
                      <w:color w:val="auto"/>
                      <w:kern w:val="0"/>
                      <w:szCs w:val="21"/>
                    </w:rPr>
                  </w:pPr>
                  <w:r>
                    <w:rPr>
                      <w:color w:val="auto"/>
                      <w:szCs w:val="21"/>
                    </w:rPr>
                    <w:t>输送带密闭，上料口三面封闭，上方设置喷淋装置</w:t>
                  </w:r>
                </w:p>
              </w:tc>
              <w:tc>
                <w:tcPr>
                  <w:tcW w:w="941" w:type="dxa"/>
                  <w:shd w:val="clear" w:color="auto" w:fill="auto"/>
                  <w:vAlign w:val="center"/>
                </w:tcPr>
                <w:p w14:paraId="37AC16E8">
                  <w:pPr>
                    <w:widowControl/>
                    <w:jc w:val="center"/>
                    <w:rPr>
                      <w:color w:val="auto"/>
                      <w:kern w:val="0"/>
                      <w:szCs w:val="21"/>
                    </w:rPr>
                  </w:pPr>
                  <w:r>
                    <w:rPr>
                      <w:rFonts w:hint="eastAsia"/>
                      <w:color w:val="auto"/>
                      <w:kern w:val="0"/>
                      <w:szCs w:val="21"/>
                    </w:rPr>
                    <w:t>1.5</w:t>
                  </w:r>
                </w:p>
              </w:tc>
            </w:tr>
            <w:tr w14:paraId="5C1A87A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6D890E63">
                  <w:pPr>
                    <w:widowControl/>
                    <w:jc w:val="center"/>
                    <w:rPr>
                      <w:color w:val="auto"/>
                      <w:kern w:val="0"/>
                      <w:szCs w:val="21"/>
                    </w:rPr>
                  </w:pPr>
                </w:p>
              </w:tc>
              <w:tc>
                <w:tcPr>
                  <w:tcW w:w="2274" w:type="dxa"/>
                  <w:shd w:val="clear" w:color="auto" w:fill="auto"/>
                  <w:vAlign w:val="center"/>
                </w:tcPr>
                <w:p w14:paraId="5BD7DB26">
                  <w:pPr>
                    <w:widowControl/>
                    <w:jc w:val="center"/>
                    <w:rPr>
                      <w:color w:val="auto"/>
                      <w:szCs w:val="21"/>
                    </w:rPr>
                  </w:pPr>
                  <w:r>
                    <w:rPr>
                      <w:rFonts w:hint="eastAsia"/>
                      <w:color w:val="auto"/>
                      <w:szCs w:val="21"/>
                    </w:rPr>
                    <w:t>粉料筒仓呼吸孔粉尘</w:t>
                  </w:r>
                </w:p>
              </w:tc>
              <w:tc>
                <w:tcPr>
                  <w:tcW w:w="4433" w:type="dxa"/>
                  <w:shd w:val="clear" w:color="auto" w:fill="auto"/>
                  <w:vAlign w:val="center"/>
                </w:tcPr>
                <w:p w14:paraId="2EE91A2F">
                  <w:pPr>
                    <w:widowControl/>
                    <w:jc w:val="center"/>
                    <w:rPr>
                      <w:color w:val="auto"/>
                      <w:szCs w:val="21"/>
                    </w:rPr>
                  </w:pPr>
                  <w:r>
                    <w:rPr>
                      <w:color w:val="auto"/>
                      <w:szCs w:val="21"/>
                    </w:rPr>
                    <w:t>筒仓顶自带仓顶袋式除尘器+15m排气口</w:t>
                  </w:r>
                </w:p>
              </w:tc>
              <w:tc>
                <w:tcPr>
                  <w:tcW w:w="941" w:type="dxa"/>
                  <w:shd w:val="clear" w:color="auto" w:fill="auto"/>
                  <w:vAlign w:val="center"/>
                </w:tcPr>
                <w:p w14:paraId="0B8EF332">
                  <w:pPr>
                    <w:widowControl/>
                    <w:jc w:val="center"/>
                    <w:rPr>
                      <w:color w:val="auto"/>
                      <w:kern w:val="0"/>
                      <w:szCs w:val="21"/>
                    </w:rPr>
                  </w:pPr>
                  <w:r>
                    <w:rPr>
                      <w:rFonts w:hint="eastAsia"/>
                      <w:color w:val="auto"/>
                      <w:kern w:val="0"/>
                      <w:szCs w:val="21"/>
                    </w:rPr>
                    <w:t>计入工程设备投资</w:t>
                  </w:r>
                </w:p>
              </w:tc>
            </w:tr>
            <w:tr w14:paraId="6178FFE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3C44474F">
                  <w:pPr>
                    <w:widowControl/>
                    <w:jc w:val="center"/>
                    <w:rPr>
                      <w:color w:val="auto"/>
                      <w:kern w:val="0"/>
                      <w:szCs w:val="21"/>
                    </w:rPr>
                  </w:pPr>
                </w:p>
              </w:tc>
              <w:tc>
                <w:tcPr>
                  <w:tcW w:w="2274" w:type="dxa"/>
                  <w:shd w:val="clear" w:color="auto" w:fill="auto"/>
                  <w:vAlign w:val="center"/>
                </w:tcPr>
                <w:p w14:paraId="4D5A6B36">
                  <w:pPr>
                    <w:widowControl/>
                    <w:jc w:val="center"/>
                    <w:rPr>
                      <w:color w:val="auto"/>
                      <w:kern w:val="0"/>
                      <w:szCs w:val="21"/>
                    </w:rPr>
                  </w:pPr>
                  <w:r>
                    <w:rPr>
                      <w:color w:val="auto"/>
                      <w:szCs w:val="21"/>
                    </w:rPr>
                    <w:t>物料混合搅拌粉尘</w:t>
                  </w:r>
                </w:p>
              </w:tc>
              <w:tc>
                <w:tcPr>
                  <w:tcW w:w="4433" w:type="dxa"/>
                  <w:shd w:val="clear" w:color="auto" w:fill="auto"/>
                  <w:vAlign w:val="center"/>
                </w:tcPr>
                <w:p w14:paraId="145025A7">
                  <w:pPr>
                    <w:widowControl/>
                    <w:jc w:val="center"/>
                    <w:rPr>
                      <w:color w:val="auto"/>
                      <w:kern w:val="0"/>
                      <w:szCs w:val="21"/>
                    </w:rPr>
                  </w:pPr>
                  <w:r>
                    <w:rPr>
                      <w:rFonts w:hint="eastAsia"/>
                      <w:color w:val="auto"/>
                      <w:szCs w:val="21"/>
                    </w:rPr>
                    <w:t>2套</w:t>
                  </w:r>
                  <w:r>
                    <w:rPr>
                      <w:color w:val="auto"/>
                      <w:szCs w:val="21"/>
                    </w:rPr>
                    <w:t>封闭式搅拌机组</w:t>
                  </w:r>
                  <w:r>
                    <w:rPr>
                      <w:rFonts w:hint="eastAsia"/>
                      <w:color w:val="auto"/>
                      <w:szCs w:val="21"/>
                    </w:rPr>
                    <w:t>+</w:t>
                  </w:r>
                  <w:r>
                    <w:rPr>
                      <w:rFonts w:hint="eastAsia"/>
                      <w:bCs/>
                      <w:color w:val="auto"/>
                      <w:szCs w:val="21"/>
                    </w:rPr>
                    <w:t>脉冲布袋除尘器</w:t>
                  </w:r>
                </w:p>
              </w:tc>
              <w:tc>
                <w:tcPr>
                  <w:tcW w:w="941" w:type="dxa"/>
                  <w:shd w:val="clear" w:color="auto" w:fill="auto"/>
                  <w:vAlign w:val="center"/>
                </w:tcPr>
                <w:p w14:paraId="58846A77">
                  <w:pPr>
                    <w:widowControl/>
                    <w:jc w:val="center"/>
                    <w:rPr>
                      <w:color w:val="auto"/>
                      <w:kern w:val="0"/>
                      <w:szCs w:val="21"/>
                    </w:rPr>
                  </w:pPr>
                  <w:r>
                    <w:rPr>
                      <w:rFonts w:hint="eastAsia"/>
                      <w:color w:val="auto"/>
                      <w:kern w:val="0"/>
                      <w:szCs w:val="21"/>
                    </w:rPr>
                    <w:t>计入工程设备投资</w:t>
                  </w:r>
                </w:p>
              </w:tc>
            </w:tr>
            <w:tr w14:paraId="7FBF2CD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6299A1F8">
                  <w:pPr>
                    <w:widowControl/>
                    <w:jc w:val="center"/>
                    <w:rPr>
                      <w:color w:val="auto"/>
                      <w:kern w:val="0"/>
                      <w:szCs w:val="21"/>
                    </w:rPr>
                  </w:pPr>
                </w:p>
              </w:tc>
              <w:tc>
                <w:tcPr>
                  <w:tcW w:w="2274" w:type="dxa"/>
                  <w:tcBorders>
                    <w:bottom w:val="single" w:color="auto" w:sz="4" w:space="0"/>
                  </w:tcBorders>
                  <w:shd w:val="clear" w:color="auto" w:fill="auto"/>
                  <w:vAlign w:val="center"/>
                </w:tcPr>
                <w:p w14:paraId="282D8F90">
                  <w:pPr>
                    <w:widowControl/>
                    <w:jc w:val="center"/>
                    <w:rPr>
                      <w:color w:val="auto"/>
                      <w:kern w:val="0"/>
                      <w:szCs w:val="21"/>
                    </w:rPr>
                  </w:pPr>
                  <w:r>
                    <w:rPr>
                      <w:color w:val="auto"/>
                      <w:kern w:val="0"/>
                      <w:szCs w:val="21"/>
                    </w:rPr>
                    <w:t>厂区</w:t>
                  </w:r>
                </w:p>
              </w:tc>
              <w:tc>
                <w:tcPr>
                  <w:tcW w:w="4433" w:type="dxa"/>
                  <w:tcBorders>
                    <w:bottom w:val="single" w:color="auto" w:sz="4" w:space="0"/>
                  </w:tcBorders>
                  <w:shd w:val="clear" w:color="auto" w:fill="auto"/>
                  <w:vAlign w:val="center"/>
                </w:tcPr>
                <w:p w14:paraId="6F09DD3E">
                  <w:pPr>
                    <w:widowControl/>
                    <w:jc w:val="center"/>
                    <w:rPr>
                      <w:color w:val="auto"/>
                      <w:kern w:val="0"/>
                      <w:szCs w:val="21"/>
                    </w:rPr>
                  </w:pPr>
                  <w:r>
                    <w:rPr>
                      <w:rFonts w:hint="eastAsia"/>
                      <w:color w:val="auto"/>
                      <w:kern w:val="0"/>
                      <w:szCs w:val="21"/>
                    </w:rPr>
                    <w:t>定时</w:t>
                  </w:r>
                  <w:r>
                    <w:rPr>
                      <w:color w:val="auto"/>
                      <w:kern w:val="0"/>
                      <w:szCs w:val="21"/>
                    </w:rPr>
                    <w:t>洒水抑尘</w:t>
                  </w:r>
                </w:p>
              </w:tc>
              <w:tc>
                <w:tcPr>
                  <w:tcW w:w="941" w:type="dxa"/>
                  <w:tcBorders>
                    <w:bottom w:val="single" w:color="auto" w:sz="4" w:space="0"/>
                  </w:tcBorders>
                  <w:shd w:val="clear" w:color="auto" w:fill="auto"/>
                  <w:vAlign w:val="center"/>
                </w:tcPr>
                <w:p w14:paraId="3AB55C27">
                  <w:pPr>
                    <w:widowControl/>
                    <w:jc w:val="center"/>
                    <w:rPr>
                      <w:color w:val="auto"/>
                      <w:kern w:val="0"/>
                      <w:szCs w:val="21"/>
                    </w:rPr>
                  </w:pPr>
                  <w:r>
                    <w:rPr>
                      <w:rFonts w:hint="eastAsia"/>
                      <w:color w:val="auto"/>
                      <w:kern w:val="0"/>
                      <w:szCs w:val="21"/>
                    </w:rPr>
                    <w:t>0.5</w:t>
                  </w:r>
                </w:p>
              </w:tc>
            </w:tr>
            <w:tr w14:paraId="522F162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restart"/>
                  <w:shd w:val="clear" w:color="auto" w:fill="auto"/>
                  <w:vAlign w:val="center"/>
                </w:tcPr>
                <w:p w14:paraId="02430758">
                  <w:pPr>
                    <w:widowControl/>
                    <w:jc w:val="center"/>
                    <w:rPr>
                      <w:color w:val="auto"/>
                      <w:kern w:val="0"/>
                      <w:szCs w:val="21"/>
                    </w:rPr>
                  </w:pPr>
                  <w:r>
                    <w:rPr>
                      <w:color w:val="auto"/>
                      <w:kern w:val="0"/>
                      <w:szCs w:val="21"/>
                    </w:rPr>
                    <w:t>废水</w:t>
                  </w:r>
                </w:p>
              </w:tc>
              <w:tc>
                <w:tcPr>
                  <w:tcW w:w="2274" w:type="dxa"/>
                  <w:shd w:val="clear" w:color="auto" w:fill="auto"/>
                  <w:vAlign w:val="center"/>
                </w:tcPr>
                <w:p w14:paraId="7AEE82EA">
                  <w:pPr>
                    <w:widowControl/>
                    <w:jc w:val="center"/>
                    <w:rPr>
                      <w:color w:val="auto"/>
                      <w:kern w:val="0"/>
                      <w:szCs w:val="21"/>
                    </w:rPr>
                  </w:pPr>
                  <w:r>
                    <w:rPr>
                      <w:color w:val="auto"/>
                      <w:kern w:val="0"/>
                      <w:szCs w:val="21"/>
                    </w:rPr>
                    <w:t>生产废水</w:t>
                  </w:r>
                </w:p>
              </w:tc>
              <w:tc>
                <w:tcPr>
                  <w:tcW w:w="4433" w:type="dxa"/>
                  <w:shd w:val="clear" w:color="auto" w:fill="auto"/>
                  <w:vAlign w:val="center"/>
                </w:tcPr>
                <w:p w14:paraId="511A509F">
                  <w:pPr>
                    <w:widowControl/>
                    <w:jc w:val="center"/>
                    <w:rPr>
                      <w:color w:val="auto"/>
                      <w:kern w:val="0"/>
                      <w:szCs w:val="21"/>
                    </w:rPr>
                  </w:pPr>
                  <w:r>
                    <w:rPr>
                      <w:bCs/>
                      <w:color w:val="auto"/>
                      <w:kern w:val="0"/>
                      <w:szCs w:val="21"/>
                    </w:rPr>
                    <w:t>搅拌机、运输车辆</w:t>
                  </w:r>
                  <w:r>
                    <w:rPr>
                      <w:rFonts w:hint="eastAsia"/>
                      <w:bCs/>
                      <w:color w:val="auto"/>
                      <w:kern w:val="0"/>
                      <w:szCs w:val="21"/>
                    </w:rPr>
                    <w:t>清洗废水</w:t>
                  </w:r>
                  <w:r>
                    <w:rPr>
                      <w:bCs/>
                      <w:color w:val="auto"/>
                      <w:kern w:val="0"/>
                      <w:szCs w:val="21"/>
                    </w:rPr>
                    <w:t>、</w:t>
                  </w:r>
                  <w:r>
                    <w:rPr>
                      <w:rFonts w:hint="eastAsia"/>
                      <w:bCs/>
                      <w:color w:val="auto"/>
                      <w:kern w:val="0"/>
                      <w:szCs w:val="21"/>
                    </w:rPr>
                    <w:t>实验室</w:t>
                  </w:r>
                  <w:r>
                    <w:rPr>
                      <w:bCs/>
                      <w:color w:val="auto"/>
                      <w:kern w:val="0"/>
                      <w:szCs w:val="21"/>
                    </w:rPr>
                    <w:t>废水经收集三级沉淀处理后回用于</w:t>
                  </w:r>
                  <w:r>
                    <w:rPr>
                      <w:rFonts w:hint="eastAsia"/>
                      <w:bCs/>
                      <w:color w:val="auto"/>
                      <w:kern w:val="0"/>
                      <w:szCs w:val="21"/>
                    </w:rPr>
                    <w:t>混凝土搅拌混合</w:t>
                  </w:r>
                  <w:r>
                    <w:rPr>
                      <w:bCs/>
                      <w:color w:val="auto"/>
                      <w:kern w:val="0"/>
                      <w:szCs w:val="21"/>
                    </w:rPr>
                    <w:t>，不外排</w:t>
                  </w:r>
                  <w:r>
                    <w:rPr>
                      <w:rFonts w:hint="eastAsia"/>
                      <w:bCs/>
                      <w:color w:val="auto"/>
                      <w:kern w:val="0"/>
                      <w:szCs w:val="21"/>
                    </w:rPr>
                    <w:t>。</w:t>
                  </w:r>
                  <w:r>
                    <w:rPr>
                      <w:bCs/>
                      <w:color w:val="auto"/>
                      <w:kern w:val="0"/>
                      <w:szCs w:val="21"/>
                    </w:rPr>
                    <w:t>厂区设置了三级沉淀池</w:t>
                  </w:r>
                  <w:r>
                    <w:rPr>
                      <w:rFonts w:hint="eastAsia"/>
                      <w:bCs/>
                      <w:color w:val="auto"/>
                      <w:kern w:val="0"/>
                      <w:szCs w:val="21"/>
                    </w:rPr>
                    <w:t>，三级</w:t>
                  </w:r>
                  <w:r>
                    <w:rPr>
                      <w:bCs/>
                      <w:color w:val="auto"/>
                      <w:kern w:val="0"/>
                      <w:szCs w:val="21"/>
                    </w:rPr>
                    <w:t>沉淀池为混凝土结构</w:t>
                  </w:r>
                  <w:r>
                    <w:rPr>
                      <w:rFonts w:hint="eastAsia"/>
                      <w:bCs/>
                      <w:color w:val="auto"/>
                      <w:kern w:val="0"/>
                      <w:szCs w:val="21"/>
                    </w:rPr>
                    <w:t>，</w:t>
                  </w:r>
                  <w:r>
                    <w:rPr>
                      <w:bCs/>
                      <w:color w:val="auto"/>
                      <w:kern w:val="0"/>
                      <w:szCs w:val="21"/>
                    </w:rPr>
                    <w:t>容积</w:t>
                  </w:r>
                  <w:r>
                    <w:rPr>
                      <w:rFonts w:hint="eastAsia"/>
                      <w:bCs/>
                      <w:color w:val="auto"/>
                      <w:kern w:val="0"/>
                      <w:szCs w:val="21"/>
                    </w:rPr>
                    <w:t>为20m</w:t>
                  </w:r>
                  <w:r>
                    <w:rPr>
                      <w:rFonts w:hint="eastAsia"/>
                      <w:bCs/>
                      <w:color w:val="auto"/>
                      <w:kern w:val="0"/>
                      <w:szCs w:val="21"/>
                      <w:vertAlign w:val="superscript"/>
                    </w:rPr>
                    <w:t>3</w:t>
                  </w:r>
                  <w:r>
                    <w:rPr>
                      <w:color w:val="auto"/>
                      <w:kern w:val="0"/>
                      <w:szCs w:val="21"/>
                    </w:rPr>
                    <w:t>。</w:t>
                  </w:r>
                </w:p>
              </w:tc>
              <w:tc>
                <w:tcPr>
                  <w:tcW w:w="941" w:type="dxa"/>
                  <w:shd w:val="clear" w:color="auto" w:fill="auto"/>
                  <w:vAlign w:val="center"/>
                </w:tcPr>
                <w:p w14:paraId="210BC241">
                  <w:pPr>
                    <w:widowControl/>
                    <w:jc w:val="center"/>
                    <w:rPr>
                      <w:color w:val="auto"/>
                      <w:kern w:val="0"/>
                      <w:szCs w:val="21"/>
                    </w:rPr>
                  </w:pPr>
                  <w:r>
                    <w:rPr>
                      <w:rFonts w:hint="eastAsia"/>
                      <w:color w:val="auto"/>
                      <w:kern w:val="0"/>
                      <w:szCs w:val="21"/>
                    </w:rPr>
                    <w:t>1</w:t>
                  </w:r>
                </w:p>
              </w:tc>
            </w:tr>
            <w:tr w14:paraId="6513989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1F73553B">
                  <w:pPr>
                    <w:widowControl/>
                    <w:jc w:val="center"/>
                    <w:rPr>
                      <w:color w:val="auto"/>
                      <w:kern w:val="0"/>
                      <w:szCs w:val="21"/>
                    </w:rPr>
                  </w:pPr>
                </w:p>
              </w:tc>
              <w:tc>
                <w:tcPr>
                  <w:tcW w:w="2274" w:type="dxa"/>
                  <w:shd w:val="clear" w:color="auto" w:fill="auto"/>
                  <w:vAlign w:val="center"/>
                </w:tcPr>
                <w:p w14:paraId="328B1393">
                  <w:pPr>
                    <w:widowControl/>
                    <w:jc w:val="center"/>
                    <w:rPr>
                      <w:color w:val="auto"/>
                      <w:kern w:val="0"/>
                      <w:szCs w:val="21"/>
                    </w:rPr>
                  </w:pPr>
                  <w:r>
                    <w:rPr>
                      <w:color w:val="auto"/>
                      <w:kern w:val="0"/>
                      <w:szCs w:val="21"/>
                    </w:rPr>
                    <w:t>生活污水</w:t>
                  </w:r>
                </w:p>
              </w:tc>
              <w:tc>
                <w:tcPr>
                  <w:tcW w:w="4433" w:type="dxa"/>
                  <w:shd w:val="clear" w:color="auto" w:fill="auto"/>
                  <w:vAlign w:val="center"/>
                </w:tcPr>
                <w:p w14:paraId="59A1FB89">
                  <w:pPr>
                    <w:widowControl/>
                    <w:jc w:val="center"/>
                    <w:rPr>
                      <w:color w:val="auto"/>
                      <w:kern w:val="0"/>
                      <w:szCs w:val="21"/>
                    </w:rPr>
                  </w:pPr>
                  <w:r>
                    <w:rPr>
                      <w:color w:val="auto"/>
                      <w:kern w:val="0"/>
                      <w:szCs w:val="21"/>
                    </w:rPr>
                    <w:t>经化粪池收集后，定期拉运至杭锦旗独贵塔拉镇污水处理厂处理</w:t>
                  </w:r>
                </w:p>
              </w:tc>
              <w:tc>
                <w:tcPr>
                  <w:tcW w:w="941" w:type="dxa"/>
                  <w:shd w:val="clear" w:color="auto" w:fill="auto"/>
                  <w:vAlign w:val="center"/>
                </w:tcPr>
                <w:p w14:paraId="6A5BABA7">
                  <w:pPr>
                    <w:widowControl/>
                    <w:jc w:val="center"/>
                    <w:rPr>
                      <w:color w:val="auto"/>
                      <w:kern w:val="0"/>
                      <w:szCs w:val="21"/>
                    </w:rPr>
                  </w:pPr>
                  <w:r>
                    <w:rPr>
                      <w:rFonts w:hint="eastAsia"/>
                      <w:color w:val="auto"/>
                      <w:kern w:val="0"/>
                      <w:szCs w:val="21"/>
                    </w:rPr>
                    <w:t>0.5</w:t>
                  </w:r>
                </w:p>
              </w:tc>
            </w:tr>
            <w:tr w14:paraId="64639E1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restart"/>
                  <w:shd w:val="clear" w:color="auto" w:fill="auto"/>
                  <w:vAlign w:val="center"/>
                </w:tcPr>
                <w:p w14:paraId="16290D9C">
                  <w:pPr>
                    <w:widowControl/>
                    <w:jc w:val="center"/>
                    <w:rPr>
                      <w:color w:val="auto"/>
                      <w:kern w:val="0"/>
                      <w:szCs w:val="21"/>
                    </w:rPr>
                  </w:pPr>
                  <w:r>
                    <w:rPr>
                      <w:color w:val="auto"/>
                      <w:kern w:val="0"/>
                      <w:szCs w:val="21"/>
                    </w:rPr>
                    <w:t>固废</w:t>
                  </w:r>
                </w:p>
              </w:tc>
              <w:tc>
                <w:tcPr>
                  <w:tcW w:w="2274" w:type="dxa"/>
                  <w:vMerge w:val="restart"/>
                  <w:shd w:val="clear" w:color="auto" w:fill="auto"/>
                  <w:vAlign w:val="center"/>
                </w:tcPr>
                <w:p w14:paraId="0E9C29AB">
                  <w:pPr>
                    <w:widowControl/>
                    <w:jc w:val="center"/>
                    <w:rPr>
                      <w:color w:val="auto"/>
                      <w:kern w:val="0"/>
                      <w:szCs w:val="21"/>
                    </w:rPr>
                  </w:pPr>
                  <w:r>
                    <w:rPr>
                      <w:color w:val="auto"/>
                      <w:kern w:val="0"/>
                      <w:szCs w:val="21"/>
                    </w:rPr>
                    <w:t>一般固废</w:t>
                  </w:r>
                </w:p>
              </w:tc>
              <w:tc>
                <w:tcPr>
                  <w:tcW w:w="4433" w:type="dxa"/>
                  <w:shd w:val="clear" w:color="auto" w:fill="auto"/>
                  <w:vAlign w:val="center"/>
                </w:tcPr>
                <w:p w14:paraId="58C91C54">
                  <w:pPr>
                    <w:widowControl/>
                    <w:jc w:val="center"/>
                    <w:rPr>
                      <w:color w:val="auto"/>
                      <w:kern w:val="0"/>
                      <w:szCs w:val="21"/>
                    </w:rPr>
                  </w:pPr>
                  <w:r>
                    <w:rPr>
                      <w:color w:val="auto"/>
                      <w:kern w:val="0"/>
                      <w:szCs w:val="21"/>
                    </w:rPr>
                    <w:t>除尘器</w:t>
                  </w:r>
                  <w:r>
                    <w:rPr>
                      <w:bCs/>
                      <w:color w:val="auto"/>
                      <w:kern w:val="0"/>
                      <w:szCs w:val="21"/>
                    </w:rPr>
                    <w:t>除尘灰</w:t>
                  </w:r>
                  <w:r>
                    <w:rPr>
                      <w:rFonts w:hint="eastAsia"/>
                      <w:color w:val="auto"/>
                      <w:kern w:val="0"/>
                      <w:szCs w:val="21"/>
                    </w:rPr>
                    <w:t>、</w:t>
                  </w:r>
                  <w:r>
                    <w:rPr>
                      <w:color w:val="auto"/>
                      <w:kern w:val="0"/>
                      <w:szCs w:val="21"/>
                    </w:rPr>
                    <w:t>沉淀池沉淀渣集中收集</w:t>
                  </w:r>
                  <w:r>
                    <w:rPr>
                      <w:color w:val="auto"/>
                      <w:szCs w:val="21"/>
                    </w:rPr>
                    <w:t>后回用于生产</w:t>
                  </w:r>
                </w:p>
              </w:tc>
              <w:tc>
                <w:tcPr>
                  <w:tcW w:w="941" w:type="dxa"/>
                  <w:shd w:val="clear" w:color="auto" w:fill="auto"/>
                  <w:vAlign w:val="center"/>
                </w:tcPr>
                <w:p w14:paraId="3A31F669">
                  <w:pPr>
                    <w:widowControl/>
                    <w:jc w:val="center"/>
                    <w:rPr>
                      <w:color w:val="auto"/>
                      <w:kern w:val="0"/>
                      <w:szCs w:val="21"/>
                    </w:rPr>
                  </w:pPr>
                  <w:r>
                    <w:rPr>
                      <w:rFonts w:hint="eastAsia"/>
                      <w:color w:val="auto"/>
                      <w:kern w:val="0"/>
                      <w:szCs w:val="21"/>
                    </w:rPr>
                    <w:t>/</w:t>
                  </w:r>
                </w:p>
              </w:tc>
            </w:tr>
            <w:tr w14:paraId="7522F2D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43D008B1">
                  <w:pPr>
                    <w:widowControl/>
                    <w:jc w:val="center"/>
                    <w:rPr>
                      <w:color w:val="auto"/>
                      <w:kern w:val="0"/>
                      <w:szCs w:val="21"/>
                    </w:rPr>
                  </w:pPr>
                </w:p>
              </w:tc>
              <w:tc>
                <w:tcPr>
                  <w:tcW w:w="2274" w:type="dxa"/>
                  <w:vMerge w:val="continue"/>
                  <w:shd w:val="clear" w:color="auto" w:fill="auto"/>
                  <w:vAlign w:val="center"/>
                </w:tcPr>
                <w:p w14:paraId="359B770F">
                  <w:pPr>
                    <w:widowControl/>
                    <w:jc w:val="center"/>
                    <w:rPr>
                      <w:color w:val="auto"/>
                      <w:kern w:val="0"/>
                      <w:szCs w:val="21"/>
                    </w:rPr>
                  </w:pPr>
                </w:p>
              </w:tc>
              <w:tc>
                <w:tcPr>
                  <w:tcW w:w="4433" w:type="dxa"/>
                  <w:shd w:val="clear" w:color="auto" w:fill="auto"/>
                  <w:vAlign w:val="center"/>
                </w:tcPr>
                <w:p w14:paraId="001A58FB">
                  <w:pPr>
                    <w:widowControl/>
                    <w:jc w:val="center"/>
                    <w:rPr>
                      <w:color w:val="auto"/>
                      <w:kern w:val="0"/>
                      <w:szCs w:val="21"/>
                    </w:rPr>
                  </w:pPr>
                  <w:r>
                    <w:rPr>
                      <w:color w:val="auto"/>
                      <w:kern w:val="0"/>
                      <w:szCs w:val="21"/>
                    </w:rPr>
                    <w:t>实验室混凝土块</w:t>
                  </w:r>
                  <w:r>
                    <w:rPr>
                      <w:rFonts w:hint="eastAsia"/>
                      <w:bCs/>
                      <w:color w:val="auto"/>
                      <w:kern w:val="0"/>
                      <w:szCs w:val="21"/>
                    </w:rPr>
                    <w:t>暂存于一般固废暂存间，作为此路段填方材料</w:t>
                  </w:r>
                </w:p>
              </w:tc>
              <w:tc>
                <w:tcPr>
                  <w:tcW w:w="941" w:type="dxa"/>
                  <w:shd w:val="clear" w:color="auto" w:fill="auto"/>
                  <w:vAlign w:val="center"/>
                </w:tcPr>
                <w:p w14:paraId="427E2C7D">
                  <w:pPr>
                    <w:widowControl/>
                    <w:jc w:val="center"/>
                    <w:rPr>
                      <w:color w:val="auto"/>
                      <w:kern w:val="0"/>
                      <w:szCs w:val="21"/>
                    </w:rPr>
                  </w:pPr>
                  <w:r>
                    <w:rPr>
                      <w:rFonts w:hint="eastAsia"/>
                      <w:color w:val="auto"/>
                      <w:kern w:val="0"/>
                      <w:szCs w:val="21"/>
                    </w:rPr>
                    <w:t>/</w:t>
                  </w:r>
                </w:p>
              </w:tc>
            </w:tr>
            <w:tr w14:paraId="63C5EE9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13B4E385">
                  <w:pPr>
                    <w:widowControl/>
                    <w:jc w:val="center"/>
                    <w:rPr>
                      <w:color w:val="auto"/>
                      <w:kern w:val="0"/>
                      <w:szCs w:val="21"/>
                    </w:rPr>
                  </w:pPr>
                </w:p>
              </w:tc>
              <w:tc>
                <w:tcPr>
                  <w:tcW w:w="2274" w:type="dxa"/>
                  <w:shd w:val="clear" w:color="auto" w:fill="auto"/>
                  <w:vAlign w:val="center"/>
                </w:tcPr>
                <w:p w14:paraId="41BF42A2">
                  <w:pPr>
                    <w:widowControl/>
                    <w:jc w:val="center"/>
                    <w:rPr>
                      <w:color w:val="auto"/>
                      <w:kern w:val="0"/>
                      <w:szCs w:val="21"/>
                    </w:rPr>
                  </w:pPr>
                  <w:r>
                    <w:rPr>
                      <w:color w:val="auto"/>
                      <w:kern w:val="0"/>
                      <w:szCs w:val="21"/>
                    </w:rPr>
                    <w:t>生活垃圾</w:t>
                  </w:r>
                </w:p>
              </w:tc>
              <w:tc>
                <w:tcPr>
                  <w:tcW w:w="4433" w:type="dxa"/>
                  <w:shd w:val="clear" w:color="auto" w:fill="auto"/>
                  <w:vAlign w:val="center"/>
                </w:tcPr>
                <w:p w14:paraId="16381D64">
                  <w:pPr>
                    <w:widowControl/>
                    <w:jc w:val="center"/>
                    <w:rPr>
                      <w:color w:val="auto"/>
                      <w:kern w:val="0"/>
                      <w:szCs w:val="21"/>
                    </w:rPr>
                  </w:pPr>
                  <w:r>
                    <w:rPr>
                      <w:color w:val="auto"/>
                      <w:kern w:val="0"/>
                      <w:szCs w:val="21"/>
                    </w:rPr>
                    <w:t>厂区设置垃圾箱收集，环卫部门统一收集处理</w:t>
                  </w:r>
                </w:p>
              </w:tc>
              <w:tc>
                <w:tcPr>
                  <w:tcW w:w="941" w:type="dxa"/>
                  <w:shd w:val="clear" w:color="auto" w:fill="auto"/>
                  <w:vAlign w:val="center"/>
                </w:tcPr>
                <w:p w14:paraId="1E698B2B">
                  <w:pPr>
                    <w:widowControl/>
                    <w:jc w:val="center"/>
                    <w:rPr>
                      <w:color w:val="auto"/>
                      <w:kern w:val="0"/>
                      <w:szCs w:val="21"/>
                    </w:rPr>
                  </w:pPr>
                  <w:r>
                    <w:rPr>
                      <w:color w:val="auto"/>
                      <w:kern w:val="0"/>
                      <w:szCs w:val="21"/>
                    </w:rPr>
                    <w:t>0.</w:t>
                  </w:r>
                  <w:r>
                    <w:rPr>
                      <w:rFonts w:hint="eastAsia"/>
                      <w:color w:val="auto"/>
                      <w:kern w:val="0"/>
                      <w:szCs w:val="21"/>
                    </w:rPr>
                    <w:t>0</w:t>
                  </w:r>
                  <w:r>
                    <w:rPr>
                      <w:color w:val="auto"/>
                      <w:kern w:val="0"/>
                      <w:szCs w:val="21"/>
                    </w:rPr>
                    <w:t>5</w:t>
                  </w:r>
                </w:p>
              </w:tc>
            </w:tr>
            <w:tr w14:paraId="218EF5F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shd w:val="clear" w:color="auto" w:fill="auto"/>
                  <w:vAlign w:val="center"/>
                </w:tcPr>
                <w:p w14:paraId="5DAD8062">
                  <w:pPr>
                    <w:widowControl/>
                    <w:jc w:val="center"/>
                    <w:rPr>
                      <w:color w:val="auto"/>
                      <w:kern w:val="0"/>
                      <w:szCs w:val="21"/>
                    </w:rPr>
                  </w:pPr>
                  <w:r>
                    <w:rPr>
                      <w:color w:val="auto"/>
                      <w:kern w:val="0"/>
                      <w:szCs w:val="21"/>
                    </w:rPr>
                    <w:t>噪声</w:t>
                  </w:r>
                </w:p>
              </w:tc>
              <w:tc>
                <w:tcPr>
                  <w:tcW w:w="2274" w:type="dxa"/>
                  <w:shd w:val="clear" w:color="auto" w:fill="auto"/>
                  <w:vAlign w:val="center"/>
                </w:tcPr>
                <w:p w14:paraId="6D519A7E">
                  <w:pPr>
                    <w:widowControl/>
                    <w:jc w:val="center"/>
                    <w:rPr>
                      <w:color w:val="auto"/>
                      <w:kern w:val="0"/>
                      <w:szCs w:val="21"/>
                    </w:rPr>
                  </w:pPr>
                  <w:r>
                    <w:rPr>
                      <w:color w:val="auto"/>
                      <w:kern w:val="0"/>
                      <w:szCs w:val="21"/>
                    </w:rPr>
                    <w:t>设备运转、运输噪声等</w:t>
                  </w:r>
                </w:p>
              </w:tc>
              <w:tc>
                <w:tcPr>
                  <w:tcW w:w="4433" w:type="dxa"/>
                  <w:shd w:val="clear" w:color="auto" w:fill="auto"/>
                  <w:vAlign w:val="center"/>
                </w:tcPr>
                <w:p w14:paraId="242A5E43">
                  <w:pPr>
                    <w:widowControl/>
                    <w:jc w:val="center"/>
                    <w:rPr>
                      <w:color w:val="auto"/>
                      <w:kern w:val="0"/>
                      <w:szCs w:val="21"/>
                    </w:rPr>
                  </w:pPr>
                  <w:r>
                    <w:rPr>
                      <w:color w:val="auto"/>
                      <w:kern w:val="0"/>
                      <w:szCs w:val="21"/>
                    </w:rPr>
                    <w:t>采用隔声、减振等措施。</w:t>
                  </w:r>
                </w:p>
              </w:tc>
              <w:tc>
                <w:tcPr>
                  <w:tcW w:w="941" w:type="dxa"/>
                  <w:shd w:val="clear" w:color="auto" w:fill="auto"/>
                  <w:vAlign w:val="center"/>
                </w:tcPr>
                <w:p w14:paraId="6C917DCB">
                  <w:pPr>
                    <w:widowControl/>
                    <w:jc w:val="center"/>
                    <w:rPr>
                      <w:color w:val="auto"/>
                      <w:kern w:val="0"/>
                      <w:szCs w:val="21"/>
                    </w:rPr>
                  </w:pPr>
                  <w:r>
                    <w:rPr>
                      <w:rFonts w:hint="eastAsia"/>
                      <w:color w:val="auto"/>
                      <w:kern w:val="0"/>
                      <w:szCs w:val="21"/>
                    </w:rPr>
                    <w:t>1</w:t>
                  </w:r>
                </w:p>
              </w:tc>
            </w:tr>
            <w:tr w14:paraId="33E59B6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7281" w:type="dxa"/>
                  <w:gridSpan w:val="3"/>
                  <w:shd w:val="clear" w:color="auto" w:fill="auto"/>
                  <w:vAlign w:val="center"/>
                </w:tcPr>
                <w:p w14:paraId="5349F38C">
                  <w:pPr>
                    <w:widowControl/>
                    <w:jc w:val="center"/>
                    <w:rPr>
                      <w:color w:val="auto"/>
                      <w:kern w:val="0"/>
                      <w:szCs w:val="21"/>
                    </w:rPr>
                  </w:pPr>
                  <w:r>
                    <w:rPr>
                      <w:color w:val="auto"/>
                      <w:kern w:val="0"/>
                      <w:szCs w:val="21"/>
                    </w:rPr>
                    <w:t>合计</w:t>
                  </w:r>
                </w:p>
              </w:tc>
              <w:tc>
                <w:tcPr>
                  <w:tcW w:w="941" w:type="dxa"/>
                  <w:shd w:val="clear" w:color="auto" w:fill="auto"/>
                  <w:vAlign w:val="center"/>
                </w:tcPr>
                <w:p w14:paraId="2BDDF309">
                  <w:pPr>
                    <w:widowControl/>
                    <w:jc w:val="center"/>
                    <w:rPr>
                      <w:color w:val="auto"/>
                      <w:kern w:val="0"/>
                      <w:szCs w:val="21"/>
                    </w:rPr>
                  </w:pPr>
                  <w:r>
                    <w:rPr>
                      <w:rFonts w:hint="eastAsia"/>
                      <w:color w:val="auto"/>
                      <w:kern w:val="0"/>
                      <w:szCs w:val="21"/>
                    </w:rPr>
                    <w:t>6.55</w:t>
                  </w:r>
                </w:p>
              </w:tc>
            </w:tr>
            <w:bookmarkEnd w:id="9"/>
          </w:tbl>
          <w:p w14:paraId="10443A6F">
            <w:pPr>
              <w:spacing w:line="360" w:lineRule="auto"/>
              <w:rPr>
                <w:bCs/>
                <w:color w:val="auto"/>
                <w:sz w:val="24"/>
              </w:rPr>
            </w:pPr>
          </w:p>
        </w:tc>
      </w:tr>
    </w:tbl>
    <w:p w14:paraId="35C8B615">
      <w:pPr>
        <w:adjustRightInd w:val="0"/>
        <w:snapToGrid w:val="0"/>
        <w:spacing w:line="360" w:lineRule="auto"/>
        <w:rPr>
          <w:b/>
          <w:kern w:val="0"/>
          <w:sz w:val="28"/>
          <w:szCs w:val="28"/>
        </w:rPr>
        <w:sectPr>
          <w:pgSz w:w="11907" w:h="16840"/>
          <w:pgMar w:top="1701" w:right="1531" w:bottom="2127" w:left="1531" w:header="851" w:footer="851" w:gutter="0"/>
          <w:cols w:space="720" w:num="1"/>
          <w:docGrid w:linePitch="312" w:charSpace="0"/>
        </w:sectPr>
      </w:pPr>
    </w:p>
    <w:p w14:paraId="59BDDE36">
      <w:pPr>
        <w:pStyle w:val="13"/>
        <w:jc w:val="center"/>
        <w:outlineLvl w:val="0"/>
        <w:rPr>
          <w:rFonts w:ascii="Times New Roman" w:hAnsi="Times New Roman" w:eastAsia="黑体"/>
          <w:snapToGrid w:val="0"/>
          <w:sz w:val="30"/>
          <w:szCs w:val="30"/>
        </w:rPr>
      </w:pPr>
      <w:r>
        <w:rPr>
          <w:rFonts w:ascii="Times New Roman" w:hAnsi="Times New Roman" w:eastAsia="黑体"/>
          <w:snapToGrid w:val="0"/>
          <w:sz w:val="30"/>
          <w:szCs w:val="30"/>
        </w:rPr>
        <w:t>五、</w:t>
      </w:r>
      <w:bookmarkStart w:id="10" w:name="_Hlk54167917"/>
      <w:r>
        <w:rPr>
          <w:rFonts w:ascii="Times New Roman" w:hAnsi="Times New Roman" w:eastAsia="黑体"/>
          <w:snapToGrid w:val="0"/>
          <w:sz w:val="30"/>
          <w:szCs w:val="30"/>
        </w:rPr>
        <w:t>环境保护措施监督检查清单</w:t>
      </w:r>
      <w:bookmarkEnd w:id="10"/>
    </w:p>
    <w:tbl>
      <w:tblPr>
        <w:tblStyle w:val="16"/>
        <w:tblW w:w="88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8"/>
        <w:gridCol w:w="1701"/>
        <w:gridCol w:w="1275"/>
        <w:gridCol w:w="2268"/>
        <w:gridCol w:w="2018"/>
      </w:tblGrid>
      <w:tr w14:paraId="15914D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tcBorders>
              <w:tl2br w:val="single" w:color="auto" w:sz="4" w:space="0"/>
            </w:tcBorders>
          </w:tcPr>
          <w:p w14:paraId="4777C30C">
            <w:pPr>
              <w:adjustRightInd w:val="0"/>
              <w:snapToGrid w:val="0"/>
              <w:ind w:firstLine="840"/>
              <w:rPr>
                <w:b/>
                <w:bCs/>
                <w:color w:val="auto"/>
                <w:szCs w:val="21"/>
              </w:rPr>
            </w:pPr>
            <w:r>
              <w:rPr>
                <w:b/>
                <w:bCs/>
                <w:color w:val="auto"/>
                <w:szCs w:val="21"/>
              </w:rPr>
              <w:t>内容</w:t>
            </w:r>
          </w:p>
          <w:p w14:paraId="07BE262A">
            <w:pPr>
              <w:adjustRightInd w:val="0"/>
              <w:snapToGrid w:val="0"/>
              <w:rPr>
                <w:b/>
                <w:bCs/>
                <w:color w:val="auto"/>
                <w:szCs w:val="21"/>
              </w:rPr>
            </w:pPr>
            <w:r>
              <w:rPr>
                <w:b/>
                <w:bCs/>
                <w:color w:val="auto"/>
                <w:szCs w:val="21"/>
              </w:rPr>
              <w:t>要素</w:t>
            </w:r>
          </w:p>
        </w:tc>
        <w:tc>
          <w:tcPr>
            <w:tcW w:w="1701" w:type="dxa"/>
            <w:vAlign w:val="center"/>
          </w:tcPr>
          <w:p w14:paraId="63386588">
            <w:pPr>
              <w:adjustRightInd w:val="0"/>
              <w:snapToGrid w:val="0"/>
              <w:jc w:val="center"/>
              <w:rPr>
                <w:b/>
                <w:bCs/>
                <w:color w:val="auto"/>
                <w:szCs w:val="21"/>
              </w:rPr>
            </w:pPr>
            <w:r>
              <w:rPr>
                <w:b/>
                <w:bCs/>
                <w:color w:val="auto"/>
                <w:szCs w:val="21"/>
              </w:rPr>
              <w:t>排放口</w:t>
            </w:r>
            <w:r>
              <w:rPr>
                <w:rFonts w:hint="eastAsia"/>
                <w:b/>
                <w:bCs/>
                <w:color w:val="auto"/>
                <w:szCs w:val="21"/>
                <w:lang w:eastAsia="zh-CN"/>
              </w:rPr>
              <w:t>（</w:t>
            </w:r>
            <w:r>
              <w:rPr>
                <w:b/>
                <w:bCs/>
                <w:color w:val="auto"/>
                <w:szCs w:val="21"/>
              </w:rPr>
              <w:t>编号、</w:t>
            </w:r>
          </w:p>
          <w:p w14:paraId="6C5FF9EC">
            <w:pPr>
              <w:adjustRightInd w:val="0"/>
              <w:snapToGrid w:val="0"/>
              <w:jc w:val="center"/>
              <w:rPr>
                <w:b/>
                <w:bCs/>
                <w:color w:val="auto"/>
                <w:szCs w:val="21"/>
              </w:rPr>
            </w:pPr>
            <w:r>
              <w:rPr>
                <w:b/>
                <w:bCs/>
                <w:color w:val="auto"/>
                <w:szCs w:val="21"/>
              </w:rPr>
              <w:t>名称</w:t>
            </w:r>
            <w:r>
              <w:rPr>
                <w:rFonts w:hint="eastAsia"/>
                <w:b/>
                <w:bCs/>
                <w:color w:val="auto"/>
                <w:szCs w:val="21"/>
                <w:lang w:eastAsia="zh-CN"/>
              </w:rPr>
              <w:t>）</w:t>
            </w:r>
            <w:r>
              <w:rPr>
                <w:b/>
                <w:bCs/>
                <w:color w:val="auto"/>
                <w:szCs w:val="21"/>
              </w:rPr>
              <w:t>/污染源</w:t>
            </w:r>
          </w:p>
        </w:tc>
        <w:tc>
          <w:tcPr>
            <w:tcW w:w="1275" w:type="dxa"/>
            <w:vAlign w:val="center"/>
          </w:tcPr>
          <w:p w14:paraId="258E905B">
            <w:pPr>
              <w:adjustRightInd w:val="0"/>
              <w:snapToGrid w:val="0"/>
              <w:jc w:val="center"/>
              <w:rPr>
                <w:b/>
                <w:bCs/>
                <w:color w:val="auto"/>
                <w:szCs w:val="21"/>
              </w:rPr>
            </w:pPr>
            <w:r>
              <w:rPr>
                <w:b/>
                <w:bCs/>
                <w:color w:val="auto"/>
                <w:szCs w:val="21"/>
              </w:rPr>
              <w:t>污染物项目</w:t>
            </w:r>
          </w:p>
        </w:tc>
        <w:tc>
          <w:tcPr>
            <w:tcW w:w="2268" w:type="dxa"/>
            <w:vAlign w:val="center"/>
          </w:tcPr>
          <w:p w14:paraId="33056A10">
            <w:pPr>
              <w:adjustRightInd w:val="0"/>
              <w:snapToGrid w:val="0"/>
              <w:jc w:val="center"/>
              <w:rPr>
                <w:b/>
                <w:bCs/>
                <w:color w:val="auto"/>
                <w:szCs w:val="21"/>
              </w:rPr>
            </w:pPr>
            <w:r>
              <w:rPr>
                <w:b/>
                <w:bCs/>
                <w:color w:val="auto"/>
                <w:szCs w:val="21"/>
              </w:rPr>
              <w:t>环境保护措施</w:t>
            </w:r>
          </w:p>
        </w:tc>
        <w:tc>
          <w:tcPr>
            <w:tcW w:w="2018" w:type="dxa"/>
            <w:vAlign w:val="center"/>
          </w:tcPr>
          <w:p w14:paraId="6ABD7CA5">
            <w:pPr>
              <w:adjustRightInd w:val="0"/>
              <w:snapToGrid w:val="0"/>
              <w:jc w:val="center"/>
              <w:rPr>
                <w:b/>
                <w:bCs/>
                <w:color w:val="auto"/>
                <w:szCs w:val="21"/>
              </w:rPr>
            </w:pPr>
            <w:r>
              <w:rPr>
                <w:b/>
                <w:bCs/>
                <w:color w:val="auto"/>
                <w:szCs w:val="21"/>
              </w:rPr>
              <w:t>执行标准</w:t>
            </w:r>
          </w:p>
        </w:tc>
      </w:tr>
      <w:tr w14:paraId="1F44BF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restart"/>
            <w:vAlign w:val="center"/>
          </w:tcPr>
          <w:p w14:paraId="4EC60B59">
            <w:pPr>
              <w:adjustRightInd w:val="0"/>
              <w:snapToGrid w:val="0"/>
              <w:jc w:val="center"/>
              <w:rPr>
                <w:b/>
                <w:bCs/>
                <w:color w:val="auto"/>
                <w:szCs w:val="21"/>
              </w:rPr>
            </w:pPr>
            <w:r>
              <w:rPr>
                <w:b/>
                <w:bCs/>
                <w:color w:val="auto"/>
                <w:szCs w:val="21"/>
              </w:rPr>
              <w:t>大气环境</w:t>
            </w:r>
          </w:p>
        </w:tc>
        <w:tc>
          <w:tcPr>
            <w:tcW w:w="1701" w:type="dxa"/>
            <w:vAlign w:val="center"/>
          </w:tcPr>
          <w:p w14:paraId="3F72C7CA">
            <w:pPr>
              <w:jc w:val="center"/>
              <w:rPr>
                <w:color w:val="auto"/>
                <w:szCs w:val="21"/>
              </w:rPr>
            </w:pPr>
            <w:r>
              <w:rPr>
                <w:color w:val="auto"/>
                <w:szCs w:val="21"/>
              </w:rPr>
              <w:t>1#水泥筒仓仓顶排口</w:t>
            </w:r>
          </w:p>
        </w:tc>
        <w:tc>
          <w:tcPr>
            <w:tcW w:w="1275" w:type="dxa"/>
            <w:vAlign w:val="center"/>
          </w:tcPr>
          <w:p w14:paraId="01CA9E90">
            <w:pPr>
              <w:adjustRightInd w:val="0"/>
              <w:snapToGrid w:val="0"/>
              <w:jc w:val="center"/>
              <w:rPr>
                <w:color w:val="auto"/>
                <w:szCs w:val="21"/>
              </w:rPr>
            </w:pPr>
            <w:r>
              <w:rPr>
                <w:color w:val="auto"/>
                <w:szCs w:val="21"/>
              </w:rPr>
              <w:t>颗粒物</w:t>
            </w:r>
          </w:p>
        </w:tc>
        <w:tc>
          <w:tcPr>
            <w:tcW w:w="2268" w:type="dxa"/>
            <w:vAlign w:val="center"/>
          </w:tcPr>
          <w:p w14:paraId="46F23ECA">
            <w:pPr>
              <w:adjustRightInd w:val="0"/>
              <w:snapToGrid w:val="0"/>
              <w:jc w:val="center"/>
              <w:rPr>
                <w:color w:val="auto"/>
                <w:szCs w:val="21"/>
                <w:lang w:bidi="ar"/>
              </w:rPr>
            </w:pPr>
            <w:r>
              <w:rPr>
                <w:rFonts w:hint="eastAsia"/>
                <w:color w:val="auto"/>
                <w:szCs w:val="21"/>
                <w:lang w:bidi="ar"/>
              </w:rPr>
              <w:t>筒仓顶自带仓顶袋式除尘器+15m排气口</w:t>
            </w:r>
          </w:p>
        </w:tc>
        <w:tc>
          <w:tcPr>
            <w:tcW w:w="2018" w:type="dxa"/>
            <w:vMerge w:val="restart"/>
            <w:vAlign w:val="center"/>
          </w:tcPr>
          <w:p w14:paraId="7E75C924">
            <w:pPr>
              <w:adjustRightInd w:val="0"/>
              <w:snapToGrid w:val="0"/>
              <w:jc w:val="center"/>
              <w:rPr>
                <w:color w:val="auto"/>
                <w:szCs w:val="21"/>
              </w:rPr>
            </w:pPr>
            <w:r>
              <w:rPr>
                <w:color w:val="auto"/>
                <w:szCs w:val="21"/>
              </w:rPr>
              <w:t>《水泥工业大气污染物排放标准》</w:t>
            </w:r>
            <w:r>
              <w:rPr>
                <w:rFonts w:hint="eastAsia"/>
                <w:color w:val="auto"/>
                <w:szCs w:val="21"/>
                <w:lang w:eastAsia="zh-CN"/>
              </w:rPr>
              <w:t>（</w:t>
            </w:r>
            <w:r>
              <w:rPr>
                <w:color w:val="auto"/>
                <w:szCs w:val="21"/>
              </w:rPr>
              <w:t>GB4915-2013</w:t>
            </w:r>
            <w:r>
              <w:rPr>
                <w:rFonts w:hint="eastAsia"/>
                <w:color w:val="auto"/>
                <w:szCs w:val="21"/>
                <w:lang w:eastAsia="zh-CN"/>
              </w:rPr>
              <w:t>）</w:t>
            </w:r>
            <w:r>
              <w:rPr>
                <w:snapToGrid w:val="0"/>
                <w:color w:val="auto"/>
                <w:szCs w:val="21"/>
              </w:rPr>
              <w:t>表1标准</w:t>
            </w:r>
          </w:p>
        </w:tc>
      </w:tr>
      <w:tr w14:paraId="393E70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40B82854">
            <w:pPr>
              <w:adjustRightInd w:val="0"/>
              <w:snapToGrid w:val="0"/>
              <w:jc w:val="center"/>
              <w:rPr>
                <w:b/>
                <w:bCs/>
                <w:color w:val="auto"/>
                <w:szCs w:val="21"/>
              </w:rPr>
            </w:pPr>
          </w:p>
        </w:tc>
        <w:tc>
          <w:tcPr>
            <w:tcW w:w="1701" w:type="dxa"/>
            <w:vAlign w:val="center"/>
          </w:tcPr>
          <w:p w14:paraId="11D2776E">
            <w:pPr>
              <w:jc w:val="center"/>
              <w:rPr>
                <w:color w:val="auto"/>
                <w:szCs w:val="21"/>
              </w:rPr>
            </w:pPr>
            <w:r>
              <w:rPr>
                <w:color w:val="auto"/>
                <w:szCs w:val="21"/>
              </w:rPr>
              <w:t>2#水泥筒仓仓顶排口</w:t>
            </w:r>
          </w:p>
        </w:tc>
        <w:tc>
          <w:tcPr>
            <w:tcW w:w="1275" w:type="dxa"/>
            <w:vAlign w:val="center"/>
          </w:tcPr>
          <w:p w14:paraId="30174527">
            <w:pPr>
              <w:adjustRightInd w:val="0"/>
              <w:snapToGrid w:val="0"/>
              <w:jc w:val="center"/>
              <w:rPr>
                <w:color w:val="auto"/>
                <w:szCs w:val="21"/>
              </w:rPr>
            </w:pPr>
            <w:r>
              <w:rPr>
                <w:color w:val="auto"/>
                <w:szCs w:val="21"/>
              </w:rPr>
              <w:t>颗粒物</w:t>
            </w:r>
          </w:p>
        </w:tc>
        <w:tc>
          <w:tcPr>
            <w:tcW w:w="2268" w:type="dxa"/>
            <w:vAlign w:val="center"/>
          </w:tcPr>
          <w:p w14:paraId="787C0980">
            <w:pPr>
              <w:adjustRightInd w:val="0"/>
              <w:snapToGrid w:val="0"/>
              <w:jc w:val="center"/>
              <w:rPr>
                <w:color w:val="auto"/>
                <w:szCs w:val="21"/>
                <w:lang w:bidi="ar"/>
              </w:rPr>
            </w:pPr>
            <w:r>
              <w:rPr>
                <w:rFonts w:hint="eastAsia"/>
                <w:color w:val="auto"/>
                <w:szCs w:val="21"/>
                <w:lang w:bidi="ar"/>
              </w:rPr>
              <w:t>筒仓顶自带仓顶袋式除尘器+15m排气口</w:t>
            </w:r>
          </w:p>
        </w:tc>
        <w:tc>
          <w:tcPr>
            <w:tcW w:w="2018" w:type="dxa"/>
            <w:vMerge w:val="continue"/>
            <w:vAlign w:val="center"/>
          </w:tcPr>
          <w:p w14:paraId="26F0DE86">
            <w:pPr>
              <w:adjustRightInd w:val="0"/>
              <w:snapToGrid w:val="0"/>
              <w:jc w:val="center"/>
              <w:rPr>
                <w:color w:val="auto"/>
                <w:szCs w:val="21"/>
              </w:rPr>
            </w:pPr>
          </w:p>
        </w:tc>
      </w:tr>
      <w:tr w14:paraId="0F310B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7EF7CF75">
            <w:pPr>
              <w:adjustRightInd w:val="0"/>
              <w:snapToGrid w:val="0"/>
              <w:jc w:val="center"/>
              <w:rPr>
                <w:b/>
                <w:bCs/>
                <w:color w:val="auto"/>
                <w:szCs w:val="21"/>
              </w:rPr>
            </w:pPr>
          </w:p>
        </w:tc>
        <w:tc>
          <w:tcPr>
            <w:tcW w:w="1701" w:type="dxa"/>
            <w:vAlign w:val="center"/>
          </w:tcPr>
          <w:p w14:paraId="1D376BDA">
            <w:pPr>
              <w:jc w:val="center"/>
              <w:rPr>
                <w:color w:val="auto"/>
                <w:szCs w:val="21"/>
              </w:rPr>
            </w:pPr>
            <w:r>
              <w:rPr>
                <w:rFonts w:hint="eastAsia"/>
                <w:color w:val="auto"/>
                <w:szCs w:val="21"/>
              </w:rPr>
              <w:t>3</w:t>
            </w:r>
            <w:r>
              <w:rPr>
                <w:color w:val="auto"/>
                <w:szCs w:val="21"/>
              </w:rPr>
              <w:t>#水泥筒仓仓顶排口</w:t>
            </w:r>
          </w:p>
        </w:tc>
        <w:tc>
          <w:tcPr>
            <w:tcW w:w="1275" w:type="dxa"/>
            <w:vAlign w:val="center"/>
          </w:tcPr>
          <w:p w14:paraId="41353C97">
            <w:pPr>
              <w:adjustRightInd w:val="0"/>
              <w:snapToGrid w:val="0"/>
              <w:jc w:val="center"/>
              <w:rPr>
                <w:color w:val="auto"/>
                <w:szCs w:val="21"/>
              </w:rPr>
            </w:pPr>
            <w:r>
              <w:rPr>
                <w:color w:val="auto"/>
                <w:szCs w:val="21"/>
              </w:rPr>
              <w:t>颗粒物</w:t>
            </w:r>
          </w:p>
        </w:tc>
        <w:tc>
          <w:tcPr>
            <w:tcW w:w="2268" w:type="dxa"/>
            <w:vAlign w:val="center"/>
          </w:tcPr>
          <w:p w14:paraId="4B07496F">
            <w:pPr>
              <w:adjustRightInd w:val="0"/>
              <w:snapToGrid w:val="0"/>
              <w:jc w:val="center"/>
              <w:rPr>
                <w:color w:val="auto"/>
                <w:szCs w:val="21"/>
                <w:lang w:bidi="ar"/>
              </w:rPr>
            </w:pPr>
            <w:r>
              <w:rPr>
                <w:rFonts w:hint="eastAsia"/>
                <w:color w:val="auto"/>
                <w:szCs w:val="21"/>
                <w:lang w:bidi="ar"/>
              </w:rPr>
              <w:t>筒仓顶自带仓顶袋式除尘器+15m排气口</w:t>
            </w:r>
          </w:p>
        </w:tc>
        <w:tc>
          <w:tcPr>
            <w:tcW w:w="2018" w:type="dxa"/>
            <w:vMerge w:val="continue"/>
            <w:vAlign w:val="center"/>
          </w:tcPr>
          <w:p w14:paraId="6FF4847D">
            <w:pPr>
              <w:adjustRightInd w:val="0"/>
              <w:snapToGrid w:val="0"/>
              <w:jc w:val="center"/>
              <w:rPr>
                <w:color w:val="auto"/>
                <w:szCs w:val="21"/>
              </w:rPr>
            </w:pPr>
          </w:p>
        </w:tc>
      </w:tr>
      <w:tr w14:paraId="0F706F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38057F23">
            <w:pPr>
              <w:adjustRightInd w:val="0"/>
              <w:snapToGrid w:val="0"/>
              <w:jc w:val="center"/>
              <w:rPr>
                <w:b/>
                <w:bCs/>
                <w:color w:val="auto"/>
                <w:szCs w:val="21"/>
              </w:rPr>
            </w:pPr>
          </w:p>
        </w:tc>
        <w:tc>
          <w:tcPr>
            <w:tcW w:w="1701" w:type="dxa"/>
            <w:vAlign w:val="center"/>
          </w:tcPr>
          <w:p w14:paraId="52E6A52F">
            <w:pPr>
              <w:jc w:val="center"/>
              <w:rPr>
                <w:color w:val="auto"/>
                <w:szCs w:val="21"/>
              </w:rPr>
            </w:pPr>
            <w:r>
              <w:rPr>
                <w:rFonts w:hint="eastAsia"/>
                <w:color w:val="auto"/>
                <w:szCs w:val="21"/>
              </w:rPr>
              <w:t>4</w:t>
            </w:r>
            <w:r>
              <w:rPr>
                <w:color w:val="auto"/>
                <w:szCs w:val="21"/>
              </w:rPr>
              <w:t>#水泥筒仓仓顶排口</w:t>
            </w:r>
          </w:p>
        </w:tc>
        <w:tc>
          <w:tcPr>
            <w:tcW w:w="1275" w:type="dxa"/>
            <w:vAlign w:val="center"/>
          </w:tcPr>
          <w:p w14:paraId="3F9895A0">
            <w:pPr>
              <w:adjustRightInd w:val="0"/>
              <w:snapToGrid w:val="0"/>
              <w:jc w:val="center"/>
              <w:rPr>
                <w:color w:val="auto"/>
                <w:szCs w:val="21"/>
              </w:rPr>
            </w:pPr>
            <w:r>
              <w:rPr>
                <w:color w:val="auto"/>
                <w:szCs w:val="21"/>
              </w:rPr>
              <w:t>颗粒物</w:t>
            </w:r>
          </w:p>
        </w:tc>
        <w:tc>
          <w:tcPr>
            <w:tcW w:w="2268" w:type="dxa"/>
            <w:vAlign w:val="center"/>
          </w:tcPr>
          <w:p w14:paraId="2960C522">
            <w:pPr>
              <w:adjustRightInd w:val="0"/>
              <w:snapToGrid w:val="0"/>
              <w:jc w:val="center"/>
              <w:rPr>
                <w:color w:val="auto"/>
                <w:szCs w:val="21"/>
                <w:lang w:bidi="ar"/>
              </w:rPr>
            </w:pPr>
            <w:r>
              <w:rPr>
                <w:rFonts w:hint="eastAsia"/>
                <w:color w:val="auto"/>
                <w:szCs w:val="21"/>
                <w:lang w:bidi="ar"/>
              </w:rPr>
              <w:t>筒仓顶自带仓顶袋式除尘器+15m排气口</w:t>
            </w:r>
          </w:p>
        </w:tc>
        <w:tc>
          <w:tcPr>
            <w:tcW w:w="2018" w:type="dxa"/>
            <w:vMerge w:val="continue"/>
            <w:vAlign w:val="center"/>
          </w:tcPr>
          <w:p w14:paraId="0CA3E119">
            <w:pPr>
              <w:adjustRightInd w:val="0"/>
              <w:snapToGrid w:val="0"/>
              <w:jc w:val="center"/>
              <w:rPr>
                <w:color w:val="auto"/>
                <w:szCs w:val="21"/>
              </w:rPr>
            </w:pPr>
          </w:p>
        </w:tc>
      </w:tr>
      <w:tr w14:paraId="11AC7F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74FA44F2">
            <w:pPr>
              <w:adjustRightInd w:val="0"/>
              <w:snapToGrid w:val="0"/>
              <w:jc w:val="center"/>
              <w:rPr>
                <w:b/>
                <w:bCs/>
                <w:color w:val="auto"/>
                <w:szCs w:val="21"/>
              </w:rPr>
            </w:pPr>
          </w:p>
        </w:tc>
        <w:tc>
          <w:tcPr>
            <w:tcW w:w="1701" w:type="dxa"/>
            <w:vAlign w:val="center"/>
          </w:tcPr>
          <w:p w14:paraId="2D14BDA3">
            <w:pPr>
              <w:adjustRightInd w:val="0"/>
              <w:snapToGrid w:val="0"/>
              <w:jc w:val="center"/>
              <w:rPr>
                <w:color w:val="auto"/>
                <w:szCs w:val="21"/>
              </w:rPr>
            </w:pPr>
            <w:r>
              <w:rPr>
                <w:color w:val="auto"/>
                <w:szCs w:val="21"/>
              </w:rPr>
              <w:t>原料堆存</w:t>
            </w:r>
            <w:r>
              <w:rPr>
                <w:rFonts w:hint="eastAsia"/>
                <w:color w:val="auto"/>
                <w:szCs w:val="21"/>
                <w:lang w:eastAsia="zh-CN"/>
              </w:rPr>
              <w:t>、</w:t>
            </w:r>
            <w:r>
              <w:rPr>
                <w:color w:val="auto"/>
                <w:szCs w:val="21"/>
              </w:rPr>
              <w:t>装卸</w:t>
            </w:r>
          </w:p>
        </w:tc>
        <w:tc>
          <w:tcPr>
            <w:tcW w:w="1275" w:type="dxa"/>
            <w:vAlign w:val="center"/>
          </w:tcPr>
          <w:p w14:paraId="5D48383C">
            <w:pPr>
              <w:adjustRightInd w:val="0"/>
              <w:snapToGrid w:val="0"/>
              <w:jc w:val="center"/>
              <w:rPr>
                <w:color w:val="auto"/>
                <w:szCs w:val="21"/>
              </w:rPr>
            </w:pPr>
            <w:r>
              <w:rPr>
                <w:color w:val="auto"/>
                <w:szCs w:val="21"/>
              </w:rPr>
              <w:t>颗粒物</w:t>
            </w:r>
          </w:p>
        </w:tc>
        <w:tc>
          <w:tcPr>
            <w:tcW w:w="2268" w:type="dxa"/>
            <w:vAlign w:val="center"/>
          </w:tcPr>
          <w:p w14:paraId="6CB707DF">
            <w:pPr>
              <w:adjustRightInd w:val="0"/>
              <w:snapToGrid w:val="0"/>
              <w:jc w:val="center"/>
              <w:rPr>
                <w:color w:val="auto"/>
                <w:szCs w:val="21"/>
              </w:rPr>
            </w:pPr>
            <w:r>
              <w:rPr>
                <w:color w:val="auto"/>
                <w:szCs w:val="21"/>
              </w:rPr>
              <w:t>砂石料场</w:t>
            </w:r>
            <w:r>
              <w:rPr>
                <w:rFonts w:hint="eastAsia"/>
                <w:color w:val="auto"/>
                <w:szCs w:val="21"/>
              </w:rPr>
              <w:t>三面挡墙、</w:t>
            </w:r>
            <w:r>
              <w:rPr>
                <w:color w:val="auto"/>
                <w:szCs w:val="21"/>
              </w:rPr>
              <w:t>密目网苫盖、洒水抑尘</w:t>
            </w:r>
          </w:p>
        </w:tc>
        <w:tc>
          <w:tcPr>
            <w:tcW w:w="2018" w:type="dxa"/>
            <w:vMerge w:val="restart"/>
            <w:vAlign w:val="center"/>
          </w:tcPr>
          <w:p w14:paraId="2BBDD02E">
            <w:pPr>
              <w:adjustRightInd w:val="0"/>
              <w:snapToGrid w:val="0"/>
              <w:jc w:val="center"/>
              <w:rPr>
                <w:color w:val="auto"/>
                <w:szCs w:val="21"/>
              </w:rPr>
            </w:pPr>
            <w:r>
              <w:rPr>
                <w:color w:val="auto"/>
                <w:szCs w:val="21"/>
              </w:rPr>
              <w:t>《水泥工业大气污染物排放标准》</w:t>
            </w:r>
            <w:r>
              <w:rPr>
                <w:rFonts w:hint="eastAsia"/>
                <w:color w:val="auto"/>
                <w:szCs w:val="21"/>
                <w:lang w:eastAsia="zh-CN"/>
              </w:rPr>
              <w:t>（</w:t>
            </w:r>
            <w:r>
              <w:rPr>
                <w:color w:val="auto"/>
                <w:szCs w:val="21"/>
              </w:rPr>
              <w:t>GB4915-2013</w:t>
            </w:r>
            <w:r>
              <w:rPr>
                <w:rFonts w:hint="eastAsia"/>
                <w:color w:val="auto"/>
                <w:szCs w:val="21"/>
                <w:lang w:eastAsia="zh-CN"/>
              </w:rPr>
              <w:t>）</w:t>
            </w:r>
            <w:r>
              <w:rPr>
                <w:rFonts w:hint="eastAsia"/>
                <w:snapToGrid w:val="0"/>
                <w:color w:val="auto"/>
                <w:szCs w:val="21"/>
              </w:rPr>
              <w:t>表</w:t>
            </w:r>
            <w:r>
              <w:rPr>
                <w:snapToGrid w:val="0"/>
                <w:color w:val="auto"/>
                <w:szCs w:val="21"/>
              </w:rPr>
              <w:t>3</w:t>
            </w:r>
            <w:r>
              <w:rPr>
                <w:rFonts w:hint="eastAsia"/>
                <w:snapToGrid w:val="0"/>
                <w:color w:val="auto"/>
                <w:szCs w:val="21"/>
              </w:rPr>
              <w:t>标准</w:t>
            </w:r>
          </w:p>
        </w:tc>
      </w:tr>
      <w:tr w14:paraId="004BEE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2C98E6CB">
            <w:pPr>
              <w:adjustRightInd w:val="0"/>
              <w:snapToGrid w:val="0"/>
              <w:jc w:val="center"/>
              <w:rPr>
                <w:b/>
                <w:bCs/>
                <w:color w:val="auto"/>
                <w:szCs w:val="21"/>
              </w:rPr>
            </w:pPr>
          </w:p>
        </w:tc>
        <w:tc>
          <w:tcPr>
            <w:tcW w:w="1701" w:type="dxa"/>
            <w:vAlign w:val="center"/>
          </w:tcPr>
          <w:p w14:paraId="0ED25C4A">
            <w:pPr>
              <w:adjustRightInd w:val="0"/>
              <w:snapToGrid w:val="0"/>
              <w:jc w:val="center"/>
              <w:rPr>
                <w:color w:val="auto"/>
                <w:szCs w:val="21"/>
              </w:rPr>
            </w:pPr>
            <w:r>
              <w:rPr>
                <w:color w:val="auto"/>
                <w:szCs w:val="21"/>
              </w:rPr>
              <w:t>砂石配料输送</w:t>
            </w:r>
          </w:p>
        </w:tc>
        <w:tc>
          <w:tcPr>
            <w:tcW w:w="1275" w:type="dxa"/>
            <w:vAlign w:val="center"/>
          </w:tcPr>
          <w:p w14:paraId="05F4A6E8">
            <w:pPr>
              <w:adjustRightInd w:val="0"/>
              <w:snapToGrid w:val="0"/>
              <w:jc w:val="center"/>
              <w:rPr>
                <w:color w:val="auto"/>
                <w:szCs w:val="21"/>
              </w:rPr>
            </w:pPr>
            <w:r>
              <w:rPr>
                <w:color w:val="auto"/>
                <w:szCs w:val="21"/>
              </w:rPr>
              <w:t>颗粒物</w:t>
            </w:r>
          </w:p>
        </w:tc>
        <w:tc>
          <w:tcPr>
            <w:tcW w:w="2268" w:type="dxa"/>
            <w:vAlign w:val="center"/>
          </w:tcPr>
          <w:p w14:paraId="3F0303B5">
            <w:pPr>
              <w:adjustRightInd w:val="0"/>
              <w:snapToGrid w:val="0"/>
              <w:jc w:val="center"/>
              <w:rPr>
                <w:color w:val="auto"/>
                <w:szCs w:val="21"/>
                <w:lang w:bidi="ar"/>
              </w:rPr>
            </w:pPr>
            <w:r>
              <w:rPr>
                <w:color w:val="auto"/>
                <w:szCs w:val="21"/>
              </w:rPr>
              <w:t>输送带密闭，上料口三面封闭，上方设置喷淋装置</w:t>
            </w:r>
          </w:p>
        </w:tc>
        <w:tc>
          <w:tcPr>
            <w:tcW w:w="2018" w:type="dxa"/>
            <w:vMerge w:val="continue"/>
            <w:vAlign w:val="center"/>
          </w:tcPr>
          <w:p w14:paraId="198AC362">
            <w:pPr>
              <w:adjustRightInd w:val="0"/>
              <w:snapToGrid w:val="0"/>
              <w:jc w:val="center"/>
              <w:rPr>
                <w:color w:val="auto"/>
                <w:szCs w:val="21"/>
              </w:rPr>
            </w:pPr>
          </w:p>
        </w:tc>
      </w:tr>
      <w:tr w14:paraId="5C0109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198C925C">
            <w:pPr>
              <w:adjustRightInd w:val="0"/>
              <w:snapToGrid w:val="0"/>
              <w:jc w:val="center"/>
              <w:rPr>
                <w:b/>
                <w:bCs/>
                <w:color w:val="auto"/>
                <w:szCs w:val="21"/>
              </w:rPr>
            </w:pPr>
          </w:p>
        </w:tc>
        <w:tc>
          <w:tcPr>
            <w:tcW w:w="1701" w:type="dxa"/>
            <w:vAlign w:val="center"/>
          </w:tcPr>
          <w:p w14:paraId="34EC0C8B">
            <w:pPr>
              <w:adjustRightInd w:val="0"/>
              <w:snapToGrid w:val="0"/>
              <w:jc w:val="center"/>
              <w:rPr>
                <w:color w:val="auto"/>
                <w:szCs w:val="21"/>
              </w:rPr>
            </w:pPr>
            <w:r>
              <w:rPr>
                <w:color w:val="auto"/>
                <w:szCs w:val="21"/>
              </w:rPr>
              <w:t>物料混合搅拌</w:t>
            </w:r>
          </w:p>
        </w:tc>
        <w:tc>
          <w:tcPr>
            <w:tcW w:w="1275" w:type="dxa"/>
            <w:vAlign w:val="center"/>
          </w:tcPr>
          <w:p w14:paraId="7E516F25">
            <w:pPr>
              <w:adjustRightInd w:val="0"/>
              <w:snapToGrid w:val="0"/>
              <w:jc w:val="center"/>
              <w:rPr>
                <w:color w:val="auto"/>
                <w:szCs w:val="21"/>
              </w:rPr>
            </w:pPr>
            <w:r>
              <w:rPr>
                <w:color w:val="auto"/>
                <w:szCs w:val="21"/>
              </w:rPr>
              <w:t>颗粒物</w:t>
            </w:r>
          </w:p>
        </w:tc>
        <w:tc>
          <w:tcPr>
            <w:tcW w:w="2268" w:type="dxa"/>
            <w:vAlign w:val="center"/>
          </w:tcPr>
          <w:p w14:paraId="28BA89F6">
            <w:pPr>
              <w:adjustRightInd w:val="0"/>
              <w:snapToGrid w:val="0"/>
              <w:jc w:val="center"/>
              <w:rPr>
                <w:color w:val="auto"/>
                <w:szCs w:val="21"/>
                <w:lang w:bidi="ar"/>
              </w:rPr>
            </w:pPr>
            <w:r>
              <w:rPr>
                <w:rFonts w:hint="eastAsia"/>
                <w:color w:val="auto"/>
                <w:szCs w:val="21"/>
              </w:rPr>
              <w:t>2套</w:t>
            </w:r>
            <w:r>
              <w:rPr>
                <w:color w:val="auto"/>
                <w:szCs w:val="21"/>
              </w:rPr>
              <w:t>封闭式搅拌机组</w:t>
            </w:r>
            <w:r>
              <w:rPr>
                <w:rFonts w:hint="eastAsia"/>
                <w:color w:val="auto"/>
                <w:szCs w:val="21"/>
              </w:rPr>
              <w:t>+</w:t>
            </w:r>
            <w:r>
              <w:rPr>
                <w:rFonts w:hint="eastAsia"/>
                <w:bCs/>
                <w:color w:val="auto"/>
                <w:szCs w:val="21"/>
              </w:rPr>
              <w:t>脉冲布袋除尘器</w:t>
            </w:r>
          </w:p>
        </w:tc>
        <w:tc>
          <w:tcPr>
            <w:tcW w:w="2018" w:type="dxa"/>
            <w:vMerge w:val="continue"/>
            <w:vAlign w:val="center"/>
          </w:tcPr>
          <w:p w14:paraId="1117CD32">
            <w:pPr>
              <w:adjustRightInd w:val="0"/>
              <w:snapToGrid w:val="0"/>
              <w:jc w:val="center"/>
              <w:rPr>
                <w:color w:val="auto"/>
                <w:szCs w:val="21"/>
              </w:rPr>
            </w:pPr>
          </w:p>
        </w:tc>
      </w:tr>
      <w:tr w14:paraId="6659B8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315866A6">
            <w:pPr>
              <w:adjustRightInd w:val="0"/>
              <w:snapToGrid w:val="0"/>
              <w:jc w:val="center"/>
              <w:rPr>
                <w:b/>
                <w:bCs/>
                <w:color w:val="auto"/>
                <w:szCs w:val="21"/>
              </w:rPr>
            </w:pPr>
          </w:p>
        </w:tc>
        <w:tc>
          <w:tcPr>
            <w:tcW w:w="1701" w:type="dxa"/>
            <w:vAlign w:val="center"/>
          </w:tcPr>
          <w:p w14:paraId="68C7BDC5">
            <w:pPr>
              <w:adjustRightInd w:val="0"/>
              <w:snapToGrid w:val="0"/>
              <w:jc w:val="center"/>
              <w:rPr>
                <w:color w:val="auto"/>
                <w:szCs w:val="21"/>
              </w:rPr>
            </w:pPr>
            <w:r>
              <w:rPr>
                <w:rFonts w:hint="eastAsia"/>
                <w:color w:val="auto"/>
                <w:kern w:val="0"/>
                <w:szCs w:val="21"/>
              </w:rPr>
              <w:t>运输车辆</w:t>
            </w:r>
          </w:p>
        </w:tc>
        <w:tc>
          <w:tcPr>
            <w:tcW w:w="1275" w:type="dxa"/>
            <w:vAlign w:val="center"/>
          </w:tcPr>
          <w:p w14:paraId="69E8601C">
            <w:pPr>
              <w:adjustRightInd w:val="0"/>
              <w:snapToGrid w:val="0"/>
              <w:jc w:val="center"/>
              <w:rPr>
                <w:color w:val="auto"/>
                <w:szCs w:val="21"/>
              </w:rPr>
            </w:pPr>
            <w:r>
              <w:rPr>
                <w:color w:val="auto"/>
                <w:szCs w:val="21"/>
              </w:rPr>
              <w:t>颗粒物</w:t>
            </w:r>
          </w:p>
        </w:tc>
        <w:tc>
          <w:tcPr>
            <w:tcW w:w="2268" w:type="dxa"/>
            <w:vAlign w:val="center"/>
          </w:tcPr>
          <w:p w14:paraId="2A943902">
            <w:pPr>
              <w:adjustRightInd w:val="0"/>
              <w:snapToGrid w:val="0"/>
              <w:jc w:val="center"/>
              <w:rPr>
                <w:color w:val="auto"/>
                <w:szCs w:val="21"/>
                <w:lang w:bidi="ar"/>
              </w:rPr>
            </w:pPr>
            <w:r>
              <w:rPr>
                <w:rFonts w:hint="eastAsia"/>
                <w:color w:val="auto"/>
                <w:kern w:val="0"/>
                <w:szCs w:val="21"/>
              </w:rPr>
              <w:t>定时</w:t>
            </w:r>
            <w:r>
              <w:rPr>
                <w:color w:val="auto"/>
                <w:kern w:val="0"/>
                <w:szCs w:val="21"/>
              </w:rPr>
              <w:t>洒水抑尘</w:t>
            </w:r>
          </w:p>
        </w:tc>
        <w:tc>
          <w:tcPr>
            <w:tcW w:w="2018" w:type="dxa"/>
            <w:vMerge w:val="continue"/>
            <w:vAlign w:val="center"/>
          </w:tcPr>
          <w:p w14:paraId="070EF8E0">
            <w:pPr>
              <w:adjustRightInd w:val="0"/>
              <w:snapToGrid w:val="0"/>
              <w:jc w:val="center"/>
              <w:rPr>
                <w:color w:val="auto"/>
                <w:szCs w:val="21"/>
              </w:rPr>
            </w:pPr>
          </w:p>
        </w:tc>
      </w:tr>
      <w:tr w14:paraId="5A0CC9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restart"/>
            <w:vAlign w:val="center"/>
          </w:tcPr>
          <w:p w14:paraId="376623B0">
            <w:pPr>
              <w:adjustRightInd w:val="0"/>
              <w:snapToGrid w:val="0"/>
              <w:jc w:val="center"/>
              <w:rPr>
                <w:b/>
                <w:bCs/>
                <w:color w:val="auto"/>
                <w:szCs w:val="21"/>
              </w:rPr>
            </w:pPr>
            <w:r>
              <w:rPr>
                <w:b/>
                <w:bCs/>
                <w:color w:val="auto"/>
                <w:szCs w:val="21"/>
              </w:rPr>
              <w:t>地表水环境</w:t>
            </w:r>
          </w:p>
        </w:tc>
        <w:tc>
          <w:tcPr>
            <w:tcW w:w="1701" w:type="dxa"/>
            <w:vAlign w:val="center"/>
          </w:tcPr>
          <w:p w14:paraId="68A6A02D">
            <w:pPr>
              <w:adjustRightInd w:val="0"/>
              <w:snapToGrid w:val="0"/>
              <w:jc w:val="center"/>
              <w:rPr>
                <w:color w:val="auto"/>
                <w:szCs w:val="21"/>
                <w:lang w:bidi="ar"/>
              </w:rPr>
            </w:pPr>
            <w:r>
              <w:rPr>
                <w:color w:val="auto"/>
                <w:szCs w:val="21"/>
                <w:lang w:bidi="ar"/>
              </w:rPr>
              <w:t>搅拌机及运输车辆清洗废水、实验室废水</w:t>
            </w:r>
          </w:p>
        </w:tc>
        <w:tc>
          <w:tcPr>
            <w:tcW w:w="1275" w:type="dxa"/>
            <w:vAlign w:val="center"/>
          </w:tcPr>
          <w:p w14:paraId="563FCF0C">
            <w:pPr>
              <w:adjustRightInd w:val="0"/>
              <w:snapToGrid w:val="0"/>
              <w:jc w:val="center"/>
              <w:rPr>
                <w:color w:val="auto"/>
                <w:szCs w:val="21"/>
              </w:rPr>
            </w:pPr>
            <w:r>
              <w:rPr>
                <w:rFonts w:hint="eastAsia"/>
                <w:color w:val="auto"/>
                <w:szCs w:val="21"/>
              </w:rPr>
              <w:t>PH、</w:t>
            </w:r>
            <w:r>
              <w:rPr>
                <w:color w:val="auto"/>
                <w:szCs w:val="21"/>
              </w:rPr>
              <w:t>SS</w:t>
            </w:r>
            <w:r>
              <w:rPr>
                <w:rFonts w:hint="eastAsia"/>
                <w:color w:val="auto"/>
                <w:szCs w:val="21"/>
              </w:rPr>
              <w:t>、TDS等</w:t>
            </w:r>
          </w:p>
        </w:tc>
        <w:tc>
          <w:tcPr>
            <w:tcW w:w="2268" w:type="dxa"/>
            <w:vAlign w:val="center"/>
          </w:tcPr>
          <w:p w14:paraId="667F459E">
            <w:pPr>
              <w:adjustRightInd w:val="0"/>
              <w:snapToGrid w:val="0"/>
              <w:jc w:val="center"/>
              <w:rPr>
                <w:color w:val="auto"/>
                <w:szCs w:val="21"/>
              </w:rPr>
            </w:pPr>
            <w:r>
              <w:rPr>
                <w:color w:val="auto"/>
                <w:szCs w:val="21"/>
              </w:rPr>
              <w:t>经三级沉淀池沉淀处理后，全部回用，无外排</w:t>
            </w:r>
          </w:p>
        </w:tc>
        <w:tc>
          <w:tcPr>
            <w:tcW w:w="2018" w:type="dxa"/>
            <w:vAlign w:val="center"/>
          </w:tcPr>
          <w:p w14:paraId="7C2079D7">
            <w:pPr>
              <w:adjustRightInd w:val="0"/>
              <w:snapToGrid w:val="0"/>
              <w:jc w:val="center"/>
              <w:rPr>
                <w:color w:val="auto"/>
                <w:szCs w:val="21"/>
              </w:rPr>
            </w:pPr>
            <w:r>
              <w:rPr>
                <w:color w:val="auto"/>
                <w:szCs w:val="21"/>
              </w:rPr>
              <w:t>/</w:t>
            </w:r>
          </w:p>
        </w:tc>
      </w:tr>
      <w:tr w14:paraId="3DF19B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30E4703B">
            <w:pPr>
              <w:adjustRightInd w:val="0"/>
              <w:snapToGrid w:val="0"/>
              <w:jc w:val="center"/>
              <w:rPr>
                <w:b/>
                <w:bCs/>
                <w:color w:val="auto"/>
                <w:szCs w:val="21"/>
              </w:rPr>
            </w:pPr>
          </w:p>
        </w:tc>
        <w:tc>
          <w:tcPr>
            <w:tcW w:w="1701" w:type="dxa"/>
            <w:vAlign w:val="center"/>
          </w:tcPr>
          <w:p w14:paraId="2DE4F283">
            <w:pPr>
              <w:adjustRightInd w:val="0"/>
              <w:snapToGrid w:val="0"/>
              <w:jc w:val="center"/>
              <w:rPr>
                <w:color w:val="auto"/>
                <w:szCs w:val="21"/>
                <w:lang w:bidi="ar"/>
              </w:rPr>
            </w:pPr>
            <w:r>
              <w:rPr>
                <w:color w:val="auto"/>
                <w:szCs w:val="21"/>
                <w:lang w:bidi="ar"/>
              </w:rPr>
              <w:t>抑尘用水</w:t>
            </w:r>
          </w:p>
        </w:tc>
        <w:tc>
          <w:tcPr>
            <w:tcW w:w="1275" w:type="dxa"/>
            <w:vAlign w:val="center"/>
          </w:tcPr>
          <w:p w14:paraId="22199BA2">
            <w:pPr>
              <w:adjustRightInd w:val="0"/>
              <w:snapToGrid w:val="0"/>
              <w:jc w:val="center"/>
              <w:rPr>
                <w:color w:val="auto"/>
                <w:szCs w:val="21"/>
              </w:rPr>
            </w:pPr>
            <w:r>
              <w:rPr>
                <w:rFonts w:hint="eastAsia"/>
                <w:color w:val="auto"/>
                <w:szCs w:val="21"/>
              </w:rPr>
              <w:t>/</w:t>
            </w:r>
          </w:p>
        </w:tc>
        <w:tc>
          <w:tcPr>
            <w:tcW w:w="2268" w:type="dxa"/>
            <w:vAlign w:val="center"/>
          </w:tcPr>
          <w:p w14:paraId="7FF392DA">
            <w:pPr>
              <w:adjustRightInd w:val="0"/>
              <w:snapToGrid w:val="0"/>
              <w:jc w:val="center"/>
              <w:rPr>
                <w:color w:val="auto"/>
                <w:szCs w:val="21"/>
              </w:rPr>
            </w:pPr>
            <w:r>
              <w:rPr>
                <w:color w:val="auto"/>
                <w:szCs w:val="21"/>
              </w:rPr>
              <w:t>自然蒸发</w:t>
            </w:r>
          </w:p>
        </w:tc>
        <w:tc>
          <w:tcPr>
            <w:tcW w:w="2018" w:type="dxa"/>
            <w:vAlign w:val="center"/>
          </w:tcPr>
          <w:p w14:paraId="290C179B">
            <w:pPr>
              <w:adjustRightInd w:val="0"/>
              <w:snapToGrid w:val="0"/>
              <w:jc w:val="center"/>
              <w:rPr>
                <w:color w:val="auto"/>
                <w:szCs w:val="21"/>
              </w:rPr>
            </w:pPr>
            <w:r>
              <w:rPr>
                <w:color w:val="auto"/>
                <w:szCs w:val="21"/>
              </w:rPr>
              <w:t>/</w:t>
            </w:r>
          </w:p>
        </w:tc>
      </w:tr>
      <w:tr w14:paraId="22C1B6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79427395">
            <w:pPr>
              <w:adjustRightInd w:val="0"/>
              <w:snapToGrid w:val="0"/>
              <w:jc w:val="center"/>
              <w:rPr>
                <w:b/>
                <w:bCs/>
                <w:color w:val="auto"/>
                <w:szCs w:val="21"/>
              </w:rPr>
            </w:pPr>
          </w:p>
        </w:tc>
        <w:tc>
          <w:tcPr>
            <w:tcW w:w="1701" w:type="dxa"/>
            <w:vAlign w:val="center"/>
          </w:tcPr>
          <w:p w14:paraId="03A84012">
            <w:pPr>
              <w:adjustRightInd w:val="0"/>
              <w:snapToGrid w:val="0"/>
              <w:jc w:val="center"/>
              <w:rPr>
                <w:color w:val="auto"/>
                <w:szCs w:val="21"/>
                <w:lang w:bidi="ar"/>
              </w:rPr>
            </w:pPr>
            <w:r>
              <w:rPr>
                <w:color w:val="auto"/>
                <w:szCs w:val="21"/>
                <w:lang w:bidi="ar"/>
              </w:rPr>
              <w:t>生活污水</w:t>
            </w:r>
          </w:p>
        </w:tc>
        <w:tc>
          <w:tcPr>
            <w:tcW w:w="1275" w:type="dxa"/>
            <w:vAlign w:val="center"/>
          </w:tcPr>
          <w:p w14:paraId="4EEFC03F">
            <w:pPr>
              <w:adjustRightInd w:val="0"/>
              <w:snapToGrid w:val="0"/>
              <w:jc w:val="center"/>
              <w:rPr>
                <w:color w:val="auto"/>
                <w:szCs w:val="21"/>
              </w:rPr>
            </w:pPr>
            <w:r>
              <w:rPr>
                <w:color w:val="auto"/>
                <w:szCs w:val="21"/>
              </w:rPr>
              <w:t>COD、BOD、SS、NH</w:t>
            </w:r>
            <w:r>
              <w:rPr>
                <w:color w:val="auto"/>
                <w:szCs w:val="21"/>
                <w:vertAlign w:val="subscript"/>
              </w:rPr>
              <w:t>3</w:t>
            </w:r>
            <w:r>
              <w:rPr>
                <w:color w:val="auto"/>
                <w:szCs w:val="21"/>
              </w:rPr>
              <w:t>-N、总氮、总磷、动植物油</w:t>
            </w:r>
          </w:p>
        </w:tc>
        <w:tc>
          <w:tcPr>
            <w:tcW w:w="2268" w:type="dxa"/>
            <w:vAlign w:val="center"/>
          </w:tcPr>
          <w:p w14:paraId="460F0C68">
            <w:pPr>
              <w:adjustRightInd w:val="0"/>
              <w:snapToGrid w:val="0"/>
              <w:jc w:val="center"/>
              <w:rPr>
                <w:color w:val="auto"/>
                <w:szCs w:val="21"/>
              </w:rPr>
            </w:pPr>
            <w:r>
              <w:rPr>
                <w:bCs/>
                <w:color w:val="auto"/>
                <w:szCs w:val="21"/>
              </w:rPr>
              <w:t>经化粪池收集后，定期拉运至杭锦旗独贵塔拉镇污水处理厂处理</w:t>
            </w:r>
          </w:p>
        </w:tc>
        <w:tc>
          <w:tcPr>
            <w:tcW w:w="2018" w:type="dxa"/>
            <w:vAlign w:val="center"/>
          </w:tcPr>
          <w:p w14:paraId="75BC7AF3">
            <w:pPr>
              <w:adjustRightInd w:val="0"/>
              <w:snapToGrid w:val="0"/>
              <w:jc w:val="center"/>
              <w:rPr>
                <w:color w:val="auto"/>
                <w:szCs w:val="21"/>
              </w:rPr>
            </w:pPr>
            <w:r>
              <w:rPr>
                <w:snapToGrid w:val="0"/>
                <w:color w:val="auto"/>
                <w:szCs w:val="21"/>
              </w:rPr>
              <w:t>《污水综合排放标准》</w:t>
            </w:r>
            <w:r>
              <w:rPr>
                <w:rFonts w:hint="eastAsia"/>
                <w:snapToGrid w:val="0"/>
                <w:color w:val="auto"/>
                <w:szCs w:val="21"/>
                <w:lang w:eastAsia="zh-CN"/>
              </w:rPr>
              <w:t>（</w:t>
            </w:r>
            <w:r>
              <w:rPr>
                <w:snapToGrid w:val="0"/>
                <w:color w:val="auto"/>
                <w:szCs w:val="21"/>
              </w:rPr>
              <w:t>GB8978-1996</w:t>
            </w:r>
            <w:r>
              <w:rPr>
                <w:rFonts w:hint="eastAsia"/>
                <w:snapToGrid w:val="0"/>
                <w:color w:val="auto"/>
                <w:szCs w:val="21"/>
                <w:lang w:eastAsia="zh-CN"/>
              </w:rPr>
              <w:t>）</w:t>
            </w:r>
            <w:r>
              <w:rPr>
                <w:snapToGrid w:val="0"/>
                <w:color w:val="auto"/>
                <w:szCs w:val="21"/>
              </w:rPr>
              <w:t>中三级标准</w:t>
            </w:r>
          </w:p>
        </w:tc>
      </w:tr>
      <w:tr w14:paraId="28FEC9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Align w:val="center"/>
          </w:tcPr>
          <w:p w14:paraId="1F2E57BD">
            <w:pPr>
              <w:adjustRightInd w:val="0"/>
              <w:snapToGrid w:val="0"/>
              <w:jc w:val="center"/>
              <w:rPr>
                <w:b/>
                <w:bCs/>
                <w:color w:val="auto"/>
                <w:szCs w:val="21"/>
              </w:rPr>
            </w:pPr>
            <w:r>
              <w:rPr>
                <w:b/>
                <w:bCs/>
                <w:color w:val="auto"/>
                <w:szCs w:val="21"/>
              </w:rPr>
              <w:t>声环境</w:t>
            </w:r>
          </w:p>
        </w:tc>
        <w:tc>
          <w:tcPr>
            <w:tcW w:w="1701" w:type="dxa"/>
            <w:vAlign w:val="center"/>
          </w:tcPr>
          <w:p w14:paraId="28DF3ECA">
            <w:pPr>
              <w:adjustRightInd w:val="0"/>
              <w:snapToGrid w:val="0"/>
              <w:jc w:val="center"/>
              <w:rPr>
                <w:color w:val="auto"/>
                <w:szCs w:val="21"/>
              </w:rPr>
            </w:pPr>
            <w:r>
              <w:rPr>
                <w:color w:val="auto"/>
                <w:szCs w:val="21"/>
                <w:lang w:bidi="ar"/>
              </w:rPr>
              <w:t>搅拌机、传送带</w:t>
            </w:r>
            <w:r>
              <w:rPr>
                <w:rFonts w:hint="eastAsia"/>
                <w:color w:val="auto"/>
                <w:szCs w:val="21"/>
                <w:lang w:bidi="ar"/>
              </w:rPr>
              <w:t>等设备</w:t>
            </w:r>
          </w:p>
        </w:tc>
        <w:tc>
          <w:tcPr>
            <w:tcW w:w="1275" w:type="dxa"/>
            <w:vAlign w:val="center"/>
          </w:tcPr>
          <w:p w14:paraId="7EAEBDE7">
            <w:pPr>
              <w:adjustRightInd w:val="0"/>
              <w:snapToGrid w:val="0"/>
              <w:jc w:val="center"/>
              <w:rPr>
                <w:color w:val="auto"/>
                <w:szCs w:val="21"/>
              </w:rPr>
            </w:pPr>
            <w:r>
              <w:rPr>
                <w:color w:val="auto"/>
                <w:szCs w:val="21"/>
              </w:rPr>
              <w:t>等效连续A声级</w:t>
            </w:r>
          </w:p>
        </w:tc>
        <w:tc>
          <w:tcPr>
            <w:tcW w:w="2268" w:type="dxa"/>
            <w:vAlign w:val="center"/>
          </w:tcPr>
          <w:p w14:paraId="1E0F2C62">
            <w:pPr>
              <w:adjustRightInd w:val="0"/>
              <w:snapToGrid w:val="0"/>
              <w:jc w:val="center"/>
              <w:rPr>
                <w:color w:val="auto"/>
                <w:szCs w:val="21"/>
              </w:rPr>
            </w:pPr>
            <w:r>
              <w:rPr>
                <w:color w:val="auto"/>
                <w:szCs w:val="21"/>
              </w:rPr>
              <w:t>选用低噪声设备，设备安装减振垫，并加强维护</w:t>
            </w:r>
          </w:p>
        </w:tc>
        <w:tc>
          <w:tcPr>
            <w:tcW w:w="2018" w:type="dxa"/>
            <w:vAlign w:val="center"/>
          </w:tcPr>
          <w:p w14:paraId="651B0C6B">
            <w:pPr>
              <w:adjustRightInd w:val="0"/>
              <w:snapToGrid w:val="0"/>
              <w:jc w:val="center"/>
              <w:rPr>
                <w:color w:val="auto"/>
                <w:szCs w:val="21"/>
              </w:rPr>
            </w:pPr>
            <w:r>
              <w:rPr>
                <w:color w:val="auto"/>
                <w:szCs w:val="21"/>
              </w:rPr>
              <w:t>《工业企业厂界环境噪声排放标准》</w:t>
            </w:r>
            <w:r>
              <w:rPr>
                <w:rFonts w:hint="eastAsia"/>
                <w:color w:val="auto"/>
                <w:szCs w:val="21"/>
                <w:lang w:eastAsia="zh-CN"/>
              </w:rPr>
              <w:t>（</w:t>
            </w:r>
            <w:r>
              <w:rPr>
                <w:color w:val="auto"/>
                <w:szCs w:val="21"/>
              </w:rPr>
              <w:t>GB12348-2008</w:t>
            </w:r>
            <w:r>
              <w:rPr>
                <w:rFonts w:hint="eastAsia"/>
                <w:color w:val="auto"/>
                <w:szCs w:val="21"/>
                <w:lang w:eastAsia="zh-CN"/>
              </w:rPr>
              <w:t>）</w:t>
            </w:r>
            <w:r>
              <w:rPr>
                <w:rFonts w:hint="eastAsia"/>
                <w:color w:val="auto"/>
                <w:szCs w:val="21"/>
              </w:rPr>
              <w:t>1类标准</w:t>
            </w:r>
            <w:r>
              <w:rPr>
                <w:color w:val="auto"/>
                <w:szCs w:val="21"/>
              </w:rPr>
              <w:t>要求</w:t>
            </w:r>
          </w:p>
        </w:tc>
      </w:tr>
      <w:tr w14:paraId="7F3F0B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538" w:type="dxa"/>
            <w:vAlign w:val="center"/>
          </w:tcPr>
          <w:p w14:paraId="39A506F2">
            <w:pPr>
              <w:adjustRightInd w:val="0"/>
              <w:snapToGrid w:val="0"/>
              <w:jc w:val="center"/>
              <w:rPr>
                <w:b/>
                <w:bCs/>
                <w:color w:val="auto"/>
                <w:szCs w:val="21"/>
              </w:rPr>
            </w:pPr>
            <w:r>
              <w:rPr>
                <w:b/>
                <w:bCs/>
                <w:color w:val="auto"/>
                <w:szCs w:val="21"/>
              </w:rPr>
              <w:t>固体废物</w:t>
            </w:r>
          </w:p>
        </w:tc>
        <w:tc>
          <w:tcPr>
            <w:tcW w:w="7262" w:type="dxa"/>
            <w:gridSpan w:val="4"/>
            <w:vAlign w:val="center"/>
          </w:tcPr>
          <w:p w14:paraId="3215441C">
            <w:pPr>
              <w:ind w:firstLine="420" w:firstLineChars="200"/>
              <w:jc w:val="left"/>
              <w:rPr>
                <w:color w:val="auto"/>
                <w:szCs w:val="21"/>
              </w:rPr>
            </w:pPr>
            <w:r>
              <w:rPr>
                <w:color w:val="auto"/>
                <w:szCs w:val="21"/>
              </w:rPr>
              <w:t>沉淀池沉渣和除尘灰返回生产线用于生产；</w:t>
            </w:r>
            <w:r>
              <w:rPr>
                <w:bCs/>
                <w:color w:val="auto"/>
                <w:szCs w:val="21"/>
              </w:rPr>
              <w:t>实验室混凝土块</w:t>
            </w:r>
            <w:r>
              <w:rPr>
                <w:rFonts w:hint="eastAsia"/>
                <w:bCs/>
                <w:color w:val="auto"/>
                <w:szCs w:val="21"/>
              </w:rPr>
              <w:t>暂存于一般固废暂存间，作为此路段填方材料</w:t>
            </w:r>
            <w:r>
              <w:rPr>
                <w:color w:val="auto"/>
                <w:szCs w:val="21"/>
              </w:rPr>
              <w:t>；生活垃圾统一收集于有盖垃圾箱内，委托环卫部门定期处理。</w:t>
            </w:r>
          </w:p>
        </w:tc>
      </w:tr>
      <w:tr w14:paraId="53E95A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538" w:type="dxa"/>
            <w:vAlign w:val="center"/>
          </w:tcPr>
          <w:p w14:paraId="659793DD">
            <w:pPr>
              <w:adjustRightInd w:val="0"/>
              <w:snapToGrid w:val="0"/>
              <w:jc w:val="center"/>
              <w:rPr>
                <w:b/>
                <w:bCs/>
                <w:color w:val="auto"/>
                <w:szCs w:val="21"/>
              </w:rPr>
            </w:pPr>
            <w:r>
              <w:rPr>
                <w:b/>
                <w:bCs/>
                <w:color w:val="auto"/>
                <w:szCs w:val="21"/>
              </w:rPr>
              <w:t>土壤及地下水</w:t>
            </w:r>
          </w:p>
          <w:p w14:paraId="6C5D433E">
            <w:pPr>
              <w:adjustRightInd w:val="0"/>
              <w:snapToGrid w:val="0"/>
              <w:jc w:val="center"/>
              <w:rPr>
                <w:b/>
                <w:bCs/>
                <w:color w:val="auto"/>
                <w:szCs w:val="21"/>
              </w:rPr>
            </w:pPr>
            <w:r>
              <w:rPr>
                <w:b/>
                <w:bCs/>
                <w:color w:val="auto"/>
                <w:szCs w:val="21"/>
              </w:rPr>
              <w:t>污染防治措施</w:t>
            </w:r>
          </w:p>
        </w:tc>
        <w:tc>
          <w:tcPr>
            <w:tcW w:w="7262" w:type="dxa"/>
            <w:gridSpan w:val="4"/>
            <w:vAlign w:val="center"/>
          </w:tcPr>
          <w:p w14:paraId="4E824BE8">
            <w:pPr>
              <w:adjustRightInd w:val="0"/>
              <w:snapToGrid w:val="0"/>
              <w:ind w:firstLine="420" w:firstLineChars="200"/>
              <w:jc w:val="left"/>
              <w:rPr>
                <w:color w:val="auto"/>
                <w:szCs w:val="21"/>
              </w:rPr>
            </w:pPr>
            <w:r>
              <w:rPr>
                <w:color w:val="auto"/>
                <w:szCs w:val="21"/>
                <w:lang w:bidi="ar"/>
              </w:rPr>
              <w:t>参照</w:t>
            </w:r>
            <w:r>
              <w:rPr>
                <w:color w:val="auto"/>
                <w:szCs w:val="21"/>
              </w:rPr>
              <w:t>《环境影响评价技术导则 地下水环境》</w:t>
            </w:r>
            <w:r>
              <w:rPr>
                <w:rFonts w:hint="eastAsia"/>
                <w:color w:val="auto"/>
                <w:szCs w:val="21"/>
                <w:lang w:eastAsia="zh-CN"/>
              </w:rPr>
              <w:t>（</w:t>
            </w:r>
            <w:r>
              <w:rPr>
                <w:color w:val="auto"/>
                <w:szCs w:val="21"/>
              </w:rPr>
              <w:t>HJ610-2016</w:t>
            </w:r>
            <w:r>
              <w:rPr>
                <w:rFonts w:hint="eastAsia"/>
                <w:color w:val="auto"/>
                <w:szCs w:val="21"/>
                <w:lang w:eastAsia="zh-CN"/>
              </w:rPr>
              <w:t>）</w:t>
            </w:r>
            <w:r>
              <w:rPr>
                <w:color w:val="auto"/>
                <w:szCs w:val="21"/>
                <w:lang w:bidi="ar"/>
              </w:rPr>
              <w:t>一般防渗区要求，对化粪池、三级沉淀池做防渗处理，</w:t>
            </w:r>
            <w:r>
              <w:rPr>
                <w:rFonts w:hint="eastAsia"/>
                <w:color w:val="auto"/>
                <w:szCs w:val="21"/>
                <w:lang w:bidi="ar"/>
              </w:rPr>
              <w:t>底部防渗等效黏土防渗层Mb</w:t>
            </w:r>
            <w:r>
              <w:rPr>
                <w:color w:val="auto"/>
                <w:szCs w:val="21"/>
                <w:lang w:bidi="ar"/>
              </w:rPr>
              <w:t>≥</w:t>
            </w:r>
            <w:r>
              <w:rPr>
                <w:rFonts w:hint="eastAsia"/>
                <w:color w:val="auto"/>
                <w:szCs w:val="21"/>
                <w:lang w:bidi="ar"/>
              </w:rPr>
              <w:t>1.5m，</w:t>
            </w:r>
            <w:r>
              <w:rPr>
                <w:color w:val="auto"/>
                <w:szCs w:val="21"/>
                <w:lang w:bidi="ar"/>
              </w:rPr>
              <w:t>渗透系数小于1×10</w:t>
            </w:r>
            <w:r>
              <w:rPr>
                <w:color w:val="auto"/>
                <w:szCs w:val="21"/>
                <w:vertAlign w:val="superscript"/>
                <w:lang w:bidi="ar"/>
              </w:rPr>
              <w:t>-7</w:t>
            </w:r>
            <w:r>
              <w:rPr>
                <w:color w:val="auto"/>
                <w:szCs w:val="21"/>
                <w:lang w:bidi="ar"/>
              </w:rPr>
              <w:t>cm/s。</w:t>
            </w:r>
          </w:p>
        </w:tc>
      </w:tr>
      <w:tr w14:paraId="1A0A8B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Align w:val="center"/>
          </w:tcPr>
          <w:p w14:paraId="2DA2DC00">
            <w:pPr>
              <w:adjustRightInd w:val="0"/>
              <w:snapToGrid w:val="0"/>
              <w:jc w:val="center"/>
              <w:rPr>
                <w:b/>
                <w:bCs/>
                <w:color w:val="auto"/>
                <w:szCs w:val="21"/>
              </w:rPr>
            </w:pPr>
            <w:r>
              <w:rPr>
                <w:b/>
                <w:bCs/>
                <w:color w:val="auto"/>
                <w:szCs w:val="21"/>
              </w:rPr>
              <w:t>生态保护措施</w:t>
            </w:r>
          </w:p>
        </w:tc>
        <w:tc>
          <w:tcPr>
            <w:tcW w:w="7262" w:type="dxa"/>
            <w:gridSpan w:val="4"/>
            <w:vAlign w:val="center"/>
          </w:tcPr>
          <w:p w14:paraId="31F5458E">
            <w:pPr>
              <w:adjustRightInd w:val="0"/>
              <w:snapToGrid w:val="0"/>
              <w:ind w:firstLine="420" w:firstLineChars="200"/>
              <w:jc w:val="left"/>
              <w:rPr>
                <w:color w:val="auto"/>
                <w:szCs w:val="21"/>
              </w:rPr>
            </w:pPr>
            <w:r>
              <w:rPr>
                <w:color w:val="auto"/>
                <w:szCs w:val="21"/>
              </w:rPr>
              <w:t>无</w:t>
            </w:r>
          </w:p>
        </w:tc>
      </w:tr>
      <w:tr w14:paraId="753CE7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538" w:type="dxa"/>
            <w:vAlign w:val="center"/>
          </w:tcPr>
          <w:p w14:paraId="48AA048C">
            <w:pPr>
              <w:adjustRightInd w:val="0"/>
              <w:snapToGrid w:val="0"/>
              <w:jc w:val="center"/>
              <w:rPr>
                <w:b/>
                <w:bCs/>
                <w:color w:val="auto"/>
                <w:szCs w:val="21"/>
              </w:rPr>
            </w:pPr>
            <w:r>
              <w:rPr>
                <w:b/>
                <w:bCs/>
                <w:color w:val="auto"/>
                <w:szCs w:val="21"/>
              </w:rPr>
              <w:t>环境风险</w:t>
            </w:r>
          </w:p>
          <w:p w14:paraId="6EAF7810">
            <w:pPr>
              <w:adjustRightInd w:val="0"/>
              <w:snapToGrid w:val="0"/>
              <w:jc w:val="center"/>
              <w:rPr>
                <w:b/>
                <w:bCs/>
                <w:color w:val="auto"/>
                <w:spacing w:val="-8"/>
                <w:szCs w:val="21"/>
              </w:rPr>
            </w:pPr>
            <w:r>
              <w:rPr>
                <w:b/>
                <w:bCs/>
                <w:color w:val="auto"/>
                <w:szCs w:val="21"/>
              </w:rPr>
              <w:t>防范措施</w:t>
            </w:r>
          </w:p>
        </w:tc>
        <w:tc>
          <w:tcPr>
            <w:tcW w:w="7262" w:type="dxa"/>
            <w:gridSpan w:val="4"/>
            <w:vAlign w:val="center"/>
          </w:tcPr>
          <w:p w14:paraId="69322743">
            <w:pPr>
              <w:adjustRightInd w:val="0"/>
              <w:snapToGrid w:val="0"/>
              <w:ind w:firstLine="420" w:firstLineChars="200"/>
              <w:jc w:val="left"/>
              <w:rPr>
                <w:color w:val="auto"/>
                <w:szCs w:val="21"/>
                <w:lang w:bidi="zh-CN"/>
              </w:rPr>
            </w:pPr>
            <w:r>
              <w:rPr>
                <w:color w:val="auto"/>
                <w:szCs w:val="21"/>
                <w:lang w:bidi="ar"/>
              </w:rPr>
              <w:t>搅拌机、运输车辆</w:t>
            </w:r>
            <w:r>
              <w:rPr>
                <w:rFonts w:hint="eastAsia"/>
                <w:bCs/>
                <w:color w:val="auto"/>
                <w:szCs w:val="21"/>
                <w:lang w:bidi="ar"/>
              </w:rPr>
              <w:t>清洗废水</w:t>
            </w:r>
            <w:r>
              <w:rPr>
                <w:color w:val="auto"/>
                <w:szCs w:val="21"/>
                <w:lang w:bidi="ar"/>
              </w:rPr>
              <w:t>、实验室废水经收集三级沉淀处理后回用于混凝土搅拌混合，不外排。厂区设置了三级沉淀池，为混凝土结构，容积为20m</w:t>
            </w:r>
            <w:r>
              <w:rPr>
                <w:color w:val="auto"/>
                <w:szCs w:val="21"/>
                <w:vertAlign w:val="superscript"/>
                <w:lang w:bidi="ar"/>
              </w:rPr>
              <w:t>3</w:t>
            </w:r>
            <w:r>
              <w:rPr>
                <w:color w:val="auto"/>
                <w:szCs w:val="21"/>
                <w:lang w:bidi="ar"/>
              </w:rPr>
              <w:t>，沉淀池采用一般防渗，等效黏土防渗层Mb≥1.5m，K≤1×10</w:t>
            </w:r>
            <w:r>
              <w:rPr>
                <w:color w:val="auto"/>
                <w:szCs w:val="21"/>
                <w:vertAlign w:val="superscript"/>
                <w:lang w:bidi="ar"/>
              </w:rPr>
              <w:t>-7</w:t>
            </w:r>
            <w:r>
              <w:rPr>
                <w:color w:val="auto"/>
                <w:szCs w:val="21"/>
                <w:lang w:bidi="ar"/>
              </w:rPr>
              <w:t>cm/s。</w:t>
            </w:r>
          </w:p>
        </w:tc>
      </w:tr>
      <w:tr w14:paraId="136CFC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1538" w:type="dxa"/>
            <w:vAlign w:val="center"/>
          </w:tcPr>
          <w:p w14:paraId="372E8551">
            <w:pPr>
              <w:adjustRightInd w:val="0"/>
              <w:snapToGrid w:val="0"/>
              <w:jc w:val="center"/>
              <w:rPr>
                <w:b/>
                <w:bCs/>
                <w:color w:val="auto"/>
                <w:szCs w:val="21"/>
              </w:rPr>
            </w:pPr>
            <w:r>
              <w:rPr>
                <w:b/>
                <w:bCs/>
                <w:color w:val="auto"/>
                <w:szCs w:val="21"/>
              </w:rPr>
              <w:t>其他环境</w:t>
            </w:r>
          </w:p>
          <w:p w14:paraId="355FC272">
            <w:pPr>
              <w:adjustRightInd w:val="0"/>
              <w:snapToGrid w:val="0"/>
              <w:jc w:val="center"/>
              <w:rPr>
                <w:b/>
                <w:bCs/>
                <w:color w:val="auto"/>
                <w:szCs w:val="21"/>
              </w:rPr>
            </w:pPr>
            <w:r>
              <w:rPr>
                <w:b/>
                <w:bCs/>
                <w:color w:val="auto"/>
                <w:szCs w:val="21"/>
              </w:rPr>
              <w:t>管理要求</w:t>
            </w:r>
          </w:p>
        </w:tc>
        <w:tc>
          <w:tcPr>
            <w:tcW w:w="7262" w:type="dxa"/>
            <w:gridSpan w:val="4"/>
            <w:vAlign w:val="center"/>
          </w:tcPr>
          <w:p w14:paraId="0D25A68F">
            <w:pPr>
              <w:adjustRightInd w:val="0"/>
              <w:snapToGrid w:val="0"/>
              <w:ind w:firstLine="420" w:firstLineChars="200"/>
              <w:jc w:val="left"/>
              <w:rPr>
                <w:color w:val="auto"/>
                <w:szCs w:val="21"/>
                <w:lang w:bidi="ar"/>
              </w:rPr>
            </w:pPr>
            <w:r>
              <w:rPr>
                <w:color w:val="auto"/>
                <w:szCs w:val="21"/>
                <w:lang w:bidi="ar"/>
              </w:rPr>
              <w:t>1.环境保护管理：</w:t>
            </w:r>
          </w:p>
          <w:p w14:paraId="5868D3CB">
            <w:pPr>
              <w:adjustRightInd w:val="0"/>
              <w:snapToGrid w:val="0"/>
              <w:ind w:firstLine="420" w:firstLineChars="200"/>
              <w:jc w:val="left"/>
              <w:rPr>
                <w:color w:val="auto"/>
                <w:szCs w:val="21"/>
                <w:lang w:bidi="ar"/>
              </w:rPr>
            </w:pPr>
            <w:r>
              <w:rPr>
                <w:color w:val="auto"/>
                <w:szCs w:val="21"/>
                <w:lang w:bidi="ar"/>
              </w:rPr>
              <w:t>加强管理，保证污染防治设施的正常运行，最大限度地减少污染排放给环境造成的影响。环保设施的日常管理和维护保养保证其长期稳定运行。通过宣传、学习，增强职工的环保意识，将生产管理和环保管理有机结合起来。</w:t>
            </w:r>
          </w:p>
          <w:p w14:paraId="0B562B7F">
            <w:pPr>
              <w:adjustRightInd w:val="0"/>
              <w:snapToGrid w:val="0"/>
              <w:ind w:firstLine="420" w:firstLineChars="200"/>
              <w:jc w:val="left"/>
              <w:rPr>
                <w:color w:val="auto"/>
                <w:szCs w:val="21"/>
                <w:lang w:bidi="ar"/>
              </w:rPr>
            </w:pPr>
            <w:r>
              <w:rPr>
                <w:rFonts w:hint="eastAsia"/>
                <w:color w:val="auto"/>
                <w:szCs w:val="21"/>
                <w:lang w:val="en-US" w:eastAsia="zh-CN" w:bidi="ar"/>
              </w:rPr>
              <w:t>2.</w:t>
            </w:r>
            <w:r>
              <w:rPr>
                <w:color w:val="auto"/>
                <w:szCs w:val="21"/>
                <w:lang w:bidi="ar"/>
              </w:rPr>
              <w:t>与排污许可证制度</w:t>
            </w:r>
            <w:r>
              <w:rPr>
                <w:rFonts w:hint="eastAsia"/>
                <w:color w:val="auto"/>
                <w:szCs w:val="21"/>
                <w:lang w:eastAsia="zh-CN" w:bidi="ar"/>
              </w:rPr>
              <w:t>的</w:t>
            </w:r>
            <w:r>
              <w:rPr>
                <w:color w:val="auto"/>
                <w:szCs w:val="21"/>
                <w:lang w:bidi="ar"/>
              </w:rPr>
              <w:t>衔接</w:t>
            </w:r>
          </w:p>
          <w:p w14:paraId="1ED62692">
            <w:pPr>
              <w:adjustRightInd w:val="0"/>
              <w:snapToGrid w:val="0"/>
              <w:ind w:firstLine="420" w:firstLineChars="200"/>
              <w:jc w:val="left"/>
              <w:rPr>
                <w:color w:val="auto"/>
                <w:szCs w:val="21"/>
                <w:lang w:bidi="ar"/>
              </w:rPr>
            </w:pPr>
            <w:r>
              <w:rPr>
                <w:color w:val="auto"/>
                <w:szCs w:val="21"/>
                <w:lang w:bidi="ar"/>
              </w:rPr>
              <w:t>根据《关于做好环境影响评价制度与排污许可制度衔接相关工作的通知》</w:t>
            </w:r>
            <w:r>
              <w:rPr>
                <w:rFonts w:hint="eastAsia"/>
                <w:color w:val="auto"/>
                <w:szCs w:val="21"/>
                <w:lang w:eastAsia="zh-CN" w:bidi="ar"/>
              </w:rPr>
              <w:t>（</w:t>
            </w:r>
            <w:r>
              <w:rPr>
                <w:color w:val="auto"/>
                <w:szCs w:val="21"/>
                <w:lang w:bidi="ar"/>
              </w:rPr>
              <w:t>环办环评〔2017〕84 号</w:t>
            </w:r>
            <w:r>
              <w:rPr>
                <w:rFonts w:hint="eastAsia"/>
                <w:color w:val="auto"/>
                <w:szCs w:val="21"/>
                <w:lang w:eastAsia="zh-CN" w:bidi="ar"/>
              </w:rPr>
              <w:t>）</w:t>
            </w:r>
            <w:r>
              <w:rPr>
                <w:color w:val="auto"/>
                <w:szCs w:val="21"/>
                <w:lang w:bidi="ar"/>
              </w:rPr>
              <w:t>及《固定污染源排污许可分类管理名录</w:t>
            </w:r>
            <w:r>
              <w:rPr>
                <w:rFonts w:hint="eastAsia"/>
                <w:color w:val="auto"/>
                <w:szCs w:val="21"/>
                <w:lang w:eastAsia="zh-CN" w:bidi="ar"/>
              </w:rPr>
              <w:t>（</w:t>
            </w:r>
            <w:r>
              <w:rPr>
                <w:color w:val="auto"/>
                <w:szCs w:val="21"/>
                <w:lang w:bidi="ar"/>
              </w:rPr>
              <w:t>2019 年版</w:t>
            </w:r>
            <w:r>
              <w:rPr>
                <w:rFonts w:hint="eastAsia"/>
                <w:color w:val="auto"/>
                <w:szCs w:val="21"/>
                <w:lang w:eastAsia="zh-CN" w:bidi="ar"/>
              </w:rPr>
              <w:t>）</w:t>
            </w:r>
            <w:r>
              <w:rPr>
                <w:color w:val="auto"/>
                <w:szCs w:val="21"/>
                <w:lang w:bidi="ar"/>
              </w:rPr>
              <w:t>》</w:t>
            </w:r>
            <w:r>
              <w:rPr>
                <w:rFonts w:hint="eastAsia"/>
                <w:color w:val="auto"/>
                <w:szCs w:val="21"/>
                <w:lang w:eastAsia="zh-CN" w:bidi="ar"/>
              </w:rPr>
              <w:t>（</w:t>
            </w:r>
            <w:r>
              <w:rPr>
                <w:color w:val="auto"/>
                <w:szCs w:val="21"/>
                <w:lang w:bidi="ar"/>
              </w:rPr>
              <w:t>生态环境部令 第 11 号</w:t>
            </w:r>
            <w:r>
              <w:rPr>
                <w:rFonts w:hint="eastAsia"/>
                <w:color w:val="auto"/>
                <w:szCs w:val="21"/>
                <w:lang w:eastAsia="zh-CN" w:bidi="ar"/>
              </w:rPr>
              <w:t>）</w:t>
            </w:r>
            <w:r>
              <w:rPr>
                <w:color w:val="auto"/>
                <w:szCs w:val="21"/>
                <w:lang w:bidi="ar"/>
              </w:rPr>
              <w:t>，本项目属于“二十五、非金属矿物制品业30—</w:t>
            </w:r>
            <w:r>
              <w:rPr>
                <w:rFonts w:hint="eastAsia"/>
                <w:color w:val="auto"/>
                <w:szCs w:val="21"/>
                <w:lang w:bidi="ar"/>
              </w:rPr>
              <w:t>63</w:t>
            </w:r>
            <w:r>
              <w:rPr>
                <w:color w:val="auto"/>
                <w:szCs w:val="21"/>
                <w:lang w:bidi="ar"/>
              </w:rPr>
              <w:t>石膏、水泥制品及类似制品制造302，水泥制品制造3021，属于排污登记管理类别。新建排污单位应当在启动生产设施或者发生实际排污之前申请取得排污许可证或者填报排污登记表，现有排污单位应当在生态环境部规定的实施时限内申请取得排污许可证或者填报排污登记表。</w:t>
            </w:r>
          </w:p>
          <w:p w14:paraId="45F488EA">
            <w:pPr>
              <w:adjustRightInd w:val="0"/>
              <w:snapToGrid w:val="0"/>
              <w:ind w:firstLine="420" w:firstLineChars="200"/>
              <w:jc w:val="left"/>
              <w:rPr>
                <w:color w:val="auto"/>
                <w:szCs w:val="21"/>
                <w:lang w:bidi="ar"/>
              </w:rPr>
            </w:pPr>
            <w:r>
              <w:rPr>
                <w:rFonts w:hint="eastAsia"/>
                <w:color w:val="auto"/>
                <w:szCs w:val="21"/>
                <w:lang w:bidi="ar"/>
              </w:rPr>
              <w:t>3</w:t>
            </w:r>
            <w:r>
              <w:rPr>
                <w:color w:val="auto"/>
                <w:szCs w:val="21"/>
                <w:lang w:bidi="ar"/>
              </w:rPr>
              <w:t>.竣工环保验收要求</w:t>
            </w:r>
          </w:p>
          <w:p w14:paraId="6F90E84F">
            <w:pPr>
              <w:adjustRightInd w:val="0"/>
              <w:snapToGrid w:val="0"/>
              <w:ind w:firstLine="420" w:firstLineChars="200"/>
              <w:jc w:val="left"/>
              <w:rPr>
                <w:color w:val="auto"/>
                <w:szCs w:val="21"/>
                <w:lang w:bidi="ar"/>
              </w:rPr>
            </w:pPr>
            <w:r>
              <w:rPr>
                <w:color w:val="auto"/>
                <w:szCs w:val="21"/>
                <w:lang w:bidi="ar"/>
              </w:rPr>
              <w:t>根据《建设项目竣工环境保护验收暂行办法》的规定，建设项目竣工后，建设单位应当如实查验、监测、记载建设项目环境保护设施的建设和调试情况，并编制验收监测报告。</w:t>
            </w:r>
          </w:p>
        </w:tc>
      </w:tr>
    </w:tbl>
    <w:p w14:paraId="56B87D00">
      <w:pPr>
        <w:pStyle w:val="13"/>
        <w:jc w:val="center"/>
        <w:outlineLvl w:val="0"/>
        <w:rPr>
          <w:rFonts w:ascii="Times New Roman" w:hAnsi="Times New Roman" w:eastAsia="黑体"/>
          <w:snapToGrid w:val="0"/>
          <w:sz w:val="30"/>
          <w:szCs w:val="30"/>
        </w:rPr>
      </w:pPr>
      <w:r>
        <w:rPr>
          <w:rFonts w:ascii="Times New Roman" w:hAnsi="Times New Roman"/>
          <w:snapToGrid w:val="0"/>
        </w:rPr>
        <w:br w:type="page"/>
      </w:r>
      <w:r>
        <w:rPr>
          <w:rFonts w:ascii="Times New Roman" w:hAnsi="Times New Roman" w:eastAsia="黑体"/>
          <w:snapToGrid w:val="0"/>
          <w:sz w:val="30"/>
          <w:szCs w:val="30"/>
        </w:rPr>
        <w:t>六、结论</w:t>
      </w:r>
    </w:p>
    <w:tbl>
      <w:tblPr>
        <w:tblStyle w:val="1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73021D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6BE414EB">
            <w:pPr>
              <w:spacing w:line="360" w:lineRule="auto"/>
              <w:ind w:firstLine="420" w:firstLineChars="200"/>
              <w:rPr>
                <w:bCs/>
                <w:szCs w:val="21"/>
              </w:rPr>
            </w:pPr>
          </w:p>
          <w:p w14:paraId="13C867CD">
            <w:pPr>
              <w:spacing w:line="360" w:lineRule="auto"/>
              <w:ind w:firstLine="420" w:firstLineChars="200"/>
              <w:rPr>
                <w:bCs/>
                <w:szCs w:val="21"/>
              </w:rPr>
            </w:pPr>
            <w:r>
              <w:rPr>
                <w:bCs/>
                <w:szCs w:val="21"/>
              </w:rPr>
              <w:t>本项目符合产业政策、选址合理，项目的建设对周围环境</w:t>
            </w:r>
            <w:r>
              <w:rPr>
                <w:rFonts w:hint="eastAsia"/>
                <w:bCs/>
                <w:szCs w:val="21"/>
                <w:lang w:eastAsia="zh-CN"/>
              </w:rPr>
              <w:t>会</w:t>
            </w:r>
            <w:r>
              <w:rPr>
                <w:bCs/>
                <w:szCs w:val="21"/>
              </w:rPr>
              <w:t>产生</w:t>
            </w:r>
            <w:r>
              <w:rPr>
                <w:rFonts w:hint="eastAsia"/>
                <w:bCs/>
                <w:szCs w:val="21"/>
                <w:lang w:eastAsia="zh-CN"/>
              </w:rPr>
              <w:t>一定</w:t>
            </w:r>
            <w:r>
              <w:rPr>
                <w:bCs/>
                <w:szCs w:val="21"/>
              </w:rPr>
              <w:t>影响</w:t>
            </w:r>
            <w:r>
              <w:rPr>
                <w:rFonts w:hint="eastAsia"/>
                <w:bCs/>
                <w:szCs w:val="21"/>
                <w:lang w:eastAsia="zh-CN"/>
              </w:rPr>
              <w:t>。</w:t>
            </w:r>
            <w:r>
              <w:rPr>
                <w:bCs/>
                <w:szCs w:val="21"/>
              </w:rPr>
              <w:t>在认真落实本报告中提出的各项污染防治措施及建议的前提下，加强环境管理，其废气、废水、噪声、固体废弃物等对周围环境的影响控制在可接受范围内</w:t>
            </w:r>
            <w:r>
              <w:rPr>
                <w:rFonts w:hint="eastAsia"/>
                <w:bCs/>
                <w:szCs w:val="21"/>
                <w:lang w:eastAsia="zh-CN"/>
              </w:rPr>
              <w:t>。</w:t>
            </w:r>
            <w:r>
              <w:rPr>
                <w:bCs/>
                <w:szCs w:val="21"/>
              </w:rPr>
              <w:t>项目建设对周边生态影响较小</w:t>
            </w:r>
            <w:r>
              <w:rPr>
                <w:rFonts w:hint="eastAsia"/>
                <w:bCs/>
                <w:szCs w:val="21"/>
                <w:lang w:eastAsia="zh-CN"/>
              </w:rPr>
              <w:t>。</w:t>
            </w:r>
            <w:r>
              <w:rPr>
                <w:bCs/>
                <w:szCs w:val="21"/>
              </w:rPr>
              <w:t xml:space="preserve">从环境保护角度分析，该项目建设可行。 </w:t>
            </w:r>
          </w:p>
          <w:p w14:paraId="30BF6EC0">
            <w:pPr>
              <w:spacing w:line="360" w:lineRule="auto"/>
              <w:ind w:firstLine="420" w:firstLineChars="200"/>
              <w:rPr>
                <w:bCs/>
                <w:szCs w:val="21"/>
              </w:rPr>
            </w:pPr>
          </w:p>
          <w:p w14:paraId="19D95EF3">
            <w:pPr>
              <w:spacing w:line="360" w:lineRule="auto"/>
              <w:ind w:firstLine="420" w:firstLineChars="200"/>
              <w:rPr>
                <w:szCs w:val="21"/>
              </w:rPr>
            </w:pPr>
          </w:p>
        </w:tc>
      </w:tr>
    </w:tbl>
    <w:p w14:paraId="573919A1">
      <w:pPr>
        <w:sectPr>
          <w:pgSz w:w="11906" w:h="16838"/>
          <w:pgMar w:top="1701" w:right="1531" w:bottom="1701" w:left="1531" w:header="851" w:footer="851" w:gutter="0"/>
          <w:cols w:space="720" w:num="1"/>
          <w:docGrid w:linePitch="312" w:charSpace="0"/>
        </w:sectPr>
      </w:pPr>
    </w:p>
    <w:p w14:paraId="65AF5602">
      <w:pPr>
        <w:pStyle w:val="13"/>
        <w:adjustRightInd w:val="0"/>
        <w:snapToGrid w:val="0"/>
        <w:spacing w:before="0" w:beforeAutospacing="0" w:after="0" w:afterAutospacing="0"/>
        <w:outlineLvl w:val="0"/>
        <w:rPr>
          <w:rFonts w:ascii="Times New Roman" w:hAnsi="Times New Roman" w:eastAsia="黑体"/>
          <w:snapToGrid w:val="0"/>
          <w:sz w:val="32"/>
          <w:szCs w:val="32"/>
        </w:rPr>
      </w:pPr>
      <w:r>
        <w:rPr>
          <w:rFonts w:ascii="Times New Roman" w:hAnsi="Times New Roman" w:eastAsia="黑体"/>
          <w:snapToGrid w:val="0"/>
          <w:sz w:val="32"/>
          <w:szCs w:val="32"/>
        </w:rPr>
        <w:t>附表</w:t>
      </w:r>
    </w:p>
    <w:p w14:paraId="17F36915">
      <w:pPr>
        <w:pStyle w:val="13"/>
        <w:adjustRightInd w:val="0"/>
        <w:snapToGrid w:val="0"/>
        <w:spacing w:before="0" w:beforeAutospacing="0" w:after="0" w:afterAutospacing="0"/>
        <w:jc w:val="center"/>
        <w:rPr>
          <w:rFonts w:ascii="Times New Roman" w:hAnsi="Times New Roman" w:eastAsia="方正小标宋_GBK"/>
          <w:snapToGrid w:val="0"/>
          <w:sz w:val="38"/>
          <w:szCs w:val="38"/>
        </w:rPr>
      </w:pPr>
      <w:r>
        <w:rPr>
          <w:rFonts w:ascii="Times New Roman" w:hAnsi="Times New Roman" w:eastAsia="方正小标宋_GBK"/>
          <w:snapToGrid w:val="0"/>
          <w:sz w:val="38"/>
          <w:szCs w:val="38"/>
        </w:rPr>
        <w:t>建设项目污染物排放量汇总表</w:t>
      </w:r>
    </w:p>
    <w:tbl>
      <w:tblPr>
        <w:tblStyle w:val="16"/>
        <w:tblW w:w="139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6"/>
        <w:gridCol w:w="772"/>
        <w:gridCol w:w="1417"/>
        <w:gridCol w:w="1701"/>
        <w:gridCol w:w="1276"/>
        <w:gridCol w:w="1701"/>
        <w:gridCol w:w="1559"/>
        <w:gridCol w:w="1761"/>
        <w:gridCol w:w="1641"/>
        <w:gridCol w:w="1276"/>
      </w:tblGrid>
      <w:tr w14:paraId="714CF3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88" w:type="dxa"/>
            <w:gridSpan w:val="2"/>
            <w:tcBorders>
              <w:tl2br w:val="single" w:color="auto" w:sz="4" w:space="0"/>
            </w:tcBorders>
            <w:tcMar>
              <w:left w:w="28" w:type="dxa"/>
              <w:right w:w="28" w:type="dxa"/>
            </w:tcMar>
            <w:vAlign w:val="center"/>
          </w:tcPr>
          <w:p w14:paraId="5670929E">
            <w:pPr>
              <w:pStyle w:val="21"/>
              <w:spacing w:beforeLines="0" w:afterLines="0" w:line="240" w:lineRule="auto"/>
              <w:jc w:val="right"/>
              <w:rPr>
                <w:rFonts w:ascii="Times New Roman" w:eastAsia="黑体"/>
                <w:snapToGrid w:val="0"/>
                <w:spacing w:val="-6"/>
                <w:kern w:val="21"/>
                <w:szCs w:val="21"/>
              </w:rPr>
            </w:pPr>
            <w:r>
              <w:rPr>
                <w:rFonts w:ascii="Times New Roman" w:eastAsia="黑体"/>
                <w:snapToGrid w:val="0"/>
                <w:spacing w:val="-6"/>
                <w:kern w:val="21"/>
                <w:szCs w:val="21"/>
              </w:rPr>
              <w:t>项目</w:t>
            </w:r>
          </w:p>
          <w:p w14:paraId="52F926F4">
            <w:pPr>
              <w:pStyle w:val="21"/>
              <w:spacing w:beforeLines="0" w:afterLines="0" w:line="240" w:lineRule="auto"/>
              <w:jc w:val="left"/>
              <w:rPr>
                <w:rFonts w:ascii="Times New Roman" w:eastAsia="黑体"/>
                <w:snapToGrid w:val="0"/>
                <w:spacing w:val="-6"/>
                <w:kern w:val="21"/>
                <w:szCs w:val="21"/>
              </w:rPr>
            </w:pPr>
            <w:r>
              <w:rPr>
                <w:rFonts w:ascii="Times New Roman" w:eastAsia="黑体"/>
                <w:snapToGrid w:val="0"/>
                <w:spacing w:val="-6"/>
                <w:kern w:val="21"/>
                <w:szCs w:val="21"/>
              </w:rPr>
              <w:t>分类</w:t>
            </w:r>
          </w:p>
        </w:tc>
        <w:tc>
          <w:tcPr>
            <w:tcW w:w="1417" w:type="dxa"/>
            <w:tcMar>
              <w:left w:w="28" w:type="dxa"/>
              <w:right w:w="28" w:type="dxa"/>
            </w:tcMar>
            <w:vAlign w:val="center"/>
          </w:tcPr>
          <w:p w14:paraId="1A89AA8C">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污染物名称</w:t>
            </w:r>
          </w:p>
        </w:tc>
        <w:tc>
          <w:tcPr>
            <w:tcW w:w="1701" w:type="dxa"/>
            <w:tcMar>
              <w:left w:w="28" w:type="dxa"/>
              <w:right w:w="28" w:type="dxa"/>
            </w:tcMar>
            <w:vAlign w:val="center"/>
          </w:tcPr>
          <w:p w14:paraId="472989F9">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现有工程</w:t>
            </w:r>
          </w:p>
          <w:p w14:paraId="2C05CD22">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排放量</w:t>
            </w:r>
            <w:r>
              <w:rPr>
                <w:rFonts w:hint="eastAsia" w:ascii="Times New Roman" w:eastAsia="黑体"/>
                <w:snapToGrid w:val="0"/>
                <w:spacing w:val="-6"/>
                <w:kern w:val="21"/>
                <w:szCs w:val="21"/>
                <w:lang w:eastAsia="zh-CN"/>
              </w:rPr>
              <w:t>（</w:t>
            </w:r>
            <w:r>
              <w:rPr>
                <w:rFonts w:ascii="Times New Roman" w:eastAsia="黑体"/>
                <w:snapToGrid w:val="0"/>
                <w:spacing w:val="-6"/>
                <w:kern w:val="21"/>
                <w:szCs w:val="21"/>
              </w:rPr>
              <w:t>固体废物产生量</w:t>
            </w:r>
            <w:r>
              <w:rPr>
                <w:rFonts w:hint="eastAsia" w:ascii="Times New Roman" w:eastAsia="黑体"/>
                <w:snapToGrid w:val="0"/>
                <w:spacing w:val="-6"/>
                <w:kern w:val="21"/>
                <w:szCs w:val="21"/>
                <w:lang w:eastAsia="zh-CN"/>
              </w:rPr>
              <w:t>）</w:t>
            </w:r>
            <w:r>
              <w:rPr>
                <w:rFonts w:ascii="Times New Roman" w:eastAsia="黑体"/>
                <w:snapToGrid w:val="0"/>
                <w:spacing w:val="-6"/>
                <w:kern w:val="21"/>
                <w:szCs w:val="21"/>
              </w:rPr>
              <w:fldChar w:fldCharType="begin"/>
            </w:r>
            <w:r>
              <w:rPr>
                <w:rFonts w:ascii="Times New Roman" w:eastAsia="黑体"/>
                <w:snapToGrid w:val="0"/>
                <w:spacing w:val="-6"/>
                <w:kern w:val="21"/>
                <w:szCs w:val="21"/>
              </w:rPr>
              <w:instrText xml:space="preserve"> = 1 \* GB3 \* MERGEFORMAT </w:instrText>
            </w:r>
            <w:r>
              <w:rPr>
                <w:rFonts w:ascii="Times New Roman" w:eastAsia="黑体"/>
                <w:snapToGrid w:val="0"/>
                <w:spacing w:val="-6"/>
                <w:kern w:val="21"/>
                <w:szCs w:val="21"/>
              </w:rPr>
              <w:fldChar w:fldCharType="separate"/>
            </w:r>
            <w:r>
              <w:rPr>
                <w:rFonts w:ascii="Cambria Math" w:hAnsi="Cambria Math" w:cs="Cambria Math"/>
                <w:kern w:val="2"/>
                <w:szCs w:val="21"/>
              </w:rPr>
              <w:t>①</w:t>
            </w:r>
            <w:r>
              <w:rPr>
                <w:rFonts w:ascii="Times New Roman" w:eastAsia="黑体"/>
                <w:snapToGrid w:val="0"/>
                <w:spacing w:val="-6"/>
                <w:kern w:val="21"/>
                <w:szCs w:val="21"/>
              </w:rPr>
              <w:fldChar w:fldCharType="end"/>
            </w:r>
          </w:p>
        </w:tc>
        <w:tc>
          <w:tcPr>
            <w:tcW w:w="1276" w:type="dxa"/>
            <w:tcMar>
              <w:left w:w="28" w:type="dxa"/>
              <w:right w:w="28" w:type="dxa"/>
            </w:tcMar>
            <w:vAlign w:val="center"/>
          </w:tcPr>
          <w:p w14:paraId="3BF0F75C">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现有工程</w:t>
            </w:r>
          </w:p>
          <w:p w14:paraId="2250F610">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许可排放量</w:t>
            </w:r>
          </w:p>
          <w:p w14:paraId="3AB185F9">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fldChar w:fldCharType="begin"/>
            </w:r>
            <w:r>
              <w:rPr>
                <w:rFonts w:ascii="Times New Roman" w:eastAsia="黑体"/>
                <w:snapToGrid w:val="0"/>
                <w:spacing w:val="-6"/>
                <w:kern w:val="21"/>
                <w:szCs w:val="21"/>
              </w:rPr>
              <w:instrText xml:space="preserve"> = 2 \* GB3 \* MERGEFORMAT </w:instrText>
            </w:r>
            <w:r>
              <w:rPr>
                <w:rFonts w:ascii="Times New Roman" w:eastAsia="黑体"/>
                <w:snapToGrid w:val="0"/>
                <w:spacing w:val="-6"/>
                <w:kern w:val="21"/>
                <w:szCs w:val="21"/>
              </w:rPr>
              <w:fldChar w:fldCharType="separate"/>
            </w:r>
            <w:r>
              <w:rPr>
                <w:rFonts w:ascii="Cambria Math" w:hAnsi="Cambria Math" w:cs="Cambria Math"/>
                <w:snapToGrid w:val="0"/>
                <w:spacing w:val="-6"/>
                <w:kern w:val="21"/>
                <w:szCs w:val="21"/>
              </w:rPr>
              <w:t>②</w:t>
            </w:r>
            <w:r>
              <w:rPr>
                <w:rFonts w:ascii="Times New Roman" w:eastAsia="黑体"/>
                <w:snapToGrid w:val="0"/>
                <w:spacing w:val="-6"/>
                <w:kern w:val="21"/>
                <w:szCs w:val="21"/>
              </w:rPr>
              <w:fldChar w:fldCharType="end"/>
            </w:r>
          </w:p>
        </w:tc>
        <w:tc>
          <w:tcPr>
            <w:tcW w:w="1701" w:type="dxa"/>
            <w:tcMar>
              <w:left w:w="28" w:type="dxa"/>
              <w:right w:w="28" w:type="dxa"/>
            </w:tcMar>
            <w:vAlign w:val="center"/>
          </w:tcPr>
          <w:p w14:paraId="6E164C5A">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在建工程</w:t>
            </w:r>
          </w:p>
          <w:p w14:paraId="0487631A">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排放量</w:t>
            </w:r>
            <w:r>
              <w:rPr>
                <w:rFonts w:hint="eastAsia" w:ascii="Times New Roman" w:eastAsia="黑体"/>
                <w:snapToGrid w:val="0"/>
                <w:spacing w:val="-6"/>
                <w:kern w:val="21"/>
                <w:szCs w:val="21"/>
                <w:lang w:eastAsia="zh-CN"/>
              </w:rPr>
              <w:t>（</w:t>
            </w:r>
            <w:r>
              <w:rPr>
                <w:rFonts w:ascii="Times New Roman" w:eastAsia="黑体"/>
                <w:snapToGrid w:val="0"/>
                <w:spacing w:val="-6"/>
                <w:kern w:val="21"/>
                <w:szCs w:val="21"/>
              </w:rPr>
              <w:t>固体废物产生量</w:t>
            </w:r>
            <w:r>
              <w:rPr>
                <w:rFonts w:hint="eastAsia" w:ascii="Times New Roman" w:eastAsia="黑体"/>
                <w:snapToGrid w:val="0"/>
                <w:spacing w:val="-6"/>
                <w:kern w:val="21"/>
                <w:szCs w:val="21"/>
                <w:lang w:eastAsia="zh-CN"/>
              </w:rPr>
              <w:t>）</w:t>
            </w:r>
            <w:r>
              <w:rPr>
                <w:rFonts w:ascii="Times New Roman" w:eastAsia="黑体"/>
                <w:snapToGrid w:val="0"/>
                <w:spacing w:val="-6"/>
                <w:kern w:val="21"/>
                <w:szCs w:val="21"/>
              </w:rPr>
              <w:fldChar w:fldCharType="begin"/>
            </w:r>
            <w:r>
              <w:rPr>
                <w:rFonts w:ascii="Times New Roman" w:eastAsia="黑体"/>
                <w:snapToGrid w:val="0"/>
                <w:spacing w:val="-6"/>
                <w:kern w:val="21"/>
                <w:szCs w:val="21"/>
              </w:rPr>
              <w:instrText xml:space="preserve"> = 3 \* GB3 \* MERGEFORMAT </w:instrText>
            </w:r>
            <w:r>
              <w:rPr>
                <w:rFonts w:ascii="Times New Roman" w:eastAsia="黑体"/>
                <w:snapToGrid w:val="0"/>
                <w:spacing w:val="-6"/>
                <w:kern w:val="21"/>
                <w:szCs w:val="21"/>
              </w:rPr>
              <w:fldChar w:fldCharType="separate"/>
            </w:r>
            <w:r>
              <w:rPr>
                <w:rFonts w:ascii="Cambria Math" w:hAnsi="Cambria Math" w:cs="Cambria Math"/>
                <w:kern w:val="2"/>
                <w:szCs w:val="21"/>
              </w:rPr>
              <w:t>③</w:t>
            </w:r>
            <w:r>
              <w:rPr>
                <w:rFonts w:ascii="Times New Roman" w:eastAsia="黑体"/>
                <w:snapToGrid w:val="0"/>
                <w:spacing w:val="-6"/>
                <w:kern w:val="21"/>
                <w:szCs w:val="21"/>
              </w:rPr>
              <w:fldChar w:fldCharType="end"/>
            </w:r>
          </w:p>
        </w:tc>
        <w:tc>
          <w:tcPr>
            <w:tcW w:w="1559" w:type="dxa"/>
            <w:tcMar>
              <w:left w:w="28" w:type="dxa"/>
              <w:right w:w="28" w:type="dxa"/>
            </w:tcMar>
            <w:vAlign w:val="center"/>
          </w:tcPr>
          <w:p w14:paraId="7D059354">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本项目</w:t>
            </w:r>
          </w:p>
          <w:p w14:paraId="183EE37A">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排放量</w:t>
            </w:r>
            <w:r>
              <w:rPr>
                <w:rFonts w:hint="eastAsia" w:ascii="Times New Roman" w:eastAsia="黑体"/>
                <w:snapToGrid w:val="0"/>
                <w:spacing w:val="-6"/>
                <w:kern w:val="21"/>
                <w:szCs w:val="21"/>
                <w:lang w:eastAsia="zh-CN"/>
              </w:rPr>
              <w:t>（</w:t>
            </w:r>
            <w:r>
              <w:rPr>
                <w:rFonts w:ascii="Times New Roman" w:eastAsia="黑体"/>
                <w:snapToGrid w:val="0"/>
                <w:spacing w:val="-6"/>
                <w:kern w:val="21"/>
                <w:szCs w:val="21"/>
              </w:rPr>
              <w:t>固体废物产生量</w:t>
            </w:r>
            <w:r>
              <w:rPr>
                <w:rFonts w:hint="eastAsia" w:ascii="Times New Roman" w:eastAsia="黑体"/>
                <w:snapToGrid w:val="0"/>
                <w:spacing w:val="-6"/>
                <w:kern w:val="21"/>
                <w:szCs w:val="21"/>
                <w:lang w:eastAsia="zh-CN"/>
              </w:rPr>
              <w:t>）</w:t>
            </w:r>
            <w:r>
              <w:rPr>
                <w:rFonts w:ascii="Times New Roman" w:eastAsia="黑体"/>
                <w:snapToGrid w:val="0"/>
                <w:spacing w:val="-6"/>
                <w:kern w:val="21"/>
                <w:szCs w:val="21"/>
              </w:rPr>
              <w:fldChar w:fldCharType="begin"/>
            </w:r>
            <w:r>
              <w:rPr>
                <w:rFonts w:ascii="Times New Roman" w:eastAsia="黑体"/>
                <w:snapToGrid w:val="0"/>
                <w:spacing w:val="-6"/>
                <w:kern w:val="21"/>
                <w:szCs w:val="21"/>
              </w:rPr>
              <w:instrText xml:space="preserve"> = 4 \* GB3 \* MERGEFORMAT </w:instrText>
            </w:r>
            <w:r>
              <w:rPr>
                <w:rFonts w:ascii="Times New Roman" w:eastAsia="黑体"/>
                <w:snapToGrid w:val="0"/>
                <w:spacing w:val="-6"/>
                <w:kern w:val="21"/>
                <w:szCs w:val="21"/>
              </w:rPr>
              <w:fldChar w:fldCharType="separate"/>
            </w:r>
            <w:r>
              <w:rPr>
                <w:rFonts w:ascii="Cambria Math" w:hAnsi="Cambria Math" w:cs="Cambria Math"/>
                <w:kern w:val="2"/>
                <w:szCs w:val="21"/>
              </w:rPr>
              <w:t>④</w:t>
            </w:r>
            <w:r>
              <w:rPr>
                <w:rFonts w:ascii="Times New Roman" w:eastAsia="黑体"/>
                <w:snapToGrid w:val="0"/>
                <w:spacing w:val="-6"/>
                <w:kern w:val="21"/>
                <w:szCs w:val="21"/>
              </w:rPr>
              <w:fldChar w:fldCharType="end"/>
            </w:r>
          </w:p>
        </w:tc>
        <w:tc>
          <w:tcPr>
            <w:tcW w:w="1761" w:type="dxa"/>
            <w:tcMar>
              <w:left w:w="28" w:type="dxa"/>
              <w:right w:w="28" w:type="dxa"/>
            </w:tcMar>
            <w:vAlign w:val="center"/>
          </w:tcPr>
          <w:p w14:paraId="0F42490F">
            <w:pPr>
              <w:pStyle w:val="21"/>
              <w:spacing w:beforeLines="0" w:afterLines="0" w:line="240" w:lineRule="auto"/>
              <w:rPr>
                <w:rFonts w:ascii="Times New Roman" w:eastAsia="黑体"/>
                <w:snapToGrid w:val="0"/>
                <w:spacing w:val="-16"/>
                <w:kern w:val="21"/>
                <w:szCs w:val="21"/>
              </w:rPr>
            </w:pPr>
            <w:r>
              <w:rPr>
                <w:rFonts w:ascii="Times New Roman" w:eastAsia="黑体"/>
                <w:snapToGrid w:val="0"/>
                <w:spacing w:val="-16"/>
                <w:kern w:val="21"/>
                <w:szCs w:val="21"/>
              </w:rPr>
              <w:t>以新带老削减</w:t>
            </w:r>
            <w:r>
              <w:rPr>
                <w:rFonts w:hint="eastAsia" w:ascii="Times New Roman" w:eastAsia="黑体"/>
                <w:snapToGrid w:val="0"/>
                <w:spacing w:val="-16"/>
                <w:kern w:val="21"/>
                <w:szCs w:val="21"/>
                <w:lang w:eastAsia="zh-CN"/>
              </w:rPr>
              <w:t>总</w:t>
            </w:r>
            <w:r>
              <w:rPr>
                <w:rFonts w:ascii="Times New Roman" w:eastAsia="黑体"/>
                <w:snapToGrid w:val="0"/>
                <w:spacing w:val="-16"/>
                <w:kern w:val="21"/>
                <w:szCs w:val="21"/>
              </w:rPr>
              <w:t>量</w:t>
            </w:r>
          </w:p>
          <w:p w14:paraId="325D6B98">
            <w:pPr>
              <w:pStyle w:val="21"/>
              <w:spacing w:beforeLines="0" w:afterLines="0" w:line="240" w:lineRule="auto"/>
              <w:rPr>
                <w:rFonts w:ascii="Times New Roman" w:eastAsia="黑体"/>
                <w:snapToGrid w:val="0"/>
                <w:spacing w:val="-16"/>
                <w:kern w:val="21"/>
                <w:szCs w:val="21"/>
              </w:rPr>
            </w:pPr>
            <w:r>
              <w:rPr>
                <w:rFonts w:hint="eastAsia" w:ascii="Times New Roman" w:eastAsia="黑体"/>
                <w:snapToGrid w:val="0"/>
                <w:spacing w:val="-16"/>
                <w:kern w:val="21"/>
                <w:szCs w:val="21"/>
                <w:lang w:eastAsia="zh-CN"/>
              </w:rPr>
              <w:t>（</w:t>
            </w:r>
            <w:r>
              <w:rPr>
                <w:rFonts w:ascii="Times New Roman" w:eastAsia="黑体"/>
                <w:snapToGrid w:val="0"/>
                <w:spacing w:val="-16"/>
                <w:kern w:val="21"/>
                <w:szCs w:val="21"/>
              </w:rPr>
              <w:t>新建项目不填</w:t>
            </w:r>
            <w:r>
              <w:rPr>
                <w:rFonts w:hint="eastAsia" w:ascii="Times New Roman" w:eastAsia="黑体"/>
                <w:snapToGrid w:val="0"/>
                <w:spacing w:val="-16"/>
                <w:kern w:val="21"/>
                <w:szCs w:val="21"/>
                <w:lang w:eastAsia="zh-CN"/>
              </w:rPr>
              <w:t>）</w:t>
            </w:r>
            <w:r>
              <w:rPr>
                <w:rFonts w:ascii="Times New Roman" w:eastAsia="黑体"/>
                <w:snapToGrid w:val="0"/>
                <w:spacing w:val="-16"/>
                <w:kern w:val="21"/>
                <w:szCs w:val="21"/>
              </w:rPr>
              <w:fldChar w:fldCharType="begin"/>
            </w:r>
            <w:r>
              <w:rPr>
                <w:rFonts w:ascii="Times New Roman" w:eastAsia="黑体"/>
                <w:snapToGrid w:val="0"/>
                <w:spacing w:val="-16"/>
                <w:kern w:val="21"/>
                <w:szCs w:val="21"/>
              </w:rPr>
              <w:instrText xml:space="preserve"> = 5 \* GB3 \* MERGEFORMAT </w:instrText>
            </w:r>
            <w:r>
              <w:rPr>
                <w:rFonts w:ascii="Times New Roman" w:eastAsia="黑体"/>
                <w:snapToGrid w:val="0"/>
                <w:spacing w:val="-16"/>
                <w:kern w:val="21"/>
                <w:szCs w:val="21"/>
              </w:rPr>
              <w:fldChar w:fldCharType="separate"/>
            </w:r>
            <w:r>
              <w:rPr>
                <w:rFonts w:ascii="Cambria Math" w:hAnsi="Cambria Math" w:cs="Cambria Math"/>
                <w:kern w:val="2"/>
                <w:szCs w:val="21"/>
              </w:rPr>
              <w:t>⑤</w:t>
            </w:r>
            <w:r>
              <w:rPr>
                <w:rFonts w:ascii="Times New Roman" w:eastAsia="黑体"/>
                <w:snapToGrid w:val="0"/>
                <w:spacing w:val="-16"/>
                <w:kern w:val="21"/>
                <w:szCs w:val="21"/>
              </w:rPr>
              <w:fldChar w:fldCharType="end"/>
            </w:r>
          </w:p>
        </w:tc>
        <w:tc>
          <w:tcPr>
            <w:tcW w:w="1641" w:type="dxa"/>
            <w:tcMar>
              <w:left w:w="28" w:type="dxa"/>
              <w:right w:w="28" w:type="dxa"/>
            </w:tcMar>
            <w:vAlign w:val="center"/>
          </w:tcPr>
          <w:p w14:paraId="04703AF9">
            <w:pPr>
              <w:pStyle w:val="21"/>
              <w:spacing w:beforeLines="0" w:afterLines="0" w:line="240" w:lineRule="auto"/>
              <w:rPr>
                <w:rFonts w:ascii="Times New Roman" w:eastAsia="黑体"/>
                <w:snapToGrid w:val="0"/>
                <w:spacing w:val="-16"/>
                <w:kern w:val="21"/>
                <w:szCs w:val="21"/>
              </w:rPr>
            </w:pPr>
            <w:r>
              <w:rPr>
                <w:rFonts w:ascii="Times New Roman" w:eastAsia="黑体"/>
                <w:snapToGrid w:val="0"/>
                <w:spacing w:val="-16"/>
                <w:kern w:val="21"/>
                <w:szCs w:val="21"/>
              </w:rPr>
              <w:t>本项目建成后</w:t>
            </w:r>
          </w:p>
          <w:p w14:paraId="29E58ABE">
            <w:pPr>
              <w:pStyle w:val="21"/>
              <w:spacing w:beforeLines="0" w:afterLines="0" w:line="240" w:lineRule="auto"/>
              <w:rPr>
                <w:rFonts w:ascii="Times New Roman" w:eastAsia="黑体"/>
                <w:snapToGrid w:val="0"/>
                <w:spacing w:val="-16"/>
                <w:kern w:val="21"/>
                <w:szCs w:val="21"/>
              </w:rPr>
            </w:pPr>
            <w:r>
              <w:rPr>
                <w:rFonts w:ascii="Times New Roman" w:eastAsia="黑体"/>
                <w:snapToGrid w:val="0"/>
                <w:spacing w:val="-16"/>
                <w:kern w:val="21"/>
                <w:szCs w:val="21"/>
              </w:rPr>
              <w:t>全厂排放量</w:t>
            </w:r>
            <w:r>
              <w:rPr>
                <w:rFonts w:hint="eastAsia" w:ascii="Times New Roman" w:eastAsia="黑体"/>
                <w:snapToGrid w:val="0"/>
                <w:spacing w:val="-16"/>
                <w:kern w:val="21"/>
                <w:szCs w:val="21"/>
                <w:lang w:eastAsia="zh-CN"/>
              </w:rPr>
              <w:t>（</w:t>
            </w:r>
            <w:r>
              <w:rPr>
                <w:rFonts w:ascii="Times New Roman" w:eastAsia="黑体"/>
                <w:snapToGrid w:val="0"/>
                <w:spacing w:val="-16"/>
                <w:kern w:val="21"/>
                <w:szCs w:val="21"/>
              </w:rPr>
              <w:t>固体废物产生量</w:t>
            </w:r>
            <w:r>
              <w:rPr>
                <w:rFonts w:hint="eastAsia" w:ascii="Times New Roman" w:eastAsia="黑体"/>
                <w:snapToGrid w:val="0"/>
                <w:spacing w:val="-16"/>
                <w:kern w:val="21"/>
                <w:szCs w:val="21"/>
                <w:lang w:eastAsia="zh-CN"/>
              </w:rPr>
              <w:t>）</w:t>
            </w:r>
            <w:r>
              <w:rPr>
                <w:rFonts w:ascii="Times New Roman" w:eastAsia="黑体"/>
                <w:snapToGrid w:val="0"/>
                <w:spacing w:val="-16"/>
                <w:kern w:val="21"/>
                <w:szCs w:val="21"/>
              </w:rPr>
              <w:fldChar w:fldCharType="begin"/>
            </w:r>
            <w:r>
              <w:rPr>
                <w:rFonts w:ascii="Times New Roman" w:eastAsia="黑体"/>
                <w:snapToGrid w:val="0"/>
                <w:spacing w:val="-16"/>
                <w:kern w:val="21"/>
                <w:szCs w:val="21"/>
              </w:rPr>
              <w:instrText xml:space="preserve"> = 6 \* GB3 \* MERGEFORMAT </w:instrText>
            </w:r>
            <w:r>
              <w:rPr>
                <w:rFonts w:ascii="Times New Roman" w:eastAsia="黑体"/>
                <w:snapToGrid w:val="0"/>
                <w:spacing w:val="-16"/>
                <w:kern w:val="21"/>
                <w:szCs w:val="21"/>
              </w:rPr>
              <w:fldChar w:fldCharType="separate"/>
            </w:r>
            <w:r>
              <w:rPr>
                <w:rFonts w:ascii="Cambria Math" w:hAnsi="Cambria Math" w:cs="Cambria Math"/>
                <w:kern w:val="2"/>
                <w:szCs w:val="21"/>
              </w:rPr>
              <w:t>⑥</w:t>
            </w:r>
            <w:r>
              <w:rPr>
                <w:rFonts w:ascii="Times New Roman" w:eastAsia="黑体"/>
                <w:snapToGrid w:val="0"/>
                <w:spacing w:val="-16"/>
                <w:kern w:val="21"/>
                <w:szCs w:val="21"/>
              </w:rPr>
              <w:fldChar w:fldCharType="end"/>
            </w:r>
          </w:p>
        </w:tc>
        <w:tc>
          <w:tcPr>
            <w:tcW w:w="1276" w:type="dxa"/>
            <w:tcMar>
              <w:left w:w="28" w:type="dxa"/>
              <w:right w:w="28" w:type="dxa"/>
            </w:tcMar>
            <w:vAlign w:val="center"/>
          </w:tcPr>
          <w:p w14:paraId="3148E25F">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变化量</w:t>
            </w:r>
          </w:p>
          <w:p w14:paraId="4B92AC1C">
            <w:pPr>
              <w:pStyle w:val="21"/>
              <w:spacing w:beforeLines="0" w:afterLines="0" w:line="240" w:lineRule="auto"/>
              <w:rPr>
                <w:rFonts w:ascii="Times New Roman" w:eastAsia="黑体"/>
                <w:snapToGrid w:val="0"/>
                <w:spacing w:val="-6"/>
                <w:kern w:val="21"/>
                <w:szCs w:val="21"/>
              </w:rPr>
            </w:pPr>
            <w:r>
              <w:rPr>
                <w:rFonts w:ascii="Times New Roman"/>
                <w:snapToGrid w:val="0"/>
                <w:kern w:val="21"/>
                <w:szCs w:val="21"/>
              </w:rPr>
              <w:fldChar w:fldCharType="begin"/>
            </w:r>
            <w:r>
              <w:rPr>
                <w:rFonts w:ascii="Times New Roman"/>
                <w:snapToGrid w:val="0"/>
                <w:kern w:val="21"/>
                <w:szCs w:val="21"/>
              </w:rPr>
              <w:instrText xml:space="preserve"> = 7 \* GB3 \* MERGEFORMAT </w:instrText>
            </w:r>
            <w:r>
              <w:rPr>
                <w:rFonts w:ascii="Times New Roman"/>
                <w:snapToGrid w:val="0"/>
                <w:kern w:val="21"/>
                <w:szCs w:val="21"/>
              </w:rPr>
              <w:fldChar w:fldCharType="separate"/>
            </w:r>
            <w:r>
              <w:rPr>
                <w:rFonts w:ascii="Cambria Math" w:hAnsi="Cambria Math" w:cs="Cambria Math"/>
                <w:snapToGrid w:val="0"/>
                <w:kern w:val="21"/>
                <w:szCs w:val="21"/>
              </w:rPr>
              <w:t>⑦</w:t>
            </w:r>
            <w:r>
              <w:rPr>
                <w:rFonts w:ascii="Times New Roman"/>
                <w:snapToGrid w:val="0"/>
                <w:kern w:val="21"/>
                <w:szCs w:val="21"/>
              </w:rPr>
              <w:fldChar w:fldCharType="end"/>
            </w:r>
          </w:p>
        </w:tc>
      </w:tr>
      <w:tr w14:paraId="4E6EED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gridSpan w:val="2"/>
            <w:vMerge w:val="restart"/>
            <w:vAlign w:val="center"/>
          </w:tcPr>
          <w:p w14:paraId="25CB4518">
            <w:pPr>
              <w:pStyle w:val="21"/>
              <w:spacing w:beforeLines="0" w:afterLines="0" w:line="240" w:lineRule="auto"/>
              <w:rPr>
                <w:rFonts w:ascii="Times New Roman"/>
                <w:snapToGrid w:val="0"/>
                <w:kern w:val="21"/>
                <w:szCs w:val="21"/>
              </w:rPr>
            </w:pPr>
            <w:r>
              <w:rPr>
                <w:rFonts w:ascii="Times New Roman"/>
                <w:snapToGrid w:val="0"/>
                <w:kern w:val="21"/>
                <w:szCs w:val="21"/>
              </w:rPr>
              <w:t>废气</w:t>
            </w:r>
          </w:p>
        </w:tc>
        <w:tc>
          <w:tcPr>
            <w:tcW w:w="1417" w:type="dxa"/>
            <w:vAlign w:val="center"/>
          </w:tcPr>
          <w:p w14:paraId="278EC340">
            <w:pPr>
              <w:pStyle w:val="21"/>
              <w:spacing w:beforeLines="0" w:afterLines="0" w:line="240" w:lineRule="auto"/>
              <w:rPr>
                <w:rFonts w:ascii="Times New Roman"/>
                <w:snapToGrid w:val="0"/>
                <w:kern w:val="21"/>
                <w:szCs w:val="21"/>
              </w:rPr>
            </w:pPr>
            <w:r>
              <w:rPr>
                <w:rFonts w:hint="eastAsia" w:ascii="Times New Roman"/>
                <w:snapToGrid w:val="0"/>
                <w:kern w:val="21"/>
                <w:szCs w:val="21"/>
              </w:rPr>
              <w:t>有组织</w:t>
            </w:r>
            <w:r>
              <w:rPr>
                <w:rFonts w:ascii="Times New Roman"/>
                <w:snapToGrid w:val="0"/>
                <w:kern w:val="21"/>
                <w:szCs w:val="21"/>
              </w:rPr>
              <w:t>颗粒物</w:t>
            </w:r>
          </w:p>
        </w:tc>
        <w:tc>
          <w:tcPr>
            <w:tcW w:w="1701" w:type="dxa"/>
            <w:vAlign w:val="center"/>
          </w:tcPr>
          <w:p w14:paraId="06A95209">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085E9F30">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4A91A163">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37B4E59A">
            <w:pPr>
              <w:pStyle w:val="21"/>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0.008t</w:t>
            </w:r>
            <w:r>
              <w:rPr>
                <w:rFonts w:ascii="Times New Roman"/>
                <w:snapToGrid w:val="0"/>
                <w:color w:val="auto"/>
                <w:kern w:val="21"/>
                <w:szCs w:val="21"/>
              </w:rPr>
              <w:t>/a</w:t>
            </w:r>
          </w:p>
        </w:tc>
        <w:tc>
          <w:tcPr>
            <w:tcW w:w="1761" w:type="dxa"/>
            <w:vAlign w:val="center"/>
          </w:tcPr>
          <w:p w14:paraId="4EF5F57F">
            <w:pPr>
              <w:pStyle w:val="21"/>
              <w:spacing w:beforeLines="0" w:afterLines="0" w:line="240" w:lineRule="auto"/>
              <w:rPr>
                <w:rFonts w:ascii="Times New Roman"/>
                <w:snapToGrid w:val="0"/>
                <w:color w:val="auto"/>
                <w:kern w:val="21"/>
                <w:szCs w:val="21"/>
              </w:rPr>
            </w:pPr>
            <w:r>
              <w:rPr>
                <w:rFonts w:ascii="Times New Roman"/>
                <w:snapToGrid w:val="0"/>
                <w:color w:val="auto"/>
                <w:kern w:val="21"/>
                <w:szCs w:val="21"/>
              </w:rPr>
              <w:t>/</w:t>
            </w:r>
          </w:p>
        </w:tc>
        <w:tc>
          <w:tcPr>
            <w:tcW w:w="1641" w:type="dxa"/>
            <w:vAlign w:val="center"/>
          </w:tcPr>
          <w:p w14:paraId="6C1FFF49">
            <w:pPr>
              <w:pStyle w:val="21"/>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0.008</w:t>
            </w:r>
            <w:r>
              <w:rPr>
                <w:rFonts w:ascii="Times New Roman"/>
                <w:snapToGrid w:val="0"/>
                <w:color w:val="auto"/>
                <w:kern w:val="21"/>
                <w:szCs w:val="21"/>
              </w:rPr>
              <w:t>t/a</w:t>
            </w:r>
          </w:p>
        </w:tc>
        <w:tc>
          <w:tcPr>
            <w:tcW w:w="1276" w:type="dxa"/>
            <w:vAlign w:val="center"/>
          </w:tcPr>
          <w:p w14:paraId="278B1927">
            <w:pPr>
              <w:pStyle w:val="21"/>
              <w:spacing w:beforeLines="0" w:afterLines="0" w:line="240" w:lineRule="auto"/>
              <w:rPr>
                <w:rFonts w:ascii="Times New Roman"/>
                <w:snapToGrid w:val="0"/>
                <w:color w:val="auto"/>
                <w:kern w:val="21"/>
                <w:szCs w:val="21"/>
              </w:rPr>
            </w:pPr>
            <w:r>
              <w:rPr>
                <w:rFonts w:ascii="Times New Roman"/>
                <w:snapToGrid w:val="0"/>
                <w:color w:val="auto"/>
                <w:kern w:val="21"/>
                <w:szCs w:val="21"/>
              </w:rPr>
              <w:t>+</w:t>
            </w:r>
            <w:r>
              <w:rPr>
                <w:rFonts w:hint="eastAsia" w:ascii="Times New Roman"/>
                <w:snapToGrid w:val="0"/>
                <w:color w:val="auto"/>
                <w:kern w:val="21"/>
                <w:szCs w:val="21"/>
              </w:rPr>
              <w:t>0.008</w:t>
            </w:r>
            <w:r>
              <w:rPr>
                <w:rFonts w:ascii="Times New Roman"/>
                <w:snapToGrid w:val="0"/>
                <w:color w:val="auto"/>
                <w:kern w:val="21"/>
                <w:szCs w:val="21"/>
              </w:rPr>
              <w:t>t/a</w:t>
            </w:r>
          </w:p>
        </w:tc>
      </w:tr>
      <w:tr w14:paraId="2CDDD7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gridSpan w:val="2"/>
            <w:vMerge w:val="continue"/>
            <w:vAlign w:val="center"/>
          </w:tcPr>
          <w:p w14:paraId="78934D89">
            <w:pPr>
              <w:pStyle w:val="21"/>
              <w:spacing w:beforeLines="0" w:afterLines="0" w:line="240" w:lineRule="auto"/>
              <w:rPr>
                <w:rFonts w:ascii="Times New Roman"/>
                <w:snapToGrid w:val="0"/>
                <w:kern w:val="21"/>
                <w:szCs w:val="21"/>
              </w:rPr>
            </w:pPr>
          </w:p>
        </w:tc>
        <w:tc>
          <w:tcPr>
            <w:tcW w:w="1417" w:type="dxa"/>
            <w:vAlign w:val="center"/>
          </w:tcPr>
          <w:p w14:paraId="77164A92">
            <w:pPr>
              <w:pStyle w:val="21"/>
              <w:spacing w:beforeLines="0" w:afterLines="0" w:line="240" w:lineRule="auto"/>
              <w:rPr>
                <w:rFonts w:ascii="Times New Roman"/>
                <w:snapToGrid w:val="0"/>
                <w:kern w:val="21"/>
                <w:szCs w:val="21"/>
              </w:rPr>
            </w:pPr>
            <w:r>
              <w:rPr>
                <w:rFonts w:hint="eastAsia" w:ascii="Times New Roman"/>
                <w:snapToGrid w:val="0"/>
                <w:kern w:val="21"/>
                <w:szCs w:val="21"/>
              </w:rPr>
              <w:t>无组织颗粒物</w:t>
            </w:r>
          </w:p>
        </w:tc>
        <w:tc>
          <w:tcPr>
            <w:tcW w:w="1701" w:type="dxa"/>
            <w:vAlign w:val="center"/>
          </w:tcPr>
          <w:p w14:paraId="08400F2E">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4D3F4299">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35FD30EA">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041DFF63">
            <w:pPr>
              <w:pStyle w:val="21"/>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18.25t</w:t>
            </w:r>
            <w:r>
              <w:rPr>
                <w:rFonts w:ascii="Times New Roman"/>
                <w:snapToGrid w:val="0"/>
                <w:color w:val="auto"/>
                <w:kern w:val="21"/>
                <w:szCs w:val="21"/>
              </w:rPr>
              <w:t>/a</w:t>
            </w:r>
          </w:p>
        </w:tc>
        <w:tc>
          <w:tcPr>
            <w:tcW w:w="1761" w:type="dxa"/>
            <w:vAlign w:val="center"/>
          </w:tcPr>
          <w:p w14:paraId="6EA884D8">
            <w:pPr>
              <w:pStyle w:val="21"/>
              <w:spacing w:beforeLines="0" w:afterLines="0" w:line="240" w:lineRule="auto"/>
              <w:rPr>
                <w:rFonts w:ascii="Times New Roman"/>
                <w:snapToGrid w:val="0"/>
                <w:color w:val="auto"/>
                <w:kern w:val="21"/>
                <w:szCs w:val="21"/>
              </w:rPr>
            </w:pPr>
            <w:r>
              <w:rPr>
                <w:rFonts w:ascii="Times New Roman"/>
                <w:snapToGrid w:val="0"/>
                <w:color w:val="auto"/>
                <w:kern w:val="21"/>
                <w:szCs w:val="21"/>
              </w:rPr>
              <w:t>/</w:t>
            </w:r>
          </w:p>
        </w:tc>
        <w:tc>
          <w:tcPr>
            <w:tcW w:w="1641" w:type="dxa"/>
            <w:vAlign w:val="center"/>
          </w:tcPr>
          <w:p w14:paraId="4DF2C251">
            <w:pPr>
              <w:pStyle w:val="21"/>
              <w:spacing w:beforeLines="0" w:afterLines="0" w:line="240" w:lineRule="auto"/>
              <w:rPr>
                <w:rFonts w:ascii="Times New Roman"/>
                <w:snapToGrid w:val="0"/>
                <w:color w:val="auto"/>
                <w:kern w:val="21"/>
                <w:szCs w:val="21"/>
              </w:rPr>
            </w:pPr>
            <w:r>
              <w:rPr>
                <w:rFonts w:hint="eastAsia" w:ascii="Times New Roman"/>
                <w:snapToGrid w:val="0"/>
                <w:color w:val="auto"/>
                <w:kern w:val="21"/>
                <w:szCs w:val="21"/>
              </w:rPr>
              <w:t>18.25</w:t>
            </w:r>
            <w:r>
              <w:rPr>
                <w:rFonts w:ascii="Times New Roman"/>
                <w:snapToGrid w:val="0"/>
                <w:color w:val="auto"/>
                <w:kern w:val="21"/>
                <w:szCs w:val="21"/>
              </w:rPr>
              <w:t>t/a</w:t>
            </w:r>
          </w:p>
        </w:tc>
        <w:tc>
          <w:tcPr>
            <w:tcW w:w="1276" w:type="dxa"/>
            <w:vAlign w:val="center"/>
          </w:tcPr>
          <w:p w14:paraId="18BCBC6C">
            <w:pPr>
              <w:pStyle w:val="21"/>
              <w:spacing w:beforeLines="0" w:afterLines="0" w:line="240" w:lineRule="auto"/>
              <w:rPr>
                <w:rFonts w:ascii="Times New Roman"/>
                <w:snapToGrid w:val="0"/>
                <w:color w:val="auto"/>
                <w:kern w:val="21"/>
                <w:szCs w:val="21"/>
              </w:rPr>
            </w:pPr>
            <w:r>
              <w:rPr>
                <w:rFonts w:ascii="Times New Roman"/>
                <w:snapToGrid w:val="0"/>
                <w:color w:val="auto"/>
                <w:kern w:val="21"/>
                <w:szCs w:val="21"/>
              </w:rPr>
              <w:t>+</w:t>
            </w:r>
            <w:r>
              <w:rPr>
                <w:rFonts w:hint="eastAsia" w:ascii="Times New Roman"/>
                <w:snapToGrid w:val="0"/>
                <w:color w:val="auto"/>
                <w:kern w:val="21"/>
                <w:szCs w:val="21"/>
              </w:rPr>
              <w:t>18.25</w:t>
            </w:r>
            <w:r>
              <w:rPr>
                <w:rFonts w:ascii="Times New Roman"/>
                <w:snapToGrid w:val="0"/>
                <w:color w:val="auto"/>
                <w:kern w:val="21"/>
                <w:szCs w:val="21"/>
              </w:rPr>
              <w:t>t/a</w:t>
            </w:r>
          </w:p>
        </w:tc>
      </w:tr>
      <w:tr w14:paraId="389C09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gridSpan w:val="2"/>
            <w:vAlign w:val="center"/>
          </w:tcPr>
          <w:p w14:paraId="5BA258DB">
            <w:pPr>
              <w:pStyle w:val="21"/>
              <w:spacing w:beforeLines="0" w:afterLines="0" w:line="240" w:lineRule="auto"/>
              <w:rPr>
                <w:rFonts w:ascii="Times New Roman"/>
                <w:snapToGrid w:val="0"/>
                <w:kern w:val="21"/>
                <w:szCs w:val="21"/>
              </w:rPr>
            </w:pPr>
            <w:r>
              <w:rPr>
                <w:rFonts w:ascii="Times New Roman"/>
                <w:snapToGrid w:val="0"/>
                <w:kern w:val="21"/>
                <w:szCs w:val="21"/>
              </w:rPr>
              <w:t>废水</w:t>
            </w:r>
          </w:p>
        </w:tc>
        <w:tc>
          <w:tcPr>
            <w:tcW w:w="1417" w:type="dxa"/>
            <w:vAlign w:val="center"/>
          </w:tcPr>
          <w:p w14:paraId="5DAA7CCD">
            <w:pPr>
              <w:pStyle w:val="21"/>
              <w:spacing w:beforeLines="0" w:afterLines="0" w:line="240" w:lineRule="auto"/>
              <w:rPr>
                <w:rFonts w:ascii="Times New Roman"/>
                <w:snapToGrid w:val="0"/>
                <w:kern w:val="21"/>
                <w:szCs w:val="21"/>
              </w:rPr>
            </w:pPr>
            <w:r>
              <w:rPr>
                <w:rFonts w:ascii="Times New Roman"/>
                <w:snapToGrid w:val="0"/>
                <w:kern w:val="21"/>
                <w:szCs w:val="21"/>
              </w:rPr>
              <w:t>生活污水</w:t>
            </w:r>
          </w:p>
        </w:tc>
        <w:tc>
          <w:tcPr>
            <w:tcW w:w="1701" w:type="dxa"/>
            <w:vAlign w:val="center"/>
          </w:tcPr>
          <w:p w14:paraId="75DB9963">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6EFB7DED">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74FA2DC4">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2EB9BDCE">
            <w:pPr>
              <w:pStyle w:val="21"/>
              <w:spacing w:beforeLines="0" w:afterLines="0" w:line="240" w:lineRule="auto"/>
              <w:rPr>
                <w:rFonts w:ascii="Times New Roman"/>
                <w:snapToGrid w:val="0"/>
                <w:color w:val="auto"/>
                <w:kern w:val="21"/>
                <w:szCs w:val="21"/>
              </w:rPr>
            </w:pPr>
            <w:r>
              <w:rPr>
                <w:rFonts w:ascii="Times New Roman"/>
                <w:snapToGrid w:val="0"/>
                <w:color w:val="auto"/>
                <w:kern w:val="21"/>
                <w:szCs w:val="21"/>
              </w:rPr>
              <w:t>/</w:t>
            </w:r>
          </w:p>
        </w:tc>
        <w:tc>
          <w:tcPr>
            <w:tcW w:w="1761" w:type="dxa"/>
            <w:vAlign w:val="center"/>
          </w:tcPr>
          <w:p w14:paraId="1128C1BB">
            <w:pPr>
              <w:jc w:val="center"/>
              <w:rPr>
                <w:color w:val="auto"/>
              </w:rPr>
            </w:pPr>
            <w:r>
              <w:rPr>
                <w:color w:val="auto"/>
              </w:rPr>
              <w:t>/</w:t>
            </w:r>
          </w:p>
        </w:tc>
        <w:tc>
          <w:tcPr>
            <w:tcW w:w="1641" w:type="dxa"/>
            <w:vAlign w:val="center"/>
          </w:tcPr>
          <w:p w14:paraId="6F27C5BF">
            <w:pPr>
              <w:pStyle w:val="21"/>
              <w:spacing w:beforeLines="0" w:afterLines="0" w:line="240" w:lineRule="auto"/>
              <w:rPr>
                <w:rFonts w:ascii="Times New Roman"/>
                <w:snapToGrid w:val="0"/>
                <w:color w:val="auto"/>
                <w:kern w:val="21"/>
                <w:szCs w:val="21"/>
              </w:rPr>
            </w:pPr>
            <w:r>
              <w:rPr>
                <w:rFonts w:ascii="Times New Roman"/>
                <w:snapToGrid w:val="0"/>
                <w:color w:val="auto"/>
                <w:kern w:val="21"/>
                <w:szCs w:val="21"/>
              </w:rPr>
              <w:t>/</w:t>
            </w:r>
          </w:p>
        </w:tc>
        <w:tc>
          <w:tcPr>
            <w:tcW w:w="1276" w:type="dxa"/>
            <w:vAlign w:val="center"/>
          </w:tcPr>
          <w:p w14:paraId="776FEC68">
            <w:pPr>
              <w:pStyle w:val="21"/>
              <w:spacing w:beforeLines="0" w:afterLines="0" w:line="240" w:lineRule="auto"/>
              <w:rPr>
                <w:rFonts w:ascii="Times New Roman"/>
                <w:snapToGrid w:val="0"/>
                <w:color w:val="auto"/>
                <w:kern w:val="21"/>
                <w:szCs w:val="21"/>
              </w:rPr>
            </w:pPr>
            <w:r>
              <w:rPr>
                <w:rFonts w:ascii="Times New Roman"/>
                <w:snapToGrid w:val="0"/>
                <w:color w:val="auto"/>
                <w:kern w:val="21"/>
                <w:szCs w:val="21"/>
              </w:rPr>
              <w:t>/</w:t>
            </w:r>
          </w:p>
        </w:tc>
      </w:tr>
      <w:tr w14:paraId="352DCD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16" w:type="dxa"/>
            <w:vMerge w:val="restart"/>
            <w:vAlign w:val="center"/>
          </w:tcPr>
          <w:p w14:paraId="22275E5F">
            <w:pPr>
              <w:pStyle w:val="21"/>
              <w:spacing w:beforeLines="0" w:afterLines="0" w:line="240" w:lineRule="auto"/>
              <w:rPr>
                <w:rFonts w:ascii="Times New Roman"/>
                <w:snapToGrid w:val="0"/>
                <w:kern w:val="21"/>
                <w:szCs w:val="21"/>
              </w:rPr>
            </w:pPr>
            <w:r>
              <w:rPr>
                <w:rFonts w:ascii="Times New Roman"/>
                <w:snapToGrid w:val="0"/>
                <w:kern w:val="21"/>
                <w:szCs w:val="21"/>
              </w:rPr>
              <w:t>固体废物</w:t>
            </w:r>
          </w:p>
        </w:tc>
        <w:tc>
          <w:tcPr>
            <w:tcW w:w="772" w:type="dxa"/>
            <w:vMerge w:val="restart"/>
            <w:vAlign w:val="center"/>
          </w:tcPr>
          <w:p w14:paraId="4970C119">
            <w:pPr>
              <w:pStyle w:val="21"/>
              <w:spacing w:beforeLines="0" w:afterLines="0" w:line="240" w:lineRule="auto"/>
              <w:rPr>
                <w:rFonts w:ascii="Times New Roman"/>
                <w:snapToGrid w:val="0"/>
                <w:kern w:val="21"/>
                <w:szCs w:val="21"/>
              </w:rPr>
            </w:pPr>
            <w:r>
              <w:rPr>
                <w:rFonts w:ascii="Times New Roman"/>
                <w:snapToGrid w:val="0"/>
                <w:kern w:val="21"/>
                <w:szCs w:val="21"/>
              </w:rPr>
              <w:t>一般工业固体废物</w:t>
            </w:r>
          </w:p>
        </w:tc>
        <w:tc>
          <w:tcPr>
            <w:tcW w:w="1417" w:type="dxa"/>
            <w:tcBorders>
              <w:bottom w:val="single" w:color="auto" w:sz="4" w:space="0"/>
            </w:tcBorders>
            <w:vAlign w:val="center"/>
          </w:tcPr>
          <w:p w14:paraId="6491AEE5">
            <w:pPr>
              <w:adjustRightInd w:val="0"/>
              <w:snapToGrid w:val="0"/>
              <w:jc w:val="center"/>
              <w:rPr>
                <w:bCs/>
                <w:szCs w:val="21"/>
              </w:rPr>
            </w:pPr>
            <w:r>
              <w:rPr>
                <w:rFonts w:hint="eastAsia"/>
                <w:bCs/>
                <w:szCs w:val="21"/>
              </w:rPr>
              <w:t>除尘灰</w:t>
            </w:r>
          </w:p>
        </w:tc>
        <w:tc>
          <w:tcPr>
            <w:tcW w:w="1701" w:type="dxa"/>
            <w:vAlign w:val="center"/>
          </w:tcPr>
          <w:p w14:paraId="3CF09DF3">
            <w:pPr>
              <w:pStyle w:val="21"/>
              <w:spacing w:beforeLines="0" w:afterLines="0" w:line="240" w:lineRule="auto"/>
              <w:rPr>
                <w:rFonts w:ascii="Times New Roman"/>
                <w:snapToGrid w:val="0"/>
                <w:kern w:val="21"/>
                <w:szCs w:val="21"/>
              </w:rPr>
            </w:pPr>
          </w:p>
        </w:tc>
        <w:tc>
          <w:tcPr>
            <w:tcW w:w="1276" w:type="dxa"/>
            <w:vAlign w:val="center"/>
          </w:tcPr>
          <w:p w14:paraId="0E2CB247">
            <w:pPr>
              <w:pStyle w:val="21"/>
              <w:spacing w:beforeLines="0" w:afterLines="0" w:line="240" w:lineRule="auto"/>
              <w:rPr>
                <w:rFonts w:ascii="Times New Roman"/>
                <w:snapToGrid w:val="0"/>
                <w:kern w:val="21"/>
                <w:szCs w:val="21"/>
              </w:rPr>
            </w:pPr>
          </w:p>
        </w:tc>
        <w:tc>
          <w:tcPr>
            <w:tcW w:w="1701" w:type="dxa"/>
            <w:vAlign w:val="center"/>
          </w:tcPr>
          <w:p w14:paraId="4D27CB19">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70695189">
            <w:pPr>
              <w:adjustRightInd w:val="0"/>
              <w:snapToGrid w:val="0"/>
              <w:jc w:val="center"/>
              <w:rPr>
                <w:szCs w:val="21"/>
              </w:rPr>
            </w:pPr>
            <w:r>
              <w:rPr>
                <w:rFonts w:hint="eastAsia"/>
                <w:szCs w:val="21"/>
              </w:rPr>
              <w:t>18.85</w:t>
            </w:r>
            <w:r>
              <w:rPr>
                <w:szCs w:val="21"/>
              </w:rPr>
              <w:t>t/a</w:t>
            </w:r>
          </w:p>
        </w:tc>
        <w:tc>
          <w:tcPr>
            <w:tcW w:w="1761" w:type="dxa"/>
            <w:vAlign w:val="center"/>
          </w:tcPr>
          <w:p w14:paraId="587D37E6">
            <w:pPr>
              <w:jc w:val="center"/>
            </w:pPr>
            <w:r>
              <w:rPr>
                <w:snapToGrid w:val="0"/>
                <w:kern w:val="21"/>
                <w:szCs w:val="21"/>
              </w:rPr>
              <w:t>/</w:t>
            </w:r>
          </w:p>
        </w:tc>
        <w:tc>
          <w:tcPr>
            <w:tcW w:w="1641" w:type="dxa"/>
            <w:vAlign w:val="center"/>
          </w:tcPr>
          <w:p w14:paraId="1269C5FD">
            <w:pPr>
              <w:adjustRightInd w:val="0"/>
              <w:snapToGrid w:val="0"/>
              <w:jc w:val="center"/>
              <w:rPr>
                <w:szCs w:val="21"/>
              </w:rPr>
            </w:pPr>
            <w:r>
              <w:rPr>
                <w:rFonts w:hint="eastAsia"/>
                <w:szCs w:val="21"/>
              </w:rPr>
              <w:t>18.85</w:t>
            </w:r>
            <w:r>
              <w:rPr>
                <w:szCs w:val="21"/>
              </w:rPr>
              <w:t>t/a</w:t>
            </w:r>
          </w:p>
        </w:tc>
        <w:tc>
          <w:tcPr>
            <w:tcW w:w="1276" w:type="dxa"/>
            <w:vAlign w:val="center"/>
          </w:tcPr>
          <w:p w14:paraId="7FA4F95B">
            <w:pPr>
              <w:adjustRightInd w:val="0"/>
              <w:snapToGrid w:val="0"/>
              <w:jc w:val="center"/>
              <w:rPr>
                <w:szCs w:val="21"/>
              </w:rPr>
            </w:pPr>
            <w:r>
              <w:rPr>
                <w:szCs w:val="21"/>
              </w:rPr>
              <w:t>+</w:t>
            </w:r>
            <w:r>
              <w:rPr>
                <w:rFonts w:hint="eastAsia"/>
                <w:szCs w:val="21"/>
              </w:rPr>
              <w:t>18.85</w:t>
            </w:r>
            <w:r>
              <w:rPr>
                <w:szCs w:val="21"/>
              </w:rPr>
              <w:t>t/a</w:t>
            </w:r>
          </w:p>
        </w:tc>
      </w:tr>
      <w:tr w14:paraId="1111E2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16" w:type="dxa"/>
            <w:vMerge w:val="continue"/>
            <w:vAlign w:val="center"/>
          </w:tcPr>
          <w:p w14:paraId="54DA3714">
            <w:pPr>
              <w:pStyle w:val="21"/>
              <w:spacing w:beforeLines="0" w:afterLines="0" w:line="240" w:lineRule="auto"/>
              <w:rPr>
                <w:rFonts w:ascii="Times New Roman"/>
                <w:snapToGrid w:val="0"/>
                <w:kern w:val="21"/>
                <w:szCs w:val="21"/>
              </w:rPr>
            </w:pPr>
          </w:p>
        </w:tc>
        <w:tc>
          <w:tcPr>
            <w:tcW w:w="772" w:type="dxa"/>
            <w:vMerge w:val="continue"/>
            <w:vAlign w:val="center"/>
          </w:tcPr>
          <w:p w14:paraId="4C389DA2">
            <w:pPr>
              <w:pStyle w:val="21"/>
              <w:spacing w:beforeLines="0" w:afterLines="0" w:line="240" w:lineRule="auto"/>
              <w:rPr>
                <w:rFonts w:ascii="Times New Roman"/>
                <w:snapToGrid w:val="0"/>
                <w:kern w:val="21"/>
                <w:szCs w:val="21"/>
              </w:rPr>
            </w:pPr>
          </w:p>
        </w:tc>
        <w:tc>
          <w:tcPr>
            <w:tcW w:w="1417" w:type="dxa"/>
            <w:tcBorders>
              <w:top w:val="single" w:color="auto" w:sz="4" w:space="0"/>
            </w:tcBorders>
            <w:vAlign w:val="center"/>
          </w:tcPr>
          <w:p w14:paraId="4C055D3B">
            <w:pPr>
              <w:adjustRightInd w:val="0"/>
              <w:snapToGrid w:val="0"/>
              <w:jc w:val="center"/>
              <w:rPr>
                <w:bCs/>
                <w:szCs w:val="21"/>
              </w:rPr>
            </w:pPr>
            <w:r>
              <w:rPr>
                <w:bCs/>
                <w:szCs w:val="21"/>
              </w:rPr>
              <w:t>沉淀池沉渣</w:t>
            </w:r>
          </w:p>
        </w:tc>
        <w:tc>
          <w:tcPr>
            <w:tcW w:w="1701" w:type="dxa"/>
            <w:vAlign w:val="center"/>
          </w:tcPr>
          <w:p w14:paraId="6AA36800">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08A8EB0F">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19A92256">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5FBAA0BC">
            <w:pPr>
              <w:adjustRightInd w:val="0"/>
              <w:snapToGrid w:val="0"/>
              <w:jc w:val="center"/>
              <w:rPr>
                <w:szCs w:val="21"/>
              </w:rPr>
            </w:pPr>
            <w:r>
              <w:rPr>
                <w:szCs w:val="21"/>
              </w:rPr>
              <w:t>0.5</w:t>
            </w:r>
            <w:r>
              <w:rPr>
                <w:snapToGrid w:val="0"/>
                <w:kern w:val="21"/>
                <w:szCs w:val="21"/>
              </w:rPr>
              <w:t xml:space="preserve"> </w:t>
            </w:r>
            <w:r>
              <w:rPr>
                <w:szCs w:val="21"/>
              </w:rPr>
              <w:t>t/a</w:t>
            </w:r>
          </w:p>
        </w:tc>
        <w:tc>
          <w:tcPr>
            <w:tcW w:w="1761" w:type="dxa"/>
            <w:vAlign w:val="center"/>
          </w:tcPr>
          <w:p w14:paraId="2B92BC19">
            <w:pPr>
              <w:jc w:val="center"/>
            </w:pPr>
            <w:r>
              <w:rPr>
                <w:snapToGrid w:val="0"/>
                <w:kern w:val="21"/>
                <w:szCs w:val="21"/>
              </w:rPr>
              <w:t>/</w:t>
            </w:r>
          </w:p>
        </w:tc>
        <w:tc>
          <w:tcPr>
            <w:tcW w:w="1641" w:type="dxa"/>
            <w:vAlign w:val="center"/>
          </w:tcPr>
          <w:p w14:paraId="5AE5958D">
            <w:pPr>
              <w:adjustRightInd w:val="0"/>
              <w:snapToGrid w:val="0"/>
              <w:jc w:val="center"/>
              <w:rPr>
                <w:szCs w:val="21"/>
              </w:rPr>
            </w:pPr>
            <w:r>
              <w:rPr>
                <w:szCs w:val="21"/>
              </w:rPr>
              <w:t>0.5t/a</w:t>
            </w:r>
          </w:p>
        </w:tc>
        <w:tc>
          <w:tcPr>
            <w:tcW w:w="1276" w:type="dxa"/>
            <w:vAlign w:val="center"/>
          </w:tcPr>
          <w:p w14:paraId="18420CD9">
            <w:pPr>
              <w:adjustRightInd w:val="0"/>
              <w:snapToGrid w:val="0"/>
              <w:jc w:val="center"/>
              <w:rPr>
                <w:szCs w:val="21"/>
              </w:rPr>
            </w:pPr>
            <w:r>
              <w:rPr>
                <w:szCs w:val="21"/>
              </w:rPr>
              <w:t>+0.5</w:t>
            </w:r>
            <w:r>
              <w:rPr>
                <w:snapToGrid w:val="0"/>
                <w:kern w:val="21"/>
                <w:szCs w:val="21"/>
              </w:rPr>
              <w:t xml:space="preserve"> </w:t>
            </w:r>
            <w:r>
              <w:rPr>
                <w:szCs w:val="21"/>
              </w:rPr>
              <w:t>t/a</w:t>
            </w:r>
          </w:p>
        </w:tc>
      </w:tr>
      <w:tr w14:paraId="214D99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816" w:type="dxa"/>
            <w:vMerge w:val="continue"/>
            <w:vAlign w:val="center"/>
          </w:tcPr>
          <w:p w14:paraId="6A0B1A60">
            <w:pPr>
              <w:pStyle w:val="21"/>
              <w:spacing w:beforeLines="0" w:afterLines="0" w:line="240" w:lineRule="auto"/>
              <w:rPr>
                <w:rFonts w:ascii="Times New Roman"/>
                <w:snapToGrid w:val="0"/>
                <w:kern w:val="21"/>
                <w:szCs w:val="21"/>
              </w:rPr>
            </w:pPr>
          </w:p>
        </w:tc>
        <w:tc>
          <w:tcPr>
            <w:tcW w:w="772" w:type="dxa"/>
            <w:vMerge w:val="continue"/>
            <w:vAlign w:val="center"/>
          </w:tcPr>
          <w:p w14:paraId="7693095B">
            <w:pPr>
              <w:pStyle w:val="21"/>
              <w:spacing w:beforeLines="0" w:afterLines="0" w:line="240" w:lineRule="auto"/>
              <w:rPr>
                <w:rFonts w:ascii="Times New Roman"/>
                <w:snapToGrid w:val="0"/>
                <w:kern w:val="21"/>
                <w:szCs w:val="21"/>
              </w:rPr>
            </w:pPr>
          </w:p>
        </w:tc>
        <w:tc>
          <w:tcPr>
            <w:tcW w:w="1417" w:type="dxa"/>
            <w:tcBorders>
              <w:bottom w:val="single" w:color="auto" w:sz="4" w:space="0"/>
            </w:tcBorders>
            <w:vAlign w:val="center"/>
          </w:tcPr>
          <w:p w14:paraId="1BB01877">
            <w:pPr>
              <w:adjustRightInd w:val="0"/>
              <w:snapToGrid w:val="0"/>
              <w:jc w:val="center"/>
              <w:rPr>
                <w:bCs/>
                <w:szCs w:val="21"/>
              </w:rPr>
            </w:pPr>
            <w:r>
              <w:rPr>
                <w:bCs/>
                <w:szCs w:val="21"/>
              </w:rPr>
              <w:t>实验室混凝土块</w:t>
            </w:r>
          </w:p>
        </w:tc>
        <w:tc>
          <w:tcPr>
            <w:tcW w:w="1701" w:type="dxa"/>
            <w:vAlign w:val="center"/>
          </w:tcPr>
          <w:p w14:paraId="4834307A">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4EC32EAC">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1692321D">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1AC29CFA">
            <w:pPr>
              <w:adjustRightInd w:val="0"/>
              <w:snapToGrid w:val="0"/>
              <w:jc w:val="center"/>
              <w:rPr>
                <w:szCs w:val="21"/>
              </w:rPr>
            </w:pPr>
            <w:r>
              <w:rPr>
                <w:szCs w:val="21"/>
              </w:rPr>
              <w:t>0.5t/a</w:t>
            </w:r>
          </w:p>
        </w:tc>
        <w:tc>
          <w:tcPr>
            <w:tcW w:w="1761" w:type="dxa"/>
            <w:vAlign w:val="center"/>
          </w:tcPr>
          <w:p w14:paraId="20027B3B">
            <w:pPr>
              <w:jc w:val="center"/>
            </w:pPr>
            <w:r>
              <w:rPr>
                <w:snapToGrid w:val="0"/>
                <w:kern w:val="21"/>
                <w:szCs w:val="21"/>
              </w:rPr>
              <w:t>/</w:t>
            </w:r>
          </w:p>
        </w:tc>
        <w:tc>
          <w:tcPr>
            <w:tcW w:w="1641" w:type="dxa"/>
            <w:vAlign w:val="center"/>
          </w:tcPr>
          <w:p w14:paraId="4B96CE61">
            <w:pPr>
              <w:adjustRightInd w:val="0"/>
              <w:snapToGrid w:val="0"/>
              <w:jc w:val="center"/>
              <w:rPr>
                <w:szCs w:val="21"/>
              </w:rPr>
            </w:pPr>
            <w:r>
              <w:rPr>
                <w:szCs w:val="21"/>
              </w:rPr>
              <w:t>0.5t/a</w:t>
            </w:r>
          </w:p>
        </w:tc>
        <w:tc>
          <w:tcPr>
            <w:tcW w:w="1276" w:type="dxa"/>
            <w:vAlign w:val="center"/>
          </w:tcPr>
          <w:p w14:paraId="343230FB">
            <w:pPr>
              <w:adjustRightInd w:val="0"/>
              <w:snapToGrid w:val="0"/>
              <w:jc w:val="center"/>
              <w:rPr>
                <w:szCs w:val="21"/>
              </w:rPr>
            </w:pPr>
            <w:r>
              <w:rPr>
                <w:szCs w:val="21"/>
              </w:rPr>
              <w:t>+0.5t/a</w:t>
            </w:r>
          </w:p>
        </w:tc>
      </w:tr>
      <w:tr w14:paraId="6A3043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16" w:type="dxa"/>
            <w:vMerge w:val="continue"/>
            <w:vAlign w:val="center"/>
          </w:tcPr>
          <w:p w14:paraId="78D1B4B6">
            <w:pPr>
              <w:pStyle w:val="21"/>
              <w:spacing w:beforeLines="0" w:afterLines="0" w:line="240" w:lineRule="auto"/>
              <w:rPr>
                <w:rFonts w:ascii="Times New Roman"/>
                <w:snapToGrid w:val="0"/>
                <w:kern w:val="21"/>
                <w:szCs w:val="21"/>
              </w:rPr>
            </w:pPr>
          </w:p>
        </w:tc>
        <w:tc>
          <w:tcPr>
            <w:tcW w:w="772" w:type="dxa"/>
            <w:vAlign w:val="center"/>
          </w:tcPr>
          <w:p w14:paraId="175A5F1C">
            <w:pPr>
              <w:pStyle w:val="21"/>
              <w:spacing w:beforeLines="0" w:afterLines="0" w:line="240" w:lineRule="auto"/>
              <w:rPr>
                <w:rFonts w:ascii="Times New Roman"/>
                <w:snapToGrid w:val="0"/>
                <w:kern w:val="21"/>
                <w:szCs w:val="21"/>
              </w:rPr>
            </w:pPr>
            <w:r>
              <w:rPr>
                <w:rFonts w:ascii="Times New Roman"/>
                <w:snapToGrid w:val="0"/>
                <w:kern w:val="21"/>
                <w:szCs w:val="21"/>
              </w:rPr>
              <w:t>生活垃圾</w:t>
            </w:r>
          </w:p>
        </w:tc>
        <w:tc>
          <w:tcPr>
            <w:tcW w:w="1417" w:type="dxa"/>
            <w:tcBorders>
              <w:top w:val="single" w:color="auto" w:sz="4" w:space="0"/>
            </w:tcBorders>
            <w:vAlign w:val="center"/>
          </w:tcPr>
          <w:p w14:paraId="772C50C6">
            <w:pPr>
              <w:adjustRightInd w:val="0"/>
              <w:snapToGrid w:val="0"/>
              <w:jc w:val="center"/>
              <w:rPr>
                <w:bCs/>
                <w:szCs w:val="21"/>
              </w:rPr>
            </w:pPr>
            <w:r>
              <w:rPr>
                <w:bCs/>
                <w:szCs w:val="21"/>
              </w:rPr>
              <w:t>生活垃圾</w:t>
            </w:r>
          </w:p>
        </w:tc>
        <w:tc>
          <w:tcPr>
            <w:tcW w:w="1701" w:type="dxa"/>
            <w:vAlign w:val="center"/>
          </w:tcPr>
          <w:p w14:paraId="0D8A3E79">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13FBCFD6">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32FA69EC">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283EE723">
            <w:pPr>
              <w:adjustRightInd w:val="0"/>
              <w:snapToGrid w:val="0"/>
              <w:jc w:val="center"/>
              <w:rPr>
                <w:szCs w:val="21"/>
              </w:rPr>
            </w:pPr>
            <w:r>
              <w:rPr>
                <w:rFonts w:hint="eastAsia"/>
                <w:szCs w:val="21"/>
              </w:rPr>
              <w:t>0.74</w:t>
            </w:r>
            <w:r>
              <w:rPr>
                <w:szCs w:val="21"/>
              </w:rPr>
              <w:t>t/a</w:t>
            </w:r>
          </w:p>
        </w:tc>
        <w:tc>
          <w:tcPr>
            <w:tcW w:w="1761" w:type="dxa"/>
            <w:vAlign w:val="center"/>
          </w:tcPr>
          <w:p w14:paraId="117F47EC">
            <w:pPr>
              <w:jc w:val="center"/>
              <w:rPr>
                <w:snapToGrid w:val="0"/>
                <w:kern w:val="21"/>
                <w:szCs w:val="21"/>
              </w:rPr>
            </w:pPr>
            <w:r>
              <w:rPr>
                <w:snapToGrid w:val="0"/>
                <w:kern w:val="21"/>
                <w:szCs w:val="21"/>
              </w:rPr>
              <w:t>/</w:t>
            </w:r>
          </w:p>
        </w:tc>
        <w:tc>
          <w:tcPr>
            <w:tcW w:w="1641" w:type="dxa"/>
            <w:vAlign w:val="center"/>
          </w:tcPr>
          <w:p w14:paraId="3CD00BA4">
            <w:pPr>
              <w:adjustRightInd w:val="0"/>
              <w:snapToGrid w:val="0"/>
              <w:jc w:val="center"/>
              <w:rPr>
                <w:szCs w:val="21"/>
              </w:rPr>
            </w:pPr>
            <w:r>
              <w:rPr>
                <w:rFonts w:hint="eastAsia"/>
                <w:szCs w:val="21"/>
              </w:rPr>
              <w:t>0.74</w:t>
            </w:r>
            <w:r>
              <w:rPr>
                <w:szCs w:val="21"/>
              </w:rPr>
              <w:t>t/a</w:t>
            </w:r>
          </w:p>
        </w:tc>
        <w:tc>
          <w:tcPr>
            <w:tcW w:w="1276" w:type="dxa"/>
            <w:vAlign w:val="center"/>
          </w:tcPr>
          <w:p w14:paraId="5D5A6D51">
            <w:pPr>
              <w:adjustRightInd w:val="0"/>
              <w:snapToGrid w:val="0"/>
              <w:jc w:val="center"/>
              <w:rPr>
                <w:szCs w:val="21"/>
              </w:rPr>
            </w:pPr>
            <w:r>
              <w:rPr>
                <w:szCs w:val="21"/>
              </w:rPr>
              <w:t>+</w:t>
            </w:r>
            <w:r>
              <w:rPr>
                <w:rFonts w:hint="eastAsia"/>
                <w:szCs w:val="21"/>
              </w:rPr>
              <w:t>0.74</w:t>
            </w:r>
            <w:r>
              <w:rPr>
                <w:szCs w:val="21"/>
              </w:rPr>
              <w:t>t/a</w:t>
            </w:r>
          </w:p>
        </w:tc>
      </w:tr>
      <w:tr w14:paraId="36760E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gridSpan w:val="2"/>
            <w:vAlign w:val="center"/>
          </w:tcPr>
          <w:p w14:paraId="058CA47B">
            <w:pPr>
              <w:pStyle w:val="21"/>
              <w:spacing w:beforeLines="0" w:afterLines="0" w:line="240" w:lineRule="auto"/>
              <w:rPr>
                <w:rFonts w:ascii="Times New Roman"/>
                <w:snapToGrid w:val="0"/>
                <w:kern w:val="21"/>
                <w:szCs w:val="21"/>
              </w:rPr>
            </w:pPr>
            <w:r>
              <w:rPr>
                <w:rFonts w:ascii="Times New Roman"/>
                <w:snapToGrid w:val="0"/>
                <w:kern w:val="21"/>
                <w:szCs w:val="21"/>
              </w:rPr>
              <w:t>危险废物</w:t>
            </w:r>
          </w:p>
        </w:tc>
        <w:tc>
          <w:tcPr>
            <w:tcW w:w="1417" w:type="dxa"/>
            <w:vAlign w:val="center"/>
          </w:tcPr>
          <w:p w14:paraId="51C157D3">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3F408836">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173C3232">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73834830">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0152299D">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61" w:type="dxa"/>
            <w:vAlign w:val="center"/>
          </w:tcPr>
          <w:p w14:paraId="3072E247">
            <w:pPr>
              <w:jc w:val="center"/>
            </w:pPr>
            <w:r>
              <w:rPr>
                <w:snapToGrid w:val="0"/>
                <w:kern w:val="21"/>
                <w:szCs w:val="21"/>
              </w:rPr>
              <w:t>/</w:t>
            </w:r>
          </w:p>
        </w:tc>
        <w:tc>
          <w:tcPr>
            <w:tcW w:w="1641" w:type="dxa"/>
            <w:vAlign w:val="center"/>
          </w:tcPr>
          <w:p w14:paraId="56E668D4">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56B9788C">
            <w:pPr>
              <w:pStyle w:val="21"/>
              <w:spacing w:beforeLines="0" w:afterLines="0" w:line="240" w:lineRule="auto"/>
              <w:rPr>
                <w:rFonts w:ascii="Times New Roman"/>
                <w:snapToGrid w:val="0"/>
                <w:kern w:val="21"/>
                <w:szCs w:val="21"/>
              </w:rPr>
            </w:pPr>
            <w:r>
              <w:rPr>
                <w:rFonts w:ascii="Times New Roman"/>
                <w:snapToGrid w:val="0"/>
                <w:kern w:val="21"/>
                <w:szCs w:val="21"/>
              </w:rPr>
              <w:t>/</w:t>
            </w:r>
          </w:p>
        </w:tc>
      </w:tr>
    </w:tbl>
    <w:p w14:paraId="505517D7">
      <w:pPr>
        <w:pStyle w:val="21"/>
        <w:spacing w:before="192" w:beforeLines="80" w:after="24"/>
        <w:jc w:val="left"/>
        <w:rPr>
          <w:rFonts w:ascii="Times New Roman"/>
          <w:snapToGrid w:val="0"/>
          <w:spacing w:val="-6"/>
          <w:kern w:val="21"/>
          <w:szCs w:val="21"/>
        </w:rPr>
      </w:pPr>
      <w:r>
        <w:rPr>
          <w:rFonts w:ascii="Times New Roman"/>
          <w:snapToGrid w:val="0"/>
          <w:kern w:val="21"/>
          <w:szCs w:val="21"/>
        </w:rPr>
        <w:t>注：</w:t>
      </w:r>
      <w:r>
        <w:rPr>
          <w:rFonts w:ascii="Times New Roman"/>
          <w:snapToGrid w:val="0"/>
          <w:spacing w:val="-16"/>
          <w:kern w:val="21"/>
          <w:szCs w:val="21"/>
        </w:rPr>
        <w:fldChar w:fldCharType="begin"/>
      </w:r>
      <w:r>
        <w:rPr>
          <w:rFonts w:ascii="Times New Roman"/>
          <w:snapToGrid w:val="0"/>
          <w:spacing w:val="-16"/>
          <w:kern w:val="21"/>
          <w:szCs w:val="21"/>
        </w:rPr>
        <w:instrText xml:space="preserve"> = 6 \* GB3 \* MERGEFORMAT </w:instrText>
      </w:r>
      <w:r>
        <w:rPr>
          <w:rFonts w:ascii="Times New Roman"/>
          <w:snapToGrid w:val="0"/>
          <w:spacing w:val="-16"/>
          <w:kern w:val="21"/>
          <w:szCs w:val="21"/>
        </w:rPr>
        <w:fldChar w:fldCharType="separate"/>
      </w:r>
      <w:r>
        <w:rPr>
          <w:rFonts w:ascii="Cambria Math" w:hAnsi="Cambria Math" w:cs="Cambria Math"/>
          <w:szCs w:val="21"/>
        </w:rPr>
        <w:t>⑥</w:t>
      </w:r>
      <w:r>
        <w:rPr>
          <w:rFonts w:ascii="Times New Roman"/>
          <w:snapToGrid w:val="0"/>
          <w:spacing w:val="-16"/>
          <w:kern w:val="21"/>
          <w:szCs w:val="21"/>
        </w:rPr>
        <w:fldChar w:fldCharType="end"/>
      </w:r>
      <w:r>
        <w:rPr>
          <w:rFonts w:ascii="Times New Roman"/>
          <w:snapToGrid w:val="0"/>
          <w:spacing w:val="-1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1 \* GB3 \* MERGEFORMAT </w:instrText>
      </w:r>
      <w:r>
        <w:rPr>
          <w:rFonts w:ascii="Times New Roman"/>
          <w:snapToGrid w:val="0"/>
          <w:spacing w:val="-6"/>
          <w:kern w:val="21"/>
          <w:szCs w:val="21"/>
        </w:rPr>
        <w:fldChar w:fldCharType="separate"/>
      </w:r>
      <w:r>
        <w:rPr>
          <w:rFonts w:ascii="Cambria Math" w:hAnsi="Cambria Math" w:cs="Cambria Math"/>
          <w:szCs w:val="21"/>
        </w:rPr>
        <w:t>①</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3 \* GB3 \* MERGEFORMAT </w:instrText>
      </w:r>
      <w:r>
        <w:rPr>
          <w:rFonts w:ascii="Times New Roman"/>
          <w:snapToGrid w:val="0"/>
          <w:spacing w:val="-6"/>
          <w:kern w:val="21"/>
          <w:szCs w:val="21"/>
        </w:rPr>
        <w:fldChar w:fldCharType="separate"/>
      </w:r>
      <w:r>
        <w:rPr>
          <w:rFonts w:ascii="Cambria Math" w:hAnsi="Cambria Math" w:cs="Cambria Math"/>
          <w:szCs w:val="21"/>
        </w:rPr>
        <w:t>③</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4 \* GB3 \* MERGEFORMAT </w:instrText>
      </w:r>
      <w:r>
        <w:rPr>
          <w:rFonts w:ascii="Times New Roman"/>
          <w:snapToGrid w:val="0"/>
          <w:spacing w:val="-6"/>
          <w:kern w:val="21"/>
          <w:szCs w:val="21"/>
        </w:rPr>
        <w:fldChar w:fldCharType="separate"/>
      </w:r>
      <w:r>
        <w:rPr>
          <w:rFonts w:ascii="Cambria Math" w:hAnsi="Cambria Math" w:cs="Cambria Math"/>
          <w:szCs w:val="21"/>
        </w:rPr>
        <w:t>④</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16"/>
          <w:kern w:val="21"/>
          <w:szCs w:val="21"/>
        </w:rPr>
        <w:fldChar w:fldCharType="begin"/>
      </w:r>
      <w:r>
        <w:rPr>
          <w:rFonts w:ascii="Times New Roman"/>
          <w:snapToGrid w:val="0"/>
          <w:spacing w:val="-16"/>
          <w:kern w:val="21"/>
          <w:szCs w:val="21"/>
        </w:rPr>
        <w:instrText xml:space="preserve"> = 5 \* GB3 \* MERGEFORMAT </w:instrText>
      </w:r>
      <w:r>
        <w:rPr>
          <w:rFonts w:ascii="Times New Roman"/>
          <w:snapToGrid w:val="0"/>
          <w:spacing w:val="-16"/>
          <w:kern w:val="21"/>
          <w:szCs w:val="21"/>
        </w:rPr>
        <w:fldChar w:fldCharType="separate"/>
      </w:r>
      <w:r>
        <w:rPr>
          <w:rFonts w:ascii="Cambria Math" w:hAnsi="Cambria Math" w:cs="Cambria Math"/>
          <w:szCs w:val="21"/>
        </w:rPr>
        <w:t>⑤</w:t>
      </w:r>
      <w:r>
        <w:rPr>
          <w:rFonts w:ascii="Times New Roman"/>
          <w:snapToGrid w:val="0"/>
          <w:spacing w:val="-16"/>
          <w:kern w:val="21"/>
          <w:szCs w:val="21"/>
        </w:rPr>
        <w:fldChar w:fldCharType="end"/>
      </w:r>
      <w:r>
        <w:rPr>
          <w:rFonts w:ascii="Times New Roman"/>
          <w:snapToGrid w:val="0"/>
          <w:spacing w:val="-1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7 \* GB3 \* MERGEFORMAT </w:instrText>
      </w:r>
      <w:r>
        <w:rPr>
          <w:rFonts w:ascii="Times New Roman"/>
          <w:snapToGrid w:val="0"/>
          <w:spacing w:val="-6"/>
          <w:kern w:val="21"/>
          <w:szCs w:val="21"/>
        </w:rPr>
        <w:fldChar w:fldCharType="separate"/>
      </w:r>
      <w:r>
        <w:rPr>
          <w:rFonts w:ascii="Cambria Math" w:hAnsi="Cambria Math" w:cs="Cambria Math"/>
          <w:szCs w:val="21"/>
        </w:rPr>
        <w:t>⑦</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16"/>
          <w:kern w:val="21"/>
          <w:szCs w:val="21"/>
        </w:rPr>
        <w:fldChar w:fldCharType="begin"/>
      </w:r>
      <w:r>
        <w:rPr>
          <w:rFonts w:ascii="Times New Roman"/>
          <w:snapToGrid w:val="0"/>
          <w:spacing w:val="-16"/>
          <w:kern w:val="21"/>
          <w:szCs w:val="21"/>
        </w:rPr>
        <w:instrText xml:space="preserve"> = 6 \* GB3 \* MERGEFORMAT </w:instrText>
      </w:r>
      <w:r>
        <w:rPr>
          <w:rFonts w:ascii="Times New Roman"/>
          <w:snapToGrid w:val="0"/>
          <w:spacing w:val="-16"/>
          <w:kern w:val="21"/>
          <w:szCs w:val="21"/>
        </w:rPr>
        <w:fldChar w:fldCharType="separate"/>
      </w:r>
      <w:r>
        <w:rPr>
          <w:rFonts w:ascii="Cambria Math" w:hAnsi="Cambria Math" w:cs="Cambria Math"/>
          <w:szCs w:val="21"/>
        </w:rPr>
        <w:t>⑥</w:t>
      </w:r>
      <w:r>
        <w:rPr>
          <w:rFonts w:ascii="Times New Roman"/>
          <w:snapToGrid w:val="0"/>
          <w:spacing w:val="-16"/>
          <w:kern w:val="21"/>
          <w:szCs w:val="21"/>
        </w:rPr>
        <w:fldChar w:fldCharType="end"/>
      </w:r>
      <w:r>
        <w:rPr>
          <w:rFonts w:ascii="Times New Roman"/>
          <w:snapToGrid w:val="0"/>
          <w:spacing w:val="-1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1 \* GB3 \* MERGEFORMAT </w:instrText>
      </w:r>
      <w:r>
        <w:rPr>
          <w:rFonts w:ascii="Times New Roman"/>
          <w:snapToGrid w:val="0"/>
          <w:spacing w:val="-6"/>
          <w:kern w:val="21"/>
          <w:szCs w:val="21"/>
        </w:rPr>
        <w:fldChar w:fldCharType="separate"/>
      </w:r>
      <w:r>
        <w:rPr>
          <w:rFonts w:ascii="Cambria Math" w:hAnsi="Cambria Math" w:cs="Cambria Math"/>
          <w:szCs w:val="21"/>
        </w:rPr>
        <w:t>①</w:t>
      </w:r>
      <w:r>
        <w:rPr>
          <w:rFonts w:ascii="Times New Roman"/>
          <w:snapToGrid w:val="0"/>
          <w:spacing w:val="-6"/>
          <w:kern w:val="21"/>
          <w:szCs w:val="21"/>
        </w:rPr>
        <w:fldChar w:fldCharType="end"/>
      </w:r>
    </w:p>
    <w:p w14:paraId="5195FBFA">
      <w:pPr>
        <w:tabs>
          <w:tab w:val="left" w:pos="0"/>
        </w:tabs>
        <w:adjustRightInd w:val="0"/>
        <w:snapToGrid w:val="0"/>
        <w:spacing w:line="360" w:lineRule="auto"/>
        <w:jc w:val="both"/>
        <w:textAlignment w:val="baseline"/>
        <w:rPr>
          <w:b/>
          <w:kern w:val="0"/>
          <w:szCs w:val="21"/>
        </w:rPr>
        <w:sectPr>
          <w:footerReference r:id="rId6" w:type="default"/>
          <w:pgSz w:w="16838" w:h="11906" w:orient="landscape"/>
          <w:pgMar w:top="993" w:right="1531" w:bottom="1135" w:left="1531" w:header="851" w:footer="851" w:gutter="0"/>
          <w:cols w:space="720" w:num="1"/>
          <w:docGrid w:linePitch="312" w:charSpace="0"/>
        </w:sectPr>
      </w:pPr>
    </w:p>
    <w:p w14:paraId="4206126F">
      <w:pPr>
        <w:pStyle w:val="13"/>
        <w:adjustRightInd w:val="0"/>
        <w:snapToGrid w:val="0"/>
        <w:spacing w:before="0" w:beforeAutospacing="0" w:after="0" w:afterAutospacing="0"/>
        <w:outlineLvl w:val="0"/>
        <w:rPr>
          <w:rFonts w:ascii="Times New Roman" w:hAnsi="Times New Roman" w:eastAsia="黑体"/>
          <w:snapToGrid w:val="0"/>
          <w:sz w:val="32"/>
          <w:szCs w:val="32"/>
        </w:rPr>
      </w:pPr>
      <w:r>
        <w:rPr>
          <w:rFonts w:ascii="Times New Roman" w:hAnsi="Times New Roman" w:eastAsia="黑体"/>
          <w:snapToGrid w:val="0"/>
          <w:sz w:val="32"/>
          <w:szCs w:val="32"/>
        </w:rPr>
        <w:t>附件</w:t>
      </w:r>
    </w:p>
    <w:p w14:paraId="3459B8EE"/>
    <w:p w14:paraId="7BBFBAAD">
      <w:pPr>
        <w:autoSpaceDE w:val="0"/>
        <w:autoSpaceDN w:val="0"/>
        <w:spacing w:line="360" w:lineRule="auto"/>
        <w:outlineLvl w:val="1"/>
        <w:rPr>
          <w:b/>
          <w:bCs/>
          <w:kern w:val="0"/>
          <w:sz w:val="24"/>
        </w:rPr>
      </w:pPr>
      <w:r>
        <w:rPr>
          <w:b/>
          <w:bCs/>
          <w:kern w:val="0"/>
          <w:sz w:val="24"/>
        </w:rPr>
        <w:t>附件1：委托书</w:t>
      </w:r>
    </w:p>
    <w:p w14:paraId="67FBA306">
      <w:pPr>
        <w:jc w:val="center"/>
        <w:rPr>
          <w:b/>
          <w:bCs/>
          <w:sz w:val="44"/>
          <w:szCs w:val="44"/>
        </w:rPr>
      </w:pPr>
      <w:r>
        <w:rPr>
          <w:b/>
          <w:bCs/>
          <w:sz w:val="44"/>
          <w:szCs w:val="44"/>
        </w:rPr>
        <w:t>委 托 书</w:t>
      </w:r>
    </w:p>
    <w:p w14:paraId="0B746871">
      <w:pPr>
        <w:adjustRightInd w:val="0"/>
        <w:snapToGrid w:val="0"/>
        <w:spacing w:line="360" w:lineRule="auto"/>
        <w:rPr>
          <w:sz w:val="36"/>
        </w:rPr>
      </w:pPr>
    </w:p>
    <w:p w14:paraId="459AE8CD">
      <w:pPr>
        <w:adjustRightInd w:val="0"/>
        <w:snapToGrid w:val="0"/>
        <w:spacing w:line="360" w:lineRule="auto"/>
        <w:rPr>
          <w:sz w:val="30"/>
        </w:rPr>
      </w:pPr>
      <w:r>
        <w:rPr>
          <w:b/>
          <w:bCs/>
          <w:sz w:val="30"/>
          <w:u w:val="single"/>
        </w:rPr>
        <w:t>内蒙古乐洁绿色生态环境科技有限公司</w:t>
      </w:r>
      <w:r>
        <w:rPr>
          <w:sz w:val="30"/>
        </w:rPr>
        <w:t>：</w:t>
      </w:r>
    </w:p>
    <w:p w14:paraId="76CB993E">
      <w:pPr>
        <w:adjustRightInd w:val="0"/>
        <w:snapToGrid w:val="0"/>
        <w:spacing w:line="360" w:lineRule="auto"/>
        <w:ind w:firstLine="560" w:firstLineChars="200"/>
        <w:rPr>
          <w:bCs/>
          <w:sz w:val="28"/>
          <w:szCs w:val="28"/>
        </w:rPr>
      </w:pPr>
      <w:r>
        <w:rPr>
          <w:bCs/>
          <w:sz w:val="28"/>
          <w:szCs w:val="28"/>
        </w:rPr>
        <w:t>我单位建设“</w:t>
      </w:r>
      <w:r>
        <w:rPr>
          <w:rFonts w:hint="eastAsia"/>
          <w:bCs/>
          <w:sz w:val="28"/>
          <w:szCs w:val="28"/>
        </w:rPr>
        <w:t>内蒙古钲泰公路工程建设有限公司独贵塔拉拌合站项目</w:t>
      </w:r>
      <w:r>
        <w:rPr>
          <w:bCs/>
          <w:sz w:val="28"/>
          <w:szCs w:val="28"/>
        </w:rPr>
        <w:t>”，根据《中华人民共和国环境保护法》《中华人民共和国环境影响评价法》等有关条款规定，本项目需进行环境影响评价，并编制“环境影响报告表”。</w:t>
      </w:r>
    </w:p>
    <w:p w14:paraId="3F53CFED">
      <w:pPr>
        <w:adjustRightInd w:val="0"/>
        <w:snapToGrid w:val="0"/>
        <w:spacing w:line="360" w:lineRule="auto"/>
        <w:ind w:firstLine="560" w:firstLineChars="200"/>
        <w:rPr>
          <w:bCs/>
          <w:sz w:val="28"/>
          <w:szCs w:val="28"/>
        </w:rPr>
      </w:pPr>
      <w:r>
        <w:rPr>
          <w:bCs/>
          <w:sz w:val="28"/>
          <w:szCs w:val="28"/>
        </w:rPr>
        <w:t>我单位现委托贵公司承担本项目的环境影响评价工作，请贵公司尽快组织力量，按照有关条例要求，开展环评工作。</w:t>
      </w:r>
    </w:p>
    <w:p w14:paraId="7EACD4B0">
      <w:pPr>
        <w:ind w:firstLine="3600"/>
        <w:rPr>
          <w:sz w:val="36"/>
          <w:szCs w:val="36"/>
        </w:rPr>
      </w:pPr>
    </w:p>
    <w:p w14:paraId="08EAF2A9">
      <w:pPr>
        <w:ind w:firstLine="3600"/>
        <w:rPr>
          <w:sz w:val="36"/>
          <w:szCs w:val="36"/>
        </w:rPr>
      </w:pPr>
    </w:p>
    <w:p w14:paraId="00F3703A">
      <w:pPr>
        <w:ind w:firstLine="3600"/>
        <w:rPr>
          <w:sz w:val="36"/>
          <w:szCs w:val="36"/>
        </w:rPr>
      </w:pPr>
    </w:p>
    <w:p w14:paraId="60E07E4E">
      <w:pPr>
        <w:rPr>
          <w:bCs/>
          <w:sz w:val="36"/>
          <w:szCs w:val="18"/>
        </w:rPr>
      </w:pPr>
    </w:p>
    <w:p w14:paraId="0765496E">
      <w:pPr>
        <w:snapToGrid w:val="0"/>
        <w:spacing w:line="360" w:lineRule="auto"/>
        <w:jc w:val="center"/>
        <w:rPr>
          <w:bCs/>
          <w:sz w:val="28"/>
          <w:szCs w:val="28"/>
        </w:rPr>
      </w:pPr>
      <w:r>
        <w:rPr>
          <w:rFonts w:hint="eastAsia"/>
          <w:bCs/>
          <w:sz w:val="28"/>
          <w:szCs w:val="28"/>
          <w:lang w:val="en-US" w:eastAsia="zh-CN"/>
        </w:rPr>
        <w:t xml:space="preserve">                         </w:t>
      </w:r>
      <w:r>
        <w:rPr>
          <w:rFonts w:hint="eastAsia"/>
          <w:bCs/>
          <w:sz w:val="28"/>
          <w:szCs w:val="28"/>
        </w:rPr>
        <w:t>内蒙古钲泰公路工程建设有限公司</w:t>
      </w:r>
    </w:p>
    <w:p w14:paraId="36905B65">
      <w:pPr>
        <w:snapToGrid w:val="0"/>
        <w:spacing w:line="360" w:lineRule="auto"/>
        <w:jc w:val="center"/>
        <w:rPr>
          <w:kern w:val="0"/>
          <w:szCs w:val="21"/>
        </w:rPr>
      </w:pPr>
      <w:r>
        <w:rPr>
          <w:rFonts w:hint="eastAsia"/>
          <w:sz w:val="28"/>
          <w:szCs w:val="28"/>
          <w:lang w:val="en-US" w:eastAsia="zh-CN"/>
        </w:rPr>
        <w:t xml:space="preserve">                                </w:t>
      </w:r>
      <w:r>
        <w:rPr>
          <w:sz w:val="28"/>
          <w:szCs w:val="28"/>
        </w:rPr>
        <w:t>2024年</w:t>
      </w:r>
      <w:r>
        <w:rPr>
          <w:rFonts w:hint="eastAsia"/>
          <w:sz w:val="28"/>
          <w:szCs w:val="28"/>
        </w:rPr>
        <w:t>8</w:t>
      </w:r>
      <w:r>
        <w:rPr>
          <w:sz w:val="28"/>
          <w:szCs w:val="28"/>
        </w:rPr>
        <w:t>月</w:t>
      </w:r>
      <w:r>
        <w:rPr>
          <w:b/>
          <w:kern w:val="0"/>
          <w:szCs w:val="21"/>
        </w:rPr>
        <mc:AlternateContent>
          <mc:Choice Requires="wps">
            <w:drawing>
              <wp:anchor distT="0" distB="0" distL="114300" distR="114300" simplePos="0" relativeHeight="251659264" behindDoc="0" locked="0" layoutInCell="1" allowOverlap="1">
                <wp:simplePos x="0" y="0"/>
                <wp:positionH relativeFrom="column">
                  <wp:posOffset>3975100</wp:posOffset>
                </wp:positionH>
                <wp:positionV relativeFrom="paragraph">
                  <wp:posOffset>3199765</wp:posOffset>
                </wp:positionV>
                <wp:extent cx="276860" cy="514985"/>
                <wp:effectExtent l="0" t="0" r="9525" b="0"/>
                <wp:wrapNone/>
                <wp:docPr id="254048089" name="文本框 7"/>
                <wp:cNvGraphicFramePr/>
                <a:graphic xmlns:a="http://schemas.openxmlformats.org/drawingml/2006/main">
                  <a:graphicData uri="http://schemas.microsoft.com/office/word/2010/wordprocessingShape">
                    <wps:wsp>
                      <wps:cNvSpPr txBox="1"/>
                      <wps:spPr>
                        <a:xfrm>
                          <a:off x="0" y="0"/>
                          <a:ext cx="276752" cy="515155"/>
                        </a:xfrm>
                        <a:prstGeom prst="rect">
                          <a:avLst/>
                        </a:prstGeom>
                        <a:solidFill>
                          <a:schemeClr val="lt1"/>
                        </a:solidFill>
                        <a:ln w="6350">
                          <a:noFill/>
                        </a:ln>
                      </wps:spPr>
                      <wps:txbx>
                        <w:txbxContent>
                          <w:p w14:paraId="09A933DE">
                            <w:pPr>
                              <w:adjustRightInd w:val="0"/>
                              <w:snapToGrid w:val="0"/>
                              <w:rPr>
                                <w:sz w:val="16"/>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7" o:spid="_x0000_s1026" o:spt="202" type="#_x0000_t202" style="position:absolute;left:0pt;margin-left:313pt;margin-top:251.95pt;height:40.55pt;width:21.8pt;z-index:251659264;mso-width-relative:page;mso-height-relative:page;" fillcolor="#FFFFFF [3201]" filled="t" stroked="f" coordsize="21600,21600" o:gfxdata="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N70H3DWAAAACwEA&#10;AA8AAAAAAAAAAQAgAAAAIgAAAGRycy9kb3ducmV2LnhtbFBLAQIUABQAAAAIAIdO4kAOWWlGVQIA&#10;AJYEAAAOAAAAAAAAAAEAIAAAACUBAABkcnMvZTJvRG9jLnhtbFBLBQYAAAAABgAGAFkBAADsBQAA&#10;AAA=&#10;">
                <v:fill on="t" focussize="0,0"/>
                <v:stroke on="f" weight="0.5pt"/>
                <v:imagedata o:title=""/>
                <o:lock v:ext="edit" aspectratio="f"/>
                <v:textbox>
                  <w:txbxContent>
                    <w:p w14:paraId="09A933DE">
                      <w:pPr>
                        <w:adjustRightInd w:val="0"/>
                        <w:snapToGrid w:val="0"/>
                        <w:rPr>
                          <w:sz w:val="16"/>
                          <w:szCs w:val="20"/>
                        </w:rPr>
                      </w:pPr>
                    </w:p>
                  </w:txbxContent>
                </v:textbox>
              </v:shape>
            </w:pict>
          </mc:Fallback>
        </mc:AlternateContent>
      </w:r>
      <w:r>
        <w:rPr>
          <w:rFonts w:hint="eastAsia"/>
          <w:sz w:val="28"/>
          <w:szCs w:val="28"/>
          <w:lang w:val="en-US" w:eastAsia="zh-CN"/>
        </w:rPr>
        <w:t>5日</w:t>
      </w:r>
    </w:p>
    <w:sectPr>
      <w:footerReference r:id="rId7" w:type="default"/>
      <w:pgSz w:w="11906" w:h="16838"/>
      <w:pgMar w:top="1276" w:right="991" w:bottom="1276" w:left="1134"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ˎ̥">
    <w:altName w:val="hakuyoxingshu7000"/>
    <w:panose1 w:val="00000000000000000000"/>
    <w:charset w:val="00"/>
    <w:family w:val="roman"/>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06F" w:usb1="1200FBEF" w:usb2="0064C000" w:usb3="00000002" w:csb0="00000001" w:csb1="40000000"/>
  </w:font>
  <w:font w:name="MS Mincho">
    <w:panose1 w:val="02020609040205080304"/>
    <w:charset w:val="80"/>
    <w:family w:val="modern"/>
    <w:pitch w:val="default"/>
    <w:sig w:usb0="E00002FF" w:usb1="6AC7FDFB" w:usb2="00000012" w:usb3="00000000" w:csb0="4002009F" w:csb1="DFD70000"/>
  </w:font>
  <w:font w:name="Wingdings 2">
    <w:altName w:val="Wingdings"/>
    <w:panose1 w:val="05020102010507070707"/>
    <w:charset w:val="02"/>
    <w:family w:val="roman"/>
    <w:pitch w:val="default"/>
    <w:sig w:usb0="00000000" w:usb1="00000000" w:usb2="00000000" w:usb3="00000000" w:csb0="80000000" w:csb1="00000000"/>
  </w:font>
  <w:font w:name="Cambria Math">
    <w:panose1 w:val="02040503050406030204"/>
    <w:charset w:val="00"/>
    <w:family w:val="roman"/>
    <w:pitch w:val="default"/>
    <w:sig w:usb0="E00002FF" w:usb1="42002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hakuyoxingshu7000">
    <w:panose1 w:val="02000600000000000000"/>
    <w:charset w:val="86"/>
    <w:family w:val="auto"/>
    <w:pitch w:val="default"/>
    <w:sig w:usb0="FFFFFFFF" w:usb1="E9FFFFFF" w:usb2="0000003F" w:usb3="00000000" w:csb0="603F00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92692">
    <w:pPr>
      <w:pStyle w:val="11"/>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0F57B">
    <w:pPr>
      <w:pStyle w:val="11"/>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14:paraId="5262CAE1">
    <w:pPr>
      <w:pStyle w:val="11"/>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94D6E">
    <w:pPr>
      <w:pStyle w:val="11"/>
      <w:jc w:val="center"/>
    </w:pPr>
    <w:r>
      <w:fldChar w:fldCharType="begin"/>
    </w:r>
    <w:r>
      <w:instrText xml:space="preserve">PAGE   \* MERGEFORMAT</w:instrText>
    </w:r>
    <w:r>
      <w:fldChar w:fldCharType="separate"/>
    </w:r>
    <w:r>
      <w:rPr>
        <w:lang w:val="zh-CN"/>
      </w:rPr>
      <w:t>6</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1472A">
    <w:pPr>
      <w:pStyle w:val="11"/>
      <w:ind w:right="360"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81409">
    <w:pPr>
      <w:pStyle w:val="11"/>
      <w:ind w:right="360" w:firstLine="360"/>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1MzQ5YjJjYTY4ZmZjN2I1YmFhNzM4MjFjYTdlY2IifQ=="/>
  </w:docVars>
  <w:rsids>
    <w:rsidRoot w:val="37FD1ED2"/>
    <w:rsid w:val="00004541"/>
    <w:rsid w:val="000074C8"/>
    <w:rsid w:val="000122F6"/>
    <w:rsid w:val="000155E0"/>
    <w:rsid w:val="00024163"/>
    <w:rsid w:val="00030AAA"/>
    <w:rsid w:val="000442C6"/>
    <w:rsid w:val="00045695"/>
    <w:rsid w:val="000537B3"/>
    <w:rsid w:val="00070A1A"/>
    <w:rsid w:val="0007210A"/>
    <w:rsid w:val="000B6F8F"/>
    <w:rsid w:val="000C59BD"/>
    <w:rsid w:val="000D4FE2"/>
    <w:rsid w:val="000E1E4C"/>
    <w:rsid w:val="000F0E7F"/>
    <w:rsid w:val="000F2EFD"/>
    <w:rsid w:val="001011B2"/>
    <w:rsid w:val="001015A1"/>
    <w:rsid w:val="001138AD"/>
    <w:rsid w:val="00121B1D"/>
    <w:rsid w:val="0012390D"/>
    <w:rsid w:val="00136F0C"/>
    <w:rsid w:val="001441E3"/>
    <w:rsid w:val="0015460F"/>
    <w:rsid w:val="001642C1"/>
    <w:rsid w:val="00167C6C"/>
    <w:rsid w:val="00174A8D"/>
    <w:rsid w:val="00176352"/>
    <w:rsid w:val="00185081"/>
    <w:rsid w:val="0019059F"/>
    <w:rsid w:val="0019112D"/>
    <w:rsid w:val="00191ECA"/>
    <w:rsid w:val="0019469A"/>
    <w:rsid w:val="001A0C8C"/>
    <w:rsid w:val="001A3342"/>
    <w:rsid w:val="001B6B31"/>
    <w:rsid w:val="001D6532"/>
    <w:rsid w:val="001E489E"/>
    <w:rsid w:val="001E7E93"/>
    <w:rsid w:val="001F3741"/>
    <w:rsid w:val="001F5C85"/>
    <w:rsid w:val="002012D6"/>
    <w:rsid w:val="0020215E"/>
    <w:rsid w:val="00234292"/>
    <w:rsid w:val="002452B8"/>
    <w:rsid w:val="00252502"/>
    <w:rsid w:val="00276C09"/>
    <w:rsid w:val="0028686D"/>
    <w:rsid w:val="002A0C0D"/>
    <w:rsid w:val="002C3FA4"/>
    <w:rsid w:val="002C45BF"/>
    <w:rsid w:val="002D225B"/>
    <w:rsid w:val="002E1465"/>
    <w:rsid w:val="002E33D5"/>
    <w:rsid w:val="002F40AE"/>
    <w:rsid w:val="003052FA"/>
    <w:rsid w:val="00311049"/>
    <w:rsid w:val="00312DBA"/>
    <w:rsid w:val="003142D3"/>
    <w:rsid w:val="00317843"/>
    <w:rsid w:val="00320B5B"/>
    <w:rsid w:val="00321F61"/>
    <w:rsid w:val="00322632"/>
    <w:rsid w:val="003456B0"/>
    <w:rsid w:val="00350A10"/>
    <w:rsid w:val="003550A8"/>
    <w:rsid w:val="00355CC2"/>
    <w:rsid w:val="0037360D"/>
    <w:rsid w:val="0037628B"/>
    <w:rsid w:val="00396A8B"/>
    <w:rsid w:val="003B25C0"/>
    <w:rsid w:val="003B436D"/>
    <w:rsid w:val="003C4DFF"/>
    <w:rsid w:val="003D119D"/>
    <w:rsid w:val="003E654E"/>
    <w:rsid w:val="003E708F"/>
    <w:rsid w:val="003F05C1"/>
    <w:rsid w:val="003F06F0"/>
    <w:rsid w:val="003F7EF6"/>
    <w:rsid w:val="004056F9"/>
    <w:rsid w:val="00441472"/>
    <w:rsid w:val="004447B4"/>
    <w:rsid w:val="00447980"/>
    <w:rsid w:val="00452B45"/>
    <w:rsid w:val="00467DF9"/>
    <w:rsid w:val="00472650"/>
    <w:rsid w:val="00475713"/>
    <w:rsid w:val="00487F21"/>
    <w:rsid w:val="0049667B"/>
    <w:rsid w:val="004A31EA"/>
    <w:rsid w:val="004A4245"/>
    <w:rsid w:val="004B5178"/>
    <w:rsid w:val="004C149C"/>
    <w:rsid w:val="004F1759"/>
    <w:rsid w:val="0050090A"/>
    <w:rsid w:val="00516A3C"/>
    <w:rsid w:val="005174A3"/>
    <w:rsid w:val="00517CE7"/>
    <w:rsid w:val="005351F9"/>
    <w:rsid w:val="0054239B"/>
    <w:rsid w:val="00545B10"/>
    <w:rsid w:val="005530EB"/>
    <w:rsid w:val="00554FE6"/>
    <w:rsid w:val="005674FE"/>
    <w:rsid w:val="00577D25"/>
    <w:rsid w:val="005964CA"/>
    <w:rsid w:val="005A02FA"/>
    <w:rsid w:val="005A37F1"/>
    <w:rsid w:val="005A6EE5"/>
    <w:rsid w:val="005A725B"/>
    <w:rsid w:val="005B44F1"/>
    <w:rsid w:val="005C37F4"/>
    <w:rsid w:val="005C383E"/>
    <w:rsid w:val="005C661A"/>
    <w:rsid w:val="005C71B2"/>
    <w:rsid w:val="005D1FCC"/>
    <w:rsid w:val="005D2ABA"/>
    <w:rsid w:val="005D54CF"/>
    <w:rsid w:val="005D6010"/>
    <w:rsid w:val="005E2D01"/>
    <w:rsid w:val="005E2D0D"/>
    <w:rsid w:val="005E48F1"/>
    <w:rsid w:val="00600A33"/>
    <w:rsid w:val="00603B77"/>
    <w:rsid w:val="00625B6E"/>
    <w:rsid w:val="006453C7"/>
    <w:rsid w:val="00645715"/>
    <w:rsid w:val="00652CE7"/>
    <w:rsid w:val="00657C8F"/>
    <w:rsid w:val="0066189E"/>
    <w:rsid w:val="00663E7C"/>
    <w:rsid w:val="00675C56"/>
    <w:rsid w:val="00676A0A"/>
    <w:rsid w:val="00683AA5"/>
    <w:rsid w:val="0069069D"/>
    <w:rsid w:val="006A5DF5"/>
    <w:rsid w:val="006B12E7"/>
    <w:rsid w:val="006B1C77"/>
    <w:rsid w:val="006C1A55"/>
    <w:rsid w:val="006C2CE8"/>
    <w:rsid w:val="006C2ED2"/>
    <w:rsid w:val="006C7282"/>
    <w:rsid w:val="006D7836"/>
    <w:rsid w:val="006D7C1F"/>
    <w:rsid w:val="006F0AEC"/>
    <w:rsid w:val="006F1A08"/>
    <w:rsid w:val="006F2861"/>
    <w:rsid w:val="007107D8"/>
    <w:rsid w:val="00713B5B"/>
    <w:rsid w:val="00723EB8"/>
    <w:rsid w:val="007258C9"/>
    <w:rsid w:val="0073672E"/>
    <w:rsid w:val="0074063E"/>
    <w:rsid w:val="00743763"/>
    <w:rsid w:val="00743BE6"/>
    <w:rsid w:val="00743C07"/>
    <w:rsid w:val="00763B7D"/>
    <w:rsid w:val="00771254"/>
    <w:rsid w:val="00771829"/>
    <w:rsid w:val="00781EEE"/>
    <w:rsid w:val="007A08E0"/>
    <w:rsid w:val="007A15C7"/>
    <w:rsid w:val="007A175A"/>
    <w:rsid w:val="007A7D27"/>
    <w:rsid w:val="007C027D"/>
    <w:rsid w:val="007C47D8"/>
    <w:rsid w:val="007C6A31"/>
    <w:rsid w:val="007D4AD6"/>
    <w:rsid w:val="007E1E9D"/>
    <w:rsid w:val="007E2459"/>
    <w:rsid w:val="007E41B1"/>
    <w:rsid w:val="007F0238"/>
    <w:rsid w:val="007F1729"/>
    <w:rsid w:val="007F54A4"/>
    <w:rsid w:val="00801C75"/>
    <w:rsid w:val="0080405E"/>
    <w:rsid w:val="008350F4"/>
    <w:rsid w:val="00842232"/>
    <w:rsid w:val="008511C5"/>
    <w:rsid w:val="00851A8C"/>
    <w:rsid w:val="00860E75"/>
    <w:rsid w:val="00872C0D"/>
    <w:rsid w:val="00884D95"/>
    <w:rsid w:val="00890F55"/>
    <w:rsid w:val="008A22CF"/>
    <w:rsid w:val="008B2E76"/>
    <w:rsid w:val="008C69AF"/>
    <w:rsid w:val="00905E60"/>
    <w:rsid w:val="00916EE1"/>
    <w:rsid w:val="0093701F"/>
    <w:rsid w:val="00940FAD"/>
    <w:rsid w:val="00944F40"/>
    <w:rsid w:val="00946BA1"/>
    <w:rsid w:val="00960078"/>
    <w:rsid w:val="0097279A"/>
    <w:rsid w:val="00982A9B"/>
    <w:rsid w:val="00985583"/>
    <w:rsid w:val="009A2242"/>
    <w:rsid w:val="009B346E"/>
    <w:rsid w:val="009B7836"/>
    <w:rsid w:val="009C17E8"/>
    <w:rsid w:val="009D7A4F"/>
    <w:rsid w:val="009E4211"/>
    <w:rsid w:val="009E7834"/>
    <w:rsid w:val="00A0248E"/>
    <w:rsid w:val="00A5702D"/>
    <w:rsid w:val="00A710A3"/>
    <w:rsid w:val="00A75302"/>
    <w:rsid w:val="00AA0F48"/>
    <w:rsid w:val="00AA4088"/>
    <w:rsid w:val="00AB1892"/>
    <w:rsid w:val="00AB5DB9"/>
    <w:rsid w:val="00AB6DA8"/>
    <w:rsid w:val="00AD508B"/>
    <w:rsid w:val="00AD60FC"/>
    <w:rsid w:val="00AD7D86"/>
    <w:rsid w:val="00AF08AF"/>
    <w:rsid w:val="00B07AAF"/>
    <w:rsid w:val="00B135FF"/>
    <w:rsid w:val="00B26AC1"/>
    <w:rsid w:val="00B50C8E"/>
    <w:rsid w:val="00B623C3"/>
    <w:rsid w:val="00B658AF"/>
    <w:rsid w:val="00B775FE"/>
    <w:rsid w:val="00BA2517"/>
    <w:rsid w:val="00BC1324"/>
    <w:rsid w:val="00BC5FE0"/>
    <w:rsid w:val="00BC7B50"/>
    <w:rsid w:val="00BE43DE"/>
    <w:rsid w:val="00BE6BD8"/>
    <w:rsid w:val="00C06E6A"/>
    <w:rsid w:val="00C245E3"/>
    <w:rsid w:val="00C36C9C"/>
    <w:rsid w:val="00C429E1"/>
    <w:rsid w:val="00C47A66"/>
    <w:rsid w:val="00C514F0"/>
    <w:rsid w:val="00C5152E"/>
    <w:rsid w:val="00C52ACC"/>
    <w:rsid w:val="00C65787"/>
    <w:rsid w:val="00C710CC"/>
    <w:rsid w:val="00C75E83"/>
    <w:rsid w:val="00C83131"/>
    <w:rsid w:val="00C8515B"/>
    <w:rsid w:val="00C85A81"/>
    <w:rsid w:val="00C93A62"/>
    <w:rsid w:val="00CB00F2"/>
    <w:rsid w:val="00CC26D3"/>
    <w:rsid w:val="00CE1ED2"/>
    <w:rsid w:val="00CF18E6"/>
    <w:rsid w:val="00D05EEE"/>
    <w:rsid w:val="00D15161"/>
    <w:rsid w:val="00D20E6D"/>
    <w:rsid w:val="00D22E2D"/>
    <w:rsid w:val="00D24C8C"/>
    <w:rsid w:val="00D27A2B"/>
    <w:rsid w:val="00D51E67"/>
    <w:rsid w:val="00D564AD"/>
    <w:rsid w:val="00D56B58"/>
    <w:rsid w:val="00D65203"/>
    <w:rsid w:val="00D71651"/>
    <w:rsid w:val="00D74D44"/>
    <w:rsid w:val="00D801E0"/>
    <w:rsid w:val="00D81474"/>
    <w:rsid w:val="00D847E8"/>
    <w:rsid w:val="00DA67FF"/>
    <w:rsid w:val="00DA7E8D"/>
    <w:rsid w:val="00DB5391"/>
    <w:rsid w:val="00DC6A47"/>
    <w:rsid w:val="00DD1EF5"/>
    <w:rsid w:val="00DE1BDC"/>
    <w:rsid w:val="00DF2CE6"/>
    <w:rsid w:val="00DF46AF"/>
    <w:rsid w:val="00E06479"/>
    <w:rsid w:val="00E06FA3"/>
    <w:rsid w:val="00E1013D"/>
    <w:rsid w:val="00E2063C"/>
    <w:rsid w:val="00E225E5"/>
    <w:rsid w:val="00E24D9F"/>
    <w:rsid w:val="00E3356C"/>
    <w:rsid w:val="00E36D90"/>
    <w:rsid w:val="00E5069F"/>
    <w:rsid w:val="00E550D3"/>
    <w:rsid w:val="00E60652"/>
    <w:rsid w:val="00E65D0C"/>
    <w:rsid w:val="00E777E2"/>
    <w:rsid w:val="00E9025C"/>
    <w:rsid w:val="00E90EEE"/>
    <w:rsid w:val="00E95AF3"/>
    <w:rsid w:val="00EB3C1B"/>
    <w:rsid w:val="00EB3FD6"/>
    <w:rsid w:val="00EB5EA4"/>
    <w:rsid w:val="00EB6995"/>
    <w:rsid w:val="00EC34D1"/>
    <w:rsid w:val="00EC583F"/>
    <w:rsid w:val="00ED098D"/>
    <w:rsid w:val="00ED1629"/>
    <w:rsid w:val="00ED21F1"/>
    <w:rsid w:val="00ED331E"/>
    <w:rsid w:val="00EE5F55"/>
    <w:rsid w:val="00F02153"/>
    <w:rsid w:val="00F0668E"/>
    <w:rsid w:val="00F213A7"/>
    <w:rsid w:val="00F24610"/>
    <w:rsid w:val="00F248C9"/>
    <w:rsid w:val="00F252AD"/>
    <w:rsid w:val="00F26E40"/>
    <w:rsid w:val="00F3099C"/>
    <w:rsid w:val="00F350BE"/>
    <w:rsid w:val="00F53F97"/>
    <w:rsid w:val="00F60705"/>
    <w:rsid w:val="00F6339B"/>
    <w:rsid w:val="00F7000F"/>
    <w:rsid w:val="00F76F8C"/>
    <w:rsid w:val="00F82145"/>
    <w:rsid w:val="00F82B0B"/>
    <w:rsid w:val="00FA588B"/>
    <w:rsid w:val="00FB64A8"/>
    <w:rsid w:val="00FC2FB8"/>
    <w:rsid w:val="00FC3A04"/>
    <w:rsid w:val="00FD5D4B"/>
    <w:rsid w:val="00FE300E"/>
    <w:rsid w:val="00FE5758"/>
    <w:rsid w:val="00FF0D01"/>
    <w:rsid w:val="00FF0D02"/>
    <w:rsid w:val="037E6D6A"/>
    <w:rsid w:val="059565ED"/>
    <w:rsid w:val="06761402"/>
    <w:rsid w:val="074B3407"/>
    <w:rsid w:val="08252B72"/>
    <w:rsid w:val="0CA05FA3"/>
    <w:rsid w:val="0CE15C60"/>
    <w:rsid w:val="0E3F3599"/>
    <w:rsid w:val="0E7121DC"/>
    <w:rsid w:val="1050688C"/>
    <w:rsid w:val="105D026C"/>
    <w:rsid w:val="12301B77"/>
    <w:rsid w:val="132C1FB2"/>
    <w:rsid w:val="134A6C68"/>
    <w:rsid w:val="185D2F9A"/>
    <w:rsid w:val="1890336F"/>
    <w:rsid w:val="18DA45EA"/>
    <w:rsid w:val="18E84F59"/>
    <w:rsid w:val="19372DD5"/>
    <w:rsid w:val="1AA93F5F"/>
    <w:rsid w:val="1BFA35F5"/>
    <w:rsid w:val="1D3D1123"/>
    <w:rsid w:val="1E373AB0"/>
    <w:rsid w:val="1E7E3139"/>
    <w:rsid w:val="220903C1"/>
    <w:rsid w:val="24690EA8"/>
    <w:rsid w:val="264F4B29"/>
    <w:rsid w:val="27FD667E"/>
    <w:rsid w:val="283C2BCC"/>
    <w:rsid w:val="2A9D36CA"/>
    <w:rsid w:val="2B7B131F"/>
    <w:rsid w:val="2B8D2153"/>
    <w:rsid w:val="2BA271EA"/>
    <w:rsid w:val="2BC71186"/>
    <w:rsid w:val="2D7E3BFA"/>
    <w:rsid w:val="2F642A08"/>
    <w:rsid w:val="30C905AD"/>
    <w:rsid w:val="32455894"/>
    <w:rsid w:val="3293788C"/>
    <w:rsid w:val="33552D94"/>
    <w:rsid w:val="33ED121E"/>
    <w:rsid w:val="355157DD"/>
    <w:rsid w:val="35727C2D"/>
    <w:rsid w:val="36DD557A"/>
    <w:rsid w:val="37FD1ED2"/>
    <w:rsid w:val="385C4BC4"/>
    <w:rsid w:val="39180AEB"/>
    <w:rsid w:val="3AA34435"/>
    <w:rsid w:val="3E3F1F26"/>
    <w:rsid w:val="3E8B55CC"/>
    <w:rsid w:val="3FA13A1C"/>
    <w:rsid w:val="41E30365"/>
    <w:rsid w:val="42543B0A"/>
    <w:rsid w:val="42C76054"/>
    <w:rsid w:val="45EA75D4"/>
    <w:rsid w:val="48B907AE"/>
    <w:rsid w:val="490A5710"/>
    <w:rsid w:val="4A3D5016"/>
    <w:rsid w:val="4BEE392E"/>
    <w:rsid w:val="4CCF550D"/>
    <w:rsid w:val="4CDF5745"/>
    <w:rsid w:val="4DED7D8D"/>
    <w:rsid w:val="4E494F67"/>
    <w:rsid w:val="4E99401C"/>
    <w:rsid w:val="4FCC3F86"/>
    <w:rsid w:val="510D4856"/>
    <w:rsid w:val="513573BA"/>
    <w:rsid w:val="53187450"/>
    <w:rsid w:val="537961D3"/>
    <w:rsid w:val="54F2117E"/>
    <w:rsid w:val="557C0051"/>
    <w:rsid w:val="55E02539"/>
    <w:rsid w:val="59030A18"/>
    <w:rsid w:val="5955323E"/>
    <w:rsid w:val="59E949AA"/>
    <w:rsid w:val="5B426C68"/>
    <w:rsid w:val="5BE2700B"/>
    <w:rsid w:val="5CFB5EAA"/>
    <w:rsid w:val="5D6B54A8"/>
    <w:rsid w:val="5E704A1A"/>
    <w:rsid w:val="5F092B01"/>
    <w:rsid w:val="66FC7AF6"/>
    <w:rsid w:val="6FFFE446"/>
    <w:rsid w:val="709A03B2"/>
    <w:rsid w:val="709F3E68"/>
    <w:rsid w:val="70E231B1"/>
    <w:rsid w:val="756D3EB3"/>
    <w:rsid w:val="77F35CA4"/>
    <w:rsid w:val="7AF16E13"/>
    <w:rsid w:val="7BE10C20"/>
    <w:rsid w:val="7C982661"/>
    <w:rsid w:val="7CA37DEC"/>
    <w:rsid w:val="DEF69D7A"/>
    <w:rsid w:val="DFF9C6D7"/>
    <w:rsid w:val="EBBD3912"/>
    <w:rsid w:val="F63FF873"/>
    <w:rsid w:val="F97BDF65"/>
    <w:rsid w:val="FDF771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4"/>
    <w:qFormat/>
    <w:uiPriority w:val="0"/>
    <w:pPr>
      <w:ind w:firstLine="420" w:firstLineChars="200"/>
    </w:pPr>
    <w:rPr>
      <w:rFonts w:ascii="Calibri" w:hAnsi="Calibri"/>
    </w:rPr>
  </w:style>
  <w:style w:type="paragraph" w:styleId="4">
    <w:name w:val="Body Text First Indent 2"/>
    <w:basedOn w:val="5"/>
    <w:next w:val="1"/>
    <w:qFormat/>
    <w:uiPriority w:val="0"/>
    <w:pPr>
      <w:ind w:firstLine="420" w:firstLineChars="200"/>
    </w:pPr>
    <w:rPr>
      <w:kern w:val="2"/>
      <w:sz w:val="21"/>
      <w:szCs w:val="24"/>
    </w:rPr>
  </w:style>
  <w:style w:type="paragraph" w:styleId="5">
    <w:name w:val="Body Text Indent"/>
    <w:basedOn w:val="1"/>
    <w:next w:val="1"/>
    <w:qFormat/>
    <w:uiPriority w:val="0"/>
    <w:pPr>
      <w:spacing w:after="120"/>
      <w:ind w:left="420" w:leftChars="200"/>
    </w:pPr>
    <w:rPr>
      <w:kern w:val="0"/>
      <w:sz w:val="24"/>
      <w:szCs w:val="20"/>
    </w:rPr>
  </w:style>
  <w:style w:type="paragraph" w:styleId="6">
    <w:name w:val="caption"/>
    <w:basedOn w:val="1"/>
    <w:next w:val="1"/>
    <w:qFormat/>
    <w:uiPriority w:val="0"/>
    <w:pPr>
      <w:adjustRightInd w:val="0"/>
      <w:snapToGrid w:val="0"/>
      <w:jc w:val="center"/>
    </w:pPr>
    <w:rPr>
      <w:rFonts w:ascii="Cambria" w:hAnsi="Cambria"/>
      <w:b/>
      <w:szCs w:val="20"/>
    </w:rPr>
  </w:style>
  <w:style w:type="paragraph" w:styleId="7">
    <w:name w:val="annotation text"/>
    <w:basedOn w:val="1"/>
    <w:link w:val="29"/>
    <w:qFormat/>
    <w:uiPriority w:val="0"/>
    <w:pPr>
      <w:jc w:val="left"/>
    </w:pPr>
  </w:style>
  <w:style w:type="paragraph" w:styleId="8">
    <w:name w:val="Body Text"/>
    <w:basedOn w:val="1"/>
    <w:next w:val="1"/>
    <w:link w:val="27"/>
    <w:qFormat/>
    <w:uiPriority w:val="0"/>
    <w:pPr>
      <w:widowControl/>
      <w:snapToGrid w:val="0"/>
      <w:spacing w:before="60" w:after="160" w:line="259" w:lineRule="auto"/>
      <w:ind w:right="113"/>
    </w:pPr>
    <w:rPr>
      <w:kern w:val="0"/>
      <w:sz w:val="18"/>
      <w:szCs w:val="20"/>
    </w:rPr>
  </w:style>
  <w:style w:type="paragraph" w:styleId="9">
    <w:name w:val="Block Text"/>
    <w:basedOn w:val="1"/>
    <w:qFormat/>
    <w:uiPriority w:val="0"/>
    <w:pPr>
      <w:ind w:left="1272" w:leftChars="601" w:right="-506" w:rightChars="-241" w:hanging="10" w:hangingChars="3"/>
    </w:pPr>
    <w:rPr>
      <w:sz w:val="32"/>
    </w:rPr>
  </w:style>
  <w:style w:type="paragraph" w:styleId="10">
    <w:name w:val="Plain Text"/>
    <w:basedOn w:val="1"/>
    <w:qFormat/>
    <w:uiPriority w:val="99"/>
    <w:pPr>
      <w:widowControl/>
      <w:spacing w:before="100" w:beforeAutospacing="1" w:after="100" w:afterAutospacing="1"/>
      <w:jc w:val="left"/>
    </w:pPr>
    <w:rPr>
      <w:rFonts w:ascii="ˎ̥" w:hAnsi="ˎ̥"/>
      <w:kern w:val="0"/>
      <w:sz w:val="18"/>
      <w:szCs w:val="18"/>
    </w:rPr>
  </w:style>
  <w:style w:type="paragraph" w:styleId="11">
    <w:name w:val="footer"/>
    <w:basedOn w:val="1"/>
    <w:qFormat/>
    <w:uiPriority w:val="99"/>
    <w:pPr>
      <w:tabs>
        <w:tab w:val="center" w:pos="4153"/>
        <w:tab w:val="right" w:pos="8306"/>
      </w:tabs>
      <w:snapToGrid w:val="0"/>
      <w:jc w:val="left"/>
    </w:pPr>
    <w:rPr>
      <w:kern w:val="0"/>
      <w:sz w:val="18"/>
      <w:szCs w:val="20"/>
    </w:rPr>
  </w:style>
  <w:style w:type="paragraph" w:styleId="12">
    <w:name w:val="header"/>
    <w:basedOn w:val="1"/>
    <w:link w:val="24"/>
    <w:qFormat/>
    <w:uiPriority w:val="0"/>
    <w:pPr>
      <w:tabs>
        <w:tab w:val="center" w:pos="4153"/>
        <w:tab w:val="right" w:pos="8306"/>
      </w:tabs>
      <w:snapToGrid w:val="0"/>
      <w:jc w:val="center"/>
    </w:pPr>
    <w:rPr>
      <w:sz w:val="18"/>
      <w:szCs w:val="18"/>
    </w:rPr>
  </w:style>
  <w:style w:type="paragraph" w:styleId="13">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4">
    <w:name w:val="annotation subject"/>
    <w:basedOn w:val="7"/>
    <w:next w:val="7"/>
    <w:link w:val="30"/>
    <w:qFormat/>
    <w:uiPriority w:val="0"/>
    <w:rPr>
      <w:b/>
      <w:bCs/>
    </w:rPr>
  </w:style>
  <w:style w:type="paragraph" w:styleId="15">
    <w:name w:val="Body Text First Indent"/>
    <w:basedOn w:val="8"/>
    <w:link w:val="28"/>
    <w:qFormat/>
    <w:uiPriority w:val="0"/>
    <w:pPr>
      <w:widowControl w:val="0"/>
      <w:snapToGrid/>
      <w:spacing w:before="0" w:after="120" w:line="240" w:lineRule="auto"/>
      <w:ind w:right="0" w:firstLine="420" w:firstLineChars="100"/>
    </w:pPr>
    <w:rPr>
      <w:kern w:val="2"/>
      <w:sz w:val="21"/>
      <w:szCs w:val="24"/>
    </w:rPr>
  </w:style>
  <w:style w:type="character" w:styleId="18">
    <w:name w:val="page number"/>
    <w:qFormat/>
    <w:uiPriority w:val="0"/>
  </w:style>
  <w:style w:type="character" w:styleId="19">
    <w:name w:val="annotation reference"/>
    <w:qFormat/>
    <w:uiPriority w:val="0"/>
    <w:rPr>
      <w:sz w:val="21"/>
    </w:rPr>
  </w:style>
  <w:style w:type="paragraph" w:customStyle="1" w:styleId="20">
    <w:name w:val="正文_4"/>
    <w:qFormat/>
    <w:uiPriority w:val="0"/>
    <w:pPr>
      <w:widowControl w:val="0"/>
      <w:jc w:val="both"/>
    </w:pPr>
    <w:rPr>
      <w:rFonts w:ascii="Calibri" w:hAnsi="Calibri" w:eastAsia="宋体" w:cs="Times New Roman"/>
      <w:kern w:val="2"/>
      <w:sz w:val="21"/>
      <w:lang w:val="en-US" w:eastAsia="zh-CN" w:bidi="ar-SA"/>
    </w:rPr>
  </w:style>
  <w:style w:type="paragraph" w:customStyle="1" w:styleId="21">
    <w:name w:val="表格"/>
    <w:basedOn w:val="1"/>
    <w:next w:val="1"/>
    <w:qFormat/>
    <w:uiPriority w:val="0"/>
    <w:pPr>
      <w:adjustRightInd w:val="0"/>
      <w:snapToGrid w:val="0"/>
      <w:spacing w:beforeLines="10" w:afterLines="10" w:line="259" w:lineRule="auto"/>
      <w:jc w:val="center"/>
    </w:pPr>
    <w:rPr>
      <w:rFonts w:ascii="宋体"/>
      <w:kern w:val="0"/>
      <w:szCs w:val="20"/>
    </w:rPr>
  </w:style>
  <w:style w:type="paragraph" w:customStyle="1" w:styleId="22">
    <w:name w:val="高-正文"/>
    <w:basedOn w:val="1"/>
    <w:qFormat/>
    <w:uiPriority w:val="0"/>
    <w:pPr>
      <w:topLinePunct/>
      <w:adjustRightInd w:val="0"/>
      <w:snapToGrid w:val="0"/>
      <w:spacing w:line="480" w:lineRule="exact"/>
      <w:ind w:firstLine="600" w:firstLineChars="200"/>
    </w:pPr>
    <w:rPr>
      <w:snapToGrid w:val="0"/>
      <w:kern w:val="0"/>
      <w:sz w:val="24"/>
    </w:rPr>
  </w:style>
  <w:style w:type="paragraph" w:customStyle="1" w:styleId="23">
    <w:name w:val="【表头】"/>
    <w:basedOn w:val="1"/>
    <w:qFormat/>
    <w:uiPriority w:val="0"/>
    <w:pPr>
      <w:adjustRightInd w:val="0"/>
      <w:snapToGrid w:val="0"/>
      <w:spacing w:line="360" w:lineRule="auto"/>
      <w:jc w:val="center"/>
    </w:pPr>
    <w:rPr>
      <w:b/>
      <w:bCs/>
      <w:sz w:val="24"/>
    </w:rPr>
  </w:style>
  <w:style w:type="character" w:customStyle="1" w:styleId="24">
    <w:name w:val="页眉 字符"/>
    <w:basedOn w:val="17"/>
    <w:link w:val="12"/>
    <w:qFormat/>
    <w:uiPriority w:val="0"/>
    <w:rPr>
      <w:kern w:val="2"/>
      <w:sz w:val="18"/>
      <w:szCs w:val="18"/>
    </w:rPr>
  </w:style>
  <w:style w:type="paragraph" w:customStyle="1" w:styleId="25">
    <w:name w:val="1正文"/>
    <w:basedOn w:val="1"/>
    <w:qFormat/>
    <w:uiPriority w:val="0"/>
    <w:pPr>
      <w:widowControl/>
      <w:adjustRightInd w:val="0"/>
      <w:snapToGrid w:val="0"/>
      <w:spacing w:line="360" w:lineRule="auto"/>
      <w:ind w:firstLine="200" w:firstLineChars="200"/>
    </w:pPr>
    <w:rPr>
      <w:color w:val="000000"/>
      <w:kern w:val="1"/>
      <w:sz w:val="24"/>
    </w:rPr>
  </w:style>
  <w:style w:type="paragraph" w:customStyle="1" w:styleId="26">
    <w:name w:val="表头"/>
    <w:basedOn w:val="1"/>
    <w:qFormat/>
    <w:uiPriority w:val="0"/>
    <w:pPr>
      <w:adjustRightInd w:val="0"/>
      <w:snapToGrid w:val="0"/>
      <w:spacing w:line="360" w:lineRule="auto"/>
      <w:jc w:val="center"/>
    </w:pPr>
    <w:rPr>
      <w:b/>
      <w:bCs/>
      <w:sz w:val="24"/>
    </w:rPr>
  </w:style>
  <w:style w:type="character" w:customStyle="1" w:styleId="27">
    <w:name w:val="正文文本 字符"/>
    <w:basedOn w:val="17"/>
    <w:link w:val="8"/>
    <w:qFormat/>
    <w:uiPriority w:val="0"/>
    <w:rPr>
      <w:sz w:val="18"/>
    </w:rPr>
  </w:style>
  <w:style w:type="character" w:customStyle="1" w:styleId="28">
    <w:name w:val="正文文本首行缩进 字符"/>
    <w:basedOn w:val="27"/>
    <w:link w:val="15"/>
    <w:qFormat/>
    <w:uiPriority w:val="0"/>
    <w:rPr>
      <w:kern w:val="2"/>
      <w:sz w:val="21"/>
      <w:szCs w:val="24"/>
    </w:rPr>
  </w:style>
  <w:style w:type="character" w:customStyle="1" w:styleId="29">
    <w:name w:val="批注文字 字符"/>
    <w:basedOn w:val="17"/>
    <w:link w:val="7"/>
    <w:qFormat/>
    <w:uiPriority w:val="0"/>
    <w:rPr>
      <w:kern w:val="2"/>
      <w:sz w:val="21"/>
      <w:szCs w:val="24"/>
    </w:rPr>
  </w:style>
  <w:style w:type="character" w:customStyle="1" w:styleId="30">
    <w:name w:val="批注主题 字符"/>
    <w:basedOn w:val="29"/>
    <w:link w:val="14"/>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38</Pages>
  <Words>18104</Words>
  <Characters>20518</Characters>
  <Lines>162</Lines>
  <Paragraphs>45</Paragraphs>
  <TotalTime>4</TotalTime>
  <ScaleCrop>false</ScaleCrop>
  <LinksUpToDate>false</LinksUpToDate>
  <CharactersWithSpaces>20711</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2022-07-23T03:31:00Z</dcterms:created>
  <dc:creator>Administrator</dc:creator>
  <cp:lastModifiedBy>火龙果</cp:lastModifiedBy>
  <cp:lastPrinted>2023-07-20T01:21:00Z</cp:lastPrinted>
  <dcterms:modified xsi:type="dcterms:W3CDTF">2024-09-12T09:31:08Z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2617119B48E1458A8B1843D61BD99031_13</vt:lpwstr>
  </property>
</Properties>
</file>